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i w:val="1"/>
          <w:iCs w:val="1"/>
          <w:color w:val="000000"/>
          <w:sz w:val="24"/>
          <w:szCs w:val="24"/>
        </w:rPr>
        <w:t xml:space="preserve">Atualize o sumário (Word: clique com o botão direito → Atualizar campo).</w:t>
      </w: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Duas exceções a essa regra merecem registro: a Ciência da lógica é citada integralmente pela edição inglesa de A. V. Miller, cuja numeração de parágrafos é a mais usada na literatura secundária consultada, ainda que exista tradução brasileira; e duas obras de Deleuze sem tradução para o português — Nietzsche y la filosofía e Spinoza: filosofía práctica — são citadas pelas edições espanholas. Advertência semelhante vale para Tipos psicológicos: o verbete "Símbolo" é citado ora pela numeração de parágrafo da edição brasileira (§§903, 905, 906), ora pela da edição inglesa de R. F. C. Hull (§§825, 827) quando a formulação citada é traduzida diretamente do inglês; cada nota indica a qual das duas se refere. As referências completas de cada Estação estão reunidas, ao final do volume, numa bibliografia geral, precedida de um glossário dos conceitos centrais.</w:t>
      </w:r>
      <w:r w:rsidDel="00000000" w:rsidR="00000000" w:rsidRPr="00000000">
        <w:rPr>
          <w:rtl w:val="0"/>
        </w:rPr>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probos,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Há aí uma teleologia inequívoca: o processo tem uma direção, e essa direção é a totalização crescente do Espírito rumo ao saber absoluto. A contradição, para Hegel, é um estágio a ser superado, não um estado a ser habitado.</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sidDel="00000000" w:rsidR="00000000" w:rsidRPr="00000000">
        <w:rPr>
          <w:rtl w:val="0"/>
        </w:rPr>
        <w:t xml:space="preserve">O analista também quer resolver, e se dá conta disso</w:t>
      </w:r>
      <w:r>
        <w:rPr>
          <w:rFonts w:ascii="Times New Roman" w:cs="Times New Roman" w:eastAsia="Times New Roman" w:hAnsi="Times New Roman"/>
          <w:color w:val="000000"/>
          <w:sz w:val="24"/>
          <w:szCs w:val="24"/>
          <w:rtl w:val="0"/>
        </w:rPr>
        <w:t xml:space="preserve"> numa sessão em que se ouve propor, com mais convicção do que gostaria, uma leitura que amarraria tudo: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w:t>
      </w:r>
      <w:r w:rsidDel="00000000" w:rsidR="00000000" w:rsidRPr="00000000">
        <w:rPr>
          <w:rtl w:val="0"/>
        </w:rPr>
        <w:t xml:space="preserve">l", conta ela desapontada.</w:t>
      </w:r>
      <w:r w:rsidDel="00000000" w:rsidR="00000000" w:rsidRPr="00000000">
        <w:rPr>
          <w:rFonts w:ascii="Times New Roman" w:cs="Times New Roman" w:eastAsia="Times New Roman" w:hAnsi="Times New Roman"/>
          <w:color w:val="000000"/>
          <w:sz w:val="24"/>
          <w:szCs w:val="24"/>
          <w:rtl w:val="0"/>
        </w:rPr>
        <w:t xml:space="preserve"> A explicação tinha funcionado como síntese antecipada: a paciente recebeu </w:t>
      </w:r>
      <w:r w:rsidDel="00000000" w:rsidR="00000000" w:rsidRPr="00000000">
        <w:rPr>
          <w:rtl w:val="0"/>
        </w:rPr>
        <w:t xml:space="preserve">uma resposta conceitual</w:t>
      </w:r>
      <w:r w:rsidDel="00000000" w:rsidR="00000000" w:rsidRPr="00000000">
        <w:rPr>
          <w:rFonts w:ascii="Times New Roman" w:cs="Times New Roman" w:eastAsia="Times New Roman" w:hAnsi="Times New Roman"/>
          <w:color w:val="000000"/>
          <w:sz w:val="24"/>
          <w:szCs w:val="24"/>
          <w:rtl w:val="0"/>
        </w:rPr>
        <w:t xml:space="preserve"> e o conflito seguiu intocado por baixo dele.</w:t>
      </w:r>
      <w:r w:rsidDel="00000000" w:rsidR="00000000" w:rsidRPr="00000000">
        <w:rPr>
          <w:rtl w:val="0"/>
        </w:rPr>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Finalmente poderia criar para si uma vida que não fosse feita de um passado que não passa.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correspondem, com fidelidade surpreendente, a procedimentos que a tradição reuniu sob o nome de dialética: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no caso de Hegel puramente especulativa e metafísica)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este</w:t>
      </w:r>
      <w:r w:rsidDel="00000000" w:rsidR="00000000" w:rsidRPr="00000000">
        <w:rPr>
          <w:rFonts w:ascii="Times New Roman" w:cs="Times New Roman" w:eastAsia="Times New Roman" w:hAnsi="Times New Roman"/>
          <w:color w:val="000000"/>
          <w:sz w:val="24"/>
          <w:szCs w:val="24"/>
          <w:rtl w:val="0"/>
        </w:rPr>
        <w:t xml:space="preserve"> paciente hipotético tem a forma exata de uma leitura teleológica. Cada momento é conservado, e conservado como etapa de um caminho que só se revela a partir do ponto de chegada. O ganho é evidente: o que era fragmento ganha sentido. O preço também. Aquilo que não serve ao fim é rebaixado a desvio, e o fim, uma vez alcançado, já não pode ser posto em questão pelo que ficou para trás. A clínica encontra essa estrutura com frequência, e é diante dela que a pergunta sobre a herança hegeliana da psicologia complexa deixa de ser apenas teórica</w:t>
      </w:r>
      <w:r w:rsidDel="00000000" w:rsidR="00000000" w:rsidRPr="00000000">
        <w:rPr>
          <w:rtl w:val="0"/>
        </w:rPr>
        <w:t xml:space="preserve"> e passa a ser uma intrincada senda de recessividades muitas e afinidades poucas.</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Antes de perguntar se a psicologia complexa pode ou não herdar esse modelo sem herdar também esse fechamento, é preciso primeiro reconhecer, com todo o rigor que Hegel exige de seus leitores, o que exatamente está em jogo quando se diz que ele pensa "dialeticamente" — para não confundir, como a vulgata costuma confundir, o rigor da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com a caricatura escolar da tríade.</w:t>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É com essa estrutura,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que este livro discute Hegel.</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aquele elemento que, por intriga, converte o fim universal do governo em fim privado, transforma a atividade universal do Estado em obra de um indivíduo particular, e perverte a propriedade universal do Estado numa posse e ornamento da família</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Não é acidente biográfico de Hegel, nem resíduo do seu tempo que se possa descartar sem tocar no núcleo do sistema. Falta decidir o quanto disso decorre da estrutura teleológica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a decisão vem mais adiante: a leitura da Antígona mostra, com uma clareza que o próprio Hegel não pretendia oferecer, quem historicamente tem ocupado esse lugar, sem por isso demonstrar que a forma do procedimento o exigisse.</w:t>
      </w:r>
      <w:r w:rsidDel="00000000" w:rsidR="00000000" w:rsidRPr="00000000">
        <w:rPr>
          <w:vertAlign w:val="superscript"/>
        </w:rPr>
        <w:footnoteReference w:customMarkFollows="0" w:id="32"/>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leva a frase para a supervisão e se dá conta de que vinha ouvindo a fidelidade da paciente ao pai como etapa a superar e de que, sem perceber, vinha esperando que ela voltasse a trabalhar.</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Nas sessões seguintes deixa de esperar essa volta e passa a acompanhar o que o cuidado fazia com ela. Aparecem sonhos com a casa da infância, uma raiva antiga do pai que convive com a ternura e o luto pela mãe, que até então não tivera lugar. O pai morre no fim daquele ano. Ela retoma a advocacia alguns meses depois e, numa das últimas sessões, diz que não se arrepende de nada e que tampouco chamaria aquilo de sacrifício.</w:t>
      </w:r>
      <w:r w:rsidDel="00000000" w:rsidR="00000000" w:rsidRPr="00000000">
        <w:rPr>
          <w:rtl w:val="0"/>
        </w:rPr>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3"/>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numa permanente Escolha de Sofia.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38"/>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39"/>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0"/>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1"/>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2"/>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3"/>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4"/>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Antígona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69"/>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1"/>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4"/>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78"/>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0"/>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2"/>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e é ela que liga o terceiro vivo à pessoa que o suporta e ao tempo em que ele opera.</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5"/>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2"/>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3"/>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5"/>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6"/>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08"/>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O preço aparece na outra ponta. Para escapar do Self-sujeito, Fordham fez do self um objeto de observação, um integrado psicossomático dado no corpo do recém-nascido e reconhecível no comportamento e nos círculos desenhados pelas crianças. A positividade que o esquema de Neumann trazia pela via do mito retorna pela via da biologia e do protocolo de observação, e o conceito que Jung aproximava da coisa em si ganha correlatos que se podem apontar.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e poucos meios de perceber o momento em que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Com isso, o problema da oposição entre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teleológica, de um lado, e o símbolo como terceiro vivo e aberto, do outro, reaparece de modo inesperado: para Giegerich,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Três pilares sustentam essa posição: a diferença psicológica, a noção de interiorização absoluto-negativa e a crítica à arquetipologia reificada.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1"/>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32"/>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3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35"/>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3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3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7.5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O ganho da posição de Giegerich para o problema em exame é claro. Ele mostra que a advertência contra a hipostasiação não pode ser cumprida por meio de ressalvas epistemológicas, porque a hipostasiação não se encontra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Enquanto a psicologia pensar em termos de substrato e manifestação, de essência e imagem, de fundo e superfície, ela tenderá a reificar aquilo que coloca no fundo, por mais que declare a sua incognoscibilidade.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O custo, porém, é igualmente claro. A dialética hegeliana que Giegerich oferece como antídoto é aquela cuja direção é sempre para a frente, rumo à supressão da imediatez e à conquista do conceito. O terceiro vivo junguiano — a imagem que contém a tensão sem resolvê-la — aparece, nessa perspectiva, como uma etapa ainda imperfeita, a ser superada pelo pensamento.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preço dessa operação quando aplicada a uma figura concreta.</w:t>
      </w:r>
      <w:r w:rsidDel="00000000" w:rsidR="00000000" w:rsidRPr="00000000">
        <w:rPr>
          <w:rtl w:val="0"/>
        </w:rPr>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A pergunta, portanto, é a seguinte: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 É nessa leitura que o seu hegelianismo mostra a sua forma concreta — e, com ela, as suas consequências para o problema dos opostos que atravessa este livro.</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 A hierarquia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 que transforma todo polo em momento a ser superado — volta a operar sobre o mesmo polo.</w:t>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 nem por isso é necessária no sentido forte que a Estação 3 recusou. A forma da Aufhebung exige que algum termo ocupe o lugar do que deve ser suprimido; não exige que esse termo seja a natureza, o corpo ou o feminino. O que explica a coincidência não é a lógica do procedimento, mas o mesmo repertório cultural que já associava o feminino à imediatez em Hegel: onde esse repertório está disponível, é ele, e não a forma da Aufhebung, que decide qual termo ocupa o lugar vago.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A partir de Deleuze, torna-se possível pensar o feminino como linha de fuga em relação à própria lógica da totalidade, e não como momento a superar ou complemento a integrar.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entendida como distinção entre a pessoa empírica e a alma, tem consequências clínicas. A leitura de Jung que acaba de ser reconstruída permite examiná-las de modo mais concreto. 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4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O que se ganha em rigor contra a reificação dos arquétipos se perde em abertura: o processo psíquico passa a ter uma direção necessária, e tudo o que resiste a ela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48"/>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49"/>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4">
      <w:pPr>
        <w:spacing w:line="360" w:lineRule="auto"/>
        <w:ind w:firstLine="720"/>
        <w:jc w:val="both"/>
        <w:rPr/>
      </w:pPr>
      <w:r>
        <w:rPr>
          <w:rFonts w:ascii="Times New Roman" w:cs="Times New Roman" w:eastAsia="Times New Roman" w:hAnsi="Times New Roman"/>
          <w:color w:val="000000"/>
          <w:sz w:val="24"/>
          <w:szCs w:val="24"/>
          <w:rtl w:val="0"/>
        </w:rPr>
        <w:t xml:space="preserve">O balanço da leitura de Giegerich pode ser formulado assim. Giegerich mostrou, de modo mais convincente do que qualquer outro autor da tradição, que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consequência da forma substancialista de pensamento que Jung nunca abandonou — e não um acidente de percurso. Mostrou também que a correção desse erro exige uma forma de pensamento capaz de permanecer junto ao negativo. Mas ao adotar Hegel como modelo, ele herdou a pergunta que Hegel deixou em aberto: se a negatividade é o motor do processo, o que impede que o próprio processo se torne um novo absoluto?</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cada dialética efetivamente superou: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50"/>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56"/>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D">
      <w:pPr>
        <w:spacing w:line="360" w:lineRule="auto"/>
        <w:ind w:firstLine="720"/>
        <w:jc w:val="both"/>
        <w:rPr/>
      </w:pPr>
      <w:r>
        <w:rPr>
          <w:rFonts w:ascii="Times New Roman" w:cs="Times New Roman" w:eastAsia="Times New Roman" w:hAnsi="Times New Roman"/>
          <w:color w:val="000000"/>
          <w:sz w:val="24"/>
          <w:szCs w:val="24"/>
          <w:rtl w:val="0"/>
        </w:rPr>
        <w:t xml:space="preserve">O desvio por Lacan permite formular com mais precisão o problema dos opostos. A primeira lição é que a teleologia pode ser desligada da dialética: é possível pensar a negatividade como falta estrutural, sem promessa de síntese, e com isso escapar à acusação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estendida a Giegerich. Nesse sentido, Lacan confirma que a abertura reivindicada por Jung para o símbolo — o terceiro que não resolve a tensão — pode ser sustentada teoricamente sem apelo a uma plenitude arquetípica.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lição é mais inquietante. Desligar a dialética da teleologia não basta para liberar os termos que ela opõe. Enquanto a diferença for pensada a partir da negação — seja como passagem, seja como falta —, um dos termos continuará a ser o ponto de referência, e o outro será definido pelo modo como difere dele. A pergunta que resta é, portanto, mais radical do que a de saber se a dialética deve ou não culminar numa síntese: é a de saber se a diferença pode ser pensada sem a negação. Hegel, Jung, Giegerich e Lacan, apesar de suas divergências, responderam a ela dentro do mesmo terreno.</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Diferir era não ser o outro; o oposto era o negativo do seu oposto; o feminino, a falta ou o avesso de um termo de referência.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elementos centrais dessa crítica estão formulados sobretudo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 1968, e permitem dizer algo sobre o problema dos opostos na psicologia complexa. Com Félix Guattari,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levará a crítica ao terreno do feminino, por meio do conceito de devir-mulher.</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algum momento daquele inverno o analista parou de conferir. Deu-se conta disso numa supervisão, ao falar do caso por vinte minutos sem usar nenhuma palavra da tipologia. Tinha falado da hora em que o paciente se virava de lado, dos dias em que tirava os sapatos, da palavra "planejamento" dita com a boca apertada. Na primavera o paciente pediu para voltar à equipe antiga. O chefe respondeu que o teste "não erra"; ele voltou mesmo assim e perdeu uma gratificação. Contou isso numa sessão e, pela primeira vez em meses, falou quase sem parar. Ao sair, levou a folha da mesinha.</w:t>
      </w:r>
      <w:r w:rsidDel="00000000" w:rsidR="00000000" w:rsidRPr="00000000">
        <w:rPr>
          <w:rtl w:val="0"/>
        </w:rPr>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6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Para Jung, a diferença é energia porque é tensão entre opostos, e o processo tende à sua resolução; o terceiro que surge da função transcendente é, nesse sentido, uma forma de conversão da tensão em nova configuração. Para Deleuze, a diferença é intensidade que precede a própria constituição de polos opostos; a oposição é o modo como essa intensidade aparece quando já foi distribuída em termos extensos e qualificados.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7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 Ana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8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18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18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18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18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18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 O devir-mulher, que as seções seguintes examinam, é o lugar em que essa divergência se torna mais aguda — porque é nele que a esquizoanálise leva mais longe a dissolução do sujeito e da oposição binária.</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seria menos a operação que une dois opostos dados num terceiro do que o processo pelo qual uma oposição cristalizada volta a se abrir em diferenças que ela havia bloqueado.</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Antígona de Hegel era o momento da lei divina que o espírito de fato suprimiu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se o negativo é a diferença vista de baixo, toda definição negativa do feminino fala mais de quem olha do que daquilo que é olhado.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 Se o desejo não é falta, o feminino não pode ser definido como falta — nem como falta de pênis, à maneira de Freud, nem como não-toda na função fálica, à maneira de Lacan. E se o inconsciente não é um repertório de figuras, o feminino tampouco pode ser definido como arquétipo — como a Grande Mãe ou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de Jung.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noção de maioria corresponde, em termos sociais e políticos, ao que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descreve em termos ontológicos como identidade: o Mesmo em relação ao qual a diferença é medida. A maioria é o ponto de vista a partir do qual toda diferença aparece como desvio, como falta, como negação. E aqui se encontra,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19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É a ela que se aplicam as determinações que esses autores lhe atribuíram: momento a superar, complemento a integrar, não-toda em relação à função fálica.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19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O devir-mulher permite pensar o feminino fora da negação, e isso é considerável: pela primeira vez neste percurso, o feminino não aparece como momento, complemento ou falta, mas como processo que desfaz a própria oposição binária. Mas o preço dessa conquista é que o feminino, enquanto tal, parece dissolver-se no movimento que ele inaugura.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 Em todos os casos, o risco é o mesmo: que o pensamento, ao encontrar a forma que lhe permitiria acolher a diferença, se detenha nela e a transforme em nova identidade.</w:t>
      </w:r>
      <w:r w:rsidDel="00000000" w:rsidR="00000000" w:rsidRPr="00000000">
        <w:rPr>
          <w:rtl w:val="0"/>
        </w:rPr>
      </w:r>
    </w:p>
    <w:p w:rsidR="00000000" w:rsidDel="00000000" w:rsidP="00000000" w:rsidRDefault="00000000" w:rsidRPr="00000000" w14:paraId="000002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ponto que Jung e Deleuze, apesar de tudo o que os separa, se reencontram. Ambos desconfiaram da fixação: Jung, quando insistia em que o símbolo vivo morre no momento em que seu sentido é estabelecido; Deleuze, quando fazia da criação de conceitos um processo que não pode parar. Ambos conceberam o inconsciente como produtivo, e não apenas como repositório. E ambos, cada um a seu modo, recusaram a tese de que a verdade do processo psíquico estivesse no seu resultado.</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confronto será organizado em torno de três convergências e três divergências. As convergências dizem respeito à concepção do inconsciente como instância produtiva, ao caráter problemático do que ele produz e à noção de individuação. As divergências dizem respeito à ideia de totalidade, ao estatuto do religioso e ao lugar do sujeito que suporta a tensão. A escolha não pretende ser exaustiva: cobre os pontos em que o problema dos opostos, tal como este livro o formulou, está diretamente em jogo.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 Não é por acaso que, nas poucas passagens em que Deleuze se refere a Jung com simpatia, é precisamente esse aspecto que ele destaca — o de um inconsciente que coloca questões, em vez de apenas repetir respostas.</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rsidR="00000000" w:rsidDel="00000000" w:rsidP="00000000" w:rsidRDefault="00000000" w:rsidRPr="00000000" w14:paraId="000002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está repleto de advertências contra a desestratificação brutal: é preciso manter um mínimo de organização, um mínimo de eu, para não se destruir no processo. Mas essas advertências permanecem como precauções, e não como princípio. Em Jung, ao contrário, a preservação do eu é constitutiva: sem ela, não há individuação, apenas dissolução. A experiência clínica — a de Jung e a de qualquer analista — mostra com que frequência a dissolução do eu, longe de ser libertadora, é o nome da psicose.</w:t>
      </w:r>
      <w:r w:rsidDel="00000000" w:rsidR="00000000" w:rsidRPr="00000000">
        <w:rPr>
          <w:rtl w:val="0"/>
        </w:rPr>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 ela não sabe dizer se isso a alivia ou a entristece.</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De Hegel a Deleuze, o problema recorrente foi a presença de um termo em relação ao qual os outros são definidos: o espírito em relação à natureza, o masculino em relação ao feminino, o eu em relação ao inconsciente, a identidade em relação à diferença.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 Nenhum conceito está a salvo de ser convertido em coisa, e isso vale tanto para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Jung quanto para o Conceito de Giegerich, a falta de Lacan ou o devir de Deleuze.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Em Hegel, a dialética é o movimento pelo qual o conceito se desenvolve por negação determinada até alcançar a sua verdade no saber absoluto. Em Jung, a palavra é usada de modo mais solto, para designar o confronto entre consciente e inconsciente, entre analista e analisando, entre os opostos que a psique produz — um confronto cujo resultado é o símbolo, não o conceito. Em Deleuze, a dialética é o próprio nome do adversário: a forma de pensamento que subordina a diferença à identidade por meio da negação.</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A pergunta ficou sem resposta, e agora já não pode ser feita.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finalmente,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w:t>
      </w:r>
      <w:r w:rsidDel="00000000" w:rsidR="00000000" w:rsidRPr="00000000">
        <w:rPr>
          <w:rtl w:val="0"/>
        </w:rPr>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13.4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A escola clássica tendeu a preservar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individuação como centro; a desenvolvimentista, a articular Jung com a psicanálise das relações de objeto; a arquetípica, a liberar as imagens do domínio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Em cada autor examinado, a maneira de pensar o feminino revelou a maneira de pensar a diferença em geral: se a diferença é momento a superar, complemento a integrar, falta a reconhecer ou devir a atravessar.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 Isso exige um trabalho que não termina: o de voltar sempre à experiência, confrontar os conceitos com o que eles não previram, e aceitar que o próprio percurso da teoria é, ele também, um processo dialético cujo resultado não está dado.</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que ele produziu foi uma cartografia do problema: os pontos em que cada tradição se abriu, os pontos em que se fechou, e as razões por que se fechou. Se a cartografia for útil, será porque permitirá ao leitor — analista, estudante, filósofo — reconhecer em sua própria prática os momentos em que a dialética começa a se fechar, e ter os instrumentos para reabri-la.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 como o símbolo que Jung descreveu, vivo enquanto prenhe de sentido, morto no momento em que o seu sentido é dado.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2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2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§62. Tradução nossa a partir da versão inglesa; os números de parágrafo seguem a edição em hipertexto do Marxists Internet Archive.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§182.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§183.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§191.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§196.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§210.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§214.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§§219 e 221. Tradução nossa a partir da versão inglesa; os números de parágrafo seguem a edição em hipertexto do Marxists Internet Archive. No §219: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§231.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(J. B. Baillie, Trad., rev. J. N. Findlay), §472: "It is in the equal subjection of both sides that absolute right is first accomplished". A numeração de parágrafos segue a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3">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4">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5">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6">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7">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8">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39">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0">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1">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2">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3">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4">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5">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7">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8">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9">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0">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1">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2">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3">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4">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5">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6">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7">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8">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59">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0">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1">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2">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3">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4">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5">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6">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7">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§903, verbete "Símbolo"). Vozes. (Trabalho original publicado em 1921).</w:t>
      </w:r>
      <w:r w:rsidDel="00000000" w:rsidR="00000000" w:rsidRPr="00000000">
        <w:rPr>
          <w:rtl w:val="0"/>
        </w:rPr>
      </w:r>
    </w:p>
  </w:footnote>
  <w:footnote w:id="68">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§906, verbete "Símbolo"). Vozes. (Trabalho original publicado em 1921).</w:t>
      </w:r>
      <w:r w:rsidDel="00000000" w:rsidR="00000000" w:rsidRPr="00000000">
        <w:rPr>
          <w:rtl w:val="0"/>
        </w:rPr>
      </w:r>
    </w:p>
  </w:footnote>
  <w:footnote w:id="69">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0">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Tradução nossa a partir da versão inglesa. (Trabalho original publicado em 1813)</w:t>
      </w:r>
      <w:r w:rsidDel="00000000" w:rsidR="00000000" w:rsidRPr="00000000">
        <w:rPr>
          <w:rtl w:val="0"/>
        </w:rPr>
      </w:r>
    </w:p>
  </w:footnote>
  <w:footnote w:id="71">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2">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3">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4">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5">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62 e 64 e nota 4</w:t>
      </w:r>
      <w:r w:rsidDel="00000000" w:rsidR="00000000" w:rsidRPr="00000000">
        <w:rPr>
          <w:rFonts w:ascii="Times New Roman" w:cs="Times New Roman" w:eastAsia="Times New Roman" w:hAnsi="Times New Roman"/>
          <w:color w:val="000000"/>
          <w:sz w:val="20"/>
          <w:szCs w:val="20"/>
          <w:rtl w:val="0"/>
        </w:rPr>
        <w:t xml:space="preserve">. https://doi.org/10.1080/19342039.2023.2225749. Tradução nossa. A divisão da função transcendente em três aspectos, que Mills relê como estágios de uma suprassunção, é tomada por ele de Jeffrey Miller.</w:t>
      </w:r>
      <w:r w:rsidDel="00000000" w:rsidR="00000000" w:rsidRPr="00000000">
        <w:rPr>
          <w:rtl w:val="0"/>
        </w:rPr>
      </w:r>
    </w:p>
  </w:footnote>
  <w:footnote w:id="76">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7">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78">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79">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0">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1">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2">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3">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4">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5">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6">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7">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88">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89">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0">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1">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2">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I, §§63-67). Vozes. (Trabalho original publicado em 1921). Paráfrase nossa.</w:t>
      </w:r>
      <w:r w:rsidDel="00000000" w:rsidR="00000000" w:rsidRPr="00000000">
        <w:rPr>
          <w:rtl w:val="0"/>
        </w:rPr>
      </w:r>
    </w:p>
  </w:footnote>
  <w:footnote w:id="93">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4">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5">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6">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7">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98">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99">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0">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1">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2">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3">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4">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5">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6">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7">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08">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09">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0">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1">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2">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3">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4">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5">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6">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7">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18">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19">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0">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1">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2">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3">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4">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5">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6">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7">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cap. 1, "'No Admission!' The Entrance into Psychology and the Style of Psychological Discourse", pp. 13-38, cujo lema é "No admission for the unqualified" (p. 15): "Entrada proibida aos não qualificados"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28">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pp. 115-116: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29">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pp. 123-124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0">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1">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32">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op. cit., Prefácio, §32. (Trabalho original publicado em 1807).</w:t>
      </w:r>
      <w:r w:rsidDel="00000000" w:rsidR="00000000" w:rsidRPr="00000000">
        <w:rPr>
          <w:rtl w:val="0"/>
        </w:rPr>
      </w:r>
    </w:p>
  </w:footnote>
  <w:footnote w:id="133">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34">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35">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op. cit. Os termos "semântica" e "sintaxe" são paráfrase nossa.</w:t>
      </w:r>
      <w:r w:rsidDel="00000000" w:rsidR="00000000" w:rsidRPr="00000000">
        <w:rPr>
          <w:rtl w:val="0"/>
        </w:rPr>
      </w:r>
    </w:p>
  </w:footnote>
  <w:footnote w:id="136">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37">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38">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39">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40">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XI/4, §§553-758). Vozes. (Trabalho original publicado em 1952). A ideia de uma encarnação continuada aparece nas seções finais do ensaio.</w:t>
      </w:r>
      <w:r w:rsidDel="00000000" w:rsidR="00000000" w:rsidRPr="00000000">
        <w:rPr>
          <w:rtl w:val="0"/>
        </w:rPr>
      </w:r>
    </w:p>
  </w:footnote>
  <w:footnote w:id="141">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42">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43">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Tentativa de uma interpretação psicológica do dogma da Trindade.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XI/2, §§169-295). Vozes. (Trabalho original publicado em 1942/1948).</w:t>
      </w:r>
      <w:r w:rsidDel="00000000" w:rsidR="00000000" w:rsidRPr="00000000">
        <w:rPr>
          <w:rtl w:val="0"/>
        </w:rPr>
      </w:r>
    </w:p>
  </w:footnote>
  <w:footnote w:id="144">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op. cit., §752, onde Jung comenta a definição dogmática da Assunção promulgada por Pio XII em 1º de novembro de 1950.</w:t>
      </w:r>
      <w:r w:rsidDel="00000000" w:rsidR="00000000" w:rsidRPr="00000000">
        <w:rPr>
          <w:rtl w:val="0"/>
        </w:rPr>
      </w:r>
    </w:p>
  </w:footnote>
  <w:footnote w:id="145">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op. cit.,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46">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47">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48">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49">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50">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51">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52">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53">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54">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55">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56">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57">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58">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59">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107.</w:t>
      </w:r>
      <w:r w:rsidDel="00000000" w:rsidR="00000000" w:rsidRPr="00000000">
        <w:rPr>
          <w:rtl w:val="0"/>
        </w:rPr>
      </w:r>
    </w:p>
  </w:footnote>
  <w:footnote w:id="160">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99 (lição de 20 de fevereiro de 1973, "Deus e o gozo d'A mulher").</w:t>
      </w:r>
      <w:r w:rsidDel="00000000" w:rsidR="00000000" w:rsidRPr="00000000">
        <w:rPr>
          <w:rtl w:val="0"/>
        </w:rPr>
      </w:r>
    </w:p>
  </w:footnote>
  <w:footnote w:id="161">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62">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63">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64">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65">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66">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67">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68">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69">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IV, "Síntese ideal da diferença", seção "Diferençação e diferenciação; as duas metades do objeto", pp. 197-199.</w:t>
      </w:r>
      <w:r w:rsidDel="00000000" w:rsidR="00000000" w:rsidRPr="00000000">
        <w:rPr>
          <w:rtl w:val="0"/>
        </w:rPr>
      </w:r>
    </w:p>
  </w:footnote>
  <w:footnote w:id="170">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 "A repetição para si mesma", seção "Conseqüências para a natureza do inconsciente: inconsciente serial, diferencial e questionante", nota de rodapé 55, p. 108 — onde Deleuze remete a 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71">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7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7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op. cit., §§48-51, sobre o conceito de entropia.</w:t>
      </w:r>
      <w:r w:rsidDel="00000000" w:rsidR="00000000" w:rsidRPr="00000000">
        <w:rPr>
          <w:rtl w:val="0"/>
        </w:rPr>
      </w:r>
    </w:p>
  </w:footnote>
  <w:footnote w:id="17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V, "Síntese assimétrica do sensível", pp. 214-215 (discussão de Léon Selme, Carnot e Clausius sobre o paradoxo da entropia).</w:t>
      </w:r>
      <w:r w:rsidDel="00000000" w:rsidR="00000000" w:rsidRPr="00000000">
        <w:rPr>
          <w:rtl w:val="0"/>
        </w:rPr>
      </w:r>
    </w:p>
  </w:footnote>
  <w:footnote w:id="17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7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7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67.</w:t>
      </w:r>
      <w:r w:rsidDel="00000000" w:rsidR="00000000" w:rsidRPr="00000000">
        <w:rPr>
          <w:rtl w:val="0"/>
        </w:rPr>
      </w:r>
    </w:p>
  </w:footnote>
  <w:footnote w:id="17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82.</w:t>
      </w:r>
      <w:r w:rsidDel="00000000" w:rsidR="00000000" w:rsidRPr="00000000">
        <w:rPr>
          <w:rtl w:val="0"/>
        </w:rPr>
      </w:r>
    </w:p>
  </w:footnote>
  <w:footnote w:id="17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173.</w:t>
      </w:r>
      <w:r w:rsidDel="00000000" w:rsidR="00000000" w:rsidRPr="00000000">
        <w:rPr>
          <w:rtl w:val="0"/>
        </w:rPr>
      </w:r>
    </w:p>
  </w:footnote>
  <w:footnote w:id="18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8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(2011).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8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8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18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18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11-37. O sujeito produzido "como resíduo ao lado da máquina" é descrito nas pp. 35 e 60.</w:t>
      </w:r>
      <w:r w:rsidDel="00000000" w:rsidR="00000000" w:rsidRPr="00000000">
        <w:rPr>
          <w:rtl w:val="0"/>
        </w:rPr>
      </w:r>
    </w:p>
  </w:footnote>
  <w:footnote w:id="18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26.</w:t>
      </w:r>
      <w:r w:rsidDel="00000000" w:rsidR="00000000" w:rsidRPr="00000000">
        <w:rPr>
          <w:rtl w:val="0"/>
        </w:rPr>
      </w:r>
    </w:p>
  </w:footnote>
  <w:footnote w:id="18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33.</w:t>
      </w:r>
      <w:r w:rsidDel="00000000" w:rsidR="00000000" w:rsidRPr="00000000">
        <w:rPr>
          <w:rtl w:val="0"/>
        </w:rPr>
      </w:r>
    </w:p>
  </w:footnote>
  <w:footnote w:id="18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105-107, sobre o uso exclusivo das disjunções no registro edipiano e as disjunções inclusivas.</w:t>
      </w:r>
      <w:r w:rsidDel="00000000" w:rsidR="00000000" w:rsidRPr="00000000">
        <w:rPr>
          <w:rtl w:val="0"/>
        </w:rPr>
      </w:r>
    </w:p>
  </w:footnote>
  <w:footnote w:id="18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19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(Trabalho original publicado em 1980).</w:t>
      </w:r>
      <w:r w:rsidDel="00000000" w:rsidR="00000000" w:rsidRPr="00000000">
        <w:rPr>
          <w:rtl w:val="0"/>
        </w:rPr>
      </w:r>
    </w:p>
  </w:footnote>
  <w:footnote w:id="19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19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19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19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menina, o corpo que lhe é tomado e o bloco de devir que ela carrega são discutidos na seção "Lembranças de uma molécula", a mesma em que se enuncia a tese sobre o devir-mulher. A exposição acima é nossa.</w:t>
      </w:r>
      <w:r w:rsidDel="00000000" w:rsidR="00000000" w:rsidRPr="00000000">
        <w:rPr>
          <w:rtl w:val="0"/>
        </w:rPr>
      </w:r>
    </w:p>
  </w:footnote>
  <w:footnote w:id="19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(Trabalho original publicado em 1980).</w:t>
      </w:r>
      <w:r w:rsidDel="00000000" w:rsidR="00000000" w:rsidRPr="00000000">
        <w:rPr>
          <w:rtl w:val="0"/>
        </w:rPr>
      </w:r>
    </w:p>
  </w:footnote>
  <w:footnote w:id="19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19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19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pp. 164-165: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115-183): cap. 5, "Nietzsche and the Choreography of Knowledge" (pp. 115-137); cap. 6, "The Body as Inscriptive Surface", sobre Nietzsche, Kafka, Foucault, Deleuze e Guattari e Lingis (pp. 138-159); cap. 7, "Intensities and Flows", sobre Deleuze e Guattari (pp. 160-183).</w:t>
      </w:r>
      <w:r w:rsidDel="00000000" w:rsidR="00000000" w:rsidRPr="00000000">
        <w:rPr>
          <w:rtl w:val="0"/>
        </w:rPr>
      </w:r>
    </w:p>
  </w:footnote>
  <w:footnote w:id="19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00">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01">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02">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op. cit.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03">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04">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05">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06">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07">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(Trabalho original publicado em 1980).</w:t>
      </w:r>
      <w:r w:rsidDel="00000000" w:rsidR="00000000" w:rsidRPr="00000000">
        <w:rPr>
          <w:rtl w:val="0"/>
        </w:rPr>
      </w:r>
    </w:p>
  </w:footnote>
  <w:footnote w:id="208">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09">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10">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op. cit.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11">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12">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13">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verbete "Símbolo", §905). Vozes. Paráfrase nossa. (Trabalho original publicado em 1921).</w:t>
      </w:r>
      <w:r w:rsidDel="00000000" w:rsidR="00000000" w:rsidRPr="00000000">
        <w:rPr>
          <w:rtl w:val="0"/>
        </w:rPr>
      </w:r>
    </w:p>
  </w:footnote>
  <w:footnote w:id="214">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op. cit., cap. IV, "Atividade psiquiátrica". Paráfrase nossa.</w:t>
      </w:r>
      <w:r w:rsidDel="00000000" w:rsidR="00000000" w:rsidRPr="00000000">
        <w:rPr>
          <w:rtl w:val="0"/>
        </w:rPr>
      </w:r>
    </w:p>
  </w:footnote>
  <w:footnote w:id="215">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11: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