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A02E" w14:textId="3E553A01" w:rsidR="00FD288B" w:rsidRDefault="00FD288B" w:rsidP="00FD288B">
      <w:pPr>
        <w:pStyle w:val="Heading1"/>
        <w:spacing w:before="300" w:after="150"/>
        <w:jc w:val="both"/>
        <w:rPr>
          <w:rFonts w:ascii="Arial" w:eastAsia="Times New Roman" w:hAnsi="Arial" w:cs="Arial"/>
          <w:b/>
          <w:bCs/>
          <w:color w:val="auto"/>
          <w:sz w:val="22"/>
          <w:szCs w:val="22"/>
          <w:lang w:val="en-GB"/>
        </w:rPr>
      </w:pPr>
      <w:r w:rsidRPr="00FD288B">
        <w:rPr>
          <w:rFonts w:ascii="Arial" w:eastAsia="Times New Roman" w:hAnsi="Arial" w:cs="Arial"/>
          <w:b/>
          <w:bCs/>
          <w:color w:val="auto"/>
          <w:sz w:val="22"/>
          <w:szCs w:val="22"/>
          <w:lang w:val="en-GB"/>
        </w:rPr>
        <w:t>Surfacing Data Value: What Makes Data Valuable to Hybrid Organizations under the Economies of Worth Lens — A Q Methodology Study</w:t>
      </w:r>
    </w:p>
    <w:p w14:paraId="36D50A83" w14:textId="4418A2E2" w:rsidR="00F22209" w:rsidRPr="0016704D" w:rsidRDefault="00F22209" w:rsidP="00FD288B">
      <w:pPr>
        <w:pStyle w:val="Heading1"/>
        <w:spacing w:before="300" w:after="150"/>
        <w:jc w:val="both"/>
        <w:rPr>
          <w:rFonts w:ascii="Arial" w:hAnsi="Arial" w:cs="Arial"/>
          <w:color w:val="auto"/>
          <w:sz w:val="22"/>
          <w:szCs w:val="22"/>
          <w:lang w:val="en-GB"/>
        </w:rPr>
      </w:pPr>
      <w:r w:rsidRPr="0016704D">
        <w:rPr>
          <w:rFonts w:ascii="Arial" w:hAnsi="Arial" w:cs="Arial"/>
          <w:b/>
          <w:bCs/>
          <w:color w:val="auto"/>
          <w:sz w:val="22"/>
          <w:szCs w:val="22"/>
          <w:lang w:val="en-GB"/>
        </w:rPr>
        <w:t>1. Introduction</w:t>
      </w:r>
    </w:p>
    <w:p w14:paraId="260101B5" w14:textId="09B856A8" w:rsidR="00F22209" w:rsidRPr="0016704D" w:rsidRDefault="00F22209" w:rsidP="00F22209">
      <w:pPr>
        <w:spacing w:after="160" w:line="278" w:lineRule="auto"/>
        <w:jc w:val="both"/>
        <w:rPr>
          <w:rFonts w:ascii="Arial" w:hAnsi="Arial" w:cs="Arial"/>
          <w:sz w:val="22"/>
          <w:szCs w:val="22"/>
        </w:rPr>
      </w:pPr>
      <w:r w:rsidRPr="0016704D">
        <w:rPr>
          <w:rFonts w:ascii="Arial" w:hAnsi="Arial" w:cs="Arial"/>
          <w:sz w:val="22"/>
          <w:szCs w:val="22"/>
        </w:rPr>
        <w:t>Data has become a strategic asset for organizations across every sector, yet how its value should be understood, and by whom, remains unsettled. Existing approaches span cost-based, income-based, and market-based methods (Coyle and Manley, 2024</w:t>
      </w:r>
      <w:r w:rsidR="00EB5BF1">
        <w:rPr>
          <w:rFonts w:ascii="Arial" w:hAnsi="Arial" w:cs="Arial"/>
          <w:sz w:val="22"/>
          <w:szCs w:val="22"/>
        </w:rPr>
        <w:t>; Deloitte</w:t>
      </w:r>
      <w:r w:rsidR="0059042D">
        <w:rPr>
          <w:rFonts w:ascii="Arial" w:hAnsi="Arial" w:cs="Arial"/>
          <w:sz w:val="22"/>
          <w:szCs w:val="22"/>
        </w:rPr>
        <w:t>,</w:t>
      </w:r>
      <w:r w:rsidR="00EB5BF1">
        <w:rPr>
          <w:rFonts w:ascii="Arial" w:hAnsi="Arial" w:cs="Arial"/>
          <w:sz w:val="22"/>
          <w:szCs w:val="22"/>
        </w:rPr>
        <w:t xml:space="preserve"> 202</w:t>
      </w:r>
      <w:r w:rsidR="0059042D">
        <w:rPr>
          <w:rFonts w:ascii="Arial" w:hAnsi="Arial" w:cs="Arial"/>
          <w:sz w:val="22"/>
          <w:szCs w:val="22"/>
        </w:rPr>
        <w:t>4</w:t>
      </w:r>
      <w:r w:rsidRPr="0016704D">
        <w:rPr>
          <w:rFonts w:ascii="Arial" w:hAnsi="Arial" w:cs="Arial"/>
          <w:sz w:val="22"/>
          <w:szCs w:val="22"/>
        </w:rPr>
        <w:t>), computational approaches that estimate the contribution of individual data points to a model's performance (Badewitz et al, 2020), and a smaller set of attempts to build stakeholder consultation and dimensional character into the value construct itself (Spiekermann and Korunovska, 2017), yet no consensus has emerged on which methods fit the diverse perspectives, characteristics and contexts that make data valuable. Statistical agencies have only just begun to converge on how data should be recognized as an asset at all</w:t>
      </w:r>
      <w:r w:rsidR="00FD6475">
        <w:rPr>
          <w:rFonts w:ascii="Arial" w:hAnsi="Arial" w:cs="Arial"/>
          <w:sz w:val="22"/>
          <w:szCs w:val="22"/>
        </w:rPr>
        <w:t xml:space="preserve">. In </w:t>
      </w:r>
      <w:r w:rsidRPr="0016704D">
        <w:rPr>
          <w:rFonts w:ascii="Arial" w:hAnsi="Arial" w:cs="Arial"/>
          <w:sz w:val="22"/>
          <w:szCs w:val="22"/>
        </w:rPr>
        <w:t>2025</w:t>
      </w:r>
      <w:r w:rsidR="00FD6475">
        <w:rPr>
          <w:rFonts w:ascii="Arial" w:hAnsi="Arial" w:cs="Arial"/>
          <w:sz w:val="22"/>
          <w:szCs w:val="22"/>
        </w:rPr>
        <w:t xml:space="preserve">, the </w:t>
      </w:r>
      <w:r w:rsidRPr="0016704D">
        <w:rPr>
          <w:rFonts w:ascii="Arial" w:hAnsi="Arial" w:cs="Arial"/>
          <w:sz w:val="22"/>
          <w:szCs w:val="22"/>
        </w:rPr>
        <w:t>System of National Accounts brought data into the asset boundary for the first time, with a companion Eurostat handbook issued the same year to guide implementation (</w:t>
      </w:r>
      <w:r w:rsidR="00FD6475">
        <w:rPr>
          <w:rFonts w:ascii="Arial" w:hAnsi="Arial" w:cs="Arial"/>
          <w:sz w:val="22"/>
          <w:szCs w:val="22"/>
        </w:rPr>
        <w:t>System</w:t>
      </w:r>
      <w:r w:rsidRPr="0016704D">
        <w:rPr>
          <w:rFonts w:ascii="Arial" w:hAnsi="Arial" w:cs="Arial"/>
          <w:sz w:val="22"/>
          <w:szCs w:val="22"/>
        </w:rPr>
        <w:t xml:space="preserve"> o</w:t>
      </w:r>
      <w:r w:rsidR="00FD6475">
        <w:rPr>
          <w:rFonts w:ascii="Arial" w:hAnsi="Arial" w:cs="Arial"/>
          <w:sz w:val="22"/>
          <w:szCs w:val="22"/>
        </w:rPr>
        <w:t>f</w:t>
      </w:r>
      <w:r w:rsidRPr="0016704D">
        <w:rPr>
          <w:rFonts w:ascii="Arial" w:hAnsi="Arial" w:cs="Arial"/>
          <w:sz w:val="22"/>
          <w:szCs w:val="22"/>
        </w:rPr>
        <w:t xml:space="preserve"> National Accounts, 2025; Eurostat, 2025). This convergence, decades after data became central to economic activity, illustrates how unsettled data valuation remains, even before asking whose worth counts.</w:t>
      </w:r>
    </w:p>
    <w:p w14:paraId="0FAB467D" w14:textId="77777777" w:rsidR="00F22209" w:rsidRPr="0016704D" w:rsidRDefault="00F22209" w:rsidP="00F22209">
      <w:pPr>
        <w:spacing w:after="160" w:line="278" w:lineRule="auto"/>
        <w:jc w:val="both"/>
        <w:rPr>
          <w:rFonts w:ascii="Arial" w:hAnsi="Arial" w:cs="Arial"/>
          <w:sz w:val="22"/>
          <w:szCs w:val="22"/>
        </w:rPr>
      </w:pPr>
      <w:r w:rsidRPr="0016704D">
        <w:rPr>
          <w:rFonts w:ascii="Arial" w:hAnsi="Arial" w:cs="Arial"/>
          <w:sz w:val="22"/>
          <w:szCs w:val="22"/>
        </w:rPr>
        <w:t>A growing body of work treats data's value as a relational, socio-technically constructed property rather than a fixed attribute of the data itself, dependent on who seeks to use data, for what purpose, and through what process. Alaimo, Kallinikos, and Aaltonen (2020) show that data acquires value only as it is worked on through organizational processes of collection, structuring, and analysis, and Nabben (2025) argues that value is co-produced through socio-technical relationships mediated by the infrastructures through which data moves. The World Economic Forum (2021) draws the practical consequence, arguing that articulating data's value requires moving beyond transactional monetization to account for how ecosystem stakeholders experience it.</w:t>
      </w:r>
    </w:p>
    <w:p w14:paraId="38BBD2B2" w14:textId="39A5E3C7" w:rsidR="00F22209" w:rsidRPr="0016704D" w:rsidRDefault="00F22209" w:rsidP="00F22209">
      <w:pPr>
        <w:spacing w:after="160" w:line="278" w:lineRule="auto"/>
        <w:jc w:val="both"/>
        <w:rPr>
          <w:rFonts w:ascii="Arial" w:hAnsi="Arial" w:cs="Arial"/>
          <w:sz w:val="22"/>
          <w:szCs w:val="22"/>
        </w:rPr>
      </w:pPr>
      <w:r w:rsidRPr="0016704D">
        <w:rPr>
          <w:rFonts w:ascii="Arial" w:hAnsi="Arial" w:cs="Arial"/>
          <w:sz w:val="22"/>
          <w:szCs w:val="22"/>
        </w:rPr>
        <w:t xml:space="preserve">This paper follows Castro Fernandez's (2025) effort to give data's value a rigorous treatment for articulation. His account separates data, whose value is objective, from documents, whose value is subjective and depends on the task a user puts them to. That separation leaves the subjective, use-dependent side of value identified but not yet developed. This paper takes up that space, extending it to provide a rigorous vocabulary for the plural grounds in which actors judge data's use to be valuable. Boltanski and Thevenot's (2006) economies of worth supplies such vocabulary. This includes the concept of investments of form, which are durable, standardized articulations, such as prices, statistics, and certifications, that make a claim about worth defensible, hence offering a way to give grounds </w:t>
      </w:r>
      <w:r w:rsidR="008E5DA7">
        <w:rPr>
          <w:rFonts w:ascii="Arial" w:hAnsi="Arial" w:cs="Arial"/>
          <w:sz w:val="22"/>
          <w:szCs w:val="22"/>
        </w:rPr>
        <w:t xml:space="preserve">other than monetization </w:t>
      </w:r>
      <w:r w:rsidRPr="0016704D">
        <w:rPr>
          <w:rFonts w:ascii="Arial" w:hAnsi="Arial" w:cs="Arial"/>
          <w:sz w:val="22"/>
          <w:szCs w:val="22"/>
        </w:rPr>
        <w:t>an articulated robustness to express data's value.</w:t>
      </w:r>
    </w:p>
    <w:p w14:paraId="188ED3BA" w14:textId="5F4071BD" w:rsidR="00F22209" w:rsidRPr="0016704D" w:rsidRDefault="00F22209" w:rsidP="00F22209">
      <w:pPr>
        <w:spacing w:after="160" w:line="278" w:lineRule="auto"/>
        <w:jc w:val="both"/>
        <w:rPr>
          <w:rFonts w:ascii="Arial" w:hAnsi="Arial" w:cs="Arial"/>
          <w:sz w:val="22"/>
          <w:szCs w:val="22"/>
        </w:rPr>
      </w:pPr>
      <w:r w:rsidRPr="0016704D">
        <w:rPr>
          <w:rFonts w:ascii="Arial" w:hAnsi="Arial" w:cs="Arial"/>
          <w:sz w:val="22"/>
          <w:szCs w:val="22"/>
        </w:rPr>
        <w:t xml:space="preserve">This need is especially acute for hybrid organizations, which combine commercial and social-mission logics and must reconcile competing institutional demands while sustaining both financial viability and mission legitimacy (Battilana and Lee, 2014). As these organizations pursue data-sharing collaborations and adopt data science and AI tools, decisions about how the resulting value should be recognized and distributed require a vocabulary that does not yet exist in </w:t>
      </w:r>
      <w:r w:rsidRPr="0016704D">
        <w:rPr>
          <w:rFonts w:ascii="Arial" w:hAnsi="Arial" w:cs="Arial"/>
          <w:sz w:val="22"/>
          <w:szCs w:val="22"/>
        </w:rPr>
        <w:lastRenderedPageBreak/>
        <w:t xml:space="preserve">developed form. Ammann and Hess (2025) find value capture in decentralized data ecosystems to be a genuinely open, contested problem, and </w:t>
      </w:r>
      <w:r w:rsidR="004C2D1F">
        <w:rPr>
          <w:rFonts w:ascii="Arial" w:hAnsi="Arial" w:cs="Arial"/>
          <w:sz w:val="22"/>
          <w:szCs w:val="22"/>
        </w:rPr>
        <w:t xml:space="preserve">recommend </w:t>
      </w:r>
      <w:r w:rsidRPr="0016704D">
        <w:rPr>
          <w:rFonts w:ascii="Arial" w:hAnsi="Arial" w:cs="Arial"/>
          <w:sz w:val="22"/>
          <w:szCs w:val="22"/>
        </w:rPr>
        <w:t>that practitioners develop value-capture principles which need not be monetary. Nienstedt and Trenz (2025) similarly note that little is known about what determines an organization's capacity to create value from shared data and what ensures its effective appropriation. Absent a developed vocabulary, mission-oriented considerations risk being systematically outcompeted in data-sharing decisions, not because they are less valid or legitimate worth, but for lack of comparably robust terms in which to state and defend them.</w:t>
      </w:r>
    </w:p>
    <w:p w14:paraId="3A5D50FA" w14:textId="77777777" w:rsidR="00F22209" w:rsidRPr="0016704D" w:rsidRDefault="00F22209" w:rsidP="00F22209">
      <w:pPr>
        <w:spacing w:after="160" w:line="278" w:lineRule="auto"/>
        <w:jc w:val="both"/>
        <w:rPr>
          <w:rFonts w:ascii="Arial" w:hAnsi="Arial" w:cs="Arial"/>
          <w:b/>
          <w:bCs/>
          <w:sz w:val="22"/>
          <w:szCs w:val="22"/>
        </w:rPr>
      </w:pPr>
      <w:r w:rsidRPr="0016704D">
        <w:rPr>
          <w:rFonts w:ascii="Arial" w:hAnsi="Arial" w:cs="Arial"/>
          <w:b/>
          <w:bCs/>
          <w:sz w:val="22"/>
          <w:szCs w:val="22"/>
        </w:rPr>
        <w:t>2. Research Gap</w:t>
      </w:r>
    </w:p>
    <w:p w14:paraId="28F84876" w14:textId="7692E1DA" w:rsidR="00F22209" w:rsidRPr="0016704D" w:rsidRDefault="00F22209" w:rsidP="00F22209">
      <w:pPr>
        <w:spacing w:after="160" w:line="278" w:lineRule="auto"/>
        <w:jc w:val="both"/>
        <w:rPr>
          <w:rFonts w:ascii="Arial" w:hAnsi="Arial" w:cs="Arial"/>
          <w:sz w:val="22"/>
          <w:szCs w:val="22"/>
        </w:rPr>
      </w:pPr>
      <w:r w:rsidRPr="0016704D">
        <w:rPr>
          <w:rFonts w:ascii="Arial" w:hAnsi="Arial" w:cs="Arial"/>
          <w:sz w:val="22"/>
          <w:szCs w:val="22"/>
        </w:rPr>
        <w:t xml:space="preserve">The literature above establishes that data's value is plural and contested, and that this plurality carries real costs when organizations try to create and distribute value from data. However, </w:t>
      </w:r>
      <w:r w:rsidR="00161712">
        <w:rPr>
          <w:rFonts w:ascii="Arial" w:hAnsi="Arial" w:cs="Arial"/>
          <w:sz w:val="22"/>
          <w:szCs w:val="22"/>
        </w:rPr>
        <w:t>i</w:t>
      </w:r>
      <w:r w:rsidRPr="0016704D">
        <w:rPr>
          <w:rFonts w:ascii="Arial" w:hAnsi="Arial" w:cs="Arial"/>
          <w:sz w:val="22"/>
          <w:szCs w:val="22"/>
        </w:rPr>
        <w:t>t has not explained why some worth claims prevail over others in practice. Economies of worth supplies a framework equipped to do so, treating value as legitimately contested across distinct orders such as market, industrial, and civic rather than as a single scale. Thevenot's (1984) investments of form add a mechanism for this explanation: certain justifications may dominate not because they are more valid, but because they are backed by more developed proof devices, such as prices, statistics, and certifications, that make a claim easier to defend in a dispute. Neither the framework nor testing this mechanism has yet been applied to data value.</w:t>
      </w:r>
    </w:p>
    <w:p w14:paraId="58008ED6" w14:textId="29C53453" w:rsidR="00F22209" w:rsidRPr="0016704D" w:rsidRDefault="00F22209" w:rsidP="00F22209">
      <w:pPr>
        <w:spacing w:after="160" w:line="278" w:lineRule="auto"/>
        <w:jc w:val="both"/>
        <w:rPr>
          <w:rFonts w:ascii="Arial" w:hAnsi="Arial" w:cs="Arial"/>
          <w:sz w:val="22"/>
          <w:szCs w:val="22"/>
        </w:rPr>
      </w:pPr>
      <w:r w:rsidRPr="0016704D">
        <w:rPr>
          <w:rFonts w:ascii="Arial" w:hAnsi="Arial" w:cs="Arial"/>
          <w:sz w:val="22"/>
          <w:szCs w:val="22"/>
        </w:rPr>
        <w:t>This gives the paper two theoretical contributions and a methodological one. First, it extends economies of worth and investments of form to a domain where their explanatory power has not yet been tested. For instance, Fourcade (2011) on competing valuation regimes for environmental damage, Sharon (2018) on the plurality of orders of worth at stake in digital health, and Siffels (2020) on a contact-tracing-app debate (</w:t>
      </w:r>
      <w:r w:rsidRPr="00255D8C">
        <w:rPr>
          <w:rFonts w:ascii="Arial" w:hAnsi="Arial" w:cs="Arial"/>
          <w:sz w:val="22"/>
          <w:szCs w:val="22"/>
          <w:highlight w:val="lightGray"/>
        </w:rPr>
        <w:t>further applications to be added).</w:t>
      </w:r>
      <w:r w:rsidRPr="0016704D">
        <w:rPr>
          <w:rFonts w:ascii="Arial" w:hAnsi="Arial" w:cs="Arial"/>
          <w:sz w:val="22"/>
          <w:szCs w:val="22"/>
        </w:rPr>
        <w:t xml:space="preserve"> Within hybrid organizations specifically, the contribution complements institutional logics theory, which explains how organizations juggle plural logics but is less well suited to the microfoundation justificatory work through which actors contest what is valuable (Cloutier and Langley, 2013). Second, it pairs economies of worth with Q methodology, a technique long used to surface plural viewpoints in cultural and ecological valuation, where non-market values are similarly difficult to reduce to a single scale (Fletcher et al., 2014, </w:t>
      </w:r>
      <w:r w:rsidRPr="0016704D">
        <w:rPr>
          <w:rFonts w:ascii="Arial" w:hAnsi="Arial" w:cs="Arial"/>
          <w:sz w:val="22"/>
          <w:szCs w:val="22"/>
          <w:highlight w:val="yellow"/>
        </w:rPr>
        <w:t>XX</w:t>
      </w:r>
      <w:r w:rsidRPr="0016704D">
        <w:rPr>
          <w:rFonts w:ascii="Arial" w:hAnsi="Arial" w:cs="Arial"/>
          <w:sz w:val="22"/>
          <w:szCs w:val="22"/>
        </w:rPr>
        <w:t>), but not yet combined with economies of worth as an analytical lens. This combination gives the qualitative structure of orders of worth an empirically operationalized, factor-analytic counterpart, extending Q methodology's own domain of application.</w:t>
      </w:r>
    </w:p>
    <w:p w14:paraId="28749BE2" w14:textId="3D297B9F" w:rsidR="00F22209" w:rsidRPr="0016704D" w:rsidRDefault="00F22209" w:rsidP="00F22209">
      <w:pPr>
        <w:spacing w:after="160" w:line="278" w:lineRule="auto"/>
        <w:jc w:val="both"/>
        <w:rPr>
          <w:rFonts w:ascii="Arial" w:hAnsi="Arial" w:cs="Arial"/>
          <w:sz w:val="22"/>
          <w:szCs w:val="22"/>
        </w:rPr>
      </w:pPr>
      <w:r w:rsidRPr="0016704D">
        <w:rPr>
          <w:rFonts w:ascii="Arial" w:hAnsi="Arial" w:cs="Arial"/>
          <w:sz w:val="22"/>
          <w:szCs w:val="22"/>
        </w:rPr>
        <w:t xml:space="preserve">For practitioners, </w:t>
      </w:r>
      <w:r w:rsidR="00B24A22">
        <w:rPr>
          <w:rFonts w:ascii="Arial" w:hAnsi="Arial" w:cs="Arial"/>
          <w:sz w:val="22"/>
          <w:szCs w:val="22"/>
        </w:rPr>
        <w:t>there is a parallel gap</w:t>
      </w:r>
      <w:r w:rsidRPr="0016704D">
        <w:rPr>
          <w:rFonts w:ascii="Arial" w:hAnsi="Arial" w:cs="Arial"/>
          <w:sz w:val="22"/>
          <w:szCs w:val="22"/>
        </w:rPr>
        <w:t>. Hybrid organizations and their commercial data-sharing counterparts currently lack a vocabulary for articulating and defending non-monetary grounds of data's worth in negotiations over data sharing, which leaves mission-oriented considerations vulnerable to being outcompeted regardless of their merit. Identifying the orders of worth actors actually draw on, and where these are comparatively under-instrumented, offers organizations a basis for auditing their own data decisions and supports the fairer, and not necessarily only monetary value capture principles that Ammann and Hess (2025) call for</w:t>
      </w:r>
      <w:r w:rsidR="00B56A95">
        <w:rPr>
          <w:rFonts w:ascii="Arial" w:hAnsi="Arial" w:cs="Arial"/>
          <w:sz w:val="22"/>
          <w:szCs w:val="22"/>
        </w:rPr>
        <w:t>.</w:t>
      </w:r>
    </w:p>
    <w:p w14:paraId="79C28D68" w14:textId="77777777" w:rsidR="004409D2" w:rsidRDefault="00F22209" w:rsidP="00F22209">
      <w:pPr>
        <w:spacing w:after="160" w:line="278" w:lineRule="auto"/>
        <w:jc w:val="both"/>
        <w:rPr>
          <w:rFonts w:ascii="Arial" w:hAnsi="Arial" w:cs="Arial"/>
          <w:sz w:val="22"/>
          <w:szCs w:val="22"/>
          <w:highlight w:val="lightGray"/>
        </w:rPr>
      </w:pPr>
      <w:r w:rsidRPr="00C07168">
        <w:rPr>
          <w:rFonts w:ascii="Arial" w:hAnsi="Arial" w:cs="Arial"/>
          <w:sz w:val="22"/>
          <w:szCs w:val="22"/>
          <w:highlight w:val="lightGray"/>
        </w:rPr>
        <w:t xml:space="preserve">The gap is therefore twofold: no study has produced an actor-grounded account of the specific orders of worth hybrid-organization actors invoke </w:t>
      </w:r>
      <w:r w:rsidR="004409D2">
        <w:rPr>
          <w:rFonts w:ascii="Arial" w:hAnsi="Arial" w:cs="Arial"/>
          <w:sz w:val="22"/>
          <w:szCs w:val="22"/>
          <w:highlight w:val="lightGray"/>
        </w:rPr>
        <w:t>ù</w:t>
      </w:r>
    </w:p>
    <w:p w14:paraId="1FC91FAD" w14:textId="77777777" w:rsidR="004409D2" w:rsidRDefault="004409D2" w:rsidP="00F22209">
      <w:pPr>
        <w:spacing w:after="160" w:line="278" w:lineRule="auto"/>
        <w:jc w:val="both"/>
        <w:rPr>
          <w:rFonts w:ascii="Arial" w:hAnsi="Arial" w:cs="Arial"/>
          <w:sz w:val="22"/>
          <w:szCs w:val="22"/>
          <w:highlight w:val="lightGray"/>
        </w:rPr>
      </w:pPr>
    </w:p>
    <w:p w14:paraId="1C8CF569" w14:textId="37B7C338" w:rsidR="00F22209" w:rsidRDefault="00F22209" w:rsidP="00F22209">
      <w:pPr>
        <w:spacing w:after="160" w:line="278" w:lineRule="auto"/>
        <w:jc w:val="both"/>
        <w:rPr>
          <w:rFonts w:ascii="Arial" w:hAnsi="Arial" w:cs="Arial"/>
          <w:sz w:val="22"/>
          <w:szCs w:val="22"/>
        </w:rPr>
      </w:pPr>
      <w:r w:rsidRPr="00C07168">
        <w:rPr>
          <w:rFonts w:ascii="Arial" w:hAnsi="Arial" w:cs="Arial"/>
          <w:sz w:val="22"/>
          <w:szCs w:val="22"/>
          <w:highlight w:val="lightGray"/>
        </w:rPr>
        <w:t>to justify data's value, and none has examined why some of these justifications come to dominate in practice.</w:t>
      </w:r>
      <w:r w:rsidRPr="0016704D">
        <w:rPr>
          <w:rFonts w:ascii="Arial" w:hAnsi="Arial" w:cs="Arial"/>
          <w:sz w:val="22"/>
          <w:szCs w:val="22"/>
        </w:rPr>
        <w:t xml:space="preserve"> We address this gap by asking</w:t>
      </w:r>
      <w:r>
        <w:rPr>
          <w:rFonts w:ascii="Arial" w:hAnsi="Arial" w:cs="Arial"/>
          <w:sz w:val="22"/>
          <w:szCs w:val="22"/>
        </w:rPr>
        <w:t xml:space="preserve"> the following main research question:</w:t>
      </w:r>
    </w:p>
    <w:p w14:paraId="66AF7B7C" w14:textId="77777777" w:rsidR="00F22209" w:rsidRDefault="00F22209" w:rsidP="00F22209">
      <w:pPr>
        <w:spacing w:after="160" w:line="278" w:lineRule="auto"/>
        <w:jc w:val="both"/>
        <w:rPr>
          <w:rFonts w:ascii="Arial" w:hAnsi="Arial" w:cs="Arial"/>
          <w:i/>
          <w:iCs/>
          <w:sz w:val="22"/>
          <w:szCs w:val="22"/>
        </w:rPr>
      </w:pPr>
      <w:r>
        <w:rPr>
          <w:rFonts w:ascii="Arial" w:hAnsi="Arial" w:cs="Arial"/>
          <w:i/>
          <w:iCs/>
          <w:sz w:val="22"/>
          <w:szCs w:val="22"/>
        </w:rPr>
        <w:t>H</w:t>
      </w:r>
      <w:r w:rsidRPr="005051AB">
        <w:rPr>
          <w:rFonts w:ascii="Arial" w:hAnsi="Arial" w:cs="Arial"/>
          <w:i/>
          <w:iCs/>
          <w:sz w:val="22"/>
          <w:szCs w:val="22"/>
        </w:rPr>
        <w:t xml:space="preserve">ow </w:t>
      </w:r>
      <w:r>
        <w:rPr>
          <w:rFonts w:ascii="Arial" w:hAnsi="Arial" w:cs="Arial"/>
          <w:i/>
          <w:iCs/>
          <w:sz w:val="22"/>
          <w:szCs w:val="22"/>
        </w:rPr>
        <w:t xml:space="preserve">do </w:t>
      </w:r>
      <w:r w:rsidRPr="005051AB">
        <w:rPr>
          <w:rFonts w:ascii="Arial" w:hAnsi="Arial" w:cs="Arial"/>
          <w:i/>
          <w:iCs/>
          <w:sz w:val="22"/>
          <w:szCs w:val="22"/>
        </w:rPr>
        <w:t>hybrid-organization actors justify what makes data valuable, and how they construct compromises between competing orders of worth when these justifications come into dispute over value capture and distribution</w:t>
      </w:r>
      <w:r>
        <w:rPr>
          <w:rFonts w:ascii="Arial" w:hAnsi="Arial" w:cs="Arial"/>
          <w:i/>
          <w:iCs/>
          <w:sz w:val="22"/>
          <w:szCs w:val="22"/>
        </w:rPr>
        <w:t>?</w:t>
      </w:r>
    </w:p>
    <w:p w14:paraId="752122AE" w14:textId="77777777" w:rsidR="00F22209" w:rsidRDefault="00F22209" w:rsidP="00F22209">
      <w:pPr>
        <w:spacing w:after="160" w:line="278" w:lineRule="auto"/>
        <w:jc w:val="both"/>
        <w:rPr>
          <w:rFonts w:ascii="Arial" w:hAnsi="Arial" w:cs="Arial"/>
          <w:sz w:val="22"/>
          <w:szCs w:val="22"/>
        </w:rPr>
      </w:pPr>
      <w:r>
        <w:rPr>
          <w:rFonts w:ascii="Arial" w:hAnsi="Arial" w:cs="Arial"/>
          <w:sz w:val="22"/>
          <w:szCs w:val="22"/>
        </w:rPr>
        <w:t>More specifically:</w:t>
      </w:r>
    </w:p>
    <w:p w14:paraId="133C56DD" w14:textId="77777777" w:rsidR="00F22209" w:rsidRPr="001700AD" w:rsidRDefault="00F22209" w:rsidP="00F22209">
      <w:pPr>
        <w:pStyle w:val="ListParagraph"/>
        <w:numPr>
          <w:ilvl w:val="0"/>
          <w:numId w:val="1"/>
        </w:numPr>
        <w:spacing w:after="160" w:line="278" w:lineRule="auto"/>
        <w:contextualSpacing w:val="0"/>
        <w:jc w:val="both"/>
        <w:rPr>
          <w:rFonts w:ascii="Arial" w:hAnsi="Arial" w:cs="Arial"/>
          <w:sz w:val="22"/>
          <w:szCs w:val="22"/>
        </w:rPr>
      </w:pPr>
      <w:r w:rsidRPr="001700AD">
        <w:rPr>
          <w:rFonts w:ascii="Arial" w:hAnsi="Arial" w:cs="Arial"/>
          <w:sz w:val="22"/>
          <w:szCs w:val="22"/>
        </w:rPr>
        <w:t>What distinct viewpoints on data value can be identified among these actors, and which orders of worth, or compromises between orders, characterize each?</w:t>
      </w:r>
    </w:p>
    <w:p w14:paraId="0CDD1443" w14:textId="77777777" w:rsidR="00F22209" w:rsidRPr="001700AD" w:rsidRDefault="00F22209" w:rsidP="00F22209">
      <w:pPr>
        <w:pStyle w:val="ListParagraph"/>
        <w:numPr>
          <w:ilvl w:val="0"/>
          <w:numId w:val="1"/>
        </w:numPr>
        <w:spacing w:after="160" w:line="278" w:lineRule="auto"/>
        <w:contextualSpacing w:val="0"/>
        <w:jc w:val="both"/>
        <w:rPr>
          <w:rFonts w:ascii="Arial" w:hAnsi="Arial" w:cs="Arial"/>
          <w:sz w:val="22"/>
          <w:szCs w:val="22"/>
        </w:rPr>
      </w:pPr>
      <w:r w:rsidRPr="001700AD">
        <w:rPr>
          <w:rFonts w:ascii="Arial" w:hAnsi="Arial" w:cs="Arial"/>
          <w:sz w:val="22"/>
          <w:szCs w:val="22"/>
        </w:rPr>
        <w:t>When actors' justifications draw on conflicting orders of worth, what compromises do they construct to hold these orders together?</w:t>
      </w:r>
    </w:p>
    <w:p w14:paraId="6A15B72F" w14:textId="77777777" w:rsidR="00F22209" w:rsidRPr="0016704D" w:rsidRDefault="00F22209" w:rsidP="00F22209">
      <w:pPr>
        <w:pStyle w:val="Heading1"/>
        <w:spacing w:before="300" w:after="150"/>
        <w:jc w:val="both"/>
        <w:rPr>
          <w:rFonts w:ascii="Arial" w:hAnsi="Arial" w:cs="Arial"/>
          <w:color w:val="auto"/>
          <w:sz w:val="22"/>
          <w:szCs w:val="22"/>
          <w:lang w:val="en-GB"/>
        </w:rPr>
      </w:pPr>
      <w:r w:rsidRPr="0016704D">
        <w:rPr>
          <w:rFonts w:ascii="Arial" w:hAnsi="Arial" w:cs="Arial"/>
          <w:b/>
          <w:bCs/>
          <w:color w:val="auto"/>
          <w:sz w:val="22"/>
          <w:szCs w:val="22"/>
          <w:lang w:val="en-GB"/>
        </w:rPr>
        <w:t>4. Methodology</w:t>
      </w:r>
    </w:p>
    <w:p w14:paraId="5E217292" w14:textId="77777777" w:rsidR="00F22209" w:rsidRPr="0016704D" w:rsidRDefault="00F22209" w:rsidP="00F22209">
      <w:pPr>
        <w:spacing w:after="200" w:line="276" w:lineRule="auto"/>
        <w:jc w:val="both"/>
        <w:rPr>
          <w:rFonts w:ascii="Arial" w:hAnsi="Arial" w:cs="Arial"/>
          <w:sz w:val="22"/>
          <w:szCs w:val="22"/>
          <w:lang w:val="en-GB"/>
        </w:rPr>
      </w:pPr>
      <w:r w:rsidRPr="0016704D">
        <w:rPr>
          <w:rFonts w:ascii="Arial" w:hAnsi="Arial" w:cs="Arial"/>
          <w:sz w:val="22"/>
          <w:szCs w:val="22"/>
          <w:lang w:val="en-GB"/>
        </w:rPr>
        <w:t xml:space="preserve">The study uses Q methodology, a technique built for surfacing shared subjectivity rather than testing predefined hypotheses. A concourse of value statements is developed from </w:t>
      </w:r>
      <w:r w:rsidRPr="0016704D">
        <w:rPr>
          <w:rFonts w:ascii="Arial" w:hAnsi="Arial" w:cs="Arial"/>
          <w:sz w:val="22"/>
          <w:szCs w:val="22"/>
          <w:highlight w:val="yellow"/>
          <w:lang w:val="en-GB"/>
        </w:rPr>
        <w:t>twelve</w:t>
      </w:r>
      <w:r w:rsidRPr="0016704D">
        <w:rPr>
          <w:rFonts w:ascii="Arial" w:hAnsi="Arial" w:cs="Arial"/>
          <w:sz w:val="22"/>
          <w:szCs w:val="22"/>
          <w:lang w:val="en-GB"/>
        </w:rPr>
        <w:t xml:space="preserve"> semi-structured expert interviews together with arguments found in the literature reviewed above, ensuring it spans the full range of viewpoints on data's value rather than a single researcher's assumptions. From this concourse, a Q-set of </w:t>
      </w:r>
      <w:r w:rsidRPr="0016704D">
        <w:rPr>
          <w:rFonts w:ascii="Arial" w:hAnsi="Arial" w:cs="Arial"/>
          <w:sz w:val="22"/>
          <w:szCs w:val="22"/>
          <w:highlight w:val="yellow"/>
          <w:lang w:val="en-GB"/>
        </w:rPr>
        <w:t>forty</w:t>
      </w:r>
      <w:r w:rsidRPr="0016704D">
        <w:rPr>
          <w:rFonts w:ascii="Arial" w:hAnsi="Arial" w:cs="Arial"/>
          <w:sz w:val="22"/>
          <w:szCs w:val="22"/>
          <w:lang w:val="en-GB"/>
        </w:rPr>
        <w:t xml:space="preserve"> statements is distilled through empirical piloting, to test comprehensiveness and clarity, and theoretical content analysis, to ensure systematic sampling across orders of worth and the value-creation and value-capture distinction. This Q-set is administered to a purposively heterogeneous P-set of </w:t>
      </w:r>
      <w:r w:rsidRPr="0016704D">
        <w:rPr>
          <w:rFonts w:ascii="Arial" w:hAnsi="Arial" w:cs="Arial"/>
          <w:sz w:val="22"/>
          <w:szCs w:val="22"/>
          <w:highlight w:val="yellow"/>
          <w:lang w:val="en-GB"/>
        </w:rPr>
        <w:t>thirty</w:t>
      </w:r>
      <w:r w:rsidRPr="0016704D">
        <w:rPr>
          <w:rFonts w:ascii="Arial" w:hAnsi="Arial" w:cs="Arial"/>
          <w:sz w:val="22"/>
          <w:szCs w:val="22"/>
          <w:lang w:val="en-GB"/>
        </w:rPr>
        <w:t xml:space="preserve"> participants, drawn roughly </w:t>
      </w:r>
      <w:r w:rsidRPr="0016704D">
        <w:rPr>
          <w:rFonts w:ascii="Arial" w:hAnsi="Arial" w:cs="Arial"/>
          <w:sz w:val="22"/>
          <w:szCs w:val="22"/>
          <w:highlight w:val="yellow"/>
          <w:lang w:val="en-GB"/>
        </w:rPr>
        <w:t>two-thirds</w:t>
      </w:r>
      <w:r w:rsidRPr="0016704D">
        <w:rPr>
          <w:rFonts w:ascii="Arial" w:hAnsi="Arial" w:cs="Arial"/>
          <w:sz w:val="22"/>
          <w:szCs w:val="22"/>
          <w:lang w:val="en-GB"/>
        </w:rPr>
        <w:t xml:space="preserve"> from hybrid and social-economy organizations and </w:t>
      </w:r>
      <w:r w:rsidRPr="003814A9">
        <w:rPr>
          <w:rFonts w:ascii="Arial" w:hAnsi="Arial" w:cs="Arial"/>
          <w:sz w:val="22"/>
          <w:szCs w:val="22"/>
          <w:highlight w:val="yellow"/>
          <w:lang w:val="en-GB"/>
        </w:rPr>
        <w:t>one-third</w:t>
      </w:r>
      <w:r w:rsidRPr="0016704D">
        <w:rPr>
          <w:rFonts w:ascii="Arial" w:hAnsi="Arial" w:cs="Arial"/>
          <w:sz w:val="22"/>
          <w:szCs w:val="22"/>
          <w:lang w:val="en-GB"/>
        </w:rPr>
        <w:t xml:space="preserve"> from commercial organizations, so the sample varies deliberately along mission and organizational form. Each participant completes a forced Q-sort, ranking every statement from most agree to most disagree against a fixed distribution grid, a procedure that sharpens critical engagement and reduces the tendency toward neutral responses common in conventional surveys. By-person factor analysis identifies a small number of empirically distinct viewpoints, each interpreted through its most significant statements, participant characteristics, and supporting qualitative interview data, and cross-checked for statements shared across viewpoints as well as statements that sharply distinguish one viewpoint from another.</w:t>
      </w:r>
    </w:p>
    <w:p w14:paraId="4435257A" w14:textId="77777777" w:rsidR="00F22209" w:rsidRPr="0016704D" w:rsidRDefault="00F22209" w:rsidP="00F22209">
      <w:pPr>
        <w:pStyle w:val="Heading1"/>
        <w:spacing w:before="300" w:after="150"/>
        <w:jc w:val="both"/>
        <w:rPr>
          <w:rFonts w:ascii="Arial" w:hAnsi="Arial" w:cs="Arial"/>
          <w:color w:val="auto"/>
          <w:sz w:val="22"/>
          <w:szCs w:val="22"/>
          <w:lang w:val="en-GB"/>
        </w:rPr>
      </w:pPr>
      <w:r w:rsidRPr="0016704D">
        <w:rPr>
          <w:rFonts w:ascii="Arial" w:hAnsi="Arial" w:cs="Arial"/>
          <w:b/>
          <w:bCs/>
          <w:color w:val="auto"/>
          <w:sz w:val="22"/>
          <w:szCs w:val="22"/>
          <w:lang w:val="en-GB"/>
        </w:rPr>
        <w:t>5. Expected Results</w:t>
      </w:r>
    </w:p>
    <w:p w14:paraId="45EB9C60" w14:textId="77777777" w:rsidR="00F22209" w:rsidRDefault="00F22209" w:rsidP="00F22209">
      <w:pPr>
        <w:spacing w:after="200" w:line="276" w:lineRule="auto"/>
        <w:jc w:val="both"/>
        <w:rPr>
          <w:rFonts w:ascii="Arial" w:hAnsi="Arial" w:cs="Arial"/>
          <w:sz w:val="22"/>
          <w:szCs w:val="22"/>
          <w:lang w:val="en-GB"/>
        </w:rPr>
      </w:pPr>
      <w:r w:rsidRPr="0016704D">
        <w:rPr>
          <w:rFonts w:ascii="Arial" w:hAnsi="Arial" w:cs="Arial"/>
          <w:sz w:val="22"/>
          <w:szCs w:val="22"/>
          <w:lang w:val="en-GB"/>
        </w:rPr>
        <w:t xml:space="preserve">The study is expected to yield a small number of empirically distinct, named viewpoints on data value, each associated with a dominant order of worth or a recognizable compromise between orders, though this alignment is anticipated rather than assumed in advance. </w:t>
      </w:r>
      <w:r>
        <w:rPr>
          <w:rFonts w:ascii="Arial" w:hAnsi="Arial" w:cs="Arial"/>
          <w:sz w:val="22"/>
          <w:szCs w:val="22"/>
          <w:lang w:val="en-GB"/>
        </w:rPr>
        <w:t>Illustrative examples of these viewpoints:</w:t>
      </w:r>
    </w:p>
    <w:p w14:paraId="7ADAEDA8" w14:textId="77777777" w:rsidR="00F22209" w:rsidRPr="00FA0478" w:rsidRDefault="00F22209" w:rsidP="00F22209">
      <w:pPr>
        <w:pStyle w:val="ListParagraph"/>
        <w:numPr>
          <w:ilvl w:val="0"/>
          <w:numId w:val="2"/>
        </w:numPr>
        <w:spacing w:after="200" w:line="276" w:lineRule="auto"/>
        <w:contextualSpacing w:val="0"/>
        <w:jc w:val="both"/>
        <w:rPr>
          <w:rFonts w:ascii="Arial" w:hAnsi="Arial" w:cs="Arial"/>
          <w:sz w:val="22"/>
          <w:szCs w:val="22"/>
          <w:lang w:val="en-GB"/>
        </w:rPr>
      </w:pPr>
      <w:r w:rsidRPr="00FA0478">
        <w:rPr>
          <w:rFonts w:ascii="Arial" w:hAnsi="Arial" w:cs="Arial"/>
          <w:sz w:val="22"/>
          <w:szCs w:val="22"/>
          <w:lang w:val="en-GB"/>
        </w:rPr>
        <w:t>An inspired, innovation-oriented viewpoint treating data's worth as inseparable from creative reuse</w:t>
      </w:r>
    </w:p>
    <w:p w14:paraId="3BDC3D9E" w14:textId="77777777" w:rsidR="00F22209" w:rsidRPr="00FA0478" w:rsidRDefault="00F22209" w:rsidP="00F22209">
      <w:pPr>
        <w:pStyle w:val="ListParagraph"/>
        <w:numPr>
          <w:ilvl w:val="0"/>
          <w:numId w:val="2"/>
        </w:numPr>
        <w:spacing w:after="200" w:line="276" w:lineRule="auto"/>
        <w:contextualSpacing w:val="0"/>
        <w:jc w:val="both"/>
        <w:rPr>
          <w:rFonts w:ascii="Arial" w:hAnsi="Arial" w:cs="Arial"/>
          <w:sz w:val="22"/>
          <w:szCs w:val="22"/>
          <w:lang w:val="en-GB"/>
        </w:rPr>
      </w:pPr>
      <w:r w:rsidRPr="00FA0478">
        <w:rPr>
          <w:rFonts w:ascii="Arial" w:hAnsi="Arial" w:cs="Arial"/>
          <w:sz w:val="22"/>
          <w:szCs w:val="22"/>
          <w:lang w:val="en-GB"/>
        </w:rPr>
        <w:t>A civic, redistributive viewpoint treating worth as inseparable from who benefits and who bears risk</w:t>
      </w:r>
    </w:p>
    <w:p w14:paraId="0B34AC58" w14:textId="77777777" w:rsidR="00F22209" w:rsidRPr="00FA0478" w:rsidRDefault="00F22209" w:rsidP="00F22209">
      <w:pPr>
        <w:pStyle w:val="ListParagraph"/>
        <w:numPr>
          <w:ilvl w:val="0"/>
          <w:numId w:val="2"/>
        </w:numPr>
        <w:spacing w:after="200" w:line="276" w:lineRule="auto"/>
        <w:contextualSpacing w:val="0"/>
        <w:jc w:val="both"/>
        <w:rPr>
          <w:rFonts w:ascii="Arial" w:hAnsi="Arial" w:cs="Arial"/>
          <w:sz w:val="22"/>
          <w:szCs w:val="22"/>
          <w:lang w:val="en-GB"/>
        </w:rPr>
      </w:pPr>
      <w:r w:rsidRPr="00FA0478">
        <w:rPr>
          <w:rFonts w:ascii="Arial" w:hAnsi="Arial" w:cs="Arial"/>
          <w:sz w:val="22"/>
          <w:szCs w:val="22"/>
          <w:lang w:val="en-GB"/>
        </w:rPr>
        <w:lastRenderedPageBreak/>
        <w:t xml:space="preserve">A market-oriented viewpoint treating worth chiefly as a matter of price and exchange. </w:t>
      </w:r>
    </w:p>
    <w:p w14:paraId="7EC46C8E" w14:textId="77777777" w:rsidR="00F22209" w:rsidRPr="00FA0478" w:rsidRDefault="00F22209" w:rsidP="00F22209">
      <w:pPr>
        <w:spacing w:after="200" w:line="276" w:lineRule="auto"/>
        <w:jc w:val="both"/>
        <w:rPr>
          <w:rFonts w:ascii="Arial" w:hAnsi="Arial" w:cs="Arial"/>
          <w:sz w:val="22"/>
          <w:szCs w:val="22"/>
          <w:lang w:val="en-GB"/>
        </w:rPr>
      </w:pPr>
      <w:r w:rsidRPr="00FA0478">
        <w:rPr>
          <w:rFonts w:ascii="Arial" w:hAnsi="Arial" w:cs="Arial"/>
          <w:sz w:val="22"/>
          <w:szCs w:val="22"/>
          <w:lang w:val="en-GB"/>
        </w:rPr>
        <w:t>Rather than a flat typology, results are</w:t>
      </w:r>
      <w:r>
        <w:rPr>
          <w:rFonts w:ascii="Arial" w:hAnsi="Arial" w:cs="Arial"/>
          <w:sz w:val="22"/>
          <w:szCs w:val="22"/>
          <w:lang w:val="en-GB"/>
        </w:rPr>
        <w:t xml:space="preserve"> to derive consensus and divisive statements about the potential coexistence or not of various orders or worth. C</w:t>
      </w:r>
      <w:r w:rsidRPr="00FA0478">
        <w:rPr>
          <w:rFonts w:ascii="Arial" w:hAnsi="Arial" w:cs="Arial"/>
          <w:sz w:val="22"/>
          <w:szCs w:val="22"/>
          <w:lang w:val="en-GB"/>
        </w:rPr>
        <w:t xml:space="preserve">onsensus </w:t>
      </w:r>
      <w:r>
        <w:rPr>
          <w:rFonts w:ascii="Arial" w:hAnsi="Arial" w:cs="Arial"/>
          <w:sz w:val="22"/>
          <w:szCs w:val="22"/>
          <w:lang w:val="en-GB"/>
        </w:rPr>
        <w:t>is expected to</w:t>
      </w:r>
      <w:r w:rsidRPr="00FA0478">
        <w:rPr>
          <w:rFonts w:ascii="Arial" w:hAnsi="Arial" w:cs="Arial"/>
          <w:sz w:val="22"/>
          <w:szCs w:val="22"/>
          <w:lang w:val="en-GB"/>
        </w:rPr>
        <w:t xml:space="preserve"> concentrate around value-creation statements, on which most viewpoints agree that data becomes valuable only once collected, structured, and used, while the sharpest distinguishing statements should concentrate around value-capture and appropriation, that is, around who should own, profit from, or bear the cost of data. A second expected finding is an asymmetry of investments of form</w:t>
      </w:r>
      <w:r>
        <w:rPr>
          <w:rFonts w:ascii="Arial" w:hAnsi="Arial" w:cs="Arial"/>
          <w:sz w:val="22"/>
          <w:szCs w:val="22"/>
          <w:lang w:val="en-GB"/>
        </w:rPr>
        <w:t>. This means</w:t>
      </w:r>
      <w:r w:rsidRPr="00FA0478">
        <w:rPr>
          <w:rFonts w:ascii="Arial" w:hAnsi="Arial" w:cs="Arial"/>
          <w:sz w:val="22"/>
          <w:szCs w:val="22"/>
          <w:lang w:val="en-GB"/>
        </w:rPr>
        <w:t xml:space="preserve"> market and industrial orders </w:t>
      </w:r>
      <w:r>
        <w:rPr>
          <w:rFonts w:ascii="Arial" w:hAnsi="Arial" w:cs="Arial"/>
          <w:sz w:val="22"/>
          <w:szCs w:val="22"/>
          <w:lang w:val="en-GB"/>
        </w:rPr>
        <w:t xml:space="preserve">to be </w:t>
      </w:r>
      <w:r w:rsidRPr="00FA0478">
        <w:rPr>
          <w:rFonts w:ascii="Arial" w:hAnsi="Arial" w:cs="Arial"/>
          <w:sz w:val="22"/>
          <w:szCs w:val="22"/>
          <w:lang w:val="en-GB"/>
        </w:rPr>
        <w:t>backed by heavy-duty, standardized proof devices such as prices, key performance indicators, and certifications, making them easier to defend in a dispute, whereas civic, domestic, inspired, and green orders remain comparatively weakly instrumented despite being no less legitimate, leaving actors who invoke them at a structural disadvantage regardless of the substantive merit of their claims.</w:t>
      </w:r>
      <w:r>
        <w:rPr>
          <w:rFonts w:ascii="Arial" w:hAnsi="Arial" w:cs="Arial"/>
          <w:sz w:val="22"/>
          <w:szCs w:val="22"/>
          <w:lang w:val="en-GB"/>
        </w:rPr>
        <w:t xml:space="preserve"> However, the study would also shed light on articulation of investments of form to these weaker orders.</w:t>
      </w:r>
    </w:p>
    <w:p w14:paraId="50857374" w14:textId="77777777" w:rsidR="00F22209" w:rsidRPr="0016704D" w:rsidRDefault="00F22209" w:rsidP="00F22209">
      <w:pPr>
        <w:spacing w:after="200" w:line="276" w:lineRule="auto"/>
        <w:jc w:val="both"/>
        <w:rPr>
          <w:rFonts w:ascii="Arial" w:hAnsi="Arial" w:cs="Arial"/>
          <w:sz w:val="22"/>
          <w:szCs w:val="22"/>
          <w:lang w:val="en-GB"/>
        </w:rPr>
      </w:pPr>
      <w:r w:rsidRPr="0016704D">
        <w:rPr>
          <w:rFonts w:ascii="Arial" w:hAnsi="Arial" w:cs="Arial"/>
          <w:sz w:val="22"/>
          <w:szCs w:val="22"/>
          <w:lang w:val="en-GB"/>
        </w:rPr>
        <w:t xml:space="preserve">These results are expected to deliver </w:t>
      </w:r>
      <w:r>
        <w:rPr>
          <w:rFonts w:ascii="Arial" w:hAnsi="Arial" w:cs="Arial"/>
          <w:sz w:val="22"/>
          <w:szCs w:val="22"/>
          <w:lang w:val="en-GB"/>
        </w:rPr>
        <w:t>contributions to theory and practice</w:t>
      </w:r>
      <w:r w:rsidRPr="0016704D">
        <w:rPr>
          <w:rFonts w:ascii="Arial" w:hAnsi="Arial" w:cs="Arial"/>
          <w:sz w:val="22"/>
          <w:szCs w:val="22"/>
          <w:lang w:val="en-GB"/>
        </w:rPr>
        <w:t xml:space="preserve">. </w:t>
      </w:r>
      <w:r w:rsidRPr="00BD6244">
        <w:rPr>
          <w:rFonts w:ascii="Arial" w:hAnsi="Arial" w:cs="Arial"/>
          <w:b/>
          <w:bCs/>
          <w:sz w:val="22"/>
          <w:szCs w:val="22"/>
          <w:lang w:val="en-GB"/>
        </w:rPr>
        <w:t>Theoretically</w:t>
      </w:r>
      <w:r w:rsidRPr="0016704D">
        <w:rPr>
          <w:rFonts w:ascii="Arial" w:hAnsi="Arial" w:cs="Arial"/>
          <w:sz w:val="22"/>
          <w:szCs w:val="22"/>
          <w:lang w:val="en-GB"/>
        </w:rPr>
        <w:t>, the study operationalizes the microfoundations of value empirically, complementing institutional logics theory's blind spots (Cloutier and Langley, 2013)</w:t>
      </w:r>
      <w:r>
        <w:rPr>
          <w:rFonts w:ascii="Arial" w:hAnsi="Arial" w:cs="Arial"/>
          <w:sz w:val="22"/>
          <w:szCs w:val="22"/>
          <w:lang w:val="en-GB"/>
        </w:rPr>
        <w:t xml:space="preserve"> </w:t>
      </w:r>
      <w:r w:rsidRPr="0016704D">
        <w:rPr>
          <w:rFonts w:ascii="Arial" w:hAnsi="Arial" w:cs="Arial"/>
          <w:sz w:val="22"/>
          <w:szCs w:val="22"/>
          <w:lang w:val="en-GB"/>
        </w:rPr>
        <w:t xml:space="preserve">turns Nabben's (2025) relational concept of value into an empirically derived typology, and explains, through the instrumentation-asymmetry finding, not merely that justifications differ but why some come to dominate data-value disputes. </w:t>
      </w:r>
      <w:r w:rsidRPr="00BD6244">
        <w:rPr>
          <w:rFonts w:ascii="Arial" w:hAnsi="Arial" w:cs="Arial"/>
          <w:b/>
          <w:bCs/>
          <w:sz w:val="22"/>
          <w:szCs w:val="22"/>
          <w:lang w:val="en-GB"/>
        </w:rPr>
        <w:t>For practice</w:t>
      </w:r>
      <w:r w:rsidRPr="0016704D">
        <w:rPr>
          <w:rFonts w:ascii="Arial" w:hAnsi="Arial" w:cs="Arial"/>
          <w:sz w:val="22"/>
          <w:szCs w:val="22"/>
          <w:lang w:val="en-GB"/>
        </w:rPr>
        <w:t>, the study supplies a stakeholder vocabulary answering the World Economic Forum's (2021) call to understand how different stakeholders experience value, lays groundwork for the fair, not-necessarily-monetary value-capture principles that Ammann and Hess (2025) call for, and offers hybrid organizations a diagnostic tool for auditing which orders of worth are represented, and structurally outcompeted, in their own data decisions.</w:t>
      </w:r>
    </w:p>
    <w:p w14:paraId="2AAB0A53" w14:textId="77777777" w:rsidR="00F22209" w:rsidRPr="0016704D" w:rsidRDefault="00F22209" w:rsidP="00F22209">
      <w:pPr>
        <w:pStyle w:val="Heading1"/>
        <w:spacing w:before="300" w:after="150"/>
        <w:jc w:val="both"/>
        <w:rPr>
          <w:rFonts w:ascii="Arial" w:hAnsi="Arial" w:cs="Arial"/>
          <w:color w:val="auto"/>
          <w:sz w:val="22"/>
          <w:szCs w:val="22"/>
          <w:lang w:val="en-GB"/>
        </w:rPr>
      </w:pPr>
      <w:r w:rsidRPr="0016704D">
        <w:rPr>
          <w:rFonts w:ascii="Arial" w:hAnsi="Arial" w:cs="Arial"/>
          <w:b/>
          <w:bCs/>
          <w:color w:val="auto"/>
          <w:sz w:val="22"/>
          <w:szCs w:val="22"/>
          <w:lang w:val="en-GB"/>
        </w:rPr>
        <w:t>6. Future Research</w:t>
      </w:r>
    </w:p>
    <w:p w14:paraId="7EB7DC2E" w14:textId="77777777" w:rsidR="00F22209" w:rsidRDefault="00F22209" w:rsidP="00F22209">
      <w:pPr>
        <w:spacing w:after="200" w:line="276" w:lineRule="auto"/>
        <w:jc w:val="both"/>
        <w:rPr>
          <w:rFonts w:ascii="Arial" w:hAnsi="Arial" w:cs="Arial"/>
          <w:sz w:val="22"/>
          <w:szCs w:val="22"/>
          <w:lang w:val="en-GB"/>
        </w:rPr>
      </w:pPr>
      <w:r w:rsidRPr="0016704D">
        <w:rPr>
          <w:rFonts w:ascii="Arial" w:hAnsi="Arial" w:cs="Arial"/>
          <w:sz w:val="22"/>
          <w:szCs w:val="22"/>
          <w:lang w:val="en-GB"/>
        </w:rPr>
        <w:t xml:space="preserve">This paper is designed to seed </w:t>
      </w:r>
      <w:r>
        <w:rPr>
          <w:rFonts w:ascii="Arial" w:hAnsi="Arial" w:cs="Arial"/>
          <w:sz w:val="22"/>
          <w:szCs w:val="22"/>
          <w:lang w:val="en-GB"/>
        </w:rPr>
        <w:t xml:space="preserve">potential </w:t>
      </w:r>
      <w:r w:rsidRPr="0016704D">
        <w:rPr>
          <w:rFonts w:ascii="Arial" w:hAnsi="Arial" w:cs="Arial"/>
          <w:sz w:val="22"/>
          <w:szCs w:val="22"/>
          <w:lang w:val="en-GB"/>
        </w:rPr>
        <w:t>follow-up studies</w:t>
      </w:r>
      <w:r>
        <w:rPr>
          <w:rFonts w:ascii="Arial" w:hAnsi="Arial" w:cs="Arial"/>
          <w:sz w:val="22"/>
          <w:szCs w:val="22"/>
          <w:lang w:val="en-GB"/>
        </w:rPr>
        <w:t>:</w:t>
      </w:r>
    </w:p>
    <w:p w14:paraId="6E86BC3B" w14:textId="2150FB78" w:rsidR="00F22209" w:rsidRDefault="00F22209" w:rsidP="00F22209">
      <w:pPr>
        <w:pStyle w:val="ListParagraph"/>
        <w:numPr>
          <w:ilvl w:val="0"/>
          <w:numId w:val="3"/>
        </w:numPr>
        <w:spacing w:after="200" w:line="276" w:lineRule="auto"/>
        <w:contextualSpacing w:val="0"/>
        <w:jc w:val="both"/>
        <w:rPr>
          <w:rFonts w:ascii="Arial" w:hAnsi="Arial" w:cs="Arial"/>
          <w:sz w:val="22"/>
          <w:szCs w:val="22"/>
          <w:lang w:val="en-GB"/>
        </w:rPr>
      </w:pPr>
      <w:r w:rsidRPr="00274594">
        <w:rPr>
          <w:rFonts w:ascii="Arial" w:hAnsi="Arial" w:cs="Arial"/>
          <w:sz w:val="22"/>
          <w:szCs w:val="22"/>
          <w:lang w:val="en-GB"/>
        </w:rPr>
        <w:t>The first takes the typology of value viewpoints identified here as the input set for a discrete choice experiment quantifying how organizations weigh and trade off value dimensions in data-sharing decisions</w:t>
      </w:r>
      <w:r>
        <w:rPr>
          <w:rFonts w:ascii="Arial" w:hAnsi="Arial" w:cs="Arial"/>
          <w:sz w:val="22"/>
          <w:szCs w:val="22"/>
          <w:lang w:val="en-GB"/>
        </w:rPr>
        <w:t>.</w:t>
      </w:r>
      <w:r w:rsidRPr="00274594">
        <w:rPr>
          <w:rFonts w:ascii="Arial" w:hAnsi="Arial" w:cs="Arial"/>
          <w:sz w:val="22"/>
          <w:szCs w:val="22"/>
          <w:lang w:val="en-GB"/>
        </w:rPr>
        <w:t xml:space="preserve"> </w:t>
      </w:r>
    </w:p>
    <w:p w14:paraId="41F01673" w14:textId="77777777" w:rsidR="00F22209" w:rsidRDefault="00F22209" w:rsidP="00F22209">
      <w:pPr>
        <w:pStyle w:val="ListParagraph"/>
        <w:numPr>
          <w:ilvl w:val="0"/>
          <w:numId w:val="3"/>
        </w:numPr>
        <w:spacing w:after="200" w:line="276" w:lineRule="auto"/>
        <w:contextualSpacing w:val="0"/>
        <w:jc w:val="both"/>
        <w:rPr>
          <w:rFonts w:ascii="Arial" w:hAnsi="Arial" w:cs="Arial"/>
          <w:sz w:val="22"/>
          <w:szCs w:val="22"/>
          <w:lang w:val="en-GB"/>
        </w:rPr>
      </w:pPr>
      <w:r w:rsidRPr="00274594">
        <w:rPr>
          <w:rFonts w:ascii="Arial" w:hAnsi="Arial" w:cs="Arial"/>
          <w:sz w:val="22"/>
          <w:szCs w:val="22"/>
          <w:lang w:val="en-GB"/>
        </w:rPr>
        <w:t xml:space="preserve">The second uses the identified orders of worth and compromises as the analytic lens for case studies of real data-sharing negotiations, examining how actors deploy and test justifications from different orders in interaction and what negotiation practices allow weakly-instrumented orders to be voiced and respected alongside heavily-instrumented ones. </w:t>
      </w:r>
    </w:p>
    <w:p w14:paraId="329A0CB9" w14:textId="764EAAC2" w:rsidR="00F22209" w:rsidRDefault="00F22209" w:rsidP="00F22209">
      <w:pPr>
        <w:pStyle w:val="ListParagraph"/>
        <w:numPr>
          <w:ilvl w:val="0"/>
          <w:numId w:val="3"/>
        </w:numPr>
        <w:spacing w:after="200" w:line="276" w:lineRule="auto"/>
        <w:contextualSpacing w:val="0"/>
        <w:jc w:val="both"/>
        <w:rPr>
          <w:rFonts w:ascii="Arial" w:hAnsi="Arial" w:cs="Arial"/>
          <w:sz w:val="22"/>
          <w:szCs w:val="22"/>
          <w:lang w:val="en-GB"/>
        </w:rPr>
      </w:pPr>
      <w:r w:rsidRPr="00274594">
        <w:rPr>
          <w:rFonts w:ascii="Arial" w:hAnsi="Arial" w:cs="Arial"/>
          <w:sz w:val="22"/>
          <w:szCs w:val="22"/>
          <w:lang w:val="en-GB"/>
        </w:rPr>
        <w:t xml:space="preserve">A third, further-out line of work takes up the instrumentation-asymmetry finding through design science research, developing instruments that extend investments of form to currently under-equipped orders, particularly civic, domestic, </w:t>
      </w:r>
      <w:r>
        <w:rPr>
          <w:rFonts w:ascii="Arial" w:hAnsi="Arial" w:cs="Arial"/>
          <w:sz w:val="22"/>
          <w:szCs w:val="22"/>
          <w:lang w:val="en-GB"/>
        </w:rPr>
        <w:t xml:space="preserve">connection, </w:t>
      </w:r>
      <w:r w:rsidRPr="00274594">
        <w:rPr>
          <w:rFonts w:ascii="Arial" w:hAnsi="Arial" w:cs="Arial"/>
          <w:sz w:val="22"/>
          <w:szCs w:val="22"/>
          <w:lang w:val="en-GB"/>
        </w:rPr>
        <w:t>and green worth, so these can be materialized and defended in investment and data-sharing decisions in the social economy without collapsing plural worth into a single metric.</w:t>
      </w:r>
    </w:p>
    <w:p w14:paraId="70C0509B" w14:textId="77777777" w:rsidR="00F22209" w:rsidRDefault="00F22209" w:rsidP="00F22209">
      <w:pPr>
        <w:spacing w:after="200" w:line="276" w:lineRule="auto"/>
        <w:jc w:val="both"/>
        <w:rPr>
          <w:rFonts w:ascii="Arial" w:hAnsi="Arial" w:cs="Arial"/>
          <w:sz w:val="22"/>
          <w:szCs w:val="22"/>
          <w:lang w:val="en-GB"/>
        </w:rPr>
      </w:pPr>
    </w:p>
    <w:p w14:paraId="132F9A03" w14:textId="005D898F" w:rsidR="00F22209" w:rsidRPr="0016704D" w:rsidRDefault="00F22209" w:rsidP="00F22209">
      <w:pPr>
        <w:pStyle w:val="Heading1"/>
        <w:spacing w:before="300" w:after="150"/>
        <w:jc w:val="both"/>
        <w:rPr>
          <w:rFonts w:ascii="Arial" w:hAnsi="Arial" w:cs="Arial"/>
          <w:color w:val="auto"/>
          <w:sz w:val="22"/>
          <w:szCs w:val="22"/>
          <w:lang w:val="en-GB"/>
        </w:rPr>
      </w:pPr>
      <w:r w:rsidRPr="0016704D">
        <w:rPr>
          <w:rFonts w:ascii="Arial" w:hAnsi="Arial" w:cs="Arial"/>
          <w:b/>
          <w:bCs/>
          <w:color w:val="auto"/>
          <w:sz w:val="22"/>
          <w:szCs w:val="22"/>
          <w:lang w:val="en-GB"/>
        </w:rPr>
        <w:lastRenderedPageBreak/>
        <w:t>3. Conceptual Background</w:t>
      </w:r>
      <w:r>
        <w:rPr>
          <w:rFonts w:ascii="Arial" w:hAnsi="Arial" w:cs="Arial"/>
          <w:b/>
          <w:bCs/>
          <w:color w:val="auto"/>
          <w:sz w:val="22"/>
          <w:szCs w:val="22"/>
          <w:lang w:val="en-GB"/>
        </w:rPr>
        <w:t xml:space="preserve"> </w:t>
      </w:r>
      <w:r w:rsidRPr="00F22209">
        <w:rPr>
          <w:rFonts w:ascii="Arial" w:hAnsi="Arial" w:cs="Arial"/>
          <w:b/>
          <w:bCs/>
          <w:color w:val="auto"/>
          <w:sz w:val="22"/>
          <w:szCs w:val="22"/>
          <w:highlight w:val="yellow"/>
          <w:lang w:val="en-GB"/>
        </w:rPr>
        <w:t>(WIP)</w:t>
      </w:r>
    </w:p>
    <w:p w14:paraId="24341485" w14:textId="77777777" w:rsidR="00F22209" w:rsidRPr="0016704D" w:rsidRDefault="00F22209" w:rsidP="00F22209">
      <w:pPr>
        <w:spacing w:after="200" w:line="276" w:lineRule="auto"/>
        <w:jc w:val="both"/>
        <w:rPr>
          <w:rFonts w:ascii="Arial" w:hAnsi="Arial" w:cs="Arial"/>
          <w:sz w:val="22"/>
          <w:szCs w:val="22"/>
          <w:lang w:val="en-GB"/>
        </w:rPr>
      </w:pPr>
      <w:r w:rsidRPr="0016704D">
        <w:rPr>
          <w:rFonts w:ascii="Arial" w:hAnsi="Arial" w:cs="Arial"/>
          <w:sz w:val="22"/>
          <w:szCs w:val="22"/>
          <w:lang w:val="en-GB"/>
        </w:rPr>
        <w:t>The study is organized around three complementary literature streams.</w:t>
      </w:r>
    </w:p>
    <w:p w14:paraId="31742606" w14:textId="77777777" w:rsidR="00F22209" w:rsidRPr="0016704D" w:rsidRDefault="00F22209" w:rsidP="00F22209">
      <w:pPr>
        <w:pStyle w:val="Heading2"/>
        <w:spacing w:before="200" w:after="120"/>
        <w:jc w:val="both"/>
        <w:rPr>
          <w:rFonts w:ascii="Arial" w:hAnsi="Arial" w:cs="Arial"/>
          <w:color w:val="auto"/>
          <w:sz w:val="22"/>
          <w:szCs w:val="22"/>
          <w:lang w:val="en-GB"/>
        </w:rPr>
      </w:pPr>
      <w:r w:rsidRPr="0016704D">
        <w:rPr>
          <w:rFonts w:ascii="Arial" w:hAnsi="Arial" w:cs="Arial"/>
          <w:b/>
          <w:bCs/>
          <w:i/>
          <w:iCs/>
          <w:color w:val="auto"/>
          <w:sz w:val="22"/>
          <w:szCs w:val="22"/>
          <w:lang w:val="en-GB"/>
        </w:rPr>
        <w:t>3b. Economies of Worth</w:t>
      </w:r>
    </w:p>
    <w:p w14:paraId="4FE37C2F" w14:textId="77777777" w:rsidR="00F22209" w:rsidRPr="0016704D" w:rsidRDefault="00F22209" w:rsidP="00F22209">
      <w:pPr>
        <w:spacing w:after="200" w:line="276" w:lineRule="auto"/>
        <w:jc w:val="both"/>
        <w:rPr>
          <w:rFonts w:ascii="Arial" w:hAnsi="Arial" w:cs="Arial"/>
          <w:sz w:val="22"/>
          <w:szCs w:val="22"/>
          <w:lang w:val="en-GB"/>
        </w:rPr>
      </w:pPr>
      <w:r w:rsidRPr="0016704D">
        <w:rPr>
          <w:rFonts w:ascii="Arial" w:hAnsi="Arial" w:cs="Arial"/>
          <w:sz w:val="22"/>
          <w:szCs w:val="22"/>
          <w:lang w:val="en-GB"/>
        </w:rPr>
        <w:t>The second stream supplies the study's analytical lens. Boltanski and Thevenot's (2006) polity model holds that people justify decisions and resolve disputes over what is good by drawing on a small set of shared orders of worth, legitimate and mutually irreducible value systems including the market, industrial, civic, domestic, inspired, and fame orders, later extended with a green order and a project or connexionist order valuing flexibility and network position (Boltanski and Chiapello, 2005). As Trevisan and Mouritsen (2023) set out, worth is established through tests that attribute a state of worth to people and objects in practice, and disputes are resolved through prioritization, in which one order is ordered above the others, or through compromise, in which actors treat ambiguous or composite objects as satisfying several orders simultaneously without settling which one dominates. Such compromises remain inherently fragile, since the objects gathered within them continue to belong to their order of origin and can be reopened by renewed critique. This apparatus suits hybrid organizations well, since they must routinely hold commercial and mission-driven considerations together without collapsing one into the other. Economies of worth is positioned here as complementary to institutional logics theory rather than as a competing grand theory of hybridity: it supplies the microfoundational, justification-level account of situated disputes and compromises that institutional logics, with its focus on relatively stable field-level vocabularies, leaves underdeveloped (Cloutier and Langley, 2013).</w:t>
      </w:r>
    </w:p>
    <w:p w14:paraId="65200644" w14:textId="77777777" w:rsidR="00F22209" w:rsidRPr="0016704D" w:rsidRDefault="00F22209" w:rsidP="00F22209">
      <w:pPr>
        <w:pStyle w:val="Heading2"/>
        <w:spacing w:before="200" w:after="120"/>
        <w:jc w:val="both"/>
        <w:rPr>
          <w:rFonts w:ascii="Arial" w:hAnsi="Arial" w:cs="Arial"/>
          <w:color w:val="auto"/>
          <w:sz w:val="22"/>
          <w:szCs w:val="22"/>
          <w:lang w:val="en-GB"/>
        </w:rPr>
      </w:pPr>
      <w:r w:rsidRPr="0016704D">
        <w:rPr>
          <w:rFonts w:ascii="Arial" w:hAnsi="Arial" w:cs="Arial"/>
          <w:b/>
          <w:bCs/>
          <w:i/>
          <w:iCs/>
          <w:color w:val="auto"/>
          <w:sz w:val="22"/>
          <w:szCs w:val="22"/>
          <w:lang w:val="en-GB"/>
        </w:rPr>
        <w:t>3c. Value Creation and Value Capture</w:t>
      </w:r>
    </w:p>
    <w:p w14:paraId="189D4DD3" w14:textId="77777777" w:rsidR="00F22209" w:rsidRDefault="00F22209" w:rsidP="00F22209">
      <w:pPr>
        <w:spacing w:after="200" w:line="276" w:lineRule="auto"/>
        <w:jc w:val="both"/>
        <w:rPr>
          <w:rFonts w:ascii="Arial" w:hAnsi="Arial" w:cs="Arial"/>
          <w:sz w:val="22"/>
          <w:szCs w:val="22"/>
          <w:lang w:val="en-GB"/>
        </w:rPr>
      </w:pPr>
      <w:r w:rsidRPr="0016704D">
        <w:rPr>
          <w:rFonts w:ascii="Arial" w:hAnsi="Arial" w:cs="Arial"/>
          <w:sz w:val="22"/>
          <w:szCs w:val="22"/>
          <w:lang w:val="en-GB"/>
        </w:rPr>
        <w:t xml:space="preserve">The third pillar draws on the strategy literature distinguishing value creation from value capture. Bowman and Ambrosini (2000) provide the foundational distinction: value creation enlarges the total value available in an exchange, while value capture, or appropriation, determines who gets what share of it, a division they locate in the bargaining power between the parties involved. Applied to data ecosystems, Ammann and Hess (2025) show decentralized data-sharing arrangements can enlarge value creation while making value capture harder and more contested, producing distinct business-model types such as selling, donating, and bartering data. Nienstedt and Trenz (2025) extend this by showing the capacity to create value and the strategies actors use to appropriate it are interdependent, since insufficient means of appropriation remove an organization's incentive to keep creating value. This pillar is proposed as the third conceptual anchor because it supplies the precise empirical dyad, creation and capture, around which the paper's research questions and Q-set are organized, bridging the multi-stakeholder framing of the data-value literature and the justificatory vocabulary of economies of worth with a concrete mechanism through which value disputes arise and are settled, or left unsettled. </w:t>
      </w:r>
    </w:p>
    <w:p w14:paraId="6C9C529D" w14:textId="77777777" w:rsidR="00056869" w:rsidRPr="0016704D" w:rsidRDefault="00056869" w:rsidP="00056869">
      <w:pPr>
        <w:pStyle w:val="Heading2"/>
        <w:spacing w:before="200" w:after="120"/>
        <w:jc w:val="both"/>
        <w:rPr>
          <w:rFonts w:ascii="Arial" w:hAnsi="Arial" w:cs="Arial"/>
          <w:color w:val="auto"/>
          <w:sz w:val="22"/>
          <w:szCs w:val="22"/>
          <w:lang w:val="en-GB"/>
        </w:rPr>
      </w:pPr>
      <w:r w:rsidRPr="0016704D">
        <w:rPr>
          <w:rFonts w:ascii="Arial" w:hAnsi="Arial" w:cs="Arial"/>
          <w:b/>
          <w:bCs/>
          <w:i/>
          <w:iCs/>
          <w:color w:val="auto"/>
          <w:sz w:val="22"/>
          <w:szCs w:val="22"/>
          <w:lang w:val="en-GB"/>
        </w:rPr>
        <w:t>3a. The Data Value Literature</w:t>
      </w:r>
    </w:p>
    <w:p w14:paraId="441A4A45" w14:textId="77777777" w:rsidR="00056869" w:rsidRPr="00056869" w:rsidRDefault="00056869" w:rsidP="00056869">
      <w:pPr>
        <w:spacing w:after="200" w:line="276" w:lineRule="auto"/>
        <w:jc w:val="both"/>
        <w:rPr>
          <w:rFonts w:ascii="Arial" w:hAnsi="Arial" w:cs="Arial"/>
          <w:sz w:val="22"/>
          <w:szCs w:val="22"/>
          <w:highlight w:val="lightGray"/>
        </w:rPr>
      </w:pPr>
      <w:r w:rsidRPr="00056869">
        <w:rPr>
          <w:rFonts w:ascii="Arial" w:hAnsi="Arial" w:cs="Arial"/>
          <w:sz w:val="22"/>
          <w:szCs w:val="22"/>
          <w:highlight w:val="lightGray"/>
        </w:rPr>
        <w:t xml:space="preserve">Data value literature spans several disciplines and angles of inquiry, from economic and computational approaches to data's application within business organizations, and, more recently, to its role in supporting social organizations (Coyle and Manley, 2024; Kvalvik, 2026). A recurring distinction within this literature separates data's intrinsic value from its usage value, the latter more heavily represented, understood as value realized through data's application across different </w:t>
      </w:r>
      <w:r w:rsidRPr="00056869">
        <w:rPr>
          <w:rFonts w:ascii="Arial" w:hAnsi="Arial" w:cs="Arial"/>
          <w:sz w:val="22"/>
          <w:szCs w:val="22"/>
          <w:highlight w:val="lightGray"/>
        </w:rPr>
        <w:lastRenderedPageBreak/>
        <w:t xml:space="preserve">fields, contexts, and purposes. Structured accounts such as Castro Fernandez's (2025) argue that progress on generating value from data depends on rigorous definitions of what value is and what data is in the first place. Much of this literature concentrates on the properties that make data monetizable directly or useful indirectly through process improvement, treating data's value as approximating its costs of production and maintenance, with its further potential shaped by monetary factors and by economic-level outputs (XX). </w:t>
      </w:r>
    </w:p>
    <w:p w14:paraId="3FA00F02" w14:textId="77777777" w:rsidR="00056869" w:rsidRPr="0016704D" w:rsidRDefault="00056869" w:rsidP="00056869">
      <w:pPr>
        <w:spacing w:after="200" w:line="276" w:lineRule="auto"/>
        <w:jc w:val="both"/>
        <w:rPr>
          <w:rFonts w:ascii="Arial" w:hAnsi="Arial" w:cs="Arial"/>
          <w:sz w:val="22"/>
          <w:szCs w:val="22"/>
          <w:lang w:val="en-GB"/>
        </w:rPr>
      </w:pPr>
      <w:r w:rsidRPr="00056869">
        <w:rPr>
          <w:rFonts w:ascii="Arial" w:hAnsi="Arial" w:cs="Arial"/>
          <w:sz w:val="22"/>
          <w:szCs w:val="22"/>
          <w:highlight w:val="lightGray"/>
        </w:rPr>
        <w:t xml:space="preserve">Alongside this, a stream of literature treats data's value as contextual, relational and use-dependent rather than a property waiting to be measured. </w:t>
      </w:r>
      <w:r w:rsidRPr="00056869">
        <w:rPr>
          <w:rFonts w:ascii="Arial" w:hAnsi="Arial" w:cs="Arial"/>
          <w:sz w:val="22"/>
          <w:szCs w:val="22"/>
          <w:highlight w:val="lightGray"/>
          <w:lang w:val="en-GB"/>
        </w:rPr>
        <w:t>Under this stream, value is not embedded in a resource but is, in Vargo and Lusch's (2004, 2008) formulation, determined by the beneficiary through use. Grönroos (2011) sharpens further by treating value-in-use as subjectively experienced rather than delivered ready-made by the resource itself. Hunke, Heinz, and Satzger (2021) show that analytics-based services realize customer value through the application of data to a task, not through its possession. Xu, et al. (2024) formalize the resulting plurality directly, arguing that data's value cannot be measured in a blanket manner and must instead be contextualized to the specific purpose for which it is used, distinguishing roles such as data as a tool, as a commodity, and as algorithmic intelligence, each generating value along a different pathway. Kvalvik (2026) complements this with the economic traits that distinguish data from conventional commodities, including non-rivalry and context-dependent worth. Wixom, Beath, and Owens (2023) mark the resulting distinction plainly: creating value from data and realizing that value are not the same accomplishment, since benefits must still be converted into outcomes that matter to a given actor. Together, these sources locate precisely the space Castro Fernandez (2025) leaves open when he concedes that it is the task, not the data itself, that agents judge as good or bad. What remains missing is a vocabulary rigorous enough to hold that judgment to the same standard he applies to data's objective value, which is the role economies of worth is positioned to play.</w:t>
      </w:r>
    </w:p>
    <w:p w14:paraId="6F9324C1" w14:textId="77777777" w:rsidR="00056869" w:rsidRPr="0016704D" w:rsidRDefault="00056869" w:rsidP="00F22209">
      <w:pPr>
        <w:spacing w:after="200" w:line="276" w:lineRule="auto"/>
        <w:jc w:val="both"/>
        <w:rPr>
          <w:rFonts w:ascii="Arial" w:hAnsi="Arial" w:cs="Arial"/>
          <w:sz w:val="22"/>
          <w:szCs w:val="22"/>
          <w:lang w:val="en-GB"/>
        </w:rPr>
      </w:pPr>
    </w:p>
    <w:p w14:paraId="5DF4CB7E" w14:textId="77777777" w:rsidR="00F22209" w:rsidRPr="00F22209" w:rsidRDefault="00F22209" w:rsidP="00F22209">
      <w:pPr>
        <w:spacing w:after="200" w:line="276" w:lineRule="auto"/>
        <w:jc w:val="both"/>
        <w:rPr>
          <w:rFonts w:ascii="Arial" w:hAnsi="Arial" w:cs="Arial"/>
          <w:sz w:val="22"/>
          <w:szCs w:val="22"/>
          <w:lang w:val="en-GB"/>
        </w:rPr>
      </w:pPr>
    </w:p>
    <w:p w14:paraId="12B6B9A8" w14:textId="77777777" w:rsidR="00A2573B" w:rsidRPr="00F22209" w:rsidRDefault="00A2573B">
      <w:pPr>
        <w:rPr>
          <w:lang w:val="en-GB"/>
        </w:rPr>
      </w:pPr>
    </w:p>
    <w:sectPr w:rsidR="00A2573B" w:rsidRPr="00F22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67C6"/>
    <w:multiLevelType w:val="hybridMultilevel"/>
    <w:tmpl w:val="99A49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F4733"/>
    <w:multiLevelType w:val="hybridMultilevel"/>
    <w:tmpl w:val="7BCCCF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822ADB"/>
    <w:multiLevelType w:val="hybridMultilevel"/>
    <w:tmpl w:val="161E04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230701">
    <w:abstractNumId w:val="1"/>
  </w:num>
  <w:num w:numId="2" w16cid:durableId="871840801">
    <w:abstractNumId w:val="2"/>
  </w:num>
  <w:num w:numId="3" w16cid:durableId="162353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09"/>
    <w:rsid w:val="00056869"/>
    <w:rsid w:val="00064FDA"/>
    <w:rsid w:val="000A2194"/>
    <w:rsid w:val="00143735"/>
    <w:rsid w:val="00154B17"/>
    <w:rsid w:val="00161712"/>
    <w:rsid w:val="00181179"/>
    <w:rsid w:val="00255D8C"/>
    <w:rsid w:val="002852AE"/>
    <w:rsid w:val="003C43A4"/>
    <w:rsid w:val="004409D2"/>
    <w:rsid w:val="004C2D1F"/>
    <w:rsid w:val="004F2C77"/>
    <w:rsid w:val="0059042D"/>
    <w:rsid w:val="007D6B73"/>
    <w:rsid w:val="007E5DF4"/>
    <w:rsid w:val="008B01DC"/>
    <w:rsid w:val="008E5DA7"/>
    <w:rsid w:val="009044B7"/>
    <w:rsid w:val="0099427E"/>
    <w:rsid w:val="009F4A9D"/>
    <w:rsid w:val="00A2573B"/>
    <w:rsid w:val="00A459F9"/>
    <w:rsid w:val="00B24A22"/>
    <w:rsid w:val="00B56A95"/>
    <w:rsid w:val="00C07168"/>
    <w:rsid w:val="00D446B6"/>
    <w:rsid w:val="00D725D7"/>
    <w:rsid w:val="00DC1430"/>
    <w:rsid w:val="00E37216"/>
    <w:rsid w:val="00EB5BF1"/>
    <w:rsid w:val="00F22209"/>
    <w:rsid w:val="00FD288B"/>
    <w:rsid w:val="00FD6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78C8"/>
  <w15:chartTrackingRefBased/>
  <w15:docId w15:val="{38101D33-D4E2-4CD7-8310-5F506E39C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209"/>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22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2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2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2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2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0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2220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2220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2220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2220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2220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220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220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220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22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0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2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0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2209"/>
    <w:pPr>
      <w:spacing w:before="160"/>
      <w:jc w:val="center"/>
    </w:pPr>
    <w:rPr>
      <w:i/>
      <w:iCs/>
      <w:color w:val="404040" w:themeColor="text1" w:themeTint="BF"/>
    </w:rPr>
  </w:style>
  <w:style w:type="character" w:customStyle="1" w:styleId="QuoteChar">
    <w:name w:val="Quote Char"/>
    <w:basedOn w:val="DefaultParagraphFont"/>
    <w:link w:val="Quote"/>
    <w:uiPriority w:val="29"/>
    <w:rsid w:val="00F22209"/>
    <w:rPr>
      <w:i/>
      <w:iCs/>
      <w:color w:val="404040" w:themeColor="text1" w:themeTint="BF"/>
      <w:lang w:val="en-GB"/>
    </w:rPr>
  </w:style>
  <w:style w:type="paragraph" w:styleId="ListParagraph">
    <w:name w:val="List Paragraph"/>
    <w:basedOn w:val="Normal"/>
    <w:qFormat/>
    <w:rsid w:val="00F22209"/>
    <w:pPr>
      <w:ind w:left="720"/>
      <w:contextualSpacing/>
    </w:pPr>
  </w:style>
  <w:style w:type="character" w:styleId="IntenseEmphasis">
    <w:name w:val="Intense Emphasis"/>
    <w:basedOn w:val="DefaultParagraphFont"/>
    <w:uiPriority w:val="21"/>
    <w:qFormat/>
    <w:rsid w:val="00F22209"/>
    <w:rPr>
      <w:i/>
      <w:iCs/>
      <w:color w:val="0F4761" w:themeColor="accent1" w:themeShade="BF"/>
    </w:rPr>
  </w:style>
  <w:style w:type="paragraph" w:styleId="IntenseQuote">
    <w:name w:val="Intense Quote"/>
    <w:basedOn w:val="Normal"/>
    <w:next w:val="Normal"/>
    <w:link w:val="IntenseQuoteChar"/>
    <w:uiPriority w:val="30"/>
    <w:qFormat/>
    <w:rsid w:val="00F22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209"/>
    <w:rPr>
      <w:i/>
      <w:iCs/>
      <w:color w:val="0F4761" w:themeColor="accent1" w:themeShade="BF"/>
      <w:lang w:val="en-GB"/>
    </w:rPr>
  </w:style>
  <w:style w:type="character" w:styleId="IntenseReference">
    <w:name w:val="Intense Reference"/>
    <w:basedOn w:val="DefaultParagraphFont"/>
    <w:uiPriority w:val="32"/>
    <w:qFormat/>
    <w:rsid w:val="00F22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Alberto Perez Asiain</dc:creator>
  <cp:keywords/>
  <dc:description/>
  <cp:lastModifiedBy>Andres Alberto Perez Asiain</cp:lastModifiedBy>
  <cp:revision>18</cp:revision>
  <dcterms:created xsi:type="dcterms:W3CDTF">2026-08-05T09:24:00Z</dcterms:created>
  <dcterms:modified xsi:type="dcterms:W3CDTF">2026-08-31T07:43:00Z</dcterms:modified>
</cp:coreProperties>
</file>