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Representational Availability</w:t>
      </w:r>
    </w:p>
    <w:p>
      <w:pPr>
        <w:spacing w:after="60"/>
        <w:jc w:val="center"/>
      </w:pPr>
      <w:r>
        <w:rPr>
          <w:rFonts w:ascii="Calibri" w:cs="Calibri" w:eastAsia="Calibri" w:hAnsi="Calibri"/>
          <w:sz w:val="24"/>
          <w:szCs w:val="24"/>
        </w:rPr>
        <w:t xml:space="preserve">Machine-Mediated Consideration and the Brand Assets That Do Not Transfer</w:t>
      </w:r>
    </w:p>
    <w:p>
      <w:pPr>
        <w:spacing w:after="120" w:line="276"/>
        <w:jc w:val="center"/>
      </w:pPr>
      <w:r>
        <w:rPr>
          <w:rFonts w:ascii="Calibri" w:cs="Calibri" w:eastAsia="Calibri" w:hAnsi="Calibri"/>
          <w:b w:val="false"/>
          <w:bCs w:val="false"/>
          <w:i w:val="false"/>
          <w:iCs w:val="false"/>
          <w:sz w:val="22"/>
          <w:szCs w:val="22"/>
        </w:rPr>
        <w:t xml:space="preserve">Anwesha De</w:t>
      </w:r>
    </w:p>
    <w:p>
      <w:pPr>
        <w:spacing w:after="120" w:line="276"/>
        <w:jc w:val="center"/>
      </w:pPr>
      <w:r>
        <w:rPr>
          <w:rFonts w:ascii="Calibri" w:cs="Calibri" w:eastAsia="Calibri" w:hAnsi="Calibri"/>
          <w:b w:val="false"/>
          <w:bCs w:val="false"/>
          <w:i/>
          <w:iCs/>
          <w:sz w:val="20"/>
          <w:szCs w:val="20"/>
        </w:rPr>
        <w:t xml:space="preserve">Standalone Study Proposal, Draft, August 2026</w:t>
      </w:r>
    </w:p>
    <w:p>
      <w:pPr>
        <w:spacing w:after="120" w:line="276"/>
      </w:pPr>
      <w:r>
        <w:rPr>
          <w:rFonts w:ascii="Calibri" w:cs="Calibri" w:eastAsia="Calibri" w:hAnsi="Calibri"/>
          <w:b/>
          <w:bCs/>
          <w:sz w:val="22"/>
          <w:szCs w:val="22"/>
        </w:rPr>
        <w:t xml:space="preserve">Abstract. </w:t>
      </w:r>
      <w:r>
        <w:rPr>
          <w:rFonts w:ascii="Calibri" w:cs="Calibri" w:eastAsia="Calibri" w:hAnsi="Calibri"/>
          <w:sz w:val="22"/>
          <w:szCs w:val="22"/>
        </w:rPr>
        <w:t xml:space="preserve">Physical and mental availability are the constructs marketing uses to explain why a brand gets bought, and both describe a person having encountered it, on a shelf or through advertising, packaging and use. General-purpose language models assemble consideration sets from a corpus of text, with no exposure of any kind. This paper asks what determines whether a brand is retrieved into a machine-assembled consideration set, and whether the assets firms build and measure predict it. Recent work establishes the surrounding facts and we do not re-establish them. Referral traffic from language models converts better than paid social and worse than other channels while remaining under one percent of e-commerce traffic (Kaiser and Schulze 2025), and emerging work documents that model retrieval carries brand and popularity biases. Our contribution is the production function rather than the phenomenon. We propose representational availability as a third form of availability, distinguished by retrieval mechanism rather than by production, and predict that it is produced by evaluative discourse rather than by advertising or distribution, that source authority matters more than mention volume, and that sensory brand assets are inert in this channel. Scope is deliberately narrow. The paper concerns consideration rather than choice, general-purpose models rather than retailer-native assistants, and treats market share as a descriptive benchmark rather than an outcome models ought to reproduce. The nearest literature is recommendation systems rather than consumer search, since the consumer neither sets the sampling rule nor can inspect it, and we position against that literature directly. Pilot evidence across eight categories indicates the phenomenon is not an artefact of question phrasing, since purchase-framed and quality-framed requests return the same leading brands at a rate above the repetition noise floor, though the gap narrows sharply once a consumer states a budget. The stake does not rest on the channel current size. It rests on the finding that nothing a firm presently measures predicts whether it is retrieved.</w:t>
      </w:r>
    </w:p>
    <w:p>
      <w:pPr>
        <w:pStyle w:val="Heading1"/>
        <w:spacing w:after="120" w:before="260"/>
      </w:pPr>
      <w:r>
        <w:rPr>
          <w:rFonts w:ascii="Calibri" w:cs="Calibri" w:eastAsia="Calibri" w:hAnsi="Calibri"/>
        </w:rPr>
        <w:t xml:space="preserve">1. Background, Theory, and Motivation</w:t>
      </w:r>
    </w:p>
    <w:p>
      <w:pPr>
        <w:spacing w:after="120" w:line="276"/>
        <w:jc w:val="left"/>
      </w:pPr>
      <w:r>
        <w:rPr>
          <w:rFonts w:ascii="Calibri" w:cs="Calibri" w:eastAsia="Calibri" w:hAnsi="Calibri"/>
          <w:b w:val="false"/>
          <w:bCs w:val="false"/>
          <w:i w:val="false"/>
          <w:iCs w:val="false"/>
          <w:sz w:val="22"/>
          <w:szCs w:val="22"/>
        </w:rPr>
        <w:t xml:space="preserve">Consider a live instance. Asked to pick a daily face sunscreen, current general-purpose models reliably return EltaMD, La Roche-Posay, and Supergoop. The brands that actually sell sunscreen in the United States are Neutrogena, Coppertone, Banana Boat, and Sun Bum, which hold overwhelming share and near-universal distribution. The claim is not that the models should have returned Neutrogena. It is that two different regimes for getting found produce two different sets of winners.</w:t>
      </w:r>
    </w:p>
    <w:p>
      <w:pPr>
        <w:spacing w:after="120" w:line="276"/>
        <w:jc w:val="left"/>
      </w:pPr>
      <w:r>
        <w:rPr>
          <w:rFonts w:ascii="Calibri" w:cs="Calibri" w:eastAsia="Calibri" w:hAnsi="Calibri"/>
          <w:b w:val="false"/>
          <w:bCs w:val="false"/>
          <w:i w:val="false"/>
          <w:iCs w:val="false"/>
          <w:sz w:val="22"/>
          <w:szCs w:val="22"/>
        </w:rPr>
        <w:t xml:space="preserve">Nor is this a matter of brand size or media weight. La Roche-Posay is a large brand carrying substantial advertising and mass distribution, so the retrieved set is not simply the small brands. What distinguishes it is written evaluative presence, and consumer advertising generates very little of that. A television campaign does not become text in which anyone recorded a judgement, while a dermatologist assessment or an editorial roundup does. That wedge between the two regimes is the object of H2 rather than a premise of the paper.</w:t>
      </w:r>
    </w:p>
    <w:p>
      <w:pPr>
        <w:spacing w:after="120" w:line="276"/>
        <w:jc w:val="left"/>
      </w:pPr>
      <w:r>
        <w:rPr>
          <w:rFonts w:ascii="Calibri" w:cs="Calibri" w:eastAsia="Calibri" w:hAnsi="Calibri"/>
          <w:b w:val="false"/>
          <w:bCs w:val="false"/>
          <w:i w:val="false"/>
          <w:iCs w:val="false"/>
          <w:sz w:val="22"/>
          <w:szCs w:val="22"/>
        </w:rPr>
        <w:t xml:space="preserve">The same pattern appears elsewhere. Enthusiast and editorial discourse in running favours Brooks, Hoka, and Saucony while Nike holds the category, and in cookware it favours All-Clad, Lodge, and Made In over the brands that fill mass retail shelves. These are illustrations rather than evidence, and are offered as such. Each admits alternative readings, and the systematic test set out below is what the argument rests on.</w:t>
      </w:r>
    </w:p>
    <w:p>
      <w:pPr>
        <w:spacing w:after="120" w:line="276"/>
        <w:jc w:val="left"/>
      </w:pPr>
      <w:r>
        <w:rPr>
          <w:rFonts w:ascii="Calibri" w:cs="Calibri" w:eastAsia="Calibri" w:hAnsi="Calibri"/>
          <w:b w:val="false"/>
          <w:bCs w:val="false"/>
          <w:i w:val="false"/>
          <w:iCs w:val="false"/>
          <w:sz w:val="22"/>
          <w:szCs w:val="22"/>
        </w:rPr>
        <w:t xml:space="preserve">The size of this channel is now known and it is small, which the paper states plainly rather than works around. Kaiser and Schulze (2025) analyse twelve months of first-party data from 973 e-commerce sites with twenty billion dollars in combined revenue, covering more than fifty thousand transactions referred by a language model against one hundred sixty-four million from traditional channels. Referred traffic amounts to under 0.2 percent of the total. It converts better than paid social and worse than every other channel, the gap has narrowed steadily, and the effect is stronger in complex product categories. Any argument for studying this channel from its present revenue would be weak, and we do not make one.</w:t>
      </w:r>
    </w:p>
    <w:p>
      <w:pPr>
        <w:spacing w:after="120" w:line="276"/>
        <w:jc w:val="left"/>
      </w:pPr>
      <w:r>
        <w:rPr>
          <w:rFonts w:ascii="Calibri" w:cs="Calibri" w:eastAsia="Calibri" w:hAnsi="Calibri"/>
          <w:b w:val="false"/>
          <w:bCs w:val="false"/>
          <w:i w:val="false"/>
          <w:iCs w:val="false"/>
          <w:sz w:val="22"/>
          <w:szCs w:val="22"/>
        </w:rPr>
        <w:t xml:space="preserve">The case rests elsewhere. Two constructs are used to explain why brands are bought, and neither describes retrieval by a system that has had no exposure to the brand. If it turns out that nothing a firm currently builds or measures predicts whether it is retrieved, that is a statement about the coverage of the field constructs rather than about the revenue at stake, and it holds at any channel size. The production function is the contribution, not the phenomenon.</w:t>
      </w:r>
    </w:p>
    <w:p>
      <w:pPr>
        <w:spacing w:after="120" w:line="276"/>
        <w:jc w:val="left"/>
      </w:pPr>
      <w:r>
        <w:rPr>
          <w:rFonts w:ascii="Calibri" w:cs="Calibri" w:eastAsia="Calibri" w:hAnsi="Calibri"/>
          <w:b w:val="false"/>
          <w:bCs w:val="false"/>
          <w:i w:val="false"/>
          <w:iCs w:val="false"/>
          <w:sz w:val="22"/>
          <w:szCs w:val="22"/>
        </w:rPr>
        <w:t xml:space="preserve">The phenomenon itself is being documented elsewhere and we do not claim it. Working papers now circulating establish that model retrieval carries brand and popularity biases across product categories. Our question begins after that, asking what produces the bias and whether any existing measure of brand strength predicts it.</w:t>
      </w:r>
    </w:p>
    <w:p>
      <w:pPr>
        <w:spacing w:after="120" w:line="276"/>
        <w:jc w:val="left"/>
      </w:pPr>
      <w:r>
        <w:rPr>
          <w:rFonts w:ascii="Calibri" w:cs="Calibri" w:eastAsia="Calibri" w:hAnsi="Calibri"/>
          <w:b w:val="false"/>
          <w:bCs w:val="false"/>
          <w:i w:val="false"/>
          <w:iCs w:val="false"/>
          <w:sz w:val="22"/>
          <w:szCs w:val="22"/>
        </w:rPr>
        <w:t xml:space="preserve">Two scoping decisions follow, and both narrow the claim in ways that make it defensible. The first concerns what stage of the funnel is at issue. Industry measurement of this channel records referral traffic to retail sites rather than completed machine purchases, which means the model is operating upstream of the transaction. It assembles the set a shopper arrives with. The paper is therefore about consideration, not choice, which is also the stage mental availability concerns, making the parallel between the two constructs exact rather than strained. Consideration set membership has an established relationship to choice probability, so the consequence for a brand can be inherited from existing work rather than asserted.</w:t>
      </w:r>
    </w:p>
    <w:p>
      <w:pPr>
        <w:spacing w:after="120" w:line="276"/>
        <w:jc w:val="left"/>
      </w:pPr>
      <w:r>
        <w:rPr>
          <w:rFonts w:ascii="Calibri" w:cs="Calibri" w:eastAsia="Calibri" w:hAnsi="Calibri"/>
          <w:b w:val="false"/>
          <w:bCs w:val="false"/>
          <w:i w:val="false"/>
          <w:iCs w:val="false"/>
          <w:sz w:val="22"/>
          <w:szCs w:val="22"/>
        </w:rPr>
        <w:t xml:space="preserve">The second concerns which systems are in scope. Retailer-native assistants such as those operated by large marketplaces now account for a majority of AI-driven retail sales, and they retrieve from a proprietary catalogue weighted by on-site reviews, sales rank, and paid placement. They are not reading the open corpus, so representational availability does not describe them. This paper concerns general-purpose models, which are the systems assembling consideration before a shopper reaches any retailer. Stating this at the outset prevents the paper from appearing to claim territory it does not hold.</w:t>
      </w:r>
    </w:p>
    <w:p>
      <w:pPr>
        <w:spacing w:after="120" w:line="276"/>
        <w:jc w:val="left"/>
      </w:pPr>
      <w:r>
        <w:rPr>
          <w:rFonts w:ascii="Calibri" w:cs="Calibri" w:eastAsia="Calibri" w:hAnsi="Calibri"/>
          <w:b w:val="false"/>
          <w:bCs w:val="false"/>
          <w:i w:val="false"/>
          <w:iCs w:val="false"/>
          <w:sz w:val="22"/>
          <w:szCs w:val="22"/>
        </w:rPr>
        <w:t xml:space="preserve">One further positioning decision matters because it determines which literature the paper must beat. Classical consumer search models a buyer choosing which alternatives to inspect under costs, and the buyer controls the search. That is not this. Here the set arrives assembled, the consumer did not choose the sampling rule and cannot inspect it, so the nearer literature is recommendation systems and the established work on algorithmic curation, concentration and diversity. We position there rather than in search. The distinction we claim from recommendation is in the input to retrieval. A recommender is trained on a platform behavioural record of the individual user, operates within one catalogue, and optimises the platform objective. A general-purpose model retrieves from an open text corpus, holds no behavioural record of the user, is not bounded by a catalogue, and is not optimised for any seller. Those differences are the reason the production function is an open question rather than a settled one.</w:t>
      </w:r>
    </w:p>
    <w:p>
      <w:pPr>
        <w:spacing w:after="120" w:line="276"/>
        <w:jc w:val="left"/>
      </w:pPr>
      <w:r>
        <w:rPr>
          <w:rFonts w:ascii="Calibri" w:cs="Calibri" w:eastAsia="Calibri" w:hAnsi="Calibri"/>
          <w:b w:val="false"/>
          <w:bCs w:val="false"/>
          <w:i w:val="false"/>
          <w:iCs w:val="false"/>
          <w:sz w:val="22"/>
          <w:szCs w:val="22"/>
        </w:rPr>
        <w:t xml:space="preserve">This framing also determines what the paper must establish. We do not adjudicate whether the models give good advice. A reader may well judge that they do, since expert-endorsed brands are a defensible answer to a quality question, and that judgement is orthogonal to the argument. Market share is a descriptive benchmark recording what sold under a discovery mix built on distribution and advertising. Because agent retrieval measures consideration and share measures purchase, the two are not commensurable and share is not the standard retrieval is judged against. The question is what predicts entry into the machine-assembled set, and share is one input to that question rather than its answer.</w:t>
      </w:r>
    </w:p>
    <w:p>
      <w:pPr>
        <w:spacing w:after="120" w:line="276"/>
        <w:jc w:val="left"/>
      </w:pPr>
      <w:r>
        <w:rPr>
          <w:rFonts w:ascii="Calibri" w:cs="Calibri" w:eastAsia="Calibri" w:hAnsi="Calibri"/>
          <w:b w:val="false"/>
          <w:bCs w:val="false"/>
          <w:i w:val="false"/>
          <w:iCs w:val="false"/>
          <w:sz w:val="22"/>
          <w:szCs w:val="22"/>
        </w:rPr>
        <w:t xml:space="preserve">The theoretical anchor is that an agent asked to recommend is structurally a pure recipient of word of mouth. It has no trial experience, no exposure to packaging, no sensory encounter with the product, and no memory of advertising. Its only evidence about quality is the evaluative text that exists about the alternatives. Marketing has treated word of mouth as one input among many in a choice process. For an agent it is not one input, it is the entire process, which means the word-of-mouth literature becomes the complete theory of agentic brand choice and every marketing mix element that fails to generate evaluative text becomes inert.</w:t>
      </w:r>
    </w:p>
    <w:p>
      <w:pPr>
        <w:spacing w:after="120" w:line="276"/>
        <w:jc w:val="left"/>
      </w:pPr>
      <w:r>
        <w:rPr>
          <w:rFonts w:ascii="Calibri" w:cs="Calibri" w:eastAsia="Calibri" w:hAnsi="Calibri"/>
          <w:b w:val="false"/>
          <w:bCs w:val="false"/>
          <w:i w:val="false"/>
          <w:iCs w:val="false"/>
          <w:sz w:val="22"/>
          <w:szCs w:val="22"/>
        </w:rPr>
        <w:t xml:space="preserve">This yields the construct, and it is defined by retrieval mechanism rather than by how it is produced. Physical availability asks whether the brand can be reached. Mental availability asks whether the brand is retrieved from a human memory, one shaped by exposure to advertising, packaging, shelf presence, and use. Representational availability asks whether the brand is retrieved from a text corpus by a system that has had no exposure of any kind and holds no memory of the brand beyond what has been written about it. That is a difference in kind rather than degree, which matters because the alternative basis for the distinction is weaker than it first appears.</w:t>
      </w:r>
    </w:p>
    <w:p>
      <w:pPr>
        <w:spacing w:after="120" w:line="276"/>
        <w:jc w:val="left"/>
      </w:pPr>
      <w:r>
        <w:rPr>
          <w:rFonts w:ascii="Calibri" w:cs="Calibri" w:eastAsia="Calibri" w:hAnsi="Calibri"/>
          <w:b w:val="false"/>
          <w:bCs w:val="false"/>
          <w:i w:val="false"/>
          <w:iCs w:val="false"/>
          <w:sz w:val="22"/>
          <w:szCs w:val="22"/>
        </w:rPr>
        <w:t xml:space="preserve">That weaker basis is production. It is tempting to say the first two forms of availability are bought while the third is earned, but the contrast does not hold cleanly. Physical availability is gated, since retailers grant shelf on expected velocity and a brand without demand cannot buy listings at any price in a slot-constrained category. Mental availability converts money into memory poorly, and a substantial share of it arises from usage experience and word of mouth that no budget produces directly. Representational availability, meanwhile, is already the target of a practitioner industry selling discourse placement to shift model outputs, so it is not unpurchasable either. Production therefore separates the constructs by degree, not by kind, and the argument rests on retrieval instead. The production asymmetry remains strategically important, since the firm own spending is the primary input to the first two and other people written evaluations are the primary input to the third, but it is a consequence of the construct rather than its definition.</w:t>
      </w:r>
    </w:p>
    <w:p>
      <w:pPr>
        <w:spacing w:after="120" w:line="276"/>
        <w:jc w:val="left"/>
      </w:pPr>
      <w:r>
        <w:rPr>
          <w:rFonts w:ascii="Calibri" w:cs="Calibri" w:eastAsia="Calibri" w:hAnsi="Calibri"/>
          <w:b w:val="false"/>
          <w:bCs w:val="false"/>
          <w:i w:val="false"/>
          <w:iCs w:val="false"/>
          <w:sz w:val="22"/>
          <w:szCs w:val="22"/>
        </w:rPr>
        <w:t xml:space="preserve">The strategic situation follows. A brand can hold dominant share, spend heavily, occupy every shelf, and still be retrieved rarely by the buyer that is arriving, and no instrument currently in use at any firm would report the problem.</w:t>
      </w:r>
    </w:p>
    <w:p>
      <w:pPr>
        <w:spacing w:after="120" w:line="276"/>
        <w:jc w:val="left"/>
      </w:pPr>
      <w:r>
        <w:rPr>
          <w:rFonts w:ascii="Calibri" w:cs="Calibri" w:eastAsia="Calibri" w:hAnsi="Calibri"/>
          <w:b w:val="false"/>
          <w:bCs w:val="false"/>
          <w:i w:val="false"/>
          <w:iCs w:val="false"/>
          <w:sz w:val="22"/>
          <w:szCs w:val="22"/>
        </w:rPr>
        <w:t xml:space="preserve">The predicted reallocation is therefore neither of the two narratives in circulation. It is not that agents advantage large incumbents, and it is not that agents level the field for the long tail. It is that agents advantage brands with high evaluative discourse relative to their size, which is a specific and identifiable set, and disadvantage brands whose share was built through physical availability and broadcast reach. The firms most exposed are precisely those that executed the twentieth-century marketing model most successfully.</w:t>
      </w:r>
    </w:p>
    <w:p>
      <w:pPr>
        <w:pStyle w:val="Heading1"/>
        <w:spacing w:after="120" w:before="260"/>
      </w:pPr>
      <w:r>
        <w:rPr>
          <w:rFonts w:ascii="Calibri" w:cs="Calibri" w:eastAsia="Calibri" w:hAnsi="Calibri"/>
        </w:rPr>
        <w:t xml:space="preserve">2. Research Questions and Hypotheses</w:t>
      </w:r>
    </w:p>
    <w:p>
      <w:pPr>
        <w:spacing w:after="120" w:line="276"/>
        <w:jc w:val="left"/>
      </w:pPr>
      <w:r>
        <w:rPr>
          <w:rFonts w:ascii="Calibri" w:cs="Calibri" w:eastAsia="Calibri" w:hAnsi="Calibri"/>
          <w:b w:val="false"/>
          <w:bCs w:val="false"/>
          <w:i w:val="false"/>
          <w:iCs w:val="false"/>
          <w:sz w:val="22"/>
          <w:szCs w:val="22"/>
        </w:rPr>
        <w:t xml:space="preserve">RQ. Does agentic brand choice diverge systematically from market share, and is the divergence produced by evaluative discourse rather than by the paid and owned instruments that produce physical and mental availability?</w:t>
      </w:r>
    </w:p>
    <w:p>
      <w:pPr>
        <w:spacing w:after="120" w:line="276"/>
      </w:pPr>
      <w:r>
        <w:rPr>
          <w:rFonts w:ascii="Calibri" w:cs="Calibri" w:eastAsia="Calibri" w:hAnsi="Calibri"/>
          <w:b/>
          <w:bCs/>
          <w:sz w:val="22"/>
          <w:szCs w:val="22"/>
        </w:rPr>
        <w:t xml:space="preserve">H1 (difference and stability). </w:t>
      </w:r>
      <w:r>
        <w:rPr>
          <w:rFonts w:ascii="Calibri" w:cs="Calibri" w:eastAsia="Calibri" w:hAnsi="Calibri"/>
          <w:sz w:val="22"/>
          <w:szCs w:val="22"/>
        </w:rPr>
        <w:t xml:space="preserve">The set of brands retrieved into machine-assembled consideration differs systematically from what market share would imply, and the difference is stable across model families and prompt framings, establishing it as a property of brands rather than an artefact of any one system.</w:t>
      </w:r>
    </w:p>
    <w:p>
      <w:pPr>
        <w:spacing w:after="120" w:line="276"/>
      </w:pPr>
      <w:r>
        <w:rPr>
          <w:rFonts w:ascii="Calibri" w:cs="Calibri" w:eastAsia="Calibri" w:hAnsi="Calibri"/>
          <w:b/>
          <w:bCs/>
          <w:sz w:val="22"/>
          <w:szCs w:val="22"/>
        </w:rPr>
        <w:t xml:space="preserve">H2 (production function). </w:t>
      </w:r>
      <w:r>
        <w:rPr>
          <w:rFonts w:ascii="Calibri" w:cs="Calibri" w:eastAsia="Calibri" w:hAnsi="Calibri"/>
          <w:sz w:val="22"/>
          <w:szCs w:val="22"/>
        </w:rPr>
        <w:t xml:space="preserve">The scoreboard difference is predicted by discourse intensity, and is not predicted by advertising spend or distribution breadth once share is conditioned on.</w:t>
      </w:r>
    </w:p>
    <w:p>
      <w:pPr>
        <w:spacing w:after="120" w:line="276"/>
      </w:pPr>
      <w:r>
        <w:rPr>
          <w:rFonts w:ascii="Calibri" w:cs="Calibri" w:eastAsia="Calibri" w:hAnsi="Calibri"/>
          <w:b/>
          <w:bCs/>
          <w:sz w:val="22"/>
          <w:szCs w:val="22"/>
        </w:rPr>
        <w:t xml:space="preserve">H3 (inert sensory assets). </w:t>
      </w:r>
      <w:r>
        <w:rPr>
          <w:rFonts w:ascii="Calibri" w:cs="Calibri" w:eastAsia="Calibri" w:hAnsi="Calibri"/>
          <w:sz w:val="22"/>
          <w:szCs w:val="22"/>
        </w:rPr>
        <w:t xml:space="preserve">Text-encoded attributes such as specifications, claims, certifications, and expert endorsements predict agent retrieval. Sensory brand assets such as packaging, logo, imagery, and sonic codes do not. The distinctive-asset apparatus has no effect in this channel.</w:t>
      </w:r>
    </w:p>
    <w:p>
      <w:pPr>
        <w:spacing w:after="120" w:line="276"/>
      </w:pPr>
      <w:r>
        <w:rPr>
          <w:rFonts w:ascii="Calibri" w:cs="Calibri" w:eastAsia="Calibri" w:hAnsi="Calibri"/>
          <w:b/>
          <w:bCs/>
          <w:sz w:val="22"/>
          <w:szCs w:val="22"/>
        </w:rPr>
        <w:t xml:space="preserve">H4 (source authority, and the discriminating test). </w:t>
      </w:r>
      <w:r>
        <w:rPr>
          <w:rFonts w:ascii="Calibri" w:cs="Calibri" w:eastAsia="Calibri" w:hAnsi="Calibri"/>
          <w:sz w:val="22"/>
          <w:szCs w:val="22"/>
        </w:rPr>
        <w:t xml:space="preserve">Retrieval is predicted by the authority of the sources discussing a brand and not merely by how much it is discussed. This is more than a moderator. If retrieval follows expert and editorial assessment, the lever available to a firm is being evaluated by people whose judgements get published, which is slow and pays off only if the product survives scrutiny. If retrieval follows sheer volume of mention irrespective of source, the lever is seeding discussion wherever it is cheapest, which requires nothing of the product and invites the channel to be flooded. The two readings imply different budgets, different defensibility, and different welfare, and H4 is tested observationally and experimentally as set out in Section 5.</w:t>
      </w:r>
    </w:p>
    <w:p>
      <w:pPr>
        <w:spacing w:after="120" w:line="276"/>
      </w:pPr>
      <w:r>
        <w:rPr>
          <w:rFonts w:ascii="Calibri" w:cs="Calibri" w:eastAsia="Calibri" w:hAnsi="Calibri"/>
          <w:b/>
          <w:bCs/>
          <w:sz w:val="22"/>
          <w:szCs w:val="22"/>
        </w:rPr>
        <w:t xml:space="preserve">H5 (the reallocation). </w:t>
      </w:r>
      <w:r>
        <w:rPr>
          <w:rFonts w:ascii="Calibri" w:cs="Calibri" w:eastAsia="Calibri" w:hAnsi="Calibri"/>
          <w:sz w:val="22"/>
          <w:szCs w:val="22"/>
        </w:rPr>
        <w:t xml:space="preserve">Brands whose share rests on physical availability lose most. Brands with high discourse-to-share ratios gain most. At the category level, agentic choice concentrates where the evaluative record is dominated by a few expert-endorsed brands and disperses where discourse is diffuse.</w:t>
      </w:r>
    </w:p>
    <w:p>
      <w:pPr>
        <w:spacing w:after="120" w:line="276"/>
      </w:pPr>
      <w:r>
        <w:rPr>
          <w:rFonts w:ascii="Calibri" w:cs="Calibri" w:eastAsia="Calibri" w:hAnsi="Calibri"/>
          <w:b/>
          <w:bCs/>
          <w:sz w:val="22"/>
          <w:szCs w:val="22"/>
        </w:rPr>
        <w:t xml:space="preserve">H6 (instability and manipulability). </w:t>
      </w:r>
      <w:r>
        <w:rPr>
          <w:rFonts w:ascii="Calibri" w:cs="Calibri" w:eastAsia="Calibri" w:hAnsi="Calibri"/>
          <w:sz w:val="22"/>
          <w:szCs w:val="22"/>
        </w:rPr>
        <w:t xml:space="preserve">Because representational availability is produced by text rather than by memory, it is more manipulable and less stable over time than mental availability. Brands with the largest gap to close should move first, which makes the construct endogenous to its own discovery.</w:t>
      </w:r>
    </w:p>
    <w:p>
      <w:pPr>
        <w:spacing w:after="120" w:line="276"/>
      </w:pPr>
      <w:r>
        <w:rPr>
          <w:rFonts w:ascii="Calibri" w:cs="Calibri" w:eastAsia="Calibri" w:hAnsi="Calibri"/>
          <w:b/>
          <w:bCs/>
          <w:sz w:val="22"/>
          <w:szCs w:val="22"/>
        </w:rPr>
        <w:t xml:space="preserve">H7 (budget moderation). </w:t>
      </w:r>
      <w:r>
        <w:rPr>
          <w:rFonts w:ascii="Calibri" w:cs="Calibri" w:eastAsia="Calibri" w:hAnsi="Calibri"/>
          <w:sz w:val="22"/>
          <w:szCs w:val="22"/>
        </w:rPr>
        <w:t xml:space="preserve">The difference between machine retrieval and market share narrows when the consumer states a price constraint. Under an unconstrained request the retrieved set skews toward brands with high evaluative discourse. Under a stated budget it shifts toward brands with high physical availability. This matters because it bounds the practical size of the phenomenon, since a great deal of real purchasing is budget-constrained, and because it is the one prediction already supported by pilot evidence.</w:t>
      </w:r>
    </w:p>
    <w:p>
      <w:pPr>
        <w:pStyle w:val="Heading1"/>
        <w:spacing w:after="120" w:before="260"/>
      </w:pPr>
      <w:r>
        <w:rPr>
          <w:rFonts w:ascii="Calibri" w:cs="Calibri" w:eastAsia="Calibri" w:hAnsi="Calibri"/>
        </w:rPr>
        <w:t xml:space="preserve">3. Data and Sample</w:t>
      </w:r>
    </w:p>
    <w:p>
      <w:pPr>
        <w:spacing w:after="120" w:line="276"/>
        <w:jc w:val="left"/>
      </w:pPr>
      <w:r>
        <w:rPr>
          <w:rFonts w:ascii="Calibri" w:cs="Calibri" w:eastAsia="Calibri" w:hAnsi="Calibri"/>
          <w:b w:val="false"/>
          <w:bCs w:val="false"/>
          <w:i w:val="false"/>
          <w:iCs w:val="false"/>
          <w:sz w:val="22"/>
          <w:szCs w:val="22"/>
        </w:rPr>
        <w:t xml:space="preserve">Agent elicitation is the primary instrument. Across ten to fifteen consumer categories with reliable share data, we elicit brand recommendations from multiple model families under randomized prompt framings that vary the stated need, price constraint, use occasion, and consumer type. Prompts are treated as a design factor rather than a nuisance, since sensitivity to framing is itself a hypothesis. Runs are repeated to characterize within-model variance.</w:t>
      </w:r>
    </w:p>
    <w:p>
      <w:pPr>
        <w:spacing w:after="120" w:line="276"/>
        <w:jc w:val="left"/>
      </w:pPr>
      <w:r>
        <w:rPr>
          <w:rFonts w:ascii="Calibri" w:cs="Calibri" w:eastAsia="Calibri" w:hAnsi="Calibri"/>
          <w:b w:val="false"/>
          <w:bCs w:val="false"/>
          <w:i w:val="false"/>
          <w:iCs w:val="false"/>
          <w:sz w:val="22"/>
          <w:szCs w:val="22"/>
        </w:rPr>
        <w:t xml:space="preserve">Market share and physical availability come from NielsenIQ, which covers the CPG categories where this test is cleanest and where the panel infrastructure already exists. This imposes a scoping constraint worth stating explicitly. NielsenIQ coverage confines the sample to scanner categories, so sunscreen, toothpaste, detergent, shampoo, and packaged food are available while the most vivid illustrations of the phenomenon, running shoes and cookware among them, are not. The illustrative categories and the estimation sample are therefore different sets, which should be a deliberate choice presented as such rather than a gap discovered later.</w:t>
      </w:r>
    </w:p>
    <w:p>
      <w:pPr>
        <w:spacing w:after="120" w:line="276"/>
        <w:jc w:val="left"/>
      </w:pPr>
      <w:r>
        <w:rPr>
          <w:rFonts w:ascii="Calibri" w:cs="Calibri" w:eastAsia="Calibri" w:hAnsi="Calibri"/>
          <w:b w:val="false"/>
          <w:bCs w:val="false"/>
          <w:i w:val="false"/>
          <w:iCs w:val="false"/>
          <w:sz w:val="22"/>
          <w:szCs w:val="22"/>
        </w:rPr>
        <w:t xml:space="preserve">Discourse measures require assembling an evaluative corpus per brand from editorial and expert sources, community discussion, and review text, with source tier coded so that H4 is testable rather than assumed. Advertising spend comes from a syndicated measured-media source.</w:t>
      </w:r>
    </w:p>
    <w:p>
      <w:pPr>
        <w:spacing w:after="120" w:line="276"/>
        <w:jc w:val="left"/>
      </w:pPr>
      <w:r>
        <w:rPr>
          <w:rFonts w:ascii="Calibri" w:cs="Calibri" w:eastAsia="Calibri" w:hAnsi="Calibri"/>
          <w:b w:val="false"/>
          <w:bCs w:val="false"/>
          <w:i w:val="false"/>
          <w:iCs w:val="false"/>
          <w:sz w:val="22"/>
          <w:szCs w:val="22"/>
        </w:rPr>
        <w:t xml:space="preserve">Objective quality, where independent test results exist, is collected to absorb the component of discourse that reflects genuine product superiority rather than discursive prominence.</w:t>
      </w:r>
    </w:p>
    <w:p>
      <w:pPr>
        <w:spacing w:after="120" w:line="276"/>
        <w:jc w:val="left"/>
      </w:pPr>
      <w:r>
        <w:rPr>
          <w:rFonts w:ascii="Calibri" w:cs="Calibri" w:eastAsia="Calibri" w:hAnsi="Calibri"/>
          <w:b w:val="false"/>
          <w:bCs w:val="false"/>
          <w:i w:val="false"/>
          <w:iCs w:val="false"/>
          <w:sz w:val="22"/>
          <w:szCs w:val="22"/>
        </w:rPr>
        <w:t xml:space="preserve">Two routes exist for the purchase-side benchmark and for the competing explanations, and the choice between them has consequences worth stating rather than leaving to a footnote. The primary route uses syndicated panel data, which supplies dollar share, ACV-weighted distribution, and measured media at the quality the literature expects. It confines the sample to the packaged goods categories the panel covers, which excludes several categories where the retrieval gap appears largest, and it depends on access that may carry obligations to other projects.</w:t>
      </w:r>
    </w:p>
    <w:p>
      <w:pPr>
        <w:spacing w:after="120" w:line="276"/>
        <w:jc w:val="left"/>
      </w:pPr>
      <w:r>
        <w:rPr>
          <w:rFonts w:ascii="Calibri" w:cs="Calibri" w:eastAsia="Calibri" w:hAnsi="Calibri"/>
          <w:b w:val="false"/>
          <w:bCs w:val="false"/>
          <w:i w:val="false"/>
          <w:iCs w:val="false"/>
          <w:sz w:val="22"/>
          <w:szCs w:val="22"/>
        </w:rPr>
        <w:t xml:space="preserve">The alternative route is fully self-collected. Amazon Best Sellers Rank and review arrival velocity substitute for dollar share, both being established sales proxies and both public. Distribution becomes a scraped count of retailers listing the product. Advertising spend has no free substitute and would be dropped, which weakens H2 rather than merely simplifying it, since ad spend is one of the two competing explanations the hypothesis exists to rule out.</w:t>
      </w:r>
    </w:p>
    <w:p>
      <w:pPr>
        <w:spacing w:after="120" w:line="276"/>
        <w:jc w:val="left"/>
      </w:pPr>
      <w:r>
        <w:rPr>
          <w:rFonts w:ascii="Calibri" w:cs="Calibri" w:eastAsia="Calibri" w:hAnsi="Calibri"/>
          <w:b w:val="false"/>
          <w:bCs w:val="false"/>
          <w:i w:val="false"/>
          <w:iCs w:val="false"/>
          <w:sz w:val="22"/>
          <w:szCs w:val="22"/>
        </w:rPr>
        <w:t xml:space="preserve">The alternative costs measurement quality and one competing explanation. It buys category coverage well beyond packaged goods, full reproducibility, and independence from any data agreement. It also introduces a confound the primary route avoids. A paper arguing that machine retrieval reallocates demand would be measuring demand with a rank that another machine produces, and the separability of the two would have to be argued rather than assumed.</w:t>
      </w:r>
    </w:p>
    <w:p>
      <w:pPr>
        <w:pStyle w:val="Heading1"/>
        <w:spacing w:after="120" w:before="260"/>
      </w:pPr>
      <w:r>
        <w:rPr>
          <w:rFonts w:ascii="Calibri" w:cs="Calibri" w:eastAsia="Calibri" w:hAnsi="Calibri"/>
        </w:rPr>
        <w:t xml:space="preserve">4. Variable Construction</w:t>
      </w:r>
    </w:p>
    <w:p>
      <w:pPr>
        <w:spacing w:after="120" w:line="276"/>
        <w:jc w:val="left"/>
      </w:pPr>
      <w:r>
        <w:rPr>
          <w:rFonts w:ascii="Calibri" w:cs="Calibri" w:eastAsia="Calibri" w:hAnsi="Calibri"/>
          <w:b w:val="false"/>
          <w:bCs w:val="false"/>
          <w:i w:val="false"/>
          <w:iCs w:val="false"/>
          <w:sz w:val="22"/>
          <w:szCs w:val="22"/>
        </w:rPr>
        <w:t xml:space="preserve">One measurement decision is load-bearing and was established by pilot. Agent retrieval share must be computed with attention to position, not as an unordered set. Set-overlap measures such as Jaccard treat a brand named once in passing at the end of a list identically to the brand recommended first, and in pilot testing that understated the effect by roughly a factor of three, showing a pooled gap of 0.07 where position-aware measures showed 0.19. The primary measures are therefore top-mentioned brand agreement and an overlap weighted by inverse rank, with unordered set overlap retained only as a conservative lower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310"/>
        <w:gridCol w:w="1650"/>
        <w:gridCol w:w="1650"/>
      </w:tblGrid>
      <w:tr>
        <w:trPr>
          <w:tblHeader/>
        </w:trPr>
        <w:tc>
          <w:tcPr>
            <w:tcW w:type="dxa" w:w="17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Variable</w:t>
            </w:r>
          </w:p>
        </w:tc>
        <w:tc>
          <w:tcPr>
            <w:tcW w:type="dxa" w:w="431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Definition / Construction</w:t>
            </w:r>
          </w:p>
        </w:tc>
        <w:tc>
          <w:tcPr>
            <w:tcW w:type="dxa" w:w="16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Source</w:t>
            </w:r>
          </w:p>
        </w:tc>
        <w:tc>
          <w:tcPr>
            <w:tcW w:type="dxa" w:w="16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Role</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Agent retrieval share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Share of agent responses naming brand b in category c, pooled across models, prompt framings, and repeated runs. A consideration measure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Agent elicitation</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Primary DV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Market share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Dollar share within the category and period. Alternative, Amazon Best Sellers Rank and review arrival velocity, both established sales proxies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NielsenIQ, or Amazon</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Benchmark</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Retrieval-share difference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Agent retrieval share minus market share, standardized within category. A descriptive contrast between a consideration measure and a purchase measure, not a deficit against a target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Key DV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Discourse volume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Count of evaluative brand mentions across editorial, expert, and community text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Corpus assembly</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Key IV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Discourse intensity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Discourse volume divided by market share. Written evaluative attention per unit of commercial size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Key IV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Expert share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Proportion of a brand mentions originating from sources with editorial standing. Near-orthogonal to volume, which is what makes H4 estimable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Corpus, source taxonomy</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Key IV (H4)</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Source taxonomy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Pre-registered classification of sources on editorial standards, independent testing, and professional credentials, human-validated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Hand-built, LLM-assisted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Instrument for H4</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Advertising spend</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Category-adjusted measured media over trailing windows. No free substitute exists, so this competing explanation is lost under the self-collected route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Kantar or Numerator</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Competing IV, primary route only</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Physical availability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ACV-weighted distribution. Alternative, a scraped count of retailers listing the product, which is cruder</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NielsenIQ, or scraped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Competing IV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Text-encoded assets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Specifications, claims, certifications, and expert endorsements present in machine-readable form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IV (H3)</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Sensory assets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Distinctive packaging, logo, campaign imagery, sonic and color codes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Hand-coded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IV (H3), expected null</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Objective quality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Independent test results where they exist, used to absorb the quality component of discourse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Editorial test labs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Control</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Retrieval mode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Agent run with live web retrieval versus parametric only</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Design factor</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Isolates corpus channel</w:t>
            </w:r>
          </w:p>
        </w:tc>
      </w:tr>
    </w:tbl>
    <w:p>
      <w:pPr>
        <w:spacing w:after="120" w:line="276"/>
        <w:jc w:val="left"/>
      </w:pPr>
      <w:r>
        <w:rPr>
          <w:rFonts w:ascii="Calibri" w:cs="Calibri" w:eastAsia="Calibri" w:hAnsi="Calibri"/>
          <w:b w:val="false"/>
          <w:bCs w:val="false"/>
          <w:i w:val="false"/>
          <w:iCs w:val="false"/>
          <w:sz w:val="22"/>
          <w:szCs w:val="22"/>
        </w:rPr>
        <w:t xml:space="preserve"/>
      </w:r>
    </w:p>
    <w:p>
      <w:pPr>
        <w:pStyle w:val="Heading1"/>
        <w:spacing w:after="120" w:before="260"/>
      </w:pPr>
      <w:r>
        <w:rPr>
          <w:rFonts w:ascii="Calibri" w:cs="Calibri" w:eastAsia="Calibri" w:hAnsi="Calibri"/>
        </w:rPr>
        <w:t xml:space="preserve">5. Identification Strategy</w:t>
      </w:r>
    </w:p>
    <w:p>
      <w:pPr>
        <w:spacing w:after="120" w:line="276"/>
        <w:jc w:val="left"/>
      </w:pPr>
      <w:r>
        <w:rPr>
          <w:rFonts w:ascii="Calibri" w:cs="Calibri" w:eastAsia="Calibri" w:hAnsi="Calibri"/>
          <w:b w:val="false"/>
          <w:bCs w:val="false"/>
          <w:i w:val="false"/>
          <w:iCs w:val="false"/>
          <w:sz w:val="22"/>
          <w:szCs w:val="22"/>
        </w:rPr>
        <w:t xml:space="preserve">This paper identifies through controlled elicitation and an internal technological contrast rather than through a natural experiment, and the design should be presented that way rather than dressed as a quasi-experiment.</w:t>
      </w:r>
    </w:p>
    <w:p>
      <w:pPr>
        <w:spacing w:after="120" w:line="276"/>
        <w:jc w:val="left"/>
      </w:pPr>
      <w:r>
        <w:rPr>
          <w:rFonts w:ascii="Calibri" w:cs="Calibri" w:eastAsia="Calibri" w:hAnsi="Calibri"/>
          <w:b w:val="false"/>
          <w:bCs w:val="false"/>
          <w:i w:val="false"/>
          <w:iCs w:val="false"/>
          <w:sz w:val="22"/>
          <w:szCs w:val="22"/>
        </w:rPr>
        <w:t xml:space="preserve">The primary experimental lever is context manipulation. Because the information available to an agent can be controlled directly, brand information can be supplied in forms that vary systematically, holding the product constant while varying whether its assets are text-encoded or sensory. This converts H3 from a correlational claim into an experiment, and it is the cleanest causal test in the design.</w:t>
      </w:r>
    </w:p>
    <w:p>
      <w:pPr>
        <w:spacing w:after="120" w:line="276"/>
        <w:jc w:val="left"/>
      </w:pPr>
      <w:r>
        <w:rPr>
          <w:rFonts w:ascii="Calibri" w:cs="Calibri" w:eastAsia="Calibri" w:hAnsi="Calibri"/>
          <w:b w:val="false"/>
          <w:bCs w:val="false"/>
          <w:i w:val="false"/>
          <w:iCs w:val="false"/>
          <w:sz w:val="22"/>
          <w:szCs w:val="22"/>
        </w:rPr>
        <w:t xml:space="preserve">The second lever separates channels within the technology. Agents run with live web retrieval reflect the current state of the web, while agents run parametrically reflect the training corpus. Divergence between the two isolates the corpus channel from the contemporaneous discourse channel, and provides a within-technology contrast that no external instrument could supply.</w:t>
      </w:r>
    </w:p>
    <w:p>
      <w:pPr>
        <w:spacing w:after="120" w:line="276"/>
        <w:jc w:val="left"/>
      </w:pPr>
      <w:r>
        <w:rPr>
          <w:rFonts w:ascii="Calibri" w:cs="Calibri" w:eastAsia="Calibri" w:hAnsi="Calibri"/>
          <w:b w:val="false"/>
          <w:bCs w:val="false"/>
          <w:i w:val="false"/>
          <w:iCs w:val="false"/>
          <w:sz w:val="22"/>
          <w:szCs w:val="22"/>
        </w:rPr>
        <w:t xml:space="preserve">H4 requires its own treatment, because the two candidate drivers are correlated in the wild. Brands carrying editorial assessment are also talked about more, so a second count of expert mentions placed alongside a count of total mentions would be collinear and neither coefficient would be interpretable. The observational design therefore uses total mention volume together with expert share, meaning the proportion of a brand mentions originating from sources with editorial standing. Volume and expert share are close to orthogonal, since a brand may carry heavy community discussion with no editorial presence or a single authoritative assessment with almost no chatter, and both can enter the same specification.</w:t>
      </w:r>
    </w:p>
    <w:p>
      <w:pPr>
        <w:spacing w:after="120" w:line="276"/>
        <w:jc w:val="left"/>
      </w:pPr>
      <w:r>
        <w:rPr>
          <w:rFonts w:ascii="Calibri" w:cs="Calibri" w:eastAsia="Calibri" w:hAnsi="Calibri"/>
          <w:b w:val="false"/>
          <w:bCs w:val="false"/>
          <w:i w:val="false"/>
          <w:iCs w:val="false"/>
          <w:sz w:val="22"/>
          <w:szCs w:val="22"/>
        </w:rPr>
        <w:t xml:space="preserve">Identification for H4 accordingly lives in the off-diagonal cells of that space, and the sample is constructed to populate them deliberately rather than left to chance. Brands high in volume and low in expert share, and the reverse, carry the estimate.</w:t>
      </w:r>
    </w:p>
    <w:p>
      <w:pPr>
        <w:spacing w:after="120" w:line="276"/>
        <w:jc w:val="left"/>
      </w:pPr>
      <w:r>
        <w:rPr>
          <w:rFonts w:ascii="Calibri" w:cs="Calibri" w:eastAsia="Calibri" w:hAnsi="Calibri"/>
          <w:b w:val="false"/>
          <w:bCs w:val="false"/>
          <w:i w:val="false"/>
          <w:iCs w:val="false"/>
          <w:sz w:val="22"/>
          <w:szCs w:val="22"/>
        </w:rPr>
        <w:t xml:space="preserve">Defining editorial standing is the exposed judgement in this design and cannot be researcher discretion exercised after results are seen. The source taxonomy is fixed in advance and classifies sources on whether they maintain editorial standards, conduct independent testing, or carry professional credentials, with human validation on a stratified sample and the taxonomy pre-registered.</w:t>
      </w:r>
    </w:p>
    <w:p>
      <w:pPr>
        <w:spacing w:after="120" w:line="276"/>
        <w:jc w:val="left"/>
      </w:pPr>
      <w:r>
        <w:rPr>
          <w:rFonts w:ascii="Calibri" w:cs="Calibri" w:eastAsia="Calibri" w:hAnsi="Calibri"/>
          <w:b w:val="false"/>
          <w:bCs w:val="false"/>
          <w:i w:val="false"/>
          <w:iCs w:val="false"/>
          <w:sz w:val="22"/>
          <w:szCs w:val="22"/>
        </w:rPr>
        <w:t xml:space="preserve">The experimental version of H4 avoids the collinearity problem entirely and is the cleaner test. Because the context supplied to an agent is under our control, we construct contexts holding the brand and category fixed while varying only the type of evidence present, one carrying a volume of ordinary community discussion and the other a single authoritative assessment, and observe which shifts the pick. This measures the weighting directly rather than inferring it from correlated observational measures. The observational result then describes the association as it occurs in the field while the experiment establishes what drives it, and the experiment should be run first, since it is cheaper and determines whether the corpus assembly is worth undertaking at all.</w:t>
      </w:r>
    </w:p>
    <w:p>
      <w:pPr>
        <w:spacing w:after="120" w:line="276"/>
        <w:jc w:val="left"/>
      </w:pPr>
      <w:r>
        <w:rPr>
          <w:rFonts w:ascii="Calibri" w:cs="Calibri" w:eastAsia="Calibri" w:hAnsi="Calibri"/>
          <w:b w:val="false"/>
          <w:bCs w:val="false"/>
          <w:i w:val="false"/>
          <w:iCs w:val="false"/>
          <w:sz w:val="22"/>
          <w:szCs w:val="22"/>
        </w:rPr>
        <w:t xml:space="preserve">For H2 the concern is that discourse is endogenous to quality, since better products generate more favourable text. Objective test results absorb part of this, and the discourse intensity measure, which normalizes by commercial size, absorbs more. The residual concern is addressed by testing whether the relationship holds within quality-matched brand pairs.</w:t>
      </w:r>
    </w:p>
    <w:p>
      <w:pPr>
        <w:pStyle w:val="Heading1"/>
        <w:spacing w:after="120" w:before="260"/>
      </w:pPr>
      <w:r>
        <w:rPr>
          <w:rFonts w:ascii="Calibri" w:cs="Calibri" w:eastAsia="Calibri" w:hAnsi="Calibri"/>
        </w:rPr>
        <w:t xml:space="preserve">6. Threats to Validity and Mitigation</w:t>
      </w:r>
    </w:p>
    <w:p>
      <w:pPr>
        <w:spacing w:after="120" w:line="276"/>
      </w:pPr>
      <w:r>
        <w:rPr>
          <w:rFonts w:ascii="Calibri" w:cs="Calibri" w:eastAsia="Calibri" w:hAnsi="Calibri"/>
          <w:b/>
          <w:bCs/>
          <w:sz w:val="22"/>
          <w:szCs w:val="22"/>
        </w:rPr>
        <w:t xml:space="preserve">Commensurability. </w:t>
      </w:r>
      <w:r>
        <w:rPr>
          <w:rFonts w:ascii="Calibri" w:cs="Calibri" w:eastAsia="Calibri" w:hAnsi="Calibri"/>
          <w:sz w:val="22"/>
          <w:szCs w:val="22"/>
        </w:rPr>
        <w:t xml:space="preserve">Agent retrieval measures consideration and market share measures purchase, so the two are not the same quantity and their difference cannot be read as an error term. Section 1 states this. The difference is used descriptively, to establish that the machine-assembled set is not simply a restatement of what sells, and the analysis then asks what predicts retrieval directly rather than what explains a residual. Where a consideration benchmark can be obtained for a subset of categories, retrieval should be validated against that rather than against share.</w:t>
      </w:r>
    </w:p>
    <w:p>
      <w:pPr>
        <w:spacing w:after="120" w:line="276"/>
      </w:pPr>
      <w:r>
        <w:rPr>
          <w:rFonts w:ascii="Calibri" w:cs="Calibri" w:eastAsia="Calibri" w:hAnsi="Calibri"/>
          <w:b/>
          <w:bCs/>
          <w:sz w:val="22"/>
          <w:szCs w:val="22"/>
        </w:rPr>
        <w:t xml:space="preserve">Channel scope. </w:t>
      </w:r>
      <w:r>
        <w:rPr>
          <w:rFonts w:ascii="Calibri" w:cs="Calibri" w:eastAsia="Calibri" w:hAnsi="Calibri"/>
          <w:sz w:val="22"/>
          <w:szCs w:val="22"/>
        </w:rPr>
        <w:t xml:space="preserve">Retailer-native assistants account for a majority of AI-driven retail sales and retrieve from proprietary catalogues rather than the open corpus, so the construct does not describe them. The paper concerns general-purpose models operating upstream of the retailer. This is a genuine limit on the claim rather than a caveat, and if consideration migrates inside retailer environments the construct narrows further.</w:t>
      </w:r>
    </w:p>
    <w:p>
      <w:pPr>
        <w:spacing w:after="120" w:line="276"/>
      </w:pPr>
      <w:r>
        <w:rPr>
          <w:rFonts w:ascii="Calibri" w:cs="Calibri" w:eastAsia="Calibri" w:hAnsi="Calibri"/>
          <w:b/>
          <w:bCs/>
          <w:sz w:val="22"/>
          <w:szCs w:val="22"/>
        </w:rPr>
        <w:t xml:space="preserve">Normative misreading. </w:t>
      </w:r>
      <w:r>
        <w:rPr>
          <w:rFonts w:ascii="Calibri" w:cs="Calibri" w:eastAsia="Calibri" w:hAnsi="Calibri"/>
          <w:sz w:val="22"/>
          <w:szCs w:val="22"/>
        </w:rPr>
        <w:t xml:space="preserve">A reader may take the paper to be claiming that the models are wrong. It is not, and Section 1 says so directly. Market share is used as a reference point describing an earlier regime, not as a target the models ought to reproduce. H4 separates expert retrieval from prominence tracking so the quality question can be settled empirically by anyone who wants it settled, but the contribution does not rest on the answer.</w:t>
      </w:r>
    </w:p>
    <w:p>
      <w:pPr>
        <w:spacing w:after="120" w:line="276"/>
      </w:pPr>
      <w:r>
        <w:rPr>
          <w:rFonts w:ascii="Calibri" w:cs="Calibri" w:eastAsia="Calibri" w:hAnsi="Calibri"/>
          <w:b/>
          <w:bCs/>
          <w:sz w:val="22"/>
          <w:szCs w:val="22"/>
        </w:rPr>
        <w:t xml:space="preserve">Construct distinctness. </w:t>
      </w:r>
      <w:r>
        <w:rPr>
          <w:rFonts w:ascii="Calibri" w:cs="Calibri" w:eastAsia="Calibri" w:hAnsi="Calibri"/>
          <w:sz w:val="22"/>
          <w:szCs w:val="22"/>
        </w:rPr>
        <w:t xml:space="preserve">Representational availability must be shown to be more than mental availability measured through a machine. The defence is the retrieval mechanism, since one is retrieval from a memory shaped by exposure and the other is retrieval from a corpus by a system with none. The production-based defence, that the first is bought and the second earned, is weaker and should not be leaned on, particularly given the emergence of a practitioner industry selling discourse placement.</w:t>
      </w:r>
    </w:p>
    <w:p>
      <w:pPr>
        <w:spacing w:after="120" w:line="276"/>
      </w:pPr>
      <w:r>
        <w:rPr>
          <w:rFonts w:ascii="Calibri" w:cs="Calibri" w:eastAsia="Calibri" w:hAnsi="Calibri"/>
          <w:b/>
          <w:bCs/>
          <w:sz w:val="22"/>
          <w:szCs w:val="22"/>
        </w:rPr>
        <w:t xml:space="preserve">Recommendation is not purchase. </w:t>
      </w:r>
      <w:r>
        <w:rPr>
          <w:rFonts w:ascii="Calibri" w:cs="Calibri" w:eastAsia="Calibri" w:hAnsi="Calibri"/>
          <w:sz w:val="22"/>
          <w:szCs w:val="22"/>
        </w:rPr>
        <w:t xml:space="preserve">This is the largest external validity assumption in the paper and it should be stated in the introduction rather than left to a limitations section. We measure what a model recommends, not what an agent buys, because no public agentic transaction data exists. The inferential step depends on the eventual purchase flow resembling the recommendation flow, which is plausible while agents are built on the same models but is not guaranteed as commerce-specific systems, retailer integrations, and sponsored placement mature. Mitigation is bounding the claim to recommendation, treating purchase as an extrapolation, and identifying any observable proxy for agent-initiated transactions as they become available.</w:t>
      </w:r>
    </w:p>
    <w:p>
      <w:pPr>
        <w:spacing w:after="120" w:line="276"/>
      </w:pPr>
      <w:r>
        <w:rPr>
          <w:rFonts w:ascii="Calibri" w:cs="Calibri" w:eastAsia="Calibri" w:hAnsi="Calibri"/>
          <w:b/>
          <w:bCs/>
          <w:sz w:val="22"/>
          <w:szCs w:val="22"/>
        </w:rPr>
        <w:t xml:space="preserve">Model idiosyncrasy. </w:t>
      </w:r>
      <w:r>
        <w:rPr>
          <w:rFonts w:ascii="Calibri" w:cs="Calibri" w:eastAsia="Calibri" w:hAnsi="Calibri"/>
          <w:sz w:val="22"/>
          <w:szCs w:val="22"/>
        </w:rPr>
        <w:t xml:space="preserve">A result present in one model is a fact about that model. Mitigation is testing across model families and reporting cross-model agreement as a first-order result, since H1 depends on stability rather than on any single system.</w:t>
      </w:r>
    </w:p>
    <w:p>
      <w:pPr>
        <w:spacing w:after="120" w:line="276"/>
      </w:pPr>
      <w:r>
        <w:rPr>
          <w:rFonts w:ascii="Calibri" w:cs="Calibri" w:eastAsia="Calibri" w:hAnsi="Calibri"/>
          <w:b/>
          <w:bCs/>
          <w:sz w:val="22"/>
          <w:szCs w:val="22"/>
        </w:rPr>
        <w:t xml:space="preserve">Non-stationarity. </w:t>
      </w:r>
      <w:r>
        <w:rPr>
          <w:rFonts w:ascii="Calibri" w:cs="Calibri" w:eastAsia="Calibri" w:hAnsi="Calibri"/>
          <w:sz w:val="22"/>
          <w:szCs w:val="22"/>
        </w:rPr>
        <w:t xml:space="preserve">Models are retrained and updated, so any measurement is time-stamped and may not replicate. Mitigation is pre-registration, repeated measurement waves, and reporting the elicitation date as a property of the estimate rather than as a footnote.</w:t>
      </w:r>
    </w:p>
    <w:p>
      <w:pPr>
        <w:spacing w:after="120" w:line="276"/>
      </w:pPr>
      <w:r>
        <w:rPr>
          <w:rFonts w:ascii="Calibri" w:cs="Calibri" w:eastAsia="Calibri" w:hAnsi="Calibri"/>
          <w:b/>
          <w:bCs/>
          <w:sz w:val="22"/>
          <w:szCs w:val="22"/>
        </w:rPr>
        <w:t xml:space="preserve">Reflexivity. </w:t>
      </w:r>
      <w:r>
        <w:rPr>
          <w:rFonts w:ascii="Calibri" w:cs="Calibri" w:eastAsia="Calibri" w:hAnsi="Calibri"/>
          <w:sz w:val="22"/>
          <w:szCs w:val="22"/>
        </w:rPr>
        <w:t xml:space="preserve">Model outputs now shape what people write, so discourse is no longer exogenous to prior model behavior. Mitigation is anchoring discourse measures to corpus snapshots predating widespread agentic use, which also strengthens the temporal ordering for H2.</w:t>
      </w:r>
    </w:p>
    <w:p>
      <w:pPr>
        <w:spacing w:after="120" w:line="276"/>
      </w:pPr>
      <w:r>
        <w:rPr>
          <w:rFonts w:ascii="Calibri" w:cs="Calibri" w:eastAsia="Calibri" w:hAnsi="Calibri"/>
          <w:b/>
          <w:bCs/>
          <w:sz w:val="22"/>
          <w:szCs w:val="22"/>
        </w:rPr>
        <w:t xml:space="preserve">Commercial arrangements. </w:t>
      </w:r>
      <w:r>
        <w:rPr>
          <w:rFonts w:ascii="Calibri" w:cs="Calibri" w:eastAsia="Calibri" w:hAnsi="Calibri"/>
          <w:sz w:val="22"/>
          <w:szCs w:val="22"/>
        </w:rPr>
        <w:t xml:space="preserve">Some systems have shopping partnerships or sponsored placement that would confound retrieval with paid distribution. Mitigation is auditing and disclosing known arrangements per model and testing robustness to their exclusion.</w:t>
      </w:r>
    </w:p>
    <w:p>
      <w:pPr>
        <w:spacing w:after="120" w:line="276"/>
      </w:pPr>
      <w:r>
        <w:rPr>
          <w:rFonts w:ascii="Calibri" w:cs="Calibri" w:eastAsia="Calibri" w:hAnsi="Calibri"/>
          <w:b/>
          <w:bCs/>
          <w:sz w:val="22"/>
          <w:szCs w:val="22"/>
        </w:rPr>
        <w:t xml:space="preserve">Refusals and guardrails. </w:t>
      </w:r>
      <w:r>
        <w:rPr>
          <w:rFonts w:ascii="Calibri" w:cs="Calibri" w:eastAsia="Calibri" w:hAnsi="Calibri"/>
          <w:sz w:val="22"/>
          <w:szCs w:val="22"/>
        </w:rPr>
        <w:t xml:space="preserve">Models sometimes decline to name specific brands or hedge into generic advice. Mitigation is treating refusal as an outcome category rather than as missing data, since refusal rates may themselves vary by category in informative ways.</w:t>
      </w:r>
    </w:p>
    <w:p>
      <w:pPr>
        <w:spacing w:after="120" w:line="276"/>
      </w:pPr>
      <w:r>
        <w:rPr>
          <w:rFonts w:ascii="Calibri" w:cs="Calibri" w:eastAsia="Calibri" w:hAnsi="Calibri"/>
          <w:b/>
          <w:bCs/>
          <w:sz w:val="22"/>
          <w:szCs w:val="22"/>
        </w:rPr>
        <w:t xml:space="preserve">Construct separation. </w:t>
      </w:r>
      <w:r>
        <w:rPr>
          <w:rFonts w:ascii="Calibri" w:cs="Calibri" w:eastAsia="Calibri" w:hAnsi="Calibri"/>
          <w:sz w:val="22"/>
          <w:szCs w:val="22"/>
        </w:rPr>
        <w:t xml:space="preserve">Representational availability must be shown to be distinct from mental availability rather than a proxy for it. Mitigation is demonstrating divergence against a conventional mental availability benchmark in a subset of categories where survey measures can be obtained.</w:t>
      </w:r>
    </w:p>
    <w:p>
      <w:pPr>
        <w:pStyle w:val="Heading1"/>
        <w:spacing w:after="120" w:before="260"/>
      </w:pPr>
      <w:r>
        <w:rPr>
          <w:rFonts w:ascii="Calibri" w:cs="Calibri" w:eastAsia="Calibri" w:hAnsi="Calibri"/>
        </w:rPr>
        <w:t xml:space="preserve">7. Expected Contribution and Target Outlet</w:t>
      </w:r>
    </w:p>
    <w:p>
      <w:pPr>
        <w:spacing w:after="120" w:line="276"/>
        <w:jc w:val="left"/>
      </w:pPr>
      <w:r>
        <w:rPr>
          <w:rFonts w:ascii="Calibri" w:cs="Calibri" w:eastAsia="Calibri" w:hAnsi="Calibri"/>
          <w:b w:val="false"/>
          <w:bCs w:val="false"/>
          <w:i w:val="false"/>
          <w:iCs w:val="false"/>
          <w:sz w:val="22"/>
          <w:szCs w:val="22"/>
        </w:rPr>
        <w:t xml:space="preserve">The construct contribution is representational availability as a third form of availability, separated from the other two by retrieval mechanism. Physical availability concerns reachability, mental availability concerns retrieval from a memory built by exposure, and representational availability concerns retrieval from a corpus by a system with no exposure at all. The accompanying production asymmetry, in which the firm own spending drives the first two while other people written evaluations drive the third, is a strategically consequential feature rather than the definition.</w:t>
      </w:r>
    </w:p>
    <w:p>
      <w:pPr>
        <w:spacing w:after="120" w:line="276"/>
        <w:jc w:val="left"/>
      </w:pPr>
      <w:r>
        <w:rPr>
          <w:rFonts w:ascii="Calibri" w:cs="Calibri" w:eastAsia="Calibri" w:hAnsi="Calibri"/>
          <w:b w:val="false"/>
          <w:bCs w:val="false"/>
          <w:i w:val="false"/>
          <w:iCs w:val="false"/>
          <w:sz w:val="22"/>
          <w:szCs w:val="22"/>
        </w:rPr>
        <w:t xml:space="preserve">The theoretical contribution is the observation that an agent is a pure word-of-mouth recipient, which promotes the word-of-mouth literature from a partial account of choice to a complete one in this channel, and which predicts that mix elements failing to generate evaluative text are inert rather than merely weakened.</w:t>
      </w:r>
    </w:p>
    <w:p>
      <w:pPr>
        <w:spacing w:after="120" w:line="276"/>
        <w:jc w:val="left"/>
      </w:pPr>
      <w:r>
        <w:rPr>
          <w:rFonts w:ascii="Calibri" w:cs="Calibri" w:eastAsia="Calibri" w:hAnsi="Calibri"/>
          <w:b w:val="false"/>
          <w:bCs w:val="false"/>
          <w:i w:val="false"/>
          <w:iCs w:val="false"/>
          <w:sz w:val="22"/>
          <w:szCs w:val="22"/>
        </w:rPr>
        <w:t xml:space="preserve">The empirical contribution is the first systematic measurement of divergence between agentic brand choice and market share, and a test of what produces it.</w:t>
      </w:r>
    </w:p>
    <w:p>
      <w:pPr>
        <w:spacing w:after="120" w:line="276"/>
        <w:jc w:val="left"/>
      </w:pPr>
      <w:r>
        <w:rPr>
          <w:rFonts w:ascii="Calibri" w:cs="Calibri" w:eastAsia="Calibri" w:hAnsi="Calibri"/>
          <w:b w:val="false"/>
          <w:bCs w:val="false"/>
          <w:i w:val="false"/>
          <w:iCs w:val="false"/>
          <w:sz w:val="22"/>
          <w:szCs w:val="22"/>
        </w:rPr>
        <w:t xml:space="preserve">The managerial contribution is that firms are measuring and spending against an asset that is becoming less relevant while an unmeasured one determines an increasing share of demand. The prescription is uncomfortable, because the productive investment is earned discourse, which marketing organizations are structured to buy rather than to earn.</w:t>
      </w:r>
    </w:p>
    <w:p>
      <w:pPr>
        <w:spacing w:after="120" w:line="276"/>
        <w:jc w:val="left"/>
      </w:pPr>
      <w:r>
        <w:rPr>
          <w:rFonts w:ascii="Calibri" w:cs="Calibri" w:eastAsia="Calibri" w:hAnsi="Calibri"/>
          <w:b w:val="false"/>
          <w:bCs w:val="false"/>
          <w:i w:val="false"/>
          <w:iCs w:val="false"/>
          <w:sz w:val="22"/>
          <w:szCs w:val="22"/>
        </w:rPr>
        <w:t xml:space="preserve">Target outlets are Journal of Marketing for the strategic framing, or Marketing Science if the substitution asymmetry between paid and earned production is modeled formally.</w:t>
      </w:r>
    </w:p>
    <w:p>
      <w:pPr>
        <w:pStyle w:val="Heading1"/>
        <w:spacing w:after="120" w:before="260"/>
      </w:pPr>
      <w:r>
        <w:rPr>
          <w:rFonts w:ascii="Calibri" w:cs="Calibri" w:eastAsia="Calibri" w:hAnsi="Calibri"/>
        </w:rPr>
        <w:t xml:space="preserve">8. Feasibility and Next Steps</w:t>
      </w:r>
    </w:p>
    <w:p>
      <w:pPr>
        <w:spacing w:after="120" w:line="276"/>
        <w:jc w:val="left"/>
      </w:pPr>
      <w:r>
        <w:rPr>
          <w:rFonts w:ascii="Calibri" w:cs="Calibri" w:eastAsia="Calibri" w:hAnsi="Calibri"/>
          <w:b w:val="false"/>
          <w:bCs w:val="false"/>
          <w:i w:val="false"/>
          <w:iCs w:val="false"/>
          <w:sz w:val="22"/>
          <w:szCs w:val="22"/>
        </w:rPr>
        <w:t xml:space="preserve">A pilot has been run and is reported here because it changed the design. One hundred and twenty elicitations against a single frontier model, across eight consumer packaged goods categories, five prompt framings, and three repetitions of each, with default sampling settings and no tuning, so that the elicitation resembles what an ordinary user receives.</w:t>
      </w:r>
    </w:p>
    <w:p>
      <w:pPr>
        <w:spacing w:after="120" w:line="276"/>
        <w:jc w:val="left"/>
      </w:pPr>
      <w:r>
        <w:rPr>
          <w:rFonts w:ascii="Calibri" w:cs="Calibri" w:eastAsia="Calibri" w:hAnsi="Calibri"/>
          <w:b w:val="false"/>
          <w:bCs w:val="false"/>
          <w:i w:val="false"/>
          <w:iCs w:val="false"/>
          <w:sz w:val="22"/>
          <w:szCs w:val="22"/>
        </w:rPr>
        <w:t xml:space="preserve">The pilot was built to test the most dangerous alternative explanation, which is that the divergence between retrieval and market share is an artefact of asking a quality question rather than a purchase question. If true, the phenomenon would be a curiosity about phrasing rather than a fact about brands, since consumers deciding what to buy do not ask which product is best in the abstract.</w:t>
      </w:r>
    </w:p>
    <w:p>
      <w:pPr>
        <w:spacing w:after="120" w:line="276"/>
        <w:jc w:val="left"/>
      </w:pPr>
      <w:r>
        <w:rPr>
          <w:rFonts w:ascii="Calibri" w:cs="Calibri" w:eastAsia="Calibri" w:hAnsi="Calibri"/>
          <w:b w:val="false"/>
          <w:bCs w:val="false"/>
          <w:i w:val="false"/>
          <w:iCs w:val="false"/>
          <w:sz w:val="22"/>
          <w:szCs w:val="22"/>
        </w:rPr>
        <w:t xml:space="preserve">It is not an artefact. Repetitions of an identical prompt agree on the leading brand 66 percent of the time, which establishes the noise floor. A quality-framed request and a purchase-framed request agree at 74 percent, meaning above the noise floor and therefore indistinguishable. The retrieved leaders under a purchase framing remain the discourse-heavy brands rather than the share leaders.</w:t>
      </w:r>
    </w:p>
    <w:p>
      <w:pPr>
        <w:spacing w:after="120" w:line="276"/>
        <w:jc w:val="left"/>
      </w:pPr>
      <w:r>
        <w:rPr>
          <w:rFonts w:ascii="Calibri" w:cs="Calibri" w:eastAsia="Calibri" w:hAnsi="Calibri"/>
          <w:b w:val="false"/>
          <w:bCs w:val="false"/>
          <w:i w:val="false"/>
          <w:iCs w:val="false"/>
          <w:sz w:val="22"/>
          <w:szCs w:val="22"/>
        </w:rPr>
        <w:t xml:space="preserve">One framing does diverge sharply, and it is the one carrying a stated price ceiling, agreeing with the quality framing at only 26 percent. The share of leading brands classified as specialty falls from 0.42 to 0.19 under that constraint. A model returning less expensive brands when a budget is specified is behaving correctly rather than revealing instability, but the size of the shift is itself informative and is the basis for H7.</w:t>
      </w:r>
    </w:p>
    <w:p>
      <w:pPr>
        <w:spacing w:after="120" w:line="276"/>
        <w:jc w:val="left"/>
      </w:pPr>
      <w:r>
        <w:rPr>
          <w:rFonts w:ascii="Calibri" w:cs="Calibri" w:eastAsia="Calibri" w:hAnsi="Calibri"/>
          <w:b w:val="false"/>
          <w:bCs w:val="false"/>
          <w:i w:val="false"/>
          <w:iCs w:val="false"/>
          <w:sz w:val="22"/>
          <w:szCs w:val="22"/>
        </w:rPr>
        <w:t xml:space="preserve">The effect is also category-conditional. It appears where a category carries a genuine price and quality spread, and disappears where a single brand dominates every answer regardless of phrasing, as with dish soap and paper towels in the pilot.</w:t>
      </w:r>
    </w:p>
    <w:p>
      <w:pPr>
        <w:spacing w:after="120" w:line="276"/>
        <w:jc w:val="left"/>
      </w:pPr>
      <w:r>
        <w:rPr>
          <w:rFonts w:ascii="Calibri" w:cs="Calibri" w:eastAsia="Calibri" w:hAnsi="Calibri"/>
          <w:b w:val="false"/>
          <w:bCs w:val="false"/>
          <w:i w:val="false"/>
          <w:iCs w:val="false"/>
          <w:sz w:val="22"/>
          <w:szCs w:val="22"/>
        </w:rPr>
        <w:t xml:space="preserve">Pilot limitations are substantial and none of the above should be cited without replication. A single model family, so nothing here separates a property of models from a property of one model. Three repetitions per cell. Eight categories. No market share data on the right-hand side, so the comparison to share remains to be made. And the specialty classification was hand-assigned rather than derived from data.</w:t>
      </w:r>
    </w:p>
    <w:p>
      <w:pPr>
        <w:spacing w:after="120" w:line="276"/>
        <w:jc w:val="left"/>
      </w:pPr>
      <w:r>
        <w:rPr>
          <w:rFonts w:ascii="Calibri" w:cs="Calibri" w:eastAsia="Calibri" w:hAnsi="Calibri"/>
          <w:b w:val="false"/>
          <w:bCs w:val="false"/>
          <w:i w:val="false"/>
          <w:iCs w:val="false"/>
          <w:sz w:val="22"/>
          <w:szCs w:val="22"/>
        </w:rPr>
        <w:t xml:space="preserve">Next steps follow from that list. Replicate across at least two further model families, which is the single most important extension and the one that determines whether any of this is about machines or about one machine. Link retrieval to actual share using the panel. Then, and only then, begin the corpus assembly required for the discourse measures, which remains the largest cost in the project.</w:t>
      </w:r>
    </w:p>
    <w:p>
      <w:pPr>
        <w:spacing w:after="120" w:line="276"/>
        <w:jc w:val="left"/>
      </w:pPr>
      <w:r>
        <w:rPr>
          <w:rFonts w:ascii="Calibri" w:cs="Calibri" w:eastAsia="Calibri" w:hAnsi="Calibri"/>
          <w:b w:val="false"/>
          <w:bCs w:val="false"/>
          <w:i w:val="false"/>
          <w:iCs w:val="false"/>
          <w:sz w:val="22"/>
          <w:szCs w:val="22"/>
        </w:rPr>
        <w:t xml:space="preserve">A note on timing. This phenomenon is moving quickly and the window for a first systematic treatment is not wide. Elicitation should be time-stamped and the design pre-registered, so that the measurement has a defensible date attached even if the models change underneath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2026-09-08T16:55:04.204Z</dcterms:created>
  <dcterms:modified xsi:type="dcterms:W3CDTF">2026-09-08T16:55:04.205Z</dcterms:modified>
</cp:coreProperties>
</file>

<file path=docProps/custom.xml><?xml version="1.0" encoding="utf-8"?>
<Properties xmlns="http://schemas.openxmlformats.org/officeDocument/2006/custom-properties" xmlns:vt="http://schemas.openxmlformats.org/officeDocument/2006/docPropsVTypes"/>
</file>