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sz w:val="32"/>
        </w:rPr>
        <w:t>Reviews and Ratings</w:t>
      </w:r>
    </w:p>
    <w:p>
      <w:pPr>
        <w:spacing w:after="60"/>
        <w:jc w:val="center"/>
      </w:pPr>
      <w:r>
        <w:rPr>
          <w:rFonts w:ascii="Calibri" w:hAnsi="Calibri"/>
          <w:b w:val="0"/>
          <w:i w:val="0"/>
          <w:sz w:val="24"/>
        </w:rPr>
        <w:t>What the Literature Establishes, and the Gap a Competitive Solicitation Model Fills</w:t>
      </w:r>
    </w:p>
    <w:p>
      <w:pPr>
        <w:spacing w:after="40"/>
        <w:jc w:val="center"/>
      </w:pPr>
      <w:r>
        <w:rPr>
          <w:rFonts w:ascii="Calibri" w:hAnsi="Calibri"/>
          <w:b w:val="0"/>
          <w:i w:val="0"/>
          <w:sz w:val="22"/>
        </w:rPr>
        <w:t>Anwesha De</w:t>
      </w:r>
    </w:p>
    <w:p>
      <w:pPr>
        <w:spacing w:after="120"/>
        <w:jc w:val="center"/>
      </w:pPr>
      <w:r>
        <w:rPr>
          <w:rFonts w:ascii="Calibri" w:hAnsi="Calibri"/>
          <w:b w:val="0"/>
          <w:i/>
          <w:sz w:val="20"/>
        </w:rPr>
        <w:t>Working note for a prospective coauthor, September 2026</w:t>
      </w:r>
    </w:p>
    <w:p>
      <w:pPr>
        <w:spacing w:before="320" w:after="120"/>
      </w:pPr>
      <w:r>
        <w:rPr>
          <w:rFonts w:ascii="Calibri" w:hAnsi="Calibri"/>
          <w:b/>
          <w:sz w:val="26"/>
        </w:rPr>
        <w:t>Purpose of this note</w:t>
      </w:r>
    </w:p>
    <w:p>
      <w:pPr>
        <w:spacing w:after="120"/>
      </w:pPr>
      <w:r>
        <w:rPr>
          <w:rFonts w:ascii="Calibri" w:hAnsi="Calibri"/>
          <w:b w:val="0"/>
          <w:i w:val="0"/>
          <w:sz w:val="22"/>
        </w:rPr>
        <w:t>This note supports the 2x2 in which two competing firms each choose between soliciting reviews and letting reviews arrive on their own, with the asymmetric cells as the outcomes of interest. Part 1 is the literature in table form. Part 2 is the same literature as a sequence, arriving at the gap. Every entry was checked at source on 12 September 2026.</w:t>
      </w:r>
    </w:p>
    <w:p>
      <w:pPr>
        <w:spacing w:before="280" w:after="120"/>
      </w:pPr>
      <w:r>
        <w:rPr>
          <w:rFonts w:ascii="Calibri" w:hAnsi="Calibri"/>
          <w:b/>
          <w:sz w:val="26"/>
        </w:rPr>
        <w:t>Two corrections to earlier notes</w:t>
      </w:r>
    </w:p>
    <w:p>
      <w:pPr>
        <w:spacing w:after="120"/>
      </w:pPr>
      <w:r>
        <w:rPr>
          <w:rFonts w:ascii="Calibri" w:hAnsi="Calibri"/>
          <w:b/>
          <w:sz w:val="22"/>
        </w:rPr>
        <w:t xml:space="preserve">Hollenbeck (2018) </w:t>
      </w:r>
      <w:r>
        <w:rPr>
          <w:rFonts w:ascii="Calibri" w:hAnsi="Calibri"/>
          <w:sz w:val="22"/>
        </w:rPr>
        <w:t>appeared in the Journal of Marketing Research 55(5), 636 to 654, not in Marketing Science.</w:t>
      </w:r>
    </w:p>
    <w:p>
      <w:pPr>
        <w:spacing w:after="120"/>
      </w:pPr>
      <w:r>
        <w:rPr>
          <w:rFonts w:ascii="Calibri" w:hAnsi="Calibri"/>
          <w:b/>
          <w:sz w:val="22"/>
        </w:rPr>
        <w:t xml:space="preserve">Gao, Greenwood, Agarwal and McCullough (2015) </w:t>
      </w:r>
      <w:r>
        <w:rPr>
          <w:rFonts w:ascii="Calibri" w:hAnsi="Calibri"/>
          <w:sz w:val="22"/>
        </w:rPr>
        <w:t>is titled "Vocal Minority and Silent Majority" in MIS Quarterly 39(3). It compares online physician ratings against an offline population survey. The working title "The Silence of the Satisfied" sits close enough to invite the comparison, so either retitle or cite that paper early and say plainly how the question differs.</w:t>
      </w:r>
    </w:p>
    <w:p>
      <w:pPr>
        <w:spacing w:before="280" w:after="120"/>
      </w:pPr>
      <w:r>
        <w:rPr>
          <w:rFonts w:ascii="Calibri" w:hAnsi="Calibri"/>
          <w:b/>
          <w:sz w:val="26"/>
        </w:rPr>
        <w:t>How to read the gap claim</w:t>
      </w:r>
    </w:p>
    <w:p>
      <w:pPr>
        <w:spacing w:after="120"/>
      </w:pPr>
      <w:r>
        <w:rPr>
          <w:rFonts w:ascii="Calibri" w:hAnsi="Calibri"/>
          <w:b w:val="0"/>
          <w:i w:val="0"/>
          <w:sz w:val="22"/>
        </w:rPr>
        <w:t>What follows is a gap in what I found rather than proof that nobody has done it. Five papers could narrow it and are flagged at the end of Part 2. Read those before the framing goes into a draft.</w:t>
      </w:r>
    </w:p>
    <w:p>
      <w:pPr>
        <w:sectPr>
          <w:pgSz w:w="12240" w:h="15840"/>
          <w:pgMar w:top="1440" w:right="1440" w:bottom="1440" w:left="1440" w:header="720" w:footer="720" w:gutter="0"/>
          <w:cols w:space="720"/>
          <w:docGrid w:linePitch="360"/>
        </w:sectPr>
      </w:pPr>
    </w:p>
    <w:p>
      <w:pPr>
        <w:spacing w:before="0" w:after="120"/>
      </w:pPr>
      <w:r>
        <w:rPr>
          <w:rFonts w:ascii="Calibri" w:hAnsi="Calibri"/>
          <w:b/>
          <w:sz w:val="26"/>
        </w:rPr>
        <w:t>Part 1. The literature in table form</w:t>
      </w:r>
    </w:p>
    <w:tbl>
      <w:tblPr>
        <w:tblStyle w:val="TableGrid"/>
        <w:tblW w:type="auto" w:w="0"/>
        <w:jc w:val="left"/>
        <w:tblLayout w:type="fixed"/>
        <w:tblLook w:firstColumn="1" w:firstRow="1" w:lastColumn="0" w:lastRow="0" w:noHBand="0" w:noVBand="1" w:val="04A0"/>
      </w:tblPr>
      <w:tblGrid>
        <w:gridCol w:w="2736"/>
        <w:gridCol w:w="2736"/>
        <w:gridCol w:w="2736"/>
        <w:gridCol w:w="2736"/>
        <w:gridCol w:w="2736"/>
      </w:tblGrid>
      <w:tr>
        <w:trPr>
          <w:tblHeader w:val="true"/>
        </w:trPr>
        <w:tc>
          <w:tcPr>
            <w:tcW w:type="dxa" w:w="1512"/>
            <w:shd w:val="clear" w:color="auto" w:fill="E8E8E8"/>
          </w:tcPr>
          <w:p>
            <w:pPr>
              <w:spacing w:after="0" w:line="240" w:lineRule="auto"/>
            </w:pPr>
            <w:r/>
            <w:r>
              <w:rPr>
                <w:rFonts w:ascii="Calibri" w:hAnsi="Calibri"/>
                <w:b/>
                <w:sz w:val="18"/>
              </w:rPr>
              <w:t>Stream</w:t>
            </w:r>
          </w:p>
        </w:tc>
        <w:tc>
          <w:tcPr>
            <w:tcW w:type="dxa" w:w="2664"/>
            <w:shd w:val="clear" w:color="auto" w:fill="E8E8E8"/>
          </w:tcPr>
          <w:p>
            <w:pPr>
              <w:spacing w:after="0" w:line="240" w:lineRule="auto"/>
            </w:pPr>
            <w:r/>
            <w:r>
              <w:rPr>
                <w:rFonts w:ascii="Calibri" w:hAnsi="Calibri"/>
                <w:b/>
                <w:sz w:val="18"/>
              </w:rPr>
              <w:t>Paper</w:t>
            </w:r>
          </w:p>
        </w:tc>
        <w:tc>
          <w:tcPr>
            <w:tcW w:type="dxa" w:w="1440"/>
            <w:shd w:val="clear" w:color="auto" w:fill="E8E8E8"/>
          </w:tcPr>
          <w:p>
            <w:pPr>
              <w:spacing w:after="0" w:line="240" w:lineRule="auto"/>
            </w:pPr>
            <w:r/>
            <w:r>
              <w:rPr>
                <w:rFonts w:ascii="Calibri" w:hAnsi="Calibri"/>
                <w:b/>
                <w:sz w:val="18"/>
              </w:rPr>
              <w:t>Method</w:t>
            </w:r>
          </w:p>
        </w:tc>
        <w:tc>
          <w:tcPr>
            <w:tcW w:type="dxa" w:w="5112"/>
            <w:shd w:val="clear" w:color="auto" w:fill="E8E8E8"/>
          </w:tcPr>
          <w:p>
            <w:pPr>
              <w:spacing w:after="0" w:line="240" w:lineRule="auto"/>
            </w:pPr>
            <w:r/>
            <w:r>
              <w:rPr>
                <w:rFonts w:ascii="Calibri" w:hAnsi="Calibri"/>
                <w:b/>
                <w:sz w:val="18"/>
              </w:rPr>
              <w:t>What it shows</w:t>
            </w:r>
          </w:p>
        </w:tc>
        <w:tc>
          <w:tcPr>
            <w:tcW w:type="dxa" w:w="2952"/>
            <w:shd w:val="clear" w:color="auto" w:fill="E8E8E8"/>
          </w:tcPr>
          <w:p>
            <w:pPr>
              <w:spacing w:after="0" w:line="240" w:lineRule="auto"/>
            </w:pPr>
            <w:r/>
            <w:r>
              <w:rPr>
                <w:rFonts w:ascii="Calibri" w:hAnsi="Calibri"/>
                <w:b/>
                <w:sz w:val="18"/>
              </w:rPr>
              <w:t>Role for us</w:t>
            </w:r>
          </w:p>
        </w:tc>
      </w:tr>
      <w:tr>
        <w:tc>
          <w:tcPr>
            <w:tcW w:type="dxa" w:w="1512"/>
            <w:shd w:val="clear" w:color="auto" w:fill="F6F6F6"/>
          </w:tcPr>
          <w:p>
            <w:pPr>
              <w:spacing w:after="0" w:line="240" w:lineRule="auto"/>
            </w:pPr>
            <w:r/>
            <w:r>
              <w:rPr>
                <w:rFonts w:ascii="Calibri" w:hAnsi="Calibri"/>
                <w:b/>
                <w:sz w:val="18"/>
              </w:rPr>
              <w:t>Why ratings are biased</w:t>
            </w:r>
          </w:p>
        </w:tc>
        <w:tc>
          <w:tcPr>
            <w:tcW w:type="dxa" w:w="2664"/>
            <w:shd w:val="clear" w:color="auto" w:fill="F6F6F6"/>
          </w:tcPr>
          <w:p>
            <w:pPr>
              <w:spacing w:after="0" w:line="240" w:lineRule="auto"/>
            </w:pPr>
            <w:r/>
            <w:r>
              <w:rPr>
                <w:rFonts w:ascii="Calibri" w:hAnsi="Calibri"/>
                <w:b w:val="0"/>
                <w:sz w:val="18"/>
              </w:rPr>
              <w:t>Hu, Pavlou &amp; Zhang (2009, CACM 52(10), extended 2017, MISQ 41(2))</w:t>
            </w:r>
          </w:p>
        </w:tc>
        <w:tc>
          <w:tcPr>
            <w:tcW w:type="dxa" w:w="1440"/>
            <w:shd w:val="clear" w:color="auto" w:fill="F6F6F6"/>
          </w:tcPr>
          <w:p>
            <w:pPr>
              <w:spacing w:after="0" w:line="240" w:lineRule="auto"/>
            </w:pPr>
            <w:r/>
            <w:r>
              <w:rPr>
                <w:rFonts w:ascii="Calibri" w:hAnsi="Calibri"/>
                <w:b w:val="0"/>
                <w:sz w:val="18"/>
              </w:rPr>
              <w:t>Empirical</w:t>
            </w:r>
          </w:p>
        </w:tc>
        <w:tc>
          <w:tcPr>
            <w:tcW w:type="dxa" w:w="5112"/>
            <w:shd w:val="clear" w:color="auto" w:fill="F6F6F6"/>
          </w:tcPr>
          <w:p>
            <w:pPr>
              <w:spacing w:after="0" w:line="240" w:lineRule="auto"/>
            </w:pPr>
            <w:r/>
            <w:r>
              <w:rPr>
                <w:rFonts w:ascii="Calibri" w:hAnsi="Calibri"/>
                <w:b w:val="0"/>
                <w:sz w:val="18"/>
              </w:rPr>
              <w:t>The J-shaped rating distribution comes from purchase bias plus under-reporting</w:t>
            </w:r>
          </w:p>
        </w:tc>
        <w:tc>
          <w:tcPr>
            <w:tcW w:type="dxa" w:w="2952"/>
            <w:shd w:val="clear" w:color="auto" w:fill="F6F6F6"/>
          </w:tcPr>
          <w:p>
            <w:pPr>
              <w:spacing w:after="0" w:line="240" w:lineRule="auto"/>
            </w:pPr>
            <w:r/>
            <w:r>
              <w:rPr>
                <w:rFonts w:ascii="Calibri" w:hAnsi="Calibri"/>
                <w:b w:val="0"/>
                <w:sz w:val="18"/>
              </w:rPr>
              <w:t>Premise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Li &amp; Hitt (2008, ISR 19(4))</w:t>
            </w:r>
          </w:p>
        </w:tc>
        <w:tc>
          <w:tcPr>
            <w:tcW w:type="dxa" w:w="1440"/>
          </w:tcPr>
          <w:p>
            <w:pPr>
              <w:spacing w:after="0" w:line="240" w:lineRule="auto"/>
            </w:pPr>
            <w:r/>
            <w:r>
              <w:rPr>
                <w:rFonts w:ascii="Calibri" w:hAnsi="Calibri"/>
                <w:b w:val="0"/>
                <w:sz w:val="18"/>
              </w:rPr>
              <w:t>Empirical, model</w:t>
            </w:r>
          </w:p>
        </w:tc>
        <w:tc>
          <w:tcPr>
            <w:tcW w:type="dxa" w:w="5112"/>
          </w:tcPr>
          <w:p>
            <w:pPr>
              <w:spacing w:after="0" w:line="240" w:lineRule="auto"/>
            </w:pPr>
            <w:r/>
            <w:r>
              <w:rPr>
                <w:rFonts w:ascii="Calibri" w:hAnsi="Calibri"/>
                <w:b w:val="0"/>
                <w:sz w:val="18"/>
              </w:rPr>
              <w:t>Early buyers differ from later ones, and readers do not correct for it</w:t>
            </w:r>
          </w:p>
        </w:tc>
        <w:tc>
          <w:tcPr>
            <w:tcW w:type="dxa" w:w="2952"/>
          </w:tcPr>
          <w:p>
            <w:pPr>
              <w:spacing w:after="0" w:line="240" w:lineRule="auto"/>
            </w:pPr>
            <w:r/>
            <w:r>
              <w:rPr>
                <w:rFonts w:ascii="Calibri" w:hAnsi="Calibri"/>
                <w:b w:val="0"/>
                <w:sz w:val="18"/>
              </w:rPr>
              <w:t>Selection over time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Gao, Greenwood, Agarwal &amp; McCullough (2015, MISQ 39(3))</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Compares online physician ratings against an offline population survey of the same physicians</w:t>
            </w:r>
          </w:p>
        </w:tc>
        <w:tc>
          <w:tcPr>
            <w:tcW w:type="dxa" w:w="2952"/>
          </w:tcPr>
          <w:p>
            <w:pPr>
              <w:spacing w:after="0" w:line="240" w:lineRule="auto"/>
            </w:pPr>
            <w:r/>
            <w:r>
              <w:rPr>
                <w:rFonts w:ascii="Calibri" w:hAnsi="Calibri"/>
                <w:b w:val="0"/>
                <w:sz w:val="18"/>
              </w:rPr>
              <w:t>Closest framing, and its title overlaps ours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Schoenmueller, Netzer &amp; Stahl (2020, JMR 57(5))</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Polarity across 280 million reviews on 25 platforms, driven by who chooses to review, which makes ratings less informative</w:t>
            </w:r>
          </w:p>
        </w:tc>
        <w:tc>
          <w:tcPr>
            <w:tcW w:type="dxa" w:w="2952"/>
          </w:tcPr>
          <w:p>
            <w:pPr>
              <w:spacing w:after="0" w:line="240" w:lineRule="auto"/>
            </w:pPr>
            <w:r/>
            <w:r>
              <w:rPr>
                <w:rFonts w:ascii="Calibri" w:hAnsi="Calibri"/>
                <w:b w:val="0"/>
                <w:sz w:val="18"/>
              </w:rPr>
              <w:t>Premise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Brandes, Godes &amp; Mayzlin (2022, JMR 59(4))</w:t>
            </w:r>
          </w:p>
        </w:tc>
        <w:tc>
          <w:tcPr>
            <w:tcW w:type="dxa" w:w="1440"/>
          </w:tcPr>
          <w:p>
            <w:pPr>
              <w:spacing w:after="0" w:line="240" w:lineRule="auto"/>
            </w:pPr>
            <w:r/>
            <w:r>
              <w:rPr>
                <w:rFonts w:ascii="Calibri" w:hAnsi="Calibri"/>
                <w:b w:val="0"/>
                <w:sz w:val="18"/>
              </w:rPr>
              <w:t>Field experiment, empirical</w:t>
            </w:r>
          </w:p>
        </w:tc>
        <w:tc>
          <w:tcPr>
            <w:tcW w:type="dxa" w:w="5112"/>
          </w:tcPr>
          <w:p>
            <w:pPr>
              <w:spacing w:after="0" w:line="240" w:lineRule="auto"/>
            </w:pPr>
            <w:r/>
            <w:r>
              <w:rPr>
                <w:rFonts w:ascii="Calibri" w:hAnsi="Calibri"/>
                <w:b w:val="0"/>
                <w:sz w:val="18"/>
              </w:rPr>
              <w:t>Customers with moderate experiences stop reviewing over time</w:t>
            </w:r>
          </w:p>
        </w:tc>
        <w:tc>
          <w:tcPr>
            <w:tcW w:type="dxa" w:w="2952"/>
          </w:tcPr>
          <w:p>
            <w:pPr>
              <w:spacing w:after="0" w:line="240" w:lineRule="auto"/>
            </w:pPr>
            <w:r/>
            <w:r>
              <w:rPr>
                <w:rFonts w:ascii="Calibri" w:hAnsi="Calibri"/>
                <w:b w:val="0"/>
                <w:sz w:val="18"/>
              </w:rPr>
              <w:t>Mechanism for who reviews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Godes &amp; Silva (2012, Marketing Science 31(3))</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Ratings decline as reviews accumulate, both in sequence order and in calendar time</w:t>
            </w:r>
          </w:p>
        </w:tc>
        <w:tc>
          <w:tcPr>
            <w:tcW w:type="dxa" w:w="2952"/>
          </w:tcPr>
          <w:p>
            <w:pPr>
              <w:spacing w:after="0" w:line="240" w:lineRule="auto"/>
            </w:pPr>
            <w:r/>
            <w:r>
              <w:rPr>
                <w:rFonts w:ascii="Calibri" w:hAnsi="Calibri"/>
                <w:b w:val="0"/>
                <w:sz w:val="18"/>
              </w:rPr>
              <w:t>Dynamics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Moe &amp; Schweidel (2012, Marketing Science 31(3))</w:t>
            </w:r>
          </w:p>
        </w:tc>
        <w:tc>
          <w:tcPr>
            <w:tcW w:type="dxa" w:w="1440"/>
          </w:tcPr>
          <w:p>
            <w:pPr>
              <w:spacing w:after="0" w:line="240" w:lineRule="auto"/>
            </w:pPr>
            <w:r/>
            <w:r>
              <w:rPr>
                <w:rFonts w:ascii="Calibri" w:hAnsi="Calibri"/>
                <w:b w:val="0"/>
                <w:sz w:val="18"/>
              </w:rPr>
              <w:t>Empirical model</w:t>
            </w:r>
          </w:p>
        </w:tc>
        <w:tc>
          <w:tcPr>
            <w:tcW w:type="dxa" w:w="5112"/>
          </w:tcPr>
          <w:p>
            <w:pPr>
              <w:spacing w:after="0" w:line="240" w:lineRule="auto"/>
            </w:pPr>
            <w:r/>
            <w:r>
              <w:rPr>
                <w:rFonts w:ascii="Calibri" w:hAnsi="Calibri"/>
                <w:b w:val="0"/>
                <w:sz w:val="18"/>
              </w:rPr>
              <w:t>Earlier ratings affect both whether a customer posts and what they say</w:t>
            </w:r>
          </w:p>
        </w:tc>
        <w:tc>
          <w:tcPr>
            <w:tcW w:type="dxa" w:w="2952"/>
          </w:tcPr>
          <w:p>
            <w:pPr>
              <w:spacing w:after="0" w:line="240" w:lineRule="auto"/>
            </w:pPr>
            <w:r/>
            <w:r>
              <w:rPr>
                <w:rFonts w:ascii="Calibri" w:hAnsi="Calibri"/>
                <w:b w:val="0"/>
                <w:sz w:val="18"/>
              </w:rPr>
              <w:t>Incidence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Filippas, Horton &amp; Golden (2022, Marketing Science 41(4))</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Ratings inflate over time and lose information content</w:t>
            </w:r>
          </w:p>
        </w:tc>
        <w:tc>
          <w:tcPr>
            <w:tcW w:type="dxa" w:w="2952"/>
          </w:tcPr>
          <w:p>
            <w:pPr>
              <w:spacing w:after="0" w:line="240" w:lineRule="auto"/>
            </w:pPr>
            <w:r/>
            <w:r>
              <w:rPr>
                <w:rFonts w:ascii="Calibri" w:hAnsi="Calibri"/>
                <w:b w:val="0"/>
                <w:sz w:val="18"/>
              </w:rPr>
              <w:t>Informativeness decays</w:t>
            </w:r>
          </w:p>
        </w:tc>
      </w:tr>
      <w:tr>
        <w:tc>
          <w:tcPr>
            <w:tcW w:type="dxa" w:w="1512"/>
            <w:shd w:val="clear" w:color="auto" w:fill="F6F6F6"/>
          </w:tcPr>
          <w:p>
            <w:pPr>
              <w:spacing w:after="0" w:line="240" w:lineRule="auto"/>
            </w:pPr>
            <w:r/>
            <w:r>
              <w:rPr>
                <w:rFonts w:ascii="Calibri" w:hAnsi="Calibri"/>
                <w:b/>
                <w:sz w:val="18"/>
              </w:rPr>
              <w:t>Changing who reviews</w:t>
            </w:r>
          </w:p>
        </w:tc>
        <w:tc>
          <w:tcPr>
            <w:tcW w:type="dxa" w:w="2664"/>
            <w:shd w:val="clear" w:color="auto" w:fill="F6F6F6"/>
          </w:tcPr>
          <w:p>
            <w:pPr>
              <w:spacing w:after="0" w:line="240" w:lineRule="auto"/>
            </w:pPr>
            <w:r/>
            <w:r>
              <w:rPr>
                <w:rFonts w:ascii="Calibri" w:hAnsi="Calibri"/>
                <w:b w:val="0"/>
                <w:sz w:val="18"/>
              </w:rPr>
              <w:t>Askalidis, Kim &amp; Malthouse (2017, DSS 97)</w:t>
            </w:r>
          </w:p>
        </w:tc>
        <w:tc>
          <w:tcPr>
            <w:tcW w:type="dxa" w:w="1440"/>
            <w:shd w:val="clear" w:color="auto" w:fill="F6F6F6"/>
          </w:tcPr>
          <w:p>
            <w:pPr>
              <w:spacing w:after="0" w:line="240" w:lineRule="auto"/>
            </w:pPr>
            <w:r/>
            <w:r>
              <w:rPr>
                <w:rFonts w:ascii="Calibri" w:hAnsi="Calibri"/>
                <w:b w:val="0"/>
                <w:sz w:val="18"/>
              </w:rPr>
              <w:t>Empirical</w:t>
            </w:r>
          </w:p>
        </w:tc>
        <w:tc>
          <w:tcPr>
            <w:tcW w:type="dxa" w:w="5112"/>
            <w:shd w:val="clear" w:color="auto" w:fill="F6F6F6"/>
          </w:tcPr>
          <w:p>
            <w:pPr>
              <w:spacing w:after="0" w:line="240" w:lineRule="auto"/>
            </w:pPr>
            <w:r/>
            <w:r>
              <w:rPr>
                <w:rFonts w:ascii="Calibri" w:hAnsi="Calibri"/>
                <w:b w:val="0"/>
                <w:sz w:val="18"/>
              </w:rPr>
              <w:t>Customers prompted by email rate about half a star higher and show no social bias</w:t>
            </w:r>
          </w:p>
        </w:tc>
        <w:tc>
          <w:tcPr>
            <w:tcW w:type="dxa" w:w="2952"/>
            <w:shd w:val="clear" w:color="auto" w:fill="F6F6F6"/>
          </w:tcPr>
          <w:p>
            <w:pPr>
              <w:spacing w:after="0" w:line="240" w:lineRule="auto"/>
            </w:pPr>
            <w:r/>
            <w:r>
              <w:rPr>
                <w:rFonts w:ascii="Calibri" w:hAnsi="Calibri"/>
                <w:b w:val="0"/>
                <w:sz w:val="18"/>
              </w:rPr>
              <w:t>Solicited and organic reviews differ</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Karaman (2021, Management Science 67(7))</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Solicitation brings in moderate customers more than extreme ones, so ratings become more representative</w:t>
            </w:r>
          </w:p>
        </w:tc>
        <w:tc>
          <w:tcPr>
            <w:tcW w:type="dxa" w:w="2952"/>
          </w:tcPr>
          <w:p>
            <w:pPr>
              <w:spacing w:after="0" w:line="240" w:lineRule="auto"/>
            </w:pPr>
            <w:r/>
            <w:r>
              <w:rPr>
                <w:rFonts w:ascii="Calibri" w:hAnsi="Calibri"/>
                <w:b w:val="0"/>
                <w:sz w:val="18"/>
              </w:rPr>
              <w:t>Our premise, not our claim</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Wang &amp; Anderson (2023, Service Science 15(3))</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Hotel firms use four distinct collection strategies. Voluntary reviews run lower and longer, and soliciting on the company own site reduces one-star reviews on third-party sites</w:t>
            </w:r>
          </w:p>
        </w:tc>
        <w:tc>
          <w:tcPr>
            <w:tcW w:type="dxa" w:w="2952"/>
          </w:tcPr>
          <w:p>
            <w:pPr>
              <w:spacing w:after="0" w:line="240" w:lineRule="auto"/>
            </w:pPr>
            <w:r/>
            <w:r>
              <w:rPr>
                <w:rFonts w:ascii="Calibri" w:hAnsi="Calibri"/>
                <w:b w:val="0"/>
                <w:sz w:val="18"/>
              </w:rPr>
              <w:t>Firms do choose strategies, and the effects spill across platforms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Burtch, Hong, Bapna &amp; Griskevicius (2018, Management Science 64(5))</w:t>
            </w:r>
          </w:p>
        </w:tc>
        <w:tc>
          <w:tcPr>
            <w:tcW w:type="dxa" w:w="1440"/>
          </w:tcPr>
          <w:p>
            <w:pPr>
              <w:spacing w:after="0" w:line="240" w:lineRule="auto"/>
            </w:pPr>
            <w:r/>
            <w:r>
              <w:rPr>
                <w:rFonts w:ascii="Calibri" w:hAnsi="Calibri"/>
                <w:b w:val="0"/>
                <w:sz w:val="18"/>
              </w:rPr>
              <w:t>Field experiment</w:t>
            </w:r>
          </w:p>
        </w:tc>
        <w:tc>
          <w:tcPr>
            <w:tcW w:type="dxa" w:w="5112"/>
          </w:tcPr>
          <w:p>
            <w:pPr>
              <w:spacing w:after="0" w:line="240" w:lineRule="auto"/>
            </w:pPr>
            <w:r/>
            <w:r>
              <w:rPr>
                <w:rFonts w:ascii="Calibri" w:hAnsi="Calibri"/>
                <w:b w:val="0"/>
                <w:sz w:val="18"/>
              </w:rPr>
              <w:t>Financial incentives combined with social norms increase reviewing</w:t>
            </w:r>
          </w:p>
        </w:tc>
        <w:tc>
          <w:tcPr>
            <w:tcW w:type="dxa" w:w="2952"/>
          </w:tcPr>
          <w:p>
            <w:pPr>
              <w:spacing w:after="0" w:line="240" w:lineRule="auto"/>
            </w:pPr>
            <w:r/>
            <w:r>
              <w:rPr>
                <w:rFonts w:ascii="Calibri" w:hAnsi="Calibri"/>
                <w:b w:val="0"/>
                <w:sz w:val="18"/>
              </w:rPr>
              <w:t>Template for an experiment</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Fradkin, Grewal &amp; Holtz (2021, Marketing Science 40(6))</w:t>
            </w:r>
          </w:p>
        </w:tc>
        <w:tc>
          <w:tcPr>
            <w:tcW w:type="dxa" w:w="1440"/>
          </w:tcPr>
          <w:p>
            <w:pPr>
              <w:spacing w:after="0" w:line="240" w:lineRule="auto"/>
            </w:pPr>
            <w:r/>
            <w:r>
              <w:rPr>
                <w:rFonts w:ascii="Calibri" w:hAnsi="Calibri"/>
                <w:b w:val="0"/>
                <w:sz w:val="18"/>
              </w:rPr>
              <w:t>Field experiment</w:t>
            </w:r>
          </w:p>
        </w:tc>
        <w:tc>
          <w:tcPr>
            <w:tcW w:type="dxa" w:w="5112"/>
          </w:tcPr>
          <w:p>
            <w:pPr>
              <w:spacing w:after="0" w:line="240" w:lineRule="auto"/>
            </w:pPr>
            <w:r/>
            <w:r>
              <w:rPr>
                <w:rFonts w:ascii="Calibri" w:hAnsi="Calibri"/>
                <w:b w:val="0"/>
                <w:sz w:val="18"/>
              </w:rPr>
              <w:t>Hiding each side feedback until both have reviewed increases reviewing on Airbnb</w:t>
            </w:r>
          </w:p>
        </w:tc>
        <w:tc>
          <w:tcPr>
            <w:tcW w:type="dxa" w:w="2952"/>
          </w:tcPr>
          <w:p>
            <w:pPr>
              <w:spacing w:after="0" w:line="240" w:lineRule="auto"/>
            </w:pPr>
            <w:r/>
            <w:r>
              <w:rPr>
                <w:rFonts w:ascii="Calibri" w:hAnsi="Calibri"/>
                <w:b w:val="0"/>
                <w:sz w:val="18"/>
              </w:rPr>
              <w:t>Platform design as a lever</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Fradkin &amp; Holtz (2023, Marketing Science)</w:t>
            </w:r>
          </w:p>
        </w:tc>
        <w:tc>
          <w:tcPr>
            <w:tcW w:type="dxa" w:w="1440"/>
          </w:tcPr>
          <w:p>
            <w:pPr>
              <w:spacing w:after="0" w:line="240" w:lineRule="auto"/>
            </w:pPr>
            <w:r/>
            <w:r>
              <w:rPr>
                <w:rFonts w:ascii="Calibri" w:hAnsi="Calibri"/>
                <w:b w:val="0"/>
                <w:sz w:val="18"/>
              </w:rPr>
              <w:t>Field experiment</w:t>
            </w:r>
          </w:p>
        </w:tc>
        <w:tc>
          <w:tcPr>
            <w:tcW w:type="dxa" w:w="5112"/>
          </w:tcPr>
          <w:p>
            <w:pPr>
              <w:spacing w:after="0" w:line="240" w:lineRule="auto"/>
            </w:pPr>
            <w:r/>
            <w:r>
              <w:rPr>
                <w:rFonts w:ascii="Calibri" w:hAnsi="Calibri"/>
                <w:b w:val="0"/>
                <w:sz w:val="18"/>
              </w:rPr>
              <w:t>Tests whether incentives to review improve market outcomes, on Airbnb</w:t>
            </w:r>
          </w:p>
        </w:tc>
        <w:tc>
          <w:tcPr>
            <w:tcW w:type="dxa" w:w="2952"/>
          </w:tcPr>
          <w:p>
            <w:pPr>
              <w:spacing w:after="0" w:line="240" w:lineRule="auto"/>
            </w:pPr>
            <w:r/>
            <w:r>
              <w:rPr>
                <w:rFonts w:ascii="Calibri" w:hAnsi="Calibri"/>
                <w:b w:val="0"/>
                <w:sz w:val="18"/>
              </w:rPr>
              <w:t>Closest field evidence on solicitation, read first</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Woolley &amp; Sharif (2021, JMR 58)</w:t>
            </w:r>
          </w:p>
        </w:tc>
        <w:tc>
          <w:tcPr>
            <w:tcW w:type="dxa" w:w="1440"/>
          </w:tcPr>
          <w:p>
            <w:pPr>
              <w:spacing w:after="0" w:line="240" w:lineRule="auto"/>
            </w:pPr>
            <w:r/>
            <w:r>
              <w:rPr>
                <w:rFonts w:ascii="Calibri" w:hAnsi="Calibri"/>
                <w:b w:val="0"/>
                <w:sz w:val="18"/>
              </w:rPr>
              <w:t>Lab experiments</w:t>
            </w:r>
          </w:p>
        </w:tc>
        <w:tc>
          <w:tcPr>
            <w:tcW w:type="dxa" w:w="5112"/>
          </w:tcPr>
          <w:p>
            <w:pPr>
              <w:spacing w:after="0" w:line="240" w:lineRule="auto"/>
            </w:pPr>
            <w:r/>
            <w:r>
              <w:rPr>
                <w:rFonts w:ascii="Calibri" w:hAnsi="Calibri"/>
                <w:b w:val="0"/>
                <w:sz w:val="18"/>
              </w:rPr>
              <w:t>Incentives make review writing more enjoyable, so review content turns more positive</w:t>
            </w:r>
          </w:p>
        </w:tc>
        <w:tc>
          <w:tcPr>
            <w:tcW w:type="dxa" w:w="2952"/>
          </w:tcPr>
          <w:p>
            <w:pPr>
              <w:spacing w:after="0" w:line="240" w:lineRule="auto"/>
            </w:pPr>
            <w:r/>
            <w:r>
              <w:rPr>
                <w:rFonts w:ascii="Calibri" w:hAnsi="Calibri"/>
                <w:b w:val="0"/>
                <w:sz w:val="18"/>
              </w:rPr>
              <w:t>Incentives shift content, not only volume</w:t>
            </w:r>
          </w:p>
        </w:tc>
      </w:tr>
      <w:tr>
        <w:tc>
          <w:tcPr>
            <w:tcW w:type="dxa" w:w="1512"/>
            <w:shd w:val="clear" w:color="auto" w:fill="F6F6F6"/>
          </w:tcPr>
          <w:p>
            <w:pPr>
              <w:spacing w:after="0" w:line="240" w:lineRule="auto"/>
            </w:pPr>
            <w:r/>
            <w:r>
              <w:rPr>
                <w:rFonts w:ascii="Calibri" w:hAnsi="Calibri"/>
                <w:b/>
                <w:sz w:val="18"/>
              </w:rPr>
              <w:t>How consumers read ratings</w:t>
            </w:r>
          </w:p>
        </w:tc>
        <w:tc>
          <w:tcPr>
            <w:tcW w:type="dxa" w:w="2664"/>
            <w:shd w:val="clear" w:color="auto" w:fill="F6F6F6"/>
          </w:tcPr>
          <w:p>
            <w:pPr>
              <w:spacing w:after="0" w:line="240" w:lineRule="auto"/>
            </w:pPr>
            <w:r/>
            <w:r>
              <w:rPr>
                <w:rFonts w:ascii="Calibri" w:hAnsi="Calibri"/>
                <w:b w:val="0"/>
                <w:sz w:val="18"/>
              </w:rPr>
              <w:t>Sun (2012, Management Science 58(4))</w:t>
            </w:r>
          </w:p>
        </w:tc>
        <w:tc>
          <w:tcPr>
            <w:tcW w:type="dxa" w:w="1440"/>
            <w:shd w:val="clear" w:color="auto" w:fill="F6F6F6"/>
          </w:tcPr>
          <w:p>
            <w:pPr>
              <w:spacing w:after="0" w:line="240" w:lineRule="auto"/>
            </w:pPr>
            <w:r/>
            <w:r>
              <w:rPr>
                <w:rFonts w:ascii="Calibri" w:hAnsi="Calibri"/>
                <w:b w:val="0"/>
                <w:sz w:val="18"/>
              </w:rPr>
              <w:t>Analytical and empirical</w:t>
            </w:r>
          </w:p>
        </w:tc>
        <w:tc>
          <w:tcPr>
            <w:tcW w:type="dxa" w:w="5112"/>
            <w:shd w:val="clear" w:color="auto" w:fill="F6F6F6"/>
          </w:tcPr>
          <w:p>
            <w:pPr>
              <w:spacing w:after="0" w:line="240" w:lineRule="auto"/>
            </w:pPr>
            <w:r/>
            <w:r>
              <w:rPr>
                <w:rFonts w:ascii="Calibri" w:hAnsi="Calibri"/>
                <w:b w:val="0"/>
                <w:sz w:val="18"/>
              </w:rPr>
              <w:t>Spread-out ratings signal a niche product and raise demand only when the average is low</w:t>
            </w:r>
          </w:p>
        </w:tc>
        <w:tc>
          <w:tcPr>
            <w:tcW w:type="dxa" w:w="2952"/>
            <w:shd w:val="clear" w:color="auto" w:fill="F6F6F6"/>
          </w:tcPr>
          <w:p>
            <w:pPr>
              <w:spacing w:after="0" w:line="240" w:lineRule="auto"/>
            </w:pPr>
            <w:r/>
            <w:r>
              <w:rPr>
                <w:rFonts w:ascii="Calibri" w:hAnsi="Calibri"/>
                <w:b w:val="0"/>
                <w:sz w:val="18"/>
              </w:rPr>
              <w:t>Why the two firms might choose differently</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De Langhe, Fernbach &amp; Lichtenstein (2016, JCR 42(6))</w:t>
            </w:r>
          </w:p>
        </w:tc>
        <w:tc>
          <w:tcPr>
            <w:tcW w:type="dxa" w:w="1440"/>
          </w:tcPr>
          <w:p>
            <w:pPr>
              <w:spacing w:after="0" w:line="240" w:lineRule="auto"/>
            </w:pPr>
            <w:r/>
            <w:r>
              <w:rPr>
                <w:rFonts w:ascii="Calibri" w:hAnsi="Calibri"/>
                <w:b w:val="0"/>
                <w:sz w:val="18"/>
              </w:rPr>
              <w:t>Empirical, lab</w:t>
            </w:r>
          </w:p>
        </w:tc>
        <w:tc>
          <w:tcPr>
            <w:tcW w:type="dxa" w:w="5112"/>
          </w:tcPr>
          <w:p>
            <w:pPr>
              <w:spacing w:after="0" w:line="240" w:lineRule="auto"/>
            </w:pPr>
            <w:r/>
            <w:r>
              <w:rPr>
                <w:rFonts w:ascii="Calibri" w:hAnsi="Calibri"/>
                <w:b w:val="0"/>
                <w:sz w:val="18"/>
              </w:rPr>
              <w:t>Ratings do not track Consumer Reports quality scores, yet consumers rely on them anyway</w:t>
            </w:r>
          </w:p>
        </w:tc>
        <w:tc>
          <w:tcPr>
            <w:tcW w:type="dxa" w:w="2952"/>
          </w:tcPr>
          <w:p>
            <w:pPr>
              <w:spacing w:after="0" w:line="240" w:lineRule="auto"/>
            </w:pPr>
            <w:r/>
            <w:r>
              <w:rPr>
                <w:rFonts w:ascii="Calibri" w:hAnsi="Calibri"/>
                <w:b w:val="0"/>
                <w:sz w:val="18"/>
              </w:rPr>
              <w:t>Assumption about naive consumers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He &amp; Bond (2015, JCR 41(6))</w:t>
            </w:r>
          </w:p>
        </w:tc>
        <w:tc>
          <w:tcPr>
            <w:tcW w:type="dxa" w:w="1440"/>
          </w:tcPr>
          <w:p>
            <w:pPr>
              <w:spacing w:after="0" w:line="240" w:lineRule="auto"/>
            </w:pPr>
            <w:r/>
            <w:r>
              <w:rPr>
                <w:rFonts w:ascii="Calibri" w:hAnsi="Calibri"/>
                <w:b w:val="0"/>
                <w:sz w:val="18"/>
              </w:rPr>
              <w:t>Lab experiments</w:t>
            </w:r>
          </w:p>
        </w:tc>
        <w:tc>
          <w:tcPr>
            <w:tcW w:type="dxa" w:w="5112"/>
          </w:tcPr>
          <w:p>
            <w:pPr>
              <w:spacing w:after="0" w:line="240" w:lineRule="auto"/>
            </w:pPr>
            <w:r/>
            <w:r>
              <w:rPr>
                <w:rFonts w:ascii="Calibri" w:hAnsi="Calibri"/>
                <w:b w:val="0"/>
                <w:sz w:val="18"/>
              </w:rPr>
              <w:t>Consumers attribute spread-out ratings to differences in taste when tastes appear varied</w:t>
            </w:r>
          </w:p>
        </w:tc>
        <w:tc>
          <w:tcPr>
            <w:tcW w:type="dxa" w:w="2952"/>
          </w:tcPr>
          <w:p>
            <w:pPr>
              <w:spacing w:after="0" w:line="240" w:lineRule="auto"/>
            </w:pPr>
            <w:r/>
            <w:r>
              <w:rPr>
                <w:rFonts w:ascii="Calibri" w:hAnsi="Calibri"/>
                <w:b w:val="0"/>
                <w:sz w:val="18"/>
              </w:rPr>
              <w:t>How people read the shape of a distribution</w:t>
            </w:r>
          </w:p>
        </w:tc>
      </w:tr>
      <w:tr>
        <w:tc>
          <w:tcPr>
            <w:tcW w:type="dxa" w:w="1512"/>
            <w:shd w:val="clear" w:color="auto" w:fill="F6F6F6"/>
          </w:tcPr>
          <w:p>
            <w:pPr>
              <w:spacing w:after="0" w:line="240" w:lineRule="auto"/>
            </w:pPr>
            <w:r/>
            <w:r>
              <w:rPr>
                <w:rFonts w:ascii="Calibri" w:hAnsi="Calibri"/>
                <w:b/>
                <w:sz w:val="18"/>
              </w:rPr>
              <w:t>Manipulation</w:t>
            </w:r>
          </w:p>
        </w:tc>
        <w:tc>
          <w:tcPr>
            <w:tcW w:type="dxa" w:w="2664"/>
            <w:shd w:val="clear" w:color="auto" w:fill="F6F6F6"/>
          </w:tcPr>
          <w:p>
            <w:pPr>
              <w:spacing w:after="0" w:line="240" w:lineRule="auto"/>
            </w:pPr>
            <w:r/>
            <w:r>
              <w:rPr>
                <w:rFonts w:ascii="Calibri" w:hAnsi="Calibri"/>
                <w:b w:val="0"/>
                <w:sz w:val="18"/>
              </w:rPr>
              <w:t>Mayzlin (2006, Marketing Science 25(2))</w:t>
            </w:r>
          </w:p>
        </w:tc>
        <w:tc>
          <w:tcPr>
            <w:tcW w:type="dxa" w:w="1440"/>
            <w:shd w:val="clear" w:color="auto" w:fill="F6F6F6"/>
          </w:tcPr>
          <w:p>
            <w:pPr>
              <w:spacing w:after="0" w:line="240" w:lineRule="auto"/>
            </w:pPr>
            <w:r/>
            <w:r>
              <w:rPr>
                <w:rFonts w:ascii="Calibri" w:hAnsi="Calibri"/>
                <w:b w:val="0"/>
                <w:sz w:val="18"/>
              </w:rPr>
              <w:t>Analytical</w:t>
            </w:r>
          </w:p>
        </w:tc>
        <w:tc>
          <w:tcPr>
            <w:tcW w:type="dxa" w:w="5112"/>
            <w:shd w:val="clear" w:color="auto" w:fill="F6F6F6"/>
          </w:tcPr>
          <w:p>
            <w:pPr>
              <w:spacing w:after="0" w:line="240" w:lineRule="auto"/>
            </w:pPr>
            <w:r/>
            <w:r>
              <w:rPr>
                <w:rFonts w:ascii="Calibri" w:hAnsi="Calibri"/>
                <w:b w:val="0"/>
                <w:sz w:val="18"/>
              </w:rPr>
              <w:t>Firms disguise promotion as word of mouth</w:t>
            </w:r>
          </w:p>
        </w:tc>
        <w:tc>
          <w:tcPr>
            <w:tcW w:type="dxa" w:w="2952"/>
            <w:shd w:val="clear" w:color="auto" w:fill="F6F6F6"/>
          </w:tcPr>
          <w:p>
            <w:pPr>
              <w:spacing w:after="0" w:line="240" w:lineRule="auto"/>
            </w:pPr>
            <w:r/>
            <w:r>
              <w:rPr>
                <w:rFonts w:ascii="Calibri" w:hAnsi="Calibri"/>
                <w:b w:val="0"/>
                <w:sz w:val="18"/>
              </w:rPr>
              <w:t>Contrast case, controlling what reviews say</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Dellarocas (2006, Management Science 52(10))</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Two firms of different quality post costly anonymous praise</w:t>
            </w:r>
          </w:p>
        </w:tc>
        <w:tc>
          <w:tcPr>
            <w:tcW w:type="dxa" w:w="2952"/>
          </w:tcPr>
          <w:p>
            <w:pPr>
              <w:spacing w:after="0" w:line="240" w:lineRule="auto"/>
            </w:pPr>
            <w:r/>
            <w:r>
              <w:rPr>
                <w:rFonts w:ascii="Calibri" w:hAnsi="Calibri"/>
                <w:b w:val="0"/>
                <w:sz w:val="18"/>
              </w:rPr>
              <w:t>Closest competitive setup, but with fake content</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Mayzlin, Dover &amp; Chevalier (2014, AER 104(8))</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Independent hotels fake more, shown by comparing TripAdvisor with Expedia</w:t>
            </w:r>
          </w:p>
        </w:tc>
        <w:tc>
          <w:tcPr>
            <w:tcW w:type="dxa" w:w="2952"/>
          </w:tcPr>
          <w:p>
            <w:pPr>
              <w:spacing w:after="0" w:line="240" w:lineRule="auto"/>
            </w:pPr>
            <w:r/>
            <w:r>
              <w:rPr>
                <w:rFonts w:ascii="Calibri" w:hAnsi="Calibri"/>
                <w:b w:val="0"/>
                <w:sz w:val="18"/>
              </w:rPr>
              <w:t>Precedent for a two-platform comparison</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Luca &amp; Zervas (2016, Management Science 62(12))</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Yelp filters about 16 percent of restaurant reviews, the filtered ones are more extreme, and firms with weak reputations commit fraud</w:t>
            </w:r>
          </w:p>
        </w:tc>
        <w:tc>
          <w:tcPr>
            <w:tcW w:type="dxa" w:w="2952"/>
          </w:tcPr>
          <w:p>
            <w:pPr>
              <w:spacing w:after="0" w:line="240" w:lineRule="auto"/>
            </w:pPr>
            <w:r/>
            <w:r>
              <w:rPr>
                <w:rFonts w:ascii="Calibri" w:hAnsi="Calibri"/>
                <w:b w:val="0"/>
                <w:sz w:val="18"/>
              </w:rPr>
              <w:t>Precedent for using the Yelp filtered pile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He, Hollenbeck &amp; Proserpio (2022, Marketing Science 41(5))</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Fake Amazon reviews bought through Facebook groups raise ratings only briefly</w:t>
            </w:r>
          </w:p>
        </w:tc>
        <w:tc>
          <w:tcPr>
            <w:tcW w:type="dxa" w:w="2952"/>
          </w:tcPr>
          <w:p>
            <w:pPr>
              <w:spacing w:after="0" w:line="240" w:lineRule="auto"/>
            </w:pPr>
            <w:r/>
            <w:r>
              <w:rPr>
                <w:rFonts w:ascii="Calibri" w:hAnsi="Calibri"/>
                <w:b w:val="0"/>
                <w:sz w:val="18"/>
              </w:rPr>
              <w:t>Contrast case</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Zhang, Zhang, Wang, Li &amp; Ma (2025, Information &amp; Management 62(7))</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Game between a stronger firm, a weaker firm and a platform. Firms still profit from manipulation despite platform policing</w:t>
            </w:r>
          </w:p>
        </w:tc>
        <w:tc>
          <w:tcPr>
            <w:tcW w:type="dxa" w:w="2952"/>
          </w:tcPr>
          <w:p>
            <w:pPr>
              <w:spacing w:after="0" w:line="240" w:lineRule="auto"/>
            </w:pPr>
            <w:r/>
            <w:r>
              <w:rPr>
                <w:rFonts w:ascii="Calibri" w:hAnsi="Calibri"/>
                <w:b w:val="0"/>
                <w:sz w:val="18"/>
              </w:rPr>
              <w:t>Closest platform-and-firms game, but about manipulation</w:t>
            </w:r>
          </w:p>
        </w:tc>
      </w:tr>
      <w:tr>
        <w:tc>
          <w:tcPr>
            <w:tcW w:type="dxa" w:w="1512"/>
            <w:shd w:val="clear" w:color="auto" w:fill="F6F6F6"/>
          </w:tcPr>
          <w:p>
            <w:pPr>
              <w:spacing w:after="0" w:line="240" w:lineRule="auto"/>
            </w:pPr>
            <w:r/>
            <w:r>
              <w:rPr>
                <w:rFonts w:ascii="Calibri" w:hAnsi="Calibri"/>
                <w:b/>
                <w:sz w:val="18"/>
              </w:rPr>
              <w:t>Theory of firms and reviews</w:t>
            </w:r>
          </w:p>
        </w:tc>
        <w:tc>
          <w:tcPr>
            <w:tcW w:type="dxa" w:w="2664"/>
            <w:shd w:val="clear" w:color="auto" w:fill="F6F6F6"/>
          </w:tcPr>
          <w:p>
            <w:pPr>
              <w:spacing w:after="0" w:line="240" w:lineRule="auto"/>
            </w:pPr>
            <w:r/>
            <w:r>
              <w:rPr>
                <w:rFonts w:ascii="Calibri" w:hAnsi="Calibri"/>
                <w:b w:val="0"/>
                <w:sz w:val="18"/>
              </w:rPr>
              <w:t>Dellarocas (2003, Management Science 49(10))</w:t>
            </w:r>
          </w:p>
        </w:tc>
        <w:tc>
          <w:tcPr>
            <w:tcW w:type="dxa" w:w="1440"/>
            <w:shd w:val="clear" w:color="auto" w:fill="F6F6F6"/>
          </w:tcPr>
          <w:p>
            <w:pPr>
              <w:spacing w:after="0" w:line="240" w:lineRule="auto"/>
            </w:pPr>
            <w:r/>
            <w:r>
              <w:rPr>
                <w:rFonts w:ascii="Calibri" w:hAnsi="Calibri"/>
                <w:b w:val="0"/>
                <w:sz w:val="18"/>
              </w:rPr>
              <w:t>Conceptual</w:t>
            </w:r>
          </w:p>
        </w:tc>
        <w:tc>
          <w:tcPr>
            <w:tcW w:type="dxa" w:w="5112"/>
            <w:shd w:val="clear" w:color="auto" w:fill="F6F6F6"/>
          </w:tcPr>
          <w:p>
            <w:pPr>
              <w:spacing w:after="0" w:line="240" w:lineRule="auto"/>
            </w:pPr>
            <w:r/>
            <w:r>
              <w:rPr>
                <w:rFonts w:ascii="Calibri" w:hAnsi="Calibri"/>
                <w:b w:val="0"/>
                <w:sz w:val="18"/>
              </w:rPr>
              <w:t>What online feedback systems promise and where they fall short</w:t>
            </w:r>
          </w:p>
        </w:tc>
        <w:tc>
          <w:tcPr>
            <w:tcW w:type="dxa" w:w="2952"/>
            <w:shd w:val="clear" w:color="auto" w:fill="F6F6F6"/>
          </w:tcPr>
          <w:p>
            <w:pPr>
              <w:spacing w:after="0" w:line="240" w:lineRule="auto"/>
            </w:pPr>
            <w:r/>
            <w:r>
              <w:rPr>
                <w:rFonts w:ascii="Calibri" w:hAnsi="Calibri"/>
                <w:b w:val="0"/>
                <w:sz w:val="18"/>
              </w:rPr>
              <w:t>Foundation</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Chen &amp; Xie (2008, Management Science 54(3))</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Reviews function as an element of the firm marketing communication mix</w:t>
            </w:r>
          </w:p>
        </w:tc>
        <w:tc>
          <w:tcPr>
            <w:tcW w:type="dxa" w:w="2952"/>
          </w:tcPr>
          <w:p>
            <w:pPr>
              <w:spacing w:after="0" w:line="240" w:lineRule="auto"/>
            </w:pPr>
            <w:r/>
            <w:r>
              <w:rPr>
                <w:rFonts w:ascii="Calibri" w:hAnsi="Calibri"/>
                <w:b w:val="0"/>
                <w:sz w:val="18"/>
              </w:rPr>
              <w:t>Foundation for firm strategy</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Kuksov &amp; Xie (2010, Marketing Science 29(5))</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Firms use pricing and unexpected extras to shape early ratings</w:t>
            </w:r>
          </w:p>
        </w:tc>
        <w:tc>
          <w:tcPr>
            <w:tcW w:type="dxa" w:w="2952"/>
          </w:tcPr>
          <w:p>
            <w:pPr>
              <w:spacing w:after="0" w:line="240" w:lineRule="auto"/>
            </w:pPr>
            <w:r/>
            <w:r>
              <w:rPr>
                <w:rFonts w:ascii="Calibri" w:hAnsi="Calibri"/>
                <w:b w:val="0"/>
                <w:sz w:val="18"/>
              </w:rPr>
              <w:t>Firms shape ratings through other levers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Jiang &amp; Guo (2015, ISR 26(4))</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A firm designs its own review system, including rating scale and level of detail, jointly with price</w:t>
            </w:r>
          </w:p>
        </w:tc>
        <w:tc>
          <w:tcPr>
            <w:tcW w:type="dxa" w:w="2952"/>
          </w:tcPr>
          <w:p>
            <w:pPr>
              <w:spacing w:after="0" w:line="240" w:lineRule="auto"/>
            </w:pPr>
            <w:r/>
            <w:r>
              <w:rPr>
                <w:rFonts w:ascii="Calibri" w:hAnsi="Calibri"/>
                <w:b w:val="0"/>
                <w:sz w:val="18"/>
              </w:rPr>
              <w:t>Design choices made by the firm</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Martin &amp; Shelegia (2021, IJIO)</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High-quality firms may underpromise in order to earn better reviews</w:t>
            </w:r>
          </w:p>
        </w:tc>
        <w:tc>
          <w:tcPr>
            <w:tcW w:type="dxa" w:w="2952"/>
          </w:tcPr>
          <w:p>
            <w:pPr>
              <w:spacing w:after="0" w:line="240" w:lineRule="auto"/>
            </w:pPr>
            <w:r/>
            <w:r>
              <w:rPr>
                <w:rFonts w:ascii="Calibri" w:hAnsi="Calibri"/>
                <w:b w:val="0"/>
                <w:sz w:val="18"/>
              </w:rPr>
              <w:t>Firms manage expectations strategically</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Ifrach, Maglaras, Scarsini &amp; Zseleva (2019, Operations Research 67(5))</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Consumers learn quality from like and dislike reviews by Bayesian updating</w:t>
            </w:r>
          </w:p>
        </w:tc>
        <w:tc>
          <w:tcPr>
            <w:tcW w:type="dxa" w:w="2952"/>
          </w:tcPr>
          <w:p>
            <w:pPr>
              <w:spacing w:after="0" w:line="240" w:lineRule="auto"/>
            </w:pPr>
            <w:r/>
            <w:r>
              <w:rPr>
                <w:rFonts w:ascii="Calibri" w:hAnsi="Calibri"/>
                <w:b w:val="0"/>
                <w:sz w:val="18"/>
              </w:rPr>
              <w:t>Learning benchmark</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Acemoglu, Makhdoumi, Malekian &amp; Ozdaglar (2022, Econometrica 90(6))</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Who buys depends on existing reviews, and different rating systems let consumers learn at different speeds</w:t>
            </w:r>
          </w:p>
        </w:tc>
        <w:tc>
          <w:tcPr>
            <w:tcW w:type="dxa" w:w="2952"/>
          </w:tcPr>
          <w:p>
            <w:pPr>
              <w:spacing w:after="0" w:line="240" w:lineRule="auto"/>
            </w:pPr>
            <w:r/>
            <w:r>
              <w:rPr>
                <w:rFonts w:ascii="Calibri" w:hAnsi="Calibri"/>
                <w:b w:val="0"/>
                <w:sz w:val="18"/>
              </w:rPr>
              <w:t>The learning model to beat</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Shin, Vaccari &amp; Zeevi (Management Science 69(2))</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A monopolist sets prices over time as consumers learn from reviews</w:t>
            </w:r>
          </w:p>
        </w:tc>
        <w:tc>
          <w:tcPr>
            <w:tcW w:type="dxa" w:w="2952"/>
          </w:tcPr>
          <w:p>
            <w:pPr>
              <w:spacing w:after="0" w:line="240" w:lineRule="auto"/>
            </w:pPr>
            <w:r/>
            <w:r>
              <w:rPr>
                <w:rFonts w:ascii="Calibri" w:hAnsi="Calibri"/>
                <w:b w:val="0"/>
                <w:sz w:val="18"/>
              </w:rPr>
              <w:t>Pricing neighbour</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Chen, Du &amp; Lei (Marketing Science 44(1))</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Reviews and price together signal quality when review writers are self-selected</w:t>
            </w:r>
          </w:p>
        </w:tc>
        <w:tc>
          <w:tcPr>
            <w:tcW w:type="dxa" w:w="2952"/>
          </w:tcPr>
          <w:p>
            <w:pPr>
              <w:spacing w:after="0" w:line="240" w:lineRule="auto"/>
            </w:pPr>
            <w:r/>
            <w:r>
              <w:rPr>
                <w:rFonts w:ascii="Calibri" w:hAnsi="Calibri"/>
                <w:b w:val="0"/>
                <w:sz w:val="18"/>
              </w:rPr>
              <w:t>Closest analytical work on selection</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Zhao, Wang, Xiao &amp; Sheng (2022, POMS)</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Two competing firms set quality and price in the presence of reviews</w:t>
            </w:r>
          </w:p>
        </w:tc>
        <w:tc>
          <w:tcPr>
            <w:tcW w:type="dxa" w:w="2952"/>
          </w:tcPr>
          <w:p>
            <w:pPr>
              <w:spacing w:after="0" w:line="240" w:lineRule="auto"/>
            </w:pPr>
            <w:r/>
            <w:r>
              <w:rPr>
                <w:rFonts w:ascii="Calibri" w:hAnsi="Calibri"/>
                <w:b w:val="0"/>
                <w:sz w:val="18"/>
              </w:rPr>
              <w:t>Competitive neighbour, but the levers are price and quality</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Huang (2026, Naval Research Logistics)</w:t>
            </w:r>
          </w:p>
        </w:tc>
        <w:tc>
          <w:tcPr>
            <w:tcW w:type="dxa" w:w="1440"/>
          </w:tcPr>
          <w:p>
            <w:pPr>
              <w:spacing w:after="0" w:line="240" w:lineRule="auto"/>
            </w:pPr>
            <w:r/>
            <w:r>
              <w:rPr>
                <w:rFonts w:ascii="Calibri" w:hAnsi="Calibri"/>
                <w:b w:val="0"/>
                <w:sz w:val="18"/>
              </w:rPr>
              <w:t>Analytical</w:t>
            </w:r>
          </w:p>
        </w:tc>
        <w:tc>
          <w:tcPr>
            <w:tcW w:type="dxa" w:w="5112"/>
          </w:tcPr>
          <w:p>
            <w:pPr>
              <w:spacing w:after="0" w:line="240" w:lineRule="auto"/>
            </w:pPr>
            <w:r/>
            <w:r>
              <w:rPr>
                <w:rFonts w:ascii="Calibri" w:hAnsi="Calibri"/>
                <w:b w:val="0"/>
                <w:sz w:val="18"/>
              </w:rPr>
              <w:t>One firm on an independent platform, with extreme customers more likely to review. Consumers misjudge quality, the firm adjusts price, and the platform can reduce the bias</w:t>
            </w:r>
          </w:p>
        </w:tc>
        <w:tc>
          <w:tcPr>
            <w:tcW w:type="dxa" w:w="2952"/>
          </w:tcPr>
          <w:p>
            <w:pPr>
              <w:spacing w:after="0" w:line="240" w:lineRule="auto"/>
            </w:pPr>
            <w:r/>
            <w:r>
              <w:rPr>
                <w:rFonts w:ascii="Calibri" w:hAnsi="Calibri"/>
                <w:b w:val="0"/>
                <w:sz w:val="18"/>
              </w:rPr>
              <w:t>Closest single-firm model, read for what the platform lever is</w:t>
            </w:r>
          </w:p>
        </w:tc>
      </w:tr>
      <w:tr>
        <w:tc>
          <w:tcPr>
            <w:tcW w:type="dxa" w:w="1512"/>
            <w:shd w:val="clear" w:color="auto" w:fill="F6F6F6"/>
          </w:tcPr>
          <w:p>
            <w:pPr>
              <w:spacing w:after="0" w:line="240" w:lineRule="auto"/>
            </w:pPr>
            <w:r/>
            <w:r>
              <w:rPr>
                <w:rFonts w:ascii="Calibri" w:hAnsi="Calibri"/>
                <w:b/>
                <w:sz w:val="18"/>
              </w:rPr>
              <w:t>Stakes</w:t>
            </w:r>
          </w:p>
        </w:tc>
        <w:tc>
          <w:tcPr>
            <w:tcW w:type="dxa" w:w="2664"/>
            <w:shd w:val="clear" w:color="auto" w:fill="F6F6F6"/>
          </w:tcPr>
          <w:p>
            <w:pPr>
              <w:spacing w:after="0" w:line="240" w:lineRule="auto"/>
            </w:pPr>
            <w:r/>
            <w:r>
              <w:rPr>
                <w:rFonts w:ascii="Calibri" w:hAnsi="Calibri"/>
                <w:b w:val="0"/>
                <w:sz w:val="18"/>
              </w:rPr>
              <w:t>Chevalier &amp; Mayzlin (2006, JMR 43(3))</w:t>
            </w:r>
          </w:p>
        </w:tc>
        <w:tc>
          <w:tcPr>
            <w:tcW w:type="dxa" w:w="1440"/>
            <w:shd w:val="clear" w:color="auto" w:fill="F6F6F6"/>
          </w:tcPr>
          <w:p>
            <w:pPr>
              <w:spacing w:after="0" w:line="240" w:lineRule="auto"/>
            </w:pPr>
            <w:r/>
            <w:r>
              <w:rPr>
                <w:rFonts w:ascii="Calibri" w:hAnsi="Calibri"/>
                <w:b w:val="0"/>
                <w:sz w:val="18"/>
              </w:rPr>
              <w:t>Empirical</w:t>
            </w:r>
          </w:p>
        </w:tc>
        <w:tc>
          <w:tcPr>
            <w:tcW w:type="dxa" w:w="5112"/>
            <w:shd w:val="clear" w:color="auto" w:fill="F6F6F6"/>
          </w:tcPr>
          <w:p>
            <w:pPr>
              <w:spacing w:after="0" w:line="240" w:lineRule="auto"/>
            </w:pPr>
            <w:r/>
            <w:r>
              <w:rPr>
                <w:rFonts w:ascii="Calibri" w:hAnsi="Calibri"/>
                <w:b w:val="0"/>
                <w:sz w:val="18"/>
              </w:rPr>
              <w:t>Better reviews raise sales, and a one-star review hurts more than a five-star review helps</w:t>
            </w:r>
          </w:p>
        </w:tc>
        <w:tc>
          <w:tcPr>
            <w:tcW w:type="dxa" w:w="2952"/>
            <w:shd w:val="clear" w:color="auto" w:fill="F6F6F6"/>
          </w:tcPr>
          <w:p>
            <w:pPr>
              <w:spacing w:after="0" w:line="240" w:lineRule="auto"/>
            </w:pPr>
            <w:r/>
            <w:r>
              <w:rPr>
                <w:rFonts w:ascii="Calibri" w:hAnsi="Calibri"/>
                <w:b w:val="0"/>
                <w:sz w:val="18"/>
              </w:rPr>
              <w:t>Why ratings matter</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Anderson &amp; Magruder (2012, Economic Journal 122(563))</w:t>
            </w:r>
          </w:p>
        </w:tc>
        <w:tc>
          <w:tcPr>
            <w:tcW w:type="dxa" w:w="1440"/>
          </w:tcPr>
          <w:p>
            <w:pPr>
              <w:spacing w:after="0" w:line="240" w:lineRule="auto"/>
            </w:pPr>
            <w:r/>
            <w:r>
              <w:rPr>
                <w:rFonts w:ascii="Calibri" w:hAnsi="Calibri"/>
                <w:b w:val="0"/>
                <w:sz w:val="18"/>
              </w:rPr>
              <w:t>Regression discontinuity</w:t>
            </w:r>
          </w:p>
        </w:tc>
        <w:tc>
          <w:tcPr>
            <w:tcW w:type="dxa" w:w="5112"/>
          </w:tcPr>
          <w:p>
            <w:pPr>
              <w:spacing w:after="0" w:line="240" w:lineRule="auto"/>
            </w:pPr>
            <w:r/>
            <w:r>
              <w:rPr>
                <w:rFonts w:ascii="Calibri" w:hAnsi="Calibri"/>
                <w:b w:val="0"/>
                <w:sz w:val="18"/>
              </w:rPr>
              <w:t>An extra half star makes a restaurant sell out 19 percentage points more often</w:t>
            </w:r>
          </w:p>
        </w:tc>
        <w:tc>
          <w:tcPr>
            <w:tcW w:type="dxa" w:w="2952"/>
          </w:tcPr>
          <w:p>
            <w:pPr>
              <w:spacing w:after="0" w:line="240" w:lineRule="auto"/>
            </w:pPr>
            <w:r/>
            <w:r>
              <w:rPr>
                <w:rFonts w:ascii="Calibri" w:hAnsi="Calibri"/>
                <w:b w:val="0"/>
                <w:sz w:val="18"/>
              </w:rPr>
              <w:t>Why ratings matter</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Luca (2016, HBS working paper 12-016)</w:t>
            </w:r>
          </w:p>
        </w:tc>
        <w:tc>
          <w:tcPr>
            <w:tcW w:type="dxa" w:w="1440"/>
          </w:tcPr>
          <w:p>
            <w:pPr>
              <w:spacing w:after="0" w:line="240" w:lineRule="auto"/>
            </w:pPr>
            <w:r/>
            <w:r>
              <w:rPr>
                <w:rFonts w:ascii="Calibri" w:hAnsi="Calibri"/>
                <w:b w:val="0"/>
                <w:sz w:val="18"/>
              </w:rPr>
              <w:t>Regression discontinuity</w:t>
            </w:r>
          </w:p>
        </w:tc>
        <w:tc>
          <w:tcPr>
            <w:tcW w:type="dxa" w:w="5112"/>
          </w:tcPr>
          <w:p>
            <w:pPr>
              <w:spacing w:after="0" w:line="240" w:lineRule="auto"/>
            </w:pPr>
            <w:r/>
            <w:r>
              <w:rPr>
                <w:rFonts w:ascii="Calibri" w:hAnsi="Calibri"/>
                <w:b w:val="0"/>
                <w:sz w:val="18"/>
              </w:rPr>
              <w:t>One Yelp star is worth 5 to 9 percent of revenue, for independents only</w:t>
            </w:r>
          </w:p>
        </w:tc>
        <w:tc>
          <w:tcPr>
            <w:tcW w:type="dxa" w:w="2952"/>
          </w:tcPr>
          <w:p>
            <w:pPr>
              <w:spacing w:after="0" w:line="240" w:lineRule="auto"/>
            </w:pPr>
            <w:r/>
            <w:r>
              <w:rPr>
                <w:rFonts w:ascii="Calibri" w:hAnsi="Calibri"/>
                <w:b w:val="0"/>
                <w:sz w:val="18"/>
              </w:rPr>
              <w:t>Independent businesses carry the stakes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Hollenbeck (2018, JMR 55(5))</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The revenue premium chain hotels held over independents halved as review platforms grew</w:t>
            </w:r>
          </w:p>
        </w:tc>
        <w:tc>
          <w:tcPr>
            <w:tcW w:type="dxa" w:w="2952"/>
          </w:tcPr>
          <w:p>
            <w:pPr>
              <w:spacing w:after="0" w:line="240" w:lineRule="auto"/>
            </w:pPr>
            <w:r/>
            <w:r>
              <w:rPr>
                <w:rFonts w:ascii="Calibri" w:hAnsi="Calibri"/>
                <w:b w:val="0"/>
                <w:sz w:val="18"/>
              </w:rPr>
              <w:t>Independents versus chains</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Proserpio &amp; Zervas (2017, Marketing Science 36(5))</w:t>
            </w:r>
          </w:p>
        </w:tc>
        <w:tc>
          <w:tcPr>
            <w:tcW w:type="dxa" w:w="1440"/>
          </w:tcPr>
          <w:p>
            <w:pPr>
              <w:spacing w:after="0" w:line="240" w:lineRule="auto"/>
            </w:pPr>
            <w:r/>
            <w:r>
              <w:rPr>
                <w:rFonts w:ascii="Calibri" w:hAnsi="Calibri"/>
                <w:b w:val="0"/>
                <w:sz w:val="18"/>
              </w:rPr>
              <w:t>Empirical</w:t>
            </w:r>
          </w:p>
        </w:tc>
        <w:tc>
          <w:tcPr>
            <w:tcW w:type="dxa" w:w="5112"/>
          </w:tcPr>
          <w:p>
            <w:pPr>
              <w:spacing w:after="0" w:line="240" w:lineRule="auto"/>
            </w:pPr>
            <w:r/>
            <w:r>
              <w:rPr>
                <w:rFonts w:ascii="Calibri" w:hAnsi="Calibri"/>
                <w:b w:val="0"/>
                <w:sz w:val="18"/>
              </w:rPr>
              <w:t>Hotel responses to reviews raise ratings and change who writes negative reviews</w:t>
            </w:r>
          </w:p>
        </w:tc>
        <w:tc>
          <w:tcPr>
            <w:tcW w:type="dxa" w:w="2952"/>
          </w:tcPr>
          <w:p>
            <w:pPr>
              <w:spacing w:after="0" w:line="240" w:lineRule="auto"/>
            </w:pPr>
            <w:r/>
            <w:r>
              <w:rPr>
                <w:rFonts w:ascii="Calibri" w:hAnsi="Calibri"/>
                <w:b w:val="0"/>
                <w:sz w:val="18"/>
              </w:rPr>
              <w:t>A firm action changes who reviews</w:t>
            </w:r>
          </w:p>
        </w:tc>
      </w:tr>
      <w:tr>
        <w:tc>
          <w:tcPr>
            <w:tcW w:type="dxa" w:w="1512"/>
            <w:shd w:val="clear" w:color="auto" w:fill="F6F6F6"/>
          </w:tcPr>
          <w:p>
            <w:pPr>
              <w:spacing w:after="0" w:line="240" w:lineRule="auto"/>
            </w:pPr>
            <w:r/>
            <w:r>
              <w:rPr>
                <w:rFonts w:ascii="Calibri" w:hAnsi="Calibri"/>
                <w:b/>
                <w:sz w:val="18"/>
              </w:rPr>
              <w:t>Social influence</w:t>
            </w:r>
          </w:p>
        </w:tc>
        <w:tc>
          <w:tcPr>
            <w:tcW w:type="dxa" w:w="2664"/>
            <w:shd w:val="clear" w:color="auto" w:fill="F6F6F6"/>
          </w:tcPr>
          <w:p>
            <w:pPr>
              <w:spacing w:after="0" w:line="240" w:lineRule="auto"/>
            </w:pPr>
            <w:r/>
            <w:r>
              <w:rPr>
                <w:rFonts w:ascii="Calibri" w:hAnsi="Calibri"/>
                <w:b w:val="0"/>
                <w:sz w:val="18"/>
              </w:rPr>
              <w:t>Muchnik, Aral &amp; Taylor (2013, Science 341(6146))</w:t>
            </w:r>
          </w:p>
        </w:tc>
        <w:tc>
          <w:tcPr>
            <w:tcW w:type="dxa" w:w="1440"/>
            <w:shd w:val="clear" w:color="auto" w:fill="F6F6F6"/>
          </w:tcPr>
          <w:p>
            <w:pPr>
              <w:spacing w:after="0" w:line="240" w:lineRule="auto"/>
            </w:pPr>
            <w:r/>
            <w:r>
              <w:rPr>
                <w:rFonts w:ascii="Calibri" w:hAnsi="Calibri"/>
                <w:b w:val="0"/>
                <w:sz w:val="18"/>
              </w:rPr>
              <w:t>Field experiment</w:t>
            </w:r>
          </w:p>
        </w:tc>
        <w:tc>
          <w:tcPr>
            <w:tcW w:type="dxa" w:w="5112"/>
            <w:shd w:val="clear" w:color="auto" w:fill="F6F6F6"/>
          </w:tcPr>
          <w:p>
            <w:pPr>
              <w:spacing w:after="0" w:line="240" w:lineRule="auto"/>
            </w:pPr>
            <w:r/>
            <w:r>
              <w:rPr>
                <w:rFonts w:ascii="Calibri" w:hAnsi="Calibri"/>
                <w:b w:val="0"/>
                <w:sz w:val="18"/>
              </w:rPr>
              <w:t>A single random upvote inflates final ratings by about 25 percent</w:t>
            </w:r>
          </w:p>
        </w:tc>
        <w:tc>
          <w:tcPr>
            <w:tcW w:type="dxa" w:w="2952"/>
            <w:shd w:val="clear" w:color="auto" w:fill="F6F6F6"/>
          </w:tcPr>
          <w:p>
            <w:pPr>
              <w:spacing w:after="0" w:line="240" w:lineRule="auto"/>
            </w:pPr>
            <w:r/>
            <w:r>
              <w:rPr>
                <w:rFonts w:ascii="Calibri" w:hAnsi="Calibri"/>
                <w:b w:val="0"/>
                <w:sz w:val="18"/>
              </w:rPr>
              <w:t>Herding could confound distribution shape</w:t>
            </w:r>
          </w:p>
        </w:tc>
      </w:tr>
      <w:tr>
        <w:tc>
          <w:tcPr>
            <w:tcW w:type="dxa" w:w="1512"/>
            <w:shd w:val="clear" w:color="auto" w:fill="F6F6F6"/>
          </w:tcPr>
          <w:p>
            <w:pPr>
              <w:spacing w:after="0" w:line="240" w:lineRule="auto"/>
            </w:pPr>
            <w:r/>
            <w:r>
              <w:rPr>
                <w:rFonts w:ascii="Calibri" w:hAnsi="Calibri"/>
                <w:b/>
                <w:sz w:val="18"/>
              </w:rPr>
              <w:t>Review articles</w:t>
            </w:r>
          </w:p>
        </w:tc>
        <w:tc>
          <w:tcPr>
            <w:tcW w:type="dxa" w:w="2664"/>
            <w:shd w:val="clear" w:color="auto" w:fill="F6F6F6"/>
          </w:tcPr>
          <w:p>
            <w:pPr>
              <w:spacing w:after="0" w:line="240" w:lineRule="auto"/>
            </w:pPr>
            <w:r/>
            <w:r>
              <w:rPr>
                <w:rFonts w:ascii="Calibri" w:hAnsi="Calibri"/>
                <w:b w:val="0"/>
                <w:sz w:val="18"/>
              </w:rPr>
              <w:t>Pocchiari, Proserpio &amp; Dover (2025, IJRM 42(2))</w:t>
            </w:r>
          </w:p>
        </w:tc>
        <w:tc>
          <w:tcPr>
            <w:tcW w:type="dxa" w:w="1440"/>
            <w:shd w:val="clear" w:color="auto" w:fill="F6F6F6"/>
          </w:tcPr>
          <w:p>
            <w:pPr>
              <w:spacing w:after="0" w:line="240" w:lineRule="auto"/>
            </w:pPr>
            <w:r/>
            <w:r>
              <w:rPr>
                <w:rFonts w:ascii="Calibri" w:hAnsi="Calibri"/>
                <w:b w:val="0"/>
                <w:sz w:val="18"/>
              </w:rPr>
              <w:t>Review</w:t>
            </w:r>
          </w:p>
        </w:tc>
        <w:tc>
          <w:tcPr>
            <w:tcW w:type="dxa" w:w="5112"/>
            <w:shd w:val="clear" w:color="auto" w:fill="F6F6F6"/>
          </w:tcPr>
          <w:p>
            <w:pPr>
              <w:spacing w:after="0" w:line="240" w:lineRule="auto"/>
            </w:pPr>
            <w:r/>
            <w:r>
              <w:rPr>
                <w:rFonts w:ascii="Calibri" w:hAnsi="Calibri"/>
                <w:b w:val="0"/>
                <w:sz w:val="18"/>
              </w:rPr>
              <w:t>Maps how reviews are created, engaged with, used and mined, including firm interventions and platform design</w:t>
            </w:r>
          </w:p>
        </w:tc>
        <w:tc>
          <w:tcPr>
            <w:tcW w:type="dxa" w:w="2952"/>
            <w:shd w:val="clear" w:color="auto" w:fill="F6F6F6"/>
          </w:tcPr>
          <w:p>
            <w:pPr>
              <w:spacing w:after="0" w:line="240" w:lineRule="auto"/>
            </w:pPr>
            <w:r/>
            <w:r>
              <w:rPr>
                <w:rFonts w:ascii="Calibri" w:hAnsi="Calibri"/>
                <w:b w:val="0"/>
                <w:sz w:val="18"/>
              </w:rPr>
              <w:t>Read before positioning</w:t>
            </w:r>
          </w:p>
        </w:tc>
      </w:tr>
      <w:tr>
        <w:tc>
          <w:tcPr>
            <w:tcW w:type="dxa" w:w="1512"/>
          </w:tcPr>
          <w:p>
            <w:pPr>
              <w:spacing w:after="0" w:line="240" w:lineRule="auto"/>
            </w:pPr>
            <w:r/>
            <w:r>
              <w:rPr>
                <w:rFonts w:ascii="Calibri" w:hAnsi="Calibri"/>
                <w:b w:val="0"/>
                <w:sz w:val="18"/>
              </w:rPr>
            </w:r>
          </w:p>
        </w:tc>
        <w:tc>
          <w:tcPr>
            <w:tcW w:type="dxa" w:w="2664"/>
          </w:tcPr>
          <w:p>
            <w:pPr>
              <w:spacing w:after="0" w:line="240" w:lineRule="auto"/>
            </w:pPr>
            <w:r/>
            <w:r>
              <w:rPr>
                <w:rFonts w:ascii="Calibri" w:hAnsi="Calibri"/>
                <w:b w:val="0"/>
                <w:sz w:val="18"/>
              </w:rPr>
              <w:t>Bondi &amp; Rossi (2026, Marketing Letters 37)</w:t>
            </w:r>
          </w:p>
        </w:tc>
        <w:tc>
          <w:tcPr>
            <w:tcW w:type="dxa" w:w="1440"/>
          </w:tcPr>
          <w:p>
            <w:pPr>
              <w:spacing w:after="0" w:line="240" w:lineRule="auto"/>
            </w:pPr>
            <w:r/>
            <w:r>
              <w:rPr>
                <w:rFonts w:ascii="Calibri" w:hAnsi="Calibri"/>
                <w:b w:val="0"/>
                <w:sz w:val="18"/>
              </w:rPr>
              <w:t>Framework</w:t>
            </w:r>
          </w:p>
        </w:tc>
        <w:tc>
          <w:tcPr>
            <w:tcW w:type="dxa" w:w="5112"/>
          </w:tcPr>
          <w:p>
            <w:pPr>
              <w:spacing w:after="0" w:line="240" w:lineRule="auto"/>
            </w:pPr>
            <w:r/>
            <w:r>
              <w:rPr>
                <w:rFonts w:ascii="Calibri" w:hAnsi="Calibri"/>
                <w:b w:val="0"/>
                <w:sz w:val="18"/>
              </w:rPr>
              <w:t>Links how informative reviews are to reviewer incentives and platform design</w:t>
            </w:r>
          </w:p>
        </w:tc>
        <w:tc>
          <w:tcPr>
            <w:tcW w:type="dxa" w:w="2952"/>
          </w:tcPr>
          <w:p>
            <w:pPr>
              <w:spacing w:after="0" w:line="240" w:lineRule="auto"/>
            </w:pPr>
            <w:r/>
            <w:r>
              <w:rPr>
                <w:rFonts w:ascii="Calibri" w:hAnsi="Calibri"/>
                <w:b w:val="0"/>
                <w:sz w:val="18"/>
              </w:rPr>
              <w:t>Read before positioning</w:t>
            </w:r>
          </w:p>
        </w:tc>
      </w:tr>
    </w:tbl>
    <w:p>
      <w:pPr>
        <w:spacing w:after="120"/>
      </w:pPr>
      <w:r>
        <w:rPr>
          <w:rFonts w:ascii="Calibri" w:hAnsi="Calibri"/>
          <w:b w:val="0"/>
          <w:i w:val="0"/>
          <w:sz w:val="22"/>
        </w:rPr>
      </w:r>
    </w:p>
    <w:p>
      <w:pPr>
        <w:sectPr>
          <w:pgSz w:w="15840" w:h="12240" w:orient="landscape"/>
          <w:pgMar w:top="1080" w:right="1080" w:bottom="1080" w:left="1080" w:header="720" w:footer="720" w:gutter="0"/>
          <w:cols w:space="720"/>
          <w:docGrid w:linePitch="360"/>
        </w:sectPr>
      </w:pPr>
    </w:p>
    <w:p>
      <w:pPr>
        <w:spacing w:before="0" w:after="120"/>
      </w:pPr>
      <w:r>
        <w:rPr>
          <w:rFonts w:ascii="Calibri" w:hAnsi="Calibri"/>
          <w:b/>
          <w:sz w:val="26"/>
        </w:rPr>
        <w:t>Part 2. The story, and where it stops</w:t>
      </w:r>
    </w:p>
    <w:p>
      <w:pPr>
        <w:spacing w:after="120"/>
      </w:pPr>
      <w:r>
        <w:rPr>
          <w:rFonts w:ascii="Calibri" w:hAnsi="Calibri"/>
          <w:b/>
          <w:sz w:val="22"/>
        </w:rPr>
        <w:t xml:space="preserve">1. Ratings are a biased sample. </w:t>
      </w:r>
      <w:r>
        <w:rPr>
          <w:rFonts w:ascii="Calibri" w:hAnsi="Calibri"/>
          <w:sz w:val="22"/>
        </w:rPr>
        <w:t>People who write reviews differ from people who do not. Mostly it is the delighted and the angry, and customers with moderate experiences drift away over time (Hu, Pavlou and Zhang 2009, Li and Hitt 2008, Schoenmueller, Netzer and Stahl 2020, Brandes, Godes and Mayzlin 2022). The average rating is therefore a poor estimate of quality, and consumers rely on it anyway (De Langhe, Fernbach and Lichtenstein 2016).</w:t>
      </w:r>
    </w:p>
    <w:p>
      <w:pPr>
        <w:spacing w:after="120"/>
      </w:pPr>
      <w:r>
        <w:rPr>
          <w:rFonts w:ascii="Calibri" w:hAnsi="Calibri"/>
          <w:b/>
          <w:sz w:val="22"/>
        </w:rPr>
        <w:t xml:space="preserve">2. Firms can change who reviews. </w:t>
      </w:r>
      <w:r>
        <w:rPr>
          <w:rFonts w:ascii="Calibri" w:hAnsi="Calibri"/>
          <w:sz w:val="22"/>
        </w:rPr>
        <w:t>Asking customers pulls the moderate middle back in and makes ratings more representative (Askalidis, Kim and Malthouse 2017, Karaman 2021). Incentives raise both the number of reviews and how positive they are (Burtch et al. 2018, Woolley and Sharif 2021, Fradkin and Holtz 2023). This is a real strategic choice rather than a hypothetical one. Hotel companies collect reviews in visibly different ways, and the choice shows up in their ratings, including on platforms they do not control (Wang and Anderson 2023).</w:t>
      </w:r>
    </w:p>
    <w:p>
      <w:pPr>
        <w:spacing w:after="120"/>
      </w:pPr>
      <w:r>
        <w:rPr>
          <w:rFonts w:ascii="Calibri" w:hAnsi="Calibri"/>
          <w:b/>
          <w:sz w:val="22"/>
        </w:rPr>
        <w:t xml:space="preserve">3. Consumers read the shape of the distribution, not only the average. </w:t>
      </w:r>
      <w:r>
        <w:rPr>
          <w:rFonts w:ascii="Calibri" w:hAnsi="Calibri"/>
          <w:sz w:val="22"/>
        </w:rPr>
        <w:t>How spread out the ratings are carries information, and it raises demand only when the average is low (Sun 2012). Consumers also explain spread-out ratings differently depending on context (He and Bond 2015). So a strategy that changes the shape of a firm rating distribution changes its demand even when the average barely moves. That is what makes the solicitation choice strategic rather than cosmetic.</w:t>
      </w:r>
    </w:p>
    <w:p>
      <w:pPr>
        <w:spacing w:after="120"/>
      </w:pPr>
      <w:r>
        <w:rPr>
          <w:rFonts w:ascii="Calibri" w:hAnsi="Calibri"/>
          <w:b/>
          <w:sz w:val="22"/>
        </w:rPr>
        <w:t xml:space="preserve">4. Theory has modelled firms shaping their ratings, but through other levers. </w:t>
      </w:r>
      <w:r>
        <w:rPr>
          <w:rFonts w:ascii="Calibri" w:hAnsi="Calibri"/>
          <w:sz w:val="22"/>
        </w:rPr>
        <w:t>Price and unexpected extras (Kuksov and Xie 2010, Chen, Du and Lei, Shin, Vaccari and Zeevi). Managing expectations (Martin and Shelegia 2021). Designing the review system itself (Jiang and Guo 2015). Posting fake content (Mayzlin 2006, Dellarocas 2006, Zhang et al. 2025). The learning models put the selection in who buys rather than in who reviews (Acemoglu et al. 2022, Ifrach et al. 2019). The closest model of selection in who reviews has one firm and uses price as its lever (Huang 2026). The closest competitive models have firms choosing price and quality (Zhao et al. 2022) or fake content (Dellarocas 2006).</w:t>
      </w:r>
    </w:p>
    <w:p>
      <w:pPr>
        <w:spacing w:after="120"/>
      </w:pPr>
      <w:r>
        <w:rPr>
          <w:rFonts w:ascii="Calibri" w:hAnsi="Calibri"/>
          <w:b/>
          <w:sz w:val="22"/>
        </w:rPr>
        <w:t xml:space="preserve">5. Platforms disagree about the rule. </w:t>
      </w:r>
      <w:r>
        <w:rPr>
          <w:rFonts w:ascii="Calibri" w:hAnsi="Calibri"/>
          <w:sz w:val="22"/>
        </w:rPr>
        <w:t>Google permits asking for reviews while prohibiting incentives and selective solicitation. Yelp instructs businesses never to ask at all. So whether two competing firms can even choose different review strategies is decided by the platform, not by the firms.</w:t>
      </w:r>
    </w:p>
    <w:p>
      <w:pPr>
        <w:spacing w:before="280" w:after="120"/>
      </w:pPr>
      <w:r>
        <w:rPr>
          <w:rFonts w:ascii="Calibri" w:hAnsi="Calibri"/>
          <w:b/>
          <w:sz w:val="26"/>
        </w:rPr>
        <w:t>The gap, in three layers</w:t>
      </w:r>
    </w:p>
    <w:p>
      <w:pPr>
        <w:spacing w:after="120"/>
      </w:pPr>
      <w:r>
        <w:rPr>
          <w:rFonts w:ascii="Calibri" w:hAnsi="Calibri"/>
          <w:b/>
          <w:sz w:val="22"/>
        </w:rPr>
        <w:t xml:space="preserve">Theory. </w:t>
      </w:r>
      <w:r>
        <w:rPr>
          <w:rFonts w:ascii="Calibri" w:hAnsi="Calibri"/>
          <w:sz w:val="22"/>
        </w:rPr>
        <w:t>I found no model in which competing firms choose whether to solicit genuine reviews, where that choice changes the shape of the rating distribution rather than what the reviews say, consumers infer quality from that shape, and platform policy decides whether firms are allowed to diverge. Each neighbour gets part of the way. Dellarocas (2006) has competition but fake content. Huang (2026) has reporting bias and a platform but only one firm and a pricing lever. Zhang et al. (2025) have two firms and platform governance but model manipulation. The 2x2 fills the missing square, and Sun (2012) supplies the reason the asymmetric cells could be the equilibrium rather than a curiosity, since compressing variance helps a firm whose average is high and hurts one whose average is low.</w:t>
      </w:r>
    </w:p>
    <w:p>
      <w:pPr>
        <w:spacing w:after="120"/>
      </w:pPr>
      <w:r>
        <w:rPr>
          <w:rFonts w:ascii="Calibri" w:hAnsi="Calibri"/>
          <w:b/>
          <w:sz w:val="22"/>
        </w:rPr>
        <w:t xml:space="preserve">Empirical. </w:t>
      </w:r>
      <w:r>
        <w:rPr>
          <w:rFonts w:ascii="Calibri" w:hAnsi="Calibri"/>
          <w:sz w:val="22"/>
        </w:rPr>
        <w:t>Existing work shows that firms use different collection strategies (Wang and Anderson 2023) and that soliciting changes distributions (Karaman 2021). Nothing connects a firm choice to solicit with its underlying quality or with how it fares against a competitor. Nothing compares a platform where firms may make that choice against one where they may not, which is what the Google and Yelp contrast offers.</w:t>
      </w:r>
    </w:p>
    <w:p>
      <w:pPr>
        <w:spacing w:after="120"/>
      </w:pPr>
      <w:r>
        <w:rPr>
          <w:rFonts w:ascii="Calibri" w:hAnsi="Calibri"/>
          <w:b/>
          <w:sz w:val="22"/>
        </w:rPr>
        <w:t xml:space="preserve">Experimental. </w:t>
      </w:r>
      <w:r>
        <w:rPr>
          <w:rFonts w:ascii="Calibri" w:hAnsi="Calibri"/>
          <w:sz w:val="22"/>
        </w:rPr>
        <w:t>Existing studies test how consumers read ratings and their spread (De Langhe et al. 2016, He and Bond 2015). None tests whether consumers adjust their quality inference once they learn how the reviews were collected. That is exactly the consumer assumption the model would rest on, and it is the cheapest part of the paper to establish.</w:t>
      </w:r>
    </w:p>
    <w:p>
      <w:pPr>
        <w:spacing w:before="280" w:after="120"/>
      </w:pPr>
      <w:r>
        <w:rPr>
          <w:rFonts w:ascii="Calibri" w:hAnsi="Calibri"/>
          <w:b/>
          <w:sz w:val="26"/>
        </w:rPr>
        <w:t>Read these before the gap goes into a draft</w:t>
      </w:r>
    </w:p>
    <w:p>
      <w:pPr>
        <w:spacing w:after="120"/>
      </w:pPr>
      <w:r>
        <w:rPr>
          <w:rFonts w:ascii="Calibri" w:hAnsi="Calibri"/>
          <w:b/>
          <w:sz w:val="22"/>
        </w:rPr>
        <w:t xml:space="preserve">Huang (2026, Naval Research Logistics). </w:t>
      </w:r>
      <w:r>
        <w:rPr>
          <w:rFonts w:ascii="Calibri" w:hAnsi="Calibri"/>
          <w:sz w:val="22"/>
        </w:rPr>
        <w:t>If the platform mitigation lever in that paper is solicitation, the single-firm version of the idea is taken and the contribution has to be the competition.</w:t>
      </w:r>
    </w:p>
    <w:p>
      <w:pPr>
        <w:spacing w:after="120"/>
      </w:pPr>
      <w:r>
        <w:rPr>
          <w:rFonts w:ascii="Calibri" w:hAnsi="Calibri"/>
          <w:b/>
          <w:sz w:val="22"/>
        </w:rPr>
        <w:t xml:space="preserve">Fradkin and Holtz (2023, Marketing Science). </w:t>
      </w:r>
      <w:r>
        <w:rPr>
          <w:rFonts w:ascii="Calibri" w:hAnsi="Calibri"/>
          <w:sz w:val="22"/>
        </w:rPr>
        <w:t>The closest field evidence on incentives to review, and the natural benchmark for any empirical companion.</w:t>
      </w:r>
    </w:p>
    <w:p>
      <w:pPr>
        <w:spacing w:after="120"/>
      </w:pPr>
      <w:r>
        <w:rPr>
          <w:rFonts w:ascii="Calibri" w:hAnsi="Calibri"/>
          <w:b/>
          <w:sz w:val="22"/>
        </w:rPr>
        <w:t xml:space="preserve">Zhang, Zhang, Wang, Li and Ma (2025, Information and Management 62(7)). </w:t>
      </w:r>
      <w:r>
        <w:rPr>
          <w:rFonts w:ascii="Calibri" w:hAnsi="Calibri"/>
          <w:sz w:val="22"/>
        </w:rPr>
        <w:t>Its structure of two asymmetric firms plus a platform may transfer directly from manipulation to solicitation, which would make it either a template or a competitor.</w:t>
      </w:r>
    </w:p>
    <w:p>
      <w:pPr>
        <w:spacing w:after="120"/>
      </w:pPr>
      <w:r>
        <w:rPr>
          <w:rFonts w:ascii="Calibri" w:hAnsi="Calibri"/>
          <w:b/>
          <w:sz w:val="22"/>
        </w:rPr>
        <w:t xml:space="preserve">Pocchiari, Proserpio and Dover (2025, IJRM 42(2)) and Bondi and Rossi (2026, Marketing Letters 37). </w:t>
      </w:r>
      <w:r>
        <w:rPr>
          <w:rFonts w:ascii="Calibri" w:hAnsi="Calibri"/>
          <w:sz w:val="22"/>
        </w:rPr>
        <w:t>Both are recent overviews, and either may already list this as an open question, which changes how the contribution is framed.</w:t>
      </w:r>
    </w:p>
    <w:p>
      <w:pPr>
        <w:spacing w:before="280" w:after="120"/>
      </w:pPr>
      <w:r>
        <w:rPr>
          <w:rFonts w:ascii="Calibri" w:hAnsi="Calibri"/>
          <w:b/>
          <w:sz w:val="26"/>
        </w:rPr>
        <w:t>What each of us would own</w:t>
      </w:r>
    </w:p>
    <w:p>
      <w:pPr>
        <w:spacing w:after="120"/>
      </w:pPr>
      <w:r>
        <w:rPr>
          <w:rFonts w:ascii="Calibri" w:hAnsi="Calibri"/>
          <w:b w:val="0"/>
          <w:i w:val="0"/>
          <w:sz w:val="22"/>
        </w:rPr>
        <w:t>The model is the coauthor contribution. Two firms of differing quality choose solicited or consumer-driven collection, solicitation compresses the distribution toward the truth, consumers infer quality from shape, and a platform policy parameter determines which cells are feasible. The empirical and experimental halves are mine. The Google against Yelp comparison tests whether firms diverge when they are permitted to, and an experiment tests whether consumers adjust for collection method. Each half stands alone if the other stalls.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