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1F4E79"/>
          <w:sz w:val="56"/>
        </w:rPr>
        <w:t>London Crime Analytics</w:t>
      </w:r>
    </w:p>
    <w:p>
      <w:pPr>
        <w:jc w:val="center"/>
      </w:pPr>
      <w:r>
        <w:rPr>
          <w:color w:val="475569"/>
          <w:sz w:val="28"/>
        </w:rPr>
        <w:t>Distribuição territorial, evolução temporal e perfil das categorias criminais entre 2008 e 2016</w:t>
      </w:r>
    </w:p>
    <w:p>
      <w:pPr>
        <w:spacing w:before="700"/>
        <w:jc w:val="center"/>
      </w:pPr>
      <w:r>
        <w:rPr>
          <w:b/>
          <w:sz w:val="24"/>
        </w:rPr>
        <w:t>Pedro Henrique Correia de Jesus</w:t>
      </w:r>
    </w:p>
    <w:p>
      <w:pPr>
        <w:spacing w:before="360"/>
        <w:jc w:val="center"/>
      </w:pPr>
      <w:r>
        <w:t>Tecnologias: BigQuery • SQL • Python • Pandas • Google Colab • Power BI</w:t>
      </w:r>
    </w:p>
    <w:p>
      <w:pPr>
        <w:spacing w:before="240"/>
        <w:jc w:val="center"/>
      </w:pPr>
      <w:r>
        <w:t xml:space="preserve">Projeto Google Cloud: </w:t>
      </w:r>
      <w:r>
        <w:rPr>
          <w:color w:val="0563C1"/>
          <w:u w:val="single"/>
        </w:rPr>
        <w:t>london-crime-analytics-497414</w:t>
      </w:r>
    </w:p>
    <w:p>
      <w:r>
        <w:br w:type="page"/>
      </w:r>
    </w:p>
    <w:p>
      <w:pPr>
        <w:pStyle w:val="Heading1"/>
      </w:pPr>
      <w:r>
        <w:t>1. Introdução</w:t>
      </w:r>
    </w:p>
    <w:p>
      <w:r>
        <w:t>A análise de registros de criminalidade pode apoiar a compreensão de como as ocorrências se distribuem no tempo, no território e entre diferentes categorias. Observar apenas um total geral, porém, não revela quais tipos de crime concentram os registros, quais áreas acumulam maiores volumes ou como os padrões variam entre meses e anos.</w:t>
      </w:r>
    </w:p>
    <w:p>
      <w:r>
        <w:t>Este projeto investiga os registros de criminalidade de Londres entre 2008 e 2016, utilizando dados públicos consultados no BigQuery. O fluxo combina consultas SQL, preparação e validação em Python e apresentação dos resultados em um dashboard desenvolvido no Power BI.</w:t>
      </w:r>
    </w:p>
    <w:p>
      <w:r>
        <w:t>O foco é descritivo: identificar padrões no conjunto de dados e organizar informações para exploração. Os resultados não devem ser interpretados como medidas de risco individual, nem como explicação causal para a criminalidade.</w:t>
      </w:r>
    </w:p>
    <w:p>
      <w:pPr>
        <w:pStyle w:val="Heading1"/>
      </w:pPr>
      <w:r>
        <w:t>2. Situação-problema</w:t>
      </w:r>
    </w:p>
    <w:p>
      <w:r>
        <w:t>Os registros de crimes variam entre categorias e áreas administrativas. Um borough com maior volume absoluto pode concentrar mais ocorrências por diversos motivos, inclusive diferenças de população, circulação de pessoas, atividades comerciais e cobertura dos registros. Como o dataset exportado não contém denominadores populacionais, a comparação deste relatório é feita em volumes absolutos.</w:t>
      </w:r>
    </w:p>
    <w:p>
      <w:pPr>
        <w:ind w:left="432" w:right="432"/>
      </w:pPr>
      <w:r>
        <w:rPr>
          <w:b/>
          <w:i/>
        </w:rPr>
        <w:t>Como os registros de criminalidade em Londres se distribuíram entre 2008 e 2016, considerando a evolução temporal, os boroughs e as principais categorias criminais?</w:t>
      </w:r>
    </w:p>
    <w:p>
      <w:r>
        <w:t>A partir dessa pergunta, a análise explora a distribuição por macrocategoria e subcategoria, os boroughs com maior volume acumulado, a dimensão temporal e os recursos de visualização disponíveis no dashboard.</w:t>
      </w:r>
    </w:p>
    <w:p>
      <w:pPr>
        <w:pStyle w:val="Heading1"/>
      </w:pPr>
      <w:r>
        <w:t>3. Dados e abordagem analítica</w:t>
      </w:r>
    </w:p>
    <w:p>
      <w:r>
        <w:t>A fonte consultada foi a tabela pública `bigquery-public-data.london_crime.crime_by_lsoa`, no Google BigQuery. A consulta de validação registrada no notebook identificou 13.490.604 registros na tabela original e cobertura temporal de 2008 a 2016, totalizando nove anos.</w:t>
      </w:r>
    </w:p>
    <w:p>
      <w:r>
        <w:t>Para preparar o arquivo de análise, os registros foram agregados por borough, macrocategoria (`major_category`), subcategoria (`minor_category`), ano e mês. O campo `value` foi somado e renomeado como `total_crimes`. Essa agregação produziu 112.968 linhas no CSV exportado.</w:t>
      </w:r>
    </w:p>
    <w:p>
      <w:r>
        <w:t>A tabela original também contém `lsoa_code`, mas essa dimensão não foi mantida no CSV final. Portanto, o arquivo usado no fluxo descrito possui granularidade por borough e categoria, e não por LSOA.</w:t>
      </w:r>
    </w:p>
    <w:p>
      <w:r>
        <w:t>O pipeline foi executado em Google Colab com Python e Pandas. O notebook registra padronização de nomes de colunas para snake_case, remoção de linhas e colunas totalmente vazias, remoção de duplicatas explícitas, conversão de tipos numéricos e exportação do dataset limpo.</w:t>
      </w:r>
    </w:p>
    <w:p>
      <w:pPr>
        <w:pStyle w:val="Heading1"/>
      </w:pPr>
      <w:r>
        <w:t>4. Qualidade e preparação dos dados</w:t>
      </w:r>
    </w:p>
    <w:p>
      <w:r>
        <w:t>A análise exploratória consultou a tabela de origem para verificar volume, valores nulos em campos selecionados, período histórico, distribuição por macrocategoria e boroughs com maiores volumes. Na execução documentada, a consulta de qualidade encontrou zero valores nulos nos campos borough, major_category, minor_category, year e month.</w:t>
      </w:r>
    </w:p>
    <w:p>
      <w:r>
        <w:t>Na etapa de limpeza do dataset agregado, o notebook registrou zero colunas totalmente vazias removidas, zero linhas totalmente vazias removidas e zero duplicatas explícitas removidas. Os campos year, month e total_crimes foram convertidos para inteiros.</w:t>
      </w:r>
    </w:p>
    <w:p>
      <w:r>
        <w:t>Essas verificações cobrem critérios básicos, mas não substituem uma auditoria completa de regras de negócio. Antes da publicação, é recomendável conferir valores inesperados, a consistência do total agregado e a correspondência entre os dados exportados e os cartões do Power BI.</w:t>
      </w:r>
    </w:p>
    <w:p>
      <w:pPr>
        <w:pStyle w:val="Heading1"/>
      </w:pPr>
      <w:r>
        <w:t>5. Distribuição das categorias criminais</w:t>
      </w:r>
    </w:p>
    <w:p>
      <w:r>
        <w:t>A consulta SQL agrupou os valores por macrocategoria e calculou a participação de cada grupo no total acumulado. O maior volume registrado foi de Theft and Handling, com 2.661.861 ocorrências agregadas (41,28%). Em seguida apareceu Violence Against the Person, com 1.558.081 (24,16%).</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Macrocategoria</w:t>
            </w:r>
          </w:p>
        </w:tc>
        <w:tc>
          <w:tcPr>
            <w:tcW w:type="dxa" w:w="3264"/>
          </w:tcPr>
          <w:p>
            <w:r>
              <w:t>Total acumulado</w:t>
            </w:r>
          </w:p>
        </w:tc>
        <w:tc>
          <w:tcPr>
            <w:tcW w:type="dxa" w:w="3264"/>
          </w:tcPr>
          <w:p>
            <w:r>
              <w:t>Participação</w:t>
            </w:r>
          </w:p>
        </w:tc>
      </w:tr>
      <w:tr>
        <w:tc>
          <w:tcPr>
            <w:tcW w:type="dxa" w:w="3264"/>
          </w:tcPr>
          <w:p>
            <w:r>
              <w:t>Theft and Handling</w:t>
            </w:r>
          </w:p>
        </w:tc>
        <w:tc>
          <w:tcPr>
            <w:tcW w:type="dxa" w:w="3264"/>
          </w:tcPr>
          <w:p>
            <w:r>
              <w:t>2.661.861</w:t>
            </w:r>
          </w:p>
        </w:tc>
        <w:tc>
          <w:tcPr>
            <w:tcW w:type="dxa" w:w="3264"/>
          </w:tcPr>
          <w:p>
            <w:r>
              <w:t>41,28%</w:t>
            </w:r>
          </w:p>
        </w:tc>
      </w:tr>
      <w:tr>
        <w:tc>
          <w:tcPr>
            <w:tcW w:type="dxa" w:w="3264"/>
          </w:tcPr>
          <w:p>
            <w:r>
              <w:t>Violence Against the Person</w:t>
            </w:r>
          </w:p>
        </w:tc>
        <w:tc>
          <w:tcPr>
            <w:tcW w:type="dxa" w:w="3264"/>
          </w:tcPr>
          <w:p>
            <w:r>
              <w:t>1.558.081</w:t>
            </w:r>
          </w:p>
        </w:tc>
        <w:tc>
          <w:tcPr>
            <w:tcW w:type="dxa" w:w="3264"/>
          </w:tcPr>
          <w:p>
            <w:r>
              <w:t>24,16%</w:t>
            </w:r>
          </w:p>
        </w:tc>
      </w:tr>
      <w:tr>
        <w:tc>
          <w:tcPr>
            <w:tcW w:type="dxa" w:w="3264"/>
          </w:tcPr>
          <w:p>
            <w:r>
              <w:t>Burglary</w:t>
            </w:r>
          </w:p>
        </w:tc>
        <w:tc>
          <w:tcPr>
            <w:tcW w:type="dxa" w:w="3264"/>
          </w:tcPr>
          <w:p>
            <w:r>
              <w:t>754.293</w:t>
            </w:r>
          </w:p>
        </w:tc>
        <w:tc>
          <w:tcPr>
            <w:tcW w:type="dxa" w:w="3264"/>
          </w:tcPr>
          <w:p>
            <w:r>
              <w:t>11,70%</w:t>
            </w:r>
          </w:p>
        </w:tc>
      </w:tr>
      <w:tr>
        <w:tc>
          <w:tcPr>
            <w:tcW w:type="dxa" w:w="3264"/>
          </w:tcPr>
          <w:p>
            <w:r>
              <w:t>Criminal Damage</w:t>
            </w:r>
          </w:p>
        </w:tc>
        <w:tc>
          <w:tcPr>
            <w:tcW w:type="dxa" w:w="3264"/>
          </w:tcPr>
          <w:p>
            <w:r>
              <w:t>630.938</w:t>
            </w:r>
          </w:p>
        </w:tc>
        <w:tc>
          <w:tcPr>
            <w:tcW w:type="dxa" w:w="3264"/>
          </w:tcPr>
          <w:p>
            <w:r>
              <w:t>9,79%</w:t>
            </w:r>
          </w:p>
        </w:tc>
      </w:tr>
      <w:tr>
        <w:tc>
          <w:tcPr>
            <w:tcW w:type="dxa" w:w="3264"/>
          </w:tcPr>
          <w:p>
            <w:r>
              <w:t>Drugs</w:t>
            </w:r>
          </w:p>
        </w:tc>
        <w:tc>
          <w:tcPr>
            <w:tcW w:type="dxa" w:w="3264"/>
          </w:tcPr>
          <w:p>
            <w:r>
              <w:t>470.765</w:t>
            </w:r>
          </w:p>
        </w:tc>
        <w:tc>
          <w:tcPr>
            <w:tcW w:type="dxa" w:w="3264"/>
          </w:tcPr>
          <w:p>
            <w:r>
              <w:t>7,30%</w:t>
            </w:r>
          </w:p>
        </w:tc>
      </w:tr>
      <w:tr>
        <w:tc>
          <w:tcPr>
            <w:tcW w:type="dxa" w:w="3264"/>
          </w:tcPr>
          <w:p>
            <w:r>
              <w:t>Robbery</w:t>
            </w:r>
          </w:p>
        </w:tc>
        <w:tc>
          <w:tcPr>
            <w:tcW w:type="dxa" w:w="3264"/>
          </w:tcPr>
          <w:p>
            <w:r>
              <w:t>258.873</w:t>
            </w:r>
          </w:p>
        </w:tc>
        <w:tc>
          <w:tcPr>
            <w:tcW w:type="dxa" w:w="3264"/>
          </w:tcPr>
          <w:p>
            <w:r>
              <w:t>4,01%</w:t>
            </w:r>
          </w:p>
        </w:tc>
      </w:tr>
      <w:tr>
        <w:tc>
          <w:tcPr>
            <w:tcW w:type="dxa" w:w="3264"/>
          </w:tcPr>
          <w:p>
            <w:r>
              <w:t>Other Notifiable Offences</w:t>
            </w:r>
          </w:p>
        </w:tc>
        <w:tc>
          <w:tcPr>
            <w:tcW w:type="dxa" w:w="3264"/>
          </w:tcPr>
          <w:p>
            <w:r>
              <w:t>106.349</w:t>
            </w:r>
          </w:p>
        </w:tc>
        <w:tc>
          <w:tcPr>
            <w:tcW w:type="dxa" w:w="3264"/>
          </w:tcPr>
          <w:p>
            <w:r>
              <w:t>1,65%</w:t>
            </w:r>
          </w:p>
        </w:tc>
      </w:tr>
      <w:tr>
        <w:tc>
          <w:tcPr>
            <w:tcW w:type="dxa" w:w="3264"/>
          </w:tcPr>
          <w:p>
            <w:r>
              <w:t>Fraud or Forgery</w:t>
            </w:r>
          </w:p>
        </w:tc>
        <w:tc>
          <w:tcPr>
            <w:tcW w:type="dxa" w:w="3264"/>
          </w:tcPr>
          <w:p>
            <w:r>
              <w:t>5.325</w:t>
            </w:r>
          </w:p>
        </w:tc>
        <w:tc>
          <w:tcPr>
            <w:tcW w:type="dxa" w:w="3264"/>
          </w:tcPr>
          <w:p>
            <w:r>
              <w:t>0,08%</w:t>
            </w:r>
          </w:p>
        </w:tc>
      </w:tr>
      <w:tr>
        <w:tc>
          <w:tcPr>
            <w:tcW w:type="dxa" w:w="3264"/>
          </w:tcPr>
          <w:p>
            <w:r>
              <w:t>Sexual Offences</w:t>
            </w:r>
          </w:p>
        </w:tc>
        <w:tc>
          <w:tcPr>
            <w:tcW w:type="dxa" w:w="3264"/>
          </w:tcPr>
          <w:p>
            <w:r>
              <w:t>1.273</w:t>
            </w:r>
          </w:p>
        </w:tc>
        <w:tc>
          <w:tcPr>
            <w:tcW w:type="dxa" w:w="3264"/>
          </w:tcPr>
          <w:p>
            <w:r>
              <w:t>0,02%</w:t>
            </w:r>
          </w:p>
        </w:tc>
      </w:tr>
    </w:tbl>
    <w:p>
      <w:r>
        <w:t>Esses números indicam que, no resultado consultado, Theft and Handling e Violence Against the Person concentram a maior parte do volume agregado. A categoria com maior contagem não deve ser interpretada automaticamente como a de maior risco, pois a análise não incorpora população, exposição ou outros denominadores.</w:t>
      </w:r>
    </w:p>
    <w:p>
      <w:r>
        <w:t>A participação muito pequena de algumas categorias deve ser interpretada com cuidado e considerando as definições da fonte. O notebook apresenta os valores tal como retornados pela consulta, sem uma análise adicional da cobertura ou das regras de classificação dessas categorias.</w:t>
      </w:r>
    </w:p>
    <w:p>
      <w:pPr>
        <w:pStyle w:val="Heading1"/>
      </w:pPr>
      <w:r>
        <w:t>6. Distribuição territorial: boroughs com maior volume</w:t>
      </w:r>
    </w:p>
    <w:p>
      <w:r>
        <w:t>A consulta de hotspots agrupou os registros por borough e ordenou o volume acumulado de forma decrescente. Westminster apresentou o maior valor, com 455.028, seguido por Lambeth (292.178), Southwark (278.809), Camden (275.147) e Newham (262.024).</w:t>
      </w:r>
    </w:p>
    <w:tbl>
      <w:tblPr>
        <w:tblStyle w:val="LightShading-Accent1"/>
        <w:tblW w:type="auto" w:w="0"/>
        <w:tblLook w:firstColumn="1" w:firstRow="1" w:lastColumn="0" w:lastRow="0" w:noHBand="0" w:noVBand="1" w:val="04A0"/>
      </w:tblPr>
      <w:tblGrid>
        <w:gridCol w:w="4896"/>
        <w:gridCol w:w="4896"/>
      </w:tblGrid>
      <w:tr>
        <w:tc>
          <w:tcPr>
            <w:tcW w:type="dxa" w:w="4896"/>
          </w:tcPr>
          <w:p>
            <w:r>
              <w:t>Borough</w:t>
            </w:r>
          </w:p>
        </w:tc>
        <w:tc>
          <w:tcPr>
            <w:tcW w:type="dxa" w:w="4896"/>
          </w:tcPr>
          <w:p>
            <w:r>
              <w:t>Volume acumulado</w:t>
            </w:r>
          </w:p>
        </w:tc>
      </w:tr>
      <w:tr>
        <w:tc>
          <w:tcPr>
            <w:tcW w:type="dxa" w:w="4896"/>
          </w:tcPr>
          <w:p>
            <w:r>
              <w:t>Westminster</w:t>
            </w:r>
          </w:p>
        </w:tc>
        <w:tc>
          <w:tcPr>
            <w:tcW w:type="dxa" w:w="4896"/>
          </w:tcPr>
          <w:p>
            <w:r>
              <w:t>455.028</w:t>
            </w:r>
          </w:p>
        </w:tc>
      </w:tr>
      <w:tr>
        <w:tc>
          <w:tcPr>
            <w:tcW w:type="dxa" w:w="4896"/>
          </w:tcPr>
          <w:p>
            <w:r>
              <w:t>Lambeth</w:t>
            </w:r>
          </w:p>
        </w:tc>
        <w:tc>
          <w:tcPr>
            <w:tcW w:type="dxa" w:w="4896"/>
          </w:tcPr>
          <w:p>
            <w:r>
              <w:t>292.178</w:t>
            </w:r>
          </w:p>
        </w:tc>
      </w:tr>
      <w:tr>
        <w:tc>
          <w:tcPr>
            <w:tcW w:type="dxa" w:w="4896"/>
          </w:tcPr>
          <w:p>
            <w:r>
              <w:t>Southwark</w:t>
            </w:r>
          </w:p>
        </w:tc>
        <w:tc>
          <w:tcPr>
            <w:tcW w:type="dxa" w:w="4896"/>
          </w:tcPr>
          <w:p>
            <w:r>
              <w:t>278.809</w:t>
            </w:r>
          </w:p>
        </w:tc>
      </w:tr>
      <w:tr>
        <w:tc>
          <w:tcPr>
            <w:tcW w:type="dxa" w:w="4896"/>
          </w:tcPr>
          <w:p>
            <w:r>
              <w:t>Camden</w:t>
            </w:r>
          </w:p>
        </w:tc>
        <w:tc>
          <w:tcPr>
            <w:tcW w:type="dxa" w:w="4896"/>
          </w:tcPr>
          <w:p>
            <w:r>
              <w:t>275.147</w:t>
            </w:r>
          </w:p>
        </w:tc>
      </w:tr>
      <w:tr>
        <w:tc>
          <w:tcPr>
            <w:tcW w:type="dxa" w:w="4896"/>
          </w:tcPr>
          <w:p>
            <w:r>
              <w:t>Newham</w:t>
            </w:r>
          </w:p>
        </w:tc>
        <w:tc>
          <w:tcPr>
            <w:tcW w:type="dxa" w:w="4896"/>
          </w:tcPr>
          <w:p>
            <w:r>
              <w:t>262.024</w:t>
            </w:r>
          </w:p>
        </w:tc>
      </w:tr>
    </w:tbl>
    <w:p>
      <w:r>
        <w:t>O resultado aponta onde se concentram os maiores volumes absolutos na base consultada. Não permite, isoladamente, concluir que esses locais sejam os mais perigosos ou apresentem maior risco individual. Uma comparação de taxas exigiria dados populacionais ou outro denominador adequado e uma definição clara da população exposta.</w:t>
      </w:r>
    </w:p>
    <w:p>
      <w:pPr>
        <w:pStyle w:val="Heading1"/>
      </w:pPr>
      <w:r>
        <w:t>7. Evolução temporal e sazonalidade</w:t>
      </w:r>
    </w:p>
    <w:p>
      <w:r>
        <w:t>O período identificado na tabela vai de 2008 a 2016, com nove anos mapeados. O dashboard inclui uma visualização de evolução anual do volume total, uma página dedicada a tendências criminais, análise sazonal mensal e evolução por categoria.</w:t>
      </w:r>
    </w:p>
    <w:p>
      <w:r>
        <w:t>Os materiais fornecidos não incluem uma tabela completa com os valores anuais e mensais dessas séries. Por esse motivo, este relatório descreve as análises implementadas no dashboard, mas não afirma um pico anual, uma tendência de alta ou queda, nem um mês de sazonalidade específica sem os respectivos resultados numéricos.</w:t>
      </w:r>
    </w:p>
    <w:p>
      <w:r>
        <w:t>Para aprofundar essa etapa, recomenda-se exportar uma tabela com total por ano e outra com total por mês do calendário, além de comparar a composição das categorias ao longo do período.</w:t>
      </w:r>
    </w:p>
    <w:p>
      <w:pPr>
        <w:pStyle w:val="Heading1"/>
      </w:pPr>
      <w:r>
        <w:t>8. Dashboard Power BI</w:t>
      </w:r>
    </w:p>
    <w:p>
      <w:r>
        <w:t>O arquivo Power BI fornecido apresenta quatro páginas identificadas no modelo do relatório:</w:t>
      </w:r>
    </w:p>
    <w:p>
      <w:pPr>
        <w:pStyle w:val="ListBullet"/>
      </w:pPr>
      <w:r>
        <w:t>Executive Overview — cartões de indicadores, evolução anual do volume de crimes, volume por borough e destaques de borough e categoria.</w:t>
      </w:r>
    </w:p>
    <w:p>
      <w:pPr>
        <w:pStyle w:val="ListBullet"/>
      </w:pPr>
      <w:r>
        <w:t>Crime Trends — análise sazonal mensal, evolução por categoria e comparação entre crimes violentos e não violentos.</w:t>
      </w:r>
    </w:p>
    <w:p>
      <w:pPr>
        <w:pStyle w:val="ListBullet"/>
      </w:pPr>
      <w:r>
        <w:t>Regional Analysis — mapa territorial, evolução por região/borough e cartão de volume total.</w:t>
      </w:r>
    </w:p>
    <w:p>
      <w:pPr>
        <w:pStyle w:val="ListBullet"/>
      </w:pPr>
      <w:r>
        <w:t>Major &amp; Minor Category — comparação entre categorias principais e subcategorias criminais.</w:t>
      </w:r>
    </w:p>
    <w:p>
      <w:r>
        <w:t>A organização permite alternar entre uma visão executiva, tendências temporais, distribuição territorial e detalhamento das categorias. A existência de um visual no arquivo não comprova, por si só, que todos os filtros e cálculos estejam corretos; a conferência interativa deve ser realizada no Power BI Desktop.</w:t>
      </w:r>
    </w:p>
    <w:p>
      <w:r>
        <w:t>Link do projeto Google Cloud: https://console.cloud.google.com/welcome?project=london-crime-analytics-497414</w:t>
      </w:r>
    </w:p>
    <w:p>
      <w:pPr>
        <w:pStyle w:val="Heading1"/>
      </w:pPr>
      <w:r>
        <w:t>9. Principais achados</w:t>
      </w:r>
    </w:p>
    <w:p>
      <w:pPr>
        <w:pStyle w:val="ListBullet"/>
      </w:pPr>
      <w:r>
        <w:t>A base consultada cobre o período de 2008 a 2016.</w:t>
      </w:r>
    </w:p>
    <w:p>
      <w:pPr>
        <w:pStyle w:val="ListBullet"/>
      </w:pPr>
      <w:r>
        <w:t>A extração agrupada gerou 112.968 linhas a partir da tabela de origem, que retornou 13.490.604 registros na consulta de validação.</w:t>
      </w:r>
    </w:p>
    <w:p>
      <w:pPr>
        <w:pStyle w:val="ListBullet"/>
      </w:pPr>
      <w:r>
        <w:t>Theft and Handling foi a macrocategoria com maior volume acumulado na consulta, com 41,28%, seguida por Violence Against the Person, com 24,16%.</w:t>
      </w:r>
    </w:p>
    <w:p>
      <w:pPr>
        <w:pStyle w:val="ListBullet"/>
      </w:pPr>
      <w:r>
        <w:t>Westminster apresentou o maior volume entre os boroughs listados na consulta, seguido por Lambeth, Southwark, Camden e Newham.</w:t>
      </w:r>
    </w:p>
    <w:p>
      <w:pPr>
        <w:pStyle w:val="ListBullet"/>
      </w:pPr>
      <w:r>
        <w:t>O projeto integra SQL, BigQuery, Python/Pandas e Power BI em um fluxo de extração, tratamento, análise e visualização.</w:t>
      </w:r>
    </w:p>
    <w:p>
      <w:pPr>
        <w:pStyle w:val="ListBullet"/>
      </w:pPr>
      <w:r>
        <w:t>A granularidade final por borough limita análises territoriais em nível menor; e a ausência de denominadores populacionais impede comparar taxas de criminalidade.</w:t>
      </w:r>
    </w:p>
    <w:p>
      <w:pPr>
        <w:pStyle w:val="Heading1"/>
      </w:pPr>
      <w:r>
        <w:t>10. Recomendações e próximos passos</w:t>
      </w:r>
    </w:p>
    <w:p>
      <w:r>
        <w:t>Para tornar a análise mais robusta, recomenda-se:</w:t>
      </w:r>
    </w:p>
    <w:p>
      <w:pPr>
        <w:pStyle w:val="ListBullet"/>
      </w:pPr>
      <w:r>
        <w:t>Validar os totais do CSV e os cartões do dashboard com uma consulta independente no BigQuery.</w:t>
      </w:r>
    </w:p>
    <w:p>
      <w:pPr>
        <w:pStyle w:val="ListBullet"/>
      </w:pPr>
      <w:r>
        <w:t>Acrescentar séries anuais e mensais exportadas com valores explícitos, para que as tendências descritas no relatório sejam verificáveis.</w:t>
      </w:r>
    </w:p>
    <w:p>
      <w:pPr>
        <w:pStyle w:val="ListBullet"/>
      </w:pPr>
      <w:r>
        <w:t>Se houver necessidade de análise territorial mais detalhada, preservar `lsoa_code` em uma versão específica do dataset e avaliar a disponibilidade de informações geográficas compatíveis.</w:t>
      </w:r>
    </w:p>
    <w:p>
      <w:pPr>
        <w:pStyle w:val="ListBullet"/>
      </w:pPr>
      <w:r>
        <w:t>Incorporar denominadores populacionais adequados antes de comparar boroughs por taxas, deixando clara a população usada no denominador.</w:t>
      </w:r>
    </w:p>
    <w:p>
      <w:pPr>
        <w:pStyle w:val="ListBullet"/>
      </w:pPr>
      <w:r>
        <w:t>Documentar as regras usadas para agrupar categorias em crimes violentos e não violentos, para que a classificação possa ser reproduzida.</w:t>
      </w:r>
    </w:p>
    <w:p>
      <w:pPr>
        <w:pStyle w:val="ListBullet"/>
      </w:pPr>
      <w:r>
        <w:t>Testar os filtros e interações do Power BI e registrar os resultados das validações antes de publicar o arquivo.</w:t>
      </w:r>
    </w:p>
    <w:p>
      <w:pPr>
        <w:pStyle w:val="ListBullet"/>
      </w:pPr>
      <w:r>
        <w:t>Publicar no GitHub o notebook, o relatório, o README e o arquivo PBIX, evitando incluir credenciais ou dados sensíveis.</w:t>
      </w:r>
    </w:p>
    <w:p>
      <w:pPr>
        <w:pStyle w:val="Heading1"/>
      </w:pPr>
      <w:r>
        <w:t>11. Limitações do estudo</w:t>
      </w:r>
    </w:p>
    <w:p>
      <w:r>
        <w:t>A análise é descritiva e observacional; não estabelece relações causais. Os dados abrangem 2008–2016 e não representam um retrato atualizado da criminalidade em Londres.</w:t>
      </w:r>
    </w:p>
    <w:p>
      <w:r>
        <w:t>Os volumes são absolutos e não ajustados pela população ou pela exposição. Assim, não equivalem a taxas de criminalidade nem a uma medida direta de segurança. O dataset agregado não preserva `lsoa_code`, o que reduz a resolução espacial disponível.</w:t>
      </w:r>
    </w:p>
    <w:p>
      <w:r>
        <w:t>Embora o notebook verifique nulos em campos selecionados e execute operações básicas de limpeza, os materiais fornecidos não demonstram uma auditoria integral da qualidade da fonte, das definições de categoria ou de todas as medidas do dashboard.</w:t>
      </w:r>
    </w:p>
    <w:p>
      <w:r>
        <w:t>Os resultados anuais e sazonais específicos não foram apresentados como conclusões numéricas porque os arquivos fornecidos não incluem os valores completos dessas séries no texto acessível.</w:t>
      </w:r>
    </w:p>
    <w:p>
      <w:pPr>
        <w:pStyle w:val="Heading1"/>
      </w:pPr>
      <w:r>
        <w:t>12. Conclusão</w:t>
      </w:r>
    </w:p>
    <w:p>
      <w:r>
        <w:t>O projeto London Crime Analytics organiza dados públicos de criminalidade em um fluxo que conecta consulta SQL no BigQuery, preparação com Python e exploração visual no Power BI. A análise exploratória registrada identifica concentração dos volumes em Theft and Handling e Violence Against the Person, além de diferenças de volume entre boroughs.</w:t>
      </w:r>
    </w:p>
    <w:p>
      <w:r>
        <w:t>A principal contribuição é transformar uma tabela extensa em um dataset agregado e em um dashboard com visões executivas, temporais, territoriais e por categoria. Para fortalecer a interpretação, a etapa seguinte deve validar as medidas do dashboard, explicitar os resultados das séries temporais e, quando possível, incorporar denominadores populacionais e maior detalhe geográfico.</w:t>
      </w:r>
    </w:p>
    <w:p>
      <w:pPr>
        <w:pStyle w:val="Heading1"/>
      </w:pPr>
      <w:r>
        <w:t>Autor</w:t>
      </w:r>
    </w:p>
    <w:p>
      <w:r>
        <w:t>Pedro Henrique Correia de Jesus</w:t>
      </w:r>
    </w:p>
    <w:p>
      <w:r>
        <w:t>Acesso ao ambiente:</w:t>
      </w:r>
      <w:hyperlink r:id="rId11">
        <w:r>
          <w:rPr>
            <w:color w:val="0563C1"/>
            <w:u w:val="single"/>
          </w:rPr>
          <w:t>Google Cloud Console — London Crime Analytics</w:t>
        </w:r>
      </w:hyperlink>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Pedro Henrique Correia de Jesus  •  Projeto de portfólio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LONDON CRIME ANALYTICS  |  RELATÓRIO ANALÍTICO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onsole.cloud.google.com/welcome?project=london-crime-analytics-4974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