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  <w:jc w:val="center"/>
      </w:pPr>
      <w:r>
        <w:rPr>
          <w:rFonts w:ascii="Calibri" w:hAnsi="Calibri"/>
          <w:b/>
          <w:i w:val="0"/>
          <w:color w:val="0F172A"/>
          <w:sz w:val="34"/>
        </w:rPr>
        <w:t>PROPOSTA COMERCIAL &amp; CONTRATO DE PRESTAÇÃO DE SERVIÇOS</w:t>
      </w:r>
    </w:p>
    <w:p>
      <w:pPr>
        <w:spacing w:after="400"/>
        <w:jc w:val="center"/>
      </w:pPr>
      <w:r>
        <w:rPr>
          <w:rFonts w:ascii="Calibri" w:hAnsi="Calibri"/>
          <w:b w:val="0"/>
          <w:i/>
          <w:color w:val="475569"/>
          <w:sz w:val="24"/>
        </w:rPr>
        <w:t>Desenvolvimento de Plataforma Imobiliária &amp; Contrato de Suporte Contínuo (5 Anos)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after="40" w:before="40"/>
            </w:pPr>
            <w:r>
              <w:rPr>
                <w:rFonts w:ascii="Calibri" w:hAnsi="Calibri"/>
                <w:b/>
                <w:i w:val="0"/>
                <w:color w:val="475569"/>
                <w:sz w:val="19"/>
              </w:rPr>
              <w:t>PROJETO: Plataforma Web Imobiliária Alto Padrão</w:t>
            </w:r>
          </w:p>
        </w:tc>
        <w:tc>
          <w:tcPr>
            <w:tcW w:type="dxa" w:w="468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after="40" w:before="40"/>
            </w:pPr>
            <w:r>
              <w:rPr>
                <w:rFonts w:ascii="Calibri" w:hAnsi="Calibri"/>
                <w:b/>
                <w:i w:val="0"/>
                <w:color w:val="475569"/>
                <w:sz w:val="19"/>
              </w:rPr>
              <w:t>DATA DE EMISSÃO: 30 de Setembro de 2026</w:t>
            </w:r>
          </w:p>
        </w:tc>
      </w:tr>
      <w:tr>
        <w:tc>
          <w:tcPr>
            <w:tcW w:type="dxa" w:w="468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after="40" w:before="40"/>
            </w:pPr>
            <w:r>
              <w:rPr>
                <w:rFonts w:ascii="Calibri" w:hAnsi="Calibri"/>
                <w:b/>
                <w:i w:val="0"/>
                <w:color w:val="475569"/>
                <w:sz w:val="19"/>
              </w:rPr>
              <w:t>TECNOLOGIA: Next.js + Supabase (PostgreSQL &amp; Storage)</w:t>
            </w:r>
          </w:p>
        </w:tc>
        <w:tc>
          <w:tcPr>
            <w:tcW w:type="dxa" w:w="468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after="40" w:before="40"/>
            </w:pPr>
            <w:r>
              <w:rPr>
                <w:rFonts w:ascii="Calibri" w:hAnsi="Calibri"/>
                <w:b/>
                <w:i w:val="0"/>
                <w:color w:val="475569"/>
                <w:sz w:val="19"/>
              </w:rPr>
              <w:t>VIGÊNCIA DO SUPORTE: 5 Anos (60 meses)</w:t>
            </w:r>
          </w:p>
        </w:tc>
      </w:tr>
    </w:tbl>
    <w:p>
      <w:pPr>
        <w:spacing w:after="240"/>
      </w:pPr>
    </w:p>
    <w:p>
      <w:pPr>
        <w:keepNext/>
        <w:spacing w:before="360" w:after="120"/>
        <w:pBdr>
          <w:bottom w:val="single" w:sz="6" w:space="2" w:color="CBD5E1"/>
        </w:pBdr>
      </w:pPr>
      <w:r>
        <w:rPr>
          <w:rFonts w:ascii="Calibri" w:hAnsi="Calibri"/>
          <w:b/>
          <w:i w:val="0"/>
          <w:color w:val="0F172A"/>
          <w:sz w:val="26"/>
        </w:rPr>
        <w:t>1. IDENTIFICAÇÃO DAS PARTES</w:t>
      </w:r>
    </w:p>
    <w:p>
      <w:pPr>
        <w:spacing w:after="80"/>
      </w:pPr>
      <w:r>
        <w:rPr>
          <w:rFonts w:ascii="Calibri" w:hAnsi="Calibri"/>
          <w:b/>
          <w:i w:val="0"/>
          <w:color w:val="0F172A"/>
          <w:sz w:val="21"/>
        </w:rPr>
        <w:t>CONTRATADA (DESENVOLVIMENTO &amp; SUPORTE TÉCNICO):</w:t>
      </w:r>
    </w:p>
    <w:p>
      <w:pPr>
        <w:spacing w:after="40"/>
        <w:ind w:left="288"/>
      </w:pPr>
      <w:r>
        <w:rPr>
          <w:rFonts w:ascii="Calibri" w:hAnsi="Calibri"/>
          <w:b w:val="0"/>
          <w:i w:val="0"/>
          <w:color w:val="1E293B"/>
          <w:sz w:val="20"/>
        </w:rPr>
        <w:t>• Razão Social / Nome Profissional: [Nome do Desenvolvedor ou Empresa Prestadora]</w:t>
      </w:r>
    </w:p>
    <w:p>
      <w:pPr>
        <w:spacing w:after="40"/>
        <w:ind w:left="288"/>
      </w:pPr>
      <w:r>
        <w:rPr>
          <w:rFonts w:ascii="Calibri" w:hAnsi="Calibri"/>
          <w:b w:val="0"/>
          <w:i w:val="0"/>
          <w:color w:val="1E293B"/>
          <w:sz w:val="20"/>
        </w:rPr>
        <w:t>• CPF / CNPJ: [00.000.000/0000-00]</w:t>
      </w:r>
    </w:p>
    <w:p>
      <w:pPr>
        <w:spacing w:after="40"/>
        <w:ind w:left="288"/>
      </w:pPr>
      <w:r>
        <w:rPr>
          <w:rFonts w:ascii="Calibri" w:hAnsi="Calibri"/>
          <w:b w:val="0"/>
          <w:i w:val="0"/>
          <w:color w:val="1E293B"/>
          <w:sz w:val="20"/>
        </w:rPr>
        <w:t>• E-mail: [contato@seudominio.com] | Telefone / WhatsApp: [(00) 00000-0000]</w:t>
      </w:r>
    </w:p>
    <w:p>
      <w:pPr>
        <w:spacing w:after="40"/>
        <w:ind w:left="288"/>
      </w:pPr>
      <w:r>
        <w:rPr>
          <w:rFonts w:ascii="Calibri" w:hAnsi="Calibri"/>
          <w:b w:val="0"/>
          <w:i w:val="0"/>
          <w:color w:val="1E293B"/>
          <w:sz w:val="20"/>
        </w:rPr>
        <w:t>• Endereço: [Endereço Comercial do Prestador]</w:t>
      </w:r>
    </w:p>
    <w:p>
      <w:pPr>
        <w:spacing w:before="160" w:after="80"/>
      </w:pPr>
      <w:r>
        <w:rPr>
          <w:rFonts w:ascii="Calibri" w:hAnsi="Calibri"/>
          <w:b/>
          <w:i w:val="0"/>
          <w:color w:val="0F172A"/>
          <w:sz w:val="21"/>
        </w:rPr>
        <w:t>CONTRATANTE (CLIENTE / IMOBILIÁRIA):</w:t>
      </w:r>
    </w:p>
    <w:p>
      <w:pPr>
        <w:spacing w:after="40"/>
        <w:ind w:left="288"/>
      </w:pPr>
      <w:r>
        <w:rPr>
          <w:rFonts w:ascii="Calibri" w:hAnsi="Calibri"/>
          <w:b w:val="0"/>
          <w:i w:val="0"/>
          <w:color w:val="1E293B"/>
          <w:sz w:val="20"/>
        </w:rPr>
        <w:t>• Razão Social / Nome Completo: [Nome da Imobiliária ou Contratante]</w:t>
      </w:r>
    </w:p>
    <w:p>
      <w:pPr>
        <w:spacing w:after="40"/>
        <w:ind w:left="288"/>
      </w:pPr>
      <w:r>
        <w:rPr>
          <w:rFonts w:ascii="Calibri" w:hAnsi="Calibri"/>
          <w:b w:val="0"/>
          <w:i w:val="0"/>
          <w:color w:val="1E293B"/>
          <w:sz w:val="20"/>
        </w:rPr>
        <w:t>• Nome Fantasia: [Nome Fantasia da Imobiliária]</w:t>
      </w:r>
    </w:p>
    <w:p>
      <w:pPr>
        <w:spacing w:after="40"/>
        <w:ind w:left="288"/>
      </w:pPr>
      <w:r>
        <w:rPr>
          <w:rFonts w:ascii="Calibri" w:hAnsi="Calibri"/>
          <w:b w:val="0"/>
          <w:i w:val="0"/>
          <w:color w:val="1E293B"/>
          <w:sz w:val="20"/>
        </w:rPr>
        <w:t>• CNPJ / CPF: [00.000.000/0000-00] | CRECI Jurídico / Físico: [CRECI 00.000-J]</w:t>
      </w:r>
    </w:p>
    <w:p>
      <w:pPr>
        <w:spacing w:after="40"/>
        <w:ind w:left="288"/>
      </w:pPr>
      <w:r>
        <w:rPr>
          <w:rFonts w:ascii="Calibri" w:hAnsi="Calibri"/>
          <w:b w:val="0"/>
          <w:i w:val="0"/>
          <w:color w:val="1E293B"/>
          <w:sz w:val="20"/>
        </w:rPr>
        <w:t>• Representante Legal: [Nome do Sócio / Diretor]</w:t>
      </w:r>
    </w:p>
    <w:p>
      <w:pPr>
        <w:spacing w:after="40"/>
        <w:ind w:left="288"/>
      </w:pPr>
      <w:r>
        <w:rPr>
          <w:rFonts w:ascii="Calibri" w:hAnsi="Calibri"/>
          <w:b w:val="0"/>
          <w:i w:val="0"/>
          <w:color w:val="1E293B"/>
          <w:sz w:val="20"/>
        </w:rPr>
        <w:t>• E-mail: [financeiro@imobiliaria.com.br] | Telefone / WhatsApp: [(00) 00000-0000]</w:t>
      </w:r>
    </w:p>
    <w:p>
      <w:pPr>
        <w:spacing w:after="40"/>
        <w:ind w:left="288"/>
      </w:pPr>
      <w:r>
        <w:rPr>
          <w:rFonts w:ascii="Calibri" w:hAnsi="Calibri"/>
          <w:b w:val="0"/>
          <w:i w:val="0"/>
          <w:color w:val="1E293B"/>
          <w:sz w:val="20"/>
        </w:rPr>
        <w:t>• Endereço: [Endereço Completo da Sede da Imobiliária]</w:t>
      </w:r>
    </w:p>
    <w:p>
      <w:pPr>
        <w:keepNext/>
        <w:spacing w:before="360" w:after="120"/>
        <w:pBdr>
          <w:bottom w:val="single" w:sz="6" w:space="2" w:color="CBD5E1"/>
        </w:pBdr>
      </w:pPr>
      <w:r>
        <w:rPr>
          <w:rFonts w:ascii="Calibri" w:hAnsi="Calibri"/>
          <w:b/>
          <w:i w:val="0"/>
          <w:color w:val="0F172A"/>
          <w:sz w:val="26"/>
        </w:rPr>
        <w:t>2. ESCOPO DETALHADO DO PROJETO (O QUE SERÁ ENTREGUE)</w:t>
      </w:r>
    </w:p>
    <w:p>
      <w:pPr>
        <w:spacing w:after="160"/>
      </w:pPr>
      <w:r>
        <w:rPr>
          <w:rFonts w:ascii="Calibri" w:hAnsi="Calibri"/>
          <w:b w:val="0"/>
          <w:i w:val="0"/>
          <w:color w:val="1E293B"/>
          <w:sz w:val="21"/>
        </w:rPr>
        <w:t>O presente contrato tem como objeto a entrega de uma plataforma digital completa, contemporânea e de alto padrão desenvolvida sob medida para a CONTRATANTE, integrando front-end sofisticado, motor de busca veloz, integração direta ao WhatsApp dos corretores, painel administrativo corporativo e banco de dados em nuvem.</w:t>
      </w:r>
    </w:p>
    <w:p>
      <w:pPr>
        <w:keepNext/>
        <w:spacing w:before="160" w:after="60"/>
      </w:pPr>
      <w:r>
        <w:rPr>
          <w:rFonts w:ascii="Calibri" w:hAnsi="Calibri"/>
          <w:b/>
          <w:i w:val="0"/>
          <w:color w:val="0F172A"/>
          <w:sz w:val="21"/>
        </w:rPr>
        <w:t>2.1. Portal do Cliente (Experiência Pública de Alto Padrão)</w:t>
      </w:r>
    </w:p>
    <w:p>
      <w:pPr>
        <w:spacing w:after="40"/>
        <w:ind w:left="288"/>
      </w:pPr>
      <w:r>
        <w:rPr>
          <w:rFonts w:ascii="Calibri" w:hAnsi="Calibri"/>
          <w:b/>
          <w:i w:val="0"/>
          <w:color w:val="B4823C"/>
          <w:sz w:val="18"/>
        </w:rPr>
        <w:t xml:space="preserve">▪ </w:t>
      </w:r>
      <w:r>
        <w:rPr>
          <w:rFonts w:ascii="Calibri" w:hAnsi="Calibri"/>
          <w:b w:val="0"/>
          <w:i w:val="0"/>
          <w:color w:val="1E293B"/>
          <w:sz w:val="19"/>
        </w:rPr>
        <w:t>Página Inicial (Home): Conceito visual editorial para imóveis de luxo, banner arquitetônico monumental, elemento 3D procedural e interativo, vitrine de destaques e categorias de imóveis.</w:t>
      </w:r>
    </w:p>
    <w:p>
      <w:pPr>
        <w:spacing w:after="40"/>
        <w:ind w:left="288"/>
      </w:pPr>
      <w:r>
        <w:rPr>
          <w:rFonts w:ascii="Calibri" w:hAnsi="Calibri"/>
          <w:b/>
          <w:i w:val="0"/>
          <w:color w:val="B4823C"/>
          <w:sz w:val="18"/>
        </w:rPr>
        <w:t xml:space="preserve">▪ </w:t>
      </w:r>
      <w:r>
        <w:rPr>
          <w:rFonts w:ascii="Calibri" w:hAnsi="Calibri"/>
          <w:b w:val="0"/>
          <w:i w:val="0"/>
          <w:color w:val="1E293B"/>
          <w:sz w:val="19"/>
        </w:rPr>
        <w:t>Mecanismo de Busca e Filtros Avançados (/imoveis): Pesquisa combinada instantânea por tipo de imóvel (casas, apartamentos, coberturas, terrenos, condomínios fechados), faixas de investimento (mínimo e máximo), número de quartos, suítes, vagas de garagem e metragem privativa.</w:t>
      </w:r>
    </w:p>
    <w:p>
      <w:pPr>
        <w:spacing w:after="40"/>
        <w:ind w:left="288"/>
      </w:pPr>
      <w:r>
        <w:rPr>
          <w:rFonts w:ascii="Calibri" w:hAnsi="Calibri"/>
          <w:b/>
          <w:i w:val="0"/>
          <w:color w:val="B4823C"/>
          <w:sz w:val="18"/>
        </w:rPr>
        <w:t xml:space="preserve">▪ </w:t>
      </w:r>
      <w:r>
        <w:rPr>
          <w:rFonts w:ascii="Calibri" w:hAnsi="Calibri"/>
          <w:b w:val="0"/>
          <w:i w:val="0"/>
          <w:color w:val="1E293B"/>
          <w:sz w:val="19"/>
        </w:rPr>
        <w:t>Página de Detalhes do Imóvel: Galeria fotográfica de alta resolução em tela cheia (lightbox cinematográfico), especificações estruturais completas, diferenciais do condomínio, cálculo de condomínio e IPTU.</w:t>
      </w:r>
    </w:p>
    <w:p>
      <w:pPr>
        <w:spacing w:after="40"/>
        <w:ind w:left="288"/>
      </w:pPr>
      <w:r>
        <w:rPr>
          <w:rFonts w:ascii="Calibri" w:hAnsi="Calibri"/>
          <w:b/>
          <w:i w:val="0"/>
          <w:color w:val="B4823C"/>
          <w:sz w:val="18"/>
        </w:rPr>
        <w:t xml:space="preserve">▪ </w:t>
      </w:r>
      <w:r>
        <w:rPr>
          <w:rFonts w:ascii="Calibri" w:hAnsi="Calibri"/>
          <w:b w:val="0"/>
          <w:i w:val="0"/>
          <w:color w:val="1E293B"/>
          <w:sz w:val="19"/>
        </w:rPr>
        <w:t>Botão de Conversão Direta com WhatsApp: Canal de atendimento instantâneo que conecta o visitante diretamente ao corretor responsável, já abrindo a conversa no WhatsApp com uma mensagem contendo o código, título e link do imóvel.</w:t>
      </w:r>
    </w:p>
    <w:p>
      <w:pPr>
        <w:spacing w:after="40"/>
        <w:ind w:left="288"/>
      </w:pPr>
      <w:r>
        <w:rPr>
          <w:rFonts w:ascii="Calibri" w:hAnsi="Calibri"/>
          <w:b/>
          <w:i w:val="0"/>
          <w:color w:val="B4823C"/>
          <w:sz w:val="18"/>
        </w:rPr>
        <w:t xml:space="preserve">▪ </w:t>
      </w:r>
      <w:r>
        <w:rPr>
          <w:rFonts w:ascii="Calibri" w:hAnsi="Calibri"/>
          <w:b w:val="0"/>
          <w:i w:val="0"/>
          <w:color w:val="1E293B"/>
          <w:sz w:val="19"/>
        </w:rPr>
        <w:t>Módulo de Curadoria Digital VIP (/curadoria): Funcionalidade exclusiva onde o corretor pode selecionar imóveis específicos para montar uma página personalizada e exclusiva para um cliente de alto padrão.</w:t>
      </w:r>
    </w:p>
    <w:p>
      <w:pPr>
        <w:spacing w:after="40"/>
        <w:ind w:left="288"/>
      </w:pPr>
      <w:r>
        <w:rPr>
          <w:rFonts w:ascii="Calibri" w:hAnsi="Calibri"/>
          <w:b/>
          <w:i w:val="0"/>
          <w:color w:val="B4823C"/>
          <w:sz w:val="18"/>
        </w:rPr>
        <w:t xml:space="preserve">▪ </w:t>
      </w:r>
      <w:r>
        <w:rPr>
          <w:rFonts w:ascii="Calibri" w:hAnsi="Calibri"/>
          <w:b w:val="0"/>
          <w:i w:val="0"/>
          <w:color w:val="1E293B"/>
          <w:sz w:val="19"/>
        </w:rPr>
        <w:t>Página de Corretores e Perfis Individuais (/corretores): Apresentação dos profissionais com foto, bio, número de CRECI e link direto para WhatsApp próprio, além da exibição de todos os imóveis sob sua gestão.</w:t>
      </w:r>
    </w:p>
    <w:p>
      <w:pPr>
        <w:spacing w:after="40"/>
        <w:ind w:left="288"/>
      </w:pPr>
      <w:r>
        <w:rPr>
          <w:rFonts w:ascii="Calibri" w:hAnsi="Calibri"/>
          <w:b/>
          <w:i w:val="0"/>
          <w:color w:val="B4823C"/>
          <w:sz w:val="18"/>
        </w:rPr>
        <w:t xml:space="preserve">▪ </w:t>
      </w:r>
      <w:r>
        <w:rPr>
          <w:rFonts w:ascii="Calibri" w:hAnsi="Calibri"/>
          <w:b w:val="0"/>
          <w:i w:val="0"/>
          <w:color w:val="1E293B"/>
          <w:sz w:val="19"/>
        </w:rPr>
        <w:t>Páginas Institucionais: Apresentação da imobiliária ('Sobre a Empresa'), posicionamento de marca, página de contato e localização.</w:t>
      </w:r>
    </w:p>
    <w:p>
      <w:pPr>
        <w:keepNext/>
        <w:spacing w:before="160" w:after="60"/>
      </w:pPr>
      <w:r>
        <w:rPr>
          <w:rFonts w:ascii="Calibri" w:hAnsi="Calibri"/>
          <w:b/>
          <w:i w:val="0"/>
          <w:color w:val="0F172A"/>
          <w:sz w:val="21"/>
        </w:rPr>
        <w:t>2.2. Painel do Corretor &amp; CRM de Leads (/dashboard)</w:t>
      </w:r>
    </w:p>
    <w:p>
      <w:pPr>
        <w:spacing w:after="40"/>
        <w:ind w:left="288"/>
      </w:pPr>
      <w:r>
        <w:rPr>
          <w:rFonts w:ascii="Calibri" w:hAnsi="Calibri"/>
          <w:b/>
          <w:i w:val="0"/>
          <w:color w:val="B4823C"/>
          <w:sz w:val="18"/>
        </w:rPr>
        <w:t xml:space="preserve">▪ </w:t>
      </w:r>
      <w:r>
        <w:rPr>
          <w:rFonts w:ascii="Calibri" w:hAnsi="Calibri"/>
          <w:b w:val="0"/>
          <w:i w:val="0"/>
          <w:color w:val="1E293B"/>
          <w:sz w:val="19"/>
        </w:rPr>
        <w:t>Acesso Privativo com Autenticação Criptografada: Login individual com credenciais seguras.</w:t>
      </w:r>
    </w:p>
    <w:p>
      <w:pPr>
        <w:spacing w:after="40"/>
        <w:ind w:left="288"/>
      </w:pPr>
      <w:r>
        <w:rPr>
          <w:rFonts w:ascii="Calibri" w:hAnsi="Calibri"/>
          <w:b/>
          <w:i w:val="0"/>
          <w:color w:val="B4823C"/>
          <w:sz w:val="18"/>
        </w:rPr>
        <w:t xml:space="preserve">▪ </w:t>
      </w:r>
      <w:r>
        <w:rPr>
          <w:rFonts w:ascii="Calibri" w:hAnsi="Calibri"/>
          <w:b w:val="0"/>
          <w:i w:val="0"/>
          <w:color w:val="1E293B"/>
          <w:sz w:val="19"/>
        </w:rPr>
        <w:t>Gestão de Imóveis: Cadastro rápido de novos imóveis, upload de fotografias em alta resolução e edição de valores/status (Publicado, Reservado, Vendido, Inativo).</w:t>
      </w:r>
    </w:p>
    <w:p>
      <w:pPr>
        <w:spacing w:after="40"/>
        <w:ind w:left="288"/>
      </w:pPr>
      <w:r>
        <w:rPr>
          <w:rFonts w:ascii="Calibri" w:hAnsi="Calibri"/>
          <w:b/>
          <w:i w:val="0"/>
          <w:color w:val="B4823C"/>
          <w:sz w:val="18"/>
        </w:rPr>
        <w:t xml:space="preserve">▪ </w:t>
      </w:r>
      <w:r>
        <w:rPr>
          <w:rFonts w:ascii="Calibri" w:hAnsi="Calibri"/>
          <w:b w:val="0"/>
          <w:i w:val="0"/>
          <w:color w:val="1E293B"/>
          <w:sz w:val="19"/>
        </w:rPr>
        <w:t>Funil de Atendimento de Leads (CRM Integrado): Gestão de contatos vindos do site organizados por etapas de evolução comercial: Novo Lead → Em Atendimento → Visita Agendada → Proposta em Negociação → Fechado / Ganho ou Perdido.</w:t>
      </w:r>
    </w:p>
    <w:p>
      <w:pPr>
        <w:keepNext/>
        <w:spacing w:before="160" w:after="60"/>
      </w:pPr>
      <w:r>
        <w:rPr>
          <w:rFonts w:ascii="Calibri" w:hAnsi="Calibri"/>
          <w:b/>
          <w:i w:val="0"/>
          <w:color w:val="0F172A"/>
          <w:sz w:val="21"/>
        </w:rPr>
        <w:t>2.3. Painel Administrativo da Diretoria (/admin)</w:t>
      </w:r>
    </w:p>
    <w:p>
      <w:pPr>
        <w:spacing w:after="40"/>
        <w:ind w:left="288"/>
      </w:pPr>
      <w:r>
        <w:rPr>
          <w:rFonts w:ascii="Calibri" w:hAnsi="Calibri"/>
          <w:b/>
          <w:i w:val="0"/>
          <w:color w:val="B4823C"/>
          <w:sz w:val="18"/>
        </w:rPr>
        <w:t xml:space="preserve">▪ </w:t>
      </w:r>
      <w:r>
        <w:rPr>
          <w:rFonts w:ascii="Calibri" w:hAnsi="Calibri"/>
          <w:b w:val="0"/>
          <w:i w:val="0"/>
          <w:color w:val="1E293B"/>
          <w:sz w:val="19"/>
        </w:rPr>
        <w:t>Governança Global e Moderação: Visão unificada de todo o portfólio da imobiliária e seleção de imóveis em destaque na página inicial.</w:t>
      </w:r>
    </w:p>
    <w:p>
      <w:pPr>
        <w:spacing w:after="40"/>
        <w:ind w:left="288"/>
      </w:pPr>
      <w:r>
        <w:rPr>
          <w:rFonts w:ascii="Calibri" w:hAnsi="Calibri"/>
          <w:b/>
          <w:i w:val="0"/>
          <w:color w:val="B4823C"/>
          <w:sz w:val="18"/>
        </w:rPr>
        <w:t xml:space="preserve">▪ </w:t>
      </w:r>
      <w:r>
        <w:rPr>
          <w:rFonts w:ascii="Calibri" w:hAnsi="Calibri"/>
          <w:b w:val="0"/>
          <w:i w:val="0"/>
          <w:color w:val="1E293B"/>
          <w:sz w:val="19"/>
        </w:rPr>
        <w:t>Gestão da Equipe de Corretores: Cadastro, edição, ativação e suspensão de corretores autorizados no portal.</w:t>
      </w:r>
    </w:p>
    <w:p>
      <w:pPr>
        <w:spacing w:after="40"/>
        <w:ind w:left="288"/>
      </w:pPr>
      <w:r>
        <w:rPr>
          <w:rFonts w:ascii="Calibri" w:hAnsi="Calibri"/>
          <w:b/>
          <w:i w:val="0"/>
          <w:color w:val="B4823C"/>
          <w:sz w:val="18"/>
        </w:rPr>
        <w:t xml:space="preserve">▪ </w:t>
      </w:r>
      <w:r>
        <w:rPr>
          <w:rFonts w:ascii="Calibri" w:hAnsi="Calibri"/>
          <w:b w:val="0"/>
          <w:i w:val="0"/>
          <w:color w:val="1E293B"/>
          <w:sz w:val="19"/>
        </w:rPr>
        <w:t>Configurações Gerais da Empresa: Gerenciamento autônomo de telefones, e-mail geral, número de WhatsApp principal, CRECI Jurídico, endereço físico da sede e links de redes sociais.</w:t>
      </w:r>
    </w:p>
    <w:p>
      <w:pPr>
        <w:keepNext/>
        <w:spacing w:before="160" w:after="60"/>
      </w:pPr>
      <w:r>
        <w:rPr>
          <w:rFonts w:ascii="Calibri" w:hAnsi="Calibri"/>
          <w:b/>
          <w:i w:val="0"/>
          <w:color w:val="0F172A"/>
          <w:sz w:val="21"/>
        </w:rPr>
        <w:t>2.4. Padrões de Arquitetura e Tecnologia</w:t>
      </w:r>
    </w:p>
    <w:p>
      <w:pPr>
        <w:spacing w:after="40"/>
        <w:ind w:left="288"/>
      </w:pPr>
      <w:r>
        <w:rPr>
          <w:rFonts w:ascii="Calibri" w:hAnsi="Calibri"/>
          <w:b/>
          <w:i w:val="0"/>
          <w:color w:val="B4823C"/>
          <w:sz w:val="18"/>
        </w:rPr>
        <w:t xml:space="preserve">▪ </w:t>
      </w:r>
      <w:r>
        <w:rPr>
          <w:rFonts w:ascii="Calibri" w:hAnsi="Calibri"/>
          <w:b w:val="0"/>
          <w:i w:val="0"/>
          <w:color w:val="1E293B"/>
          <w:sz w:val="19"/>
        </w:rPr>
        <w:t>Framework &amp; Front-end: Next.js (App Router), React, TypeScript e Tailwind CSS com padrão Mobile-First (totalmente responsivo para celulares, tablets e computadores).</w:t>
      </w:r>
    </w:p>
    <w:p>
      <w:pPr>
        <w:spacing w:after="40"/>
        <w:ind w:left="288"/>
      </w:pPr>
      <w:r>
        <w:rPr>
          <w:rFonts w:ascii="Calibri" w:hAnsi="Calibri"/>
          <w:b/>
          <w:i w:val="0"/>
          <w:color w:val="B4823C"/>
          <w:sz w:val="18"/>
        </w:rPr>
        <w:t xml:space="preserve">▪ </w:t>
      </w:r>
      <w:r>
        <w:rPr>
          <w:rFonts w:ascii="Calibri" w:hAnsi="Calibri"/>
          <w:b w:val="0"/>
          <w:i w:val="0"/>
          <w:color w:val="1E293B"/>
          <w:sz w:val="19"/>
        </w:rPr>
        <w:t>Banco de Dados &amp; Storage: Supabase (PostgreSQL para dados relacionais e Supabase Storage para armazenamento em nuvem de fotos).</w:t>
      </w:r>
    </w:p>
    <w:p>
      <w:pPr>
        <w:spacing w:after="40"/>
        <w:ind w:left="288"/>
      </w:pPr>
      <w:r>
        <w:rPr>
          <w:rFonts w:ascii="Calibri" w:hAnsi="Calibri"/>
          <w:b/>
          <w:i w:val="0"/>
          <w:color w:val="B4823C"/>
          <w:sz w:val="18"/>
        </w:rPr>
        <w:t xml:space="preserve">▪ </w:t>
      </w:r>
      <w:r>
        <w:rPr>
          <w:rFonts w:ascii="Calibri" w:hAnsi="Calibri"/>
          <w:b w:val="0"/>
          <w:i w:val="0"/>
          <w:color w:val="1E293B"/>
          <w:sz w:val="19"/>
        </w:rPr>
        <w:t>Segurança: Criptografia irreversível de senhas com bcrypt e sessões via cookies HTTP-only seguros.</w:t>
      </w:r>
    </w:p>
    <w:p>
      <w:pPr>
        <w:keepNext/>
        <w:spacing w:before="360" w:after="120"/>
        <w:pBdr>
          <w:bottom w:val="single" w:sz="6" w:space="2" w:color="CBD5E1"/>
        </w:pBdr>
      </w:pPr>
      <w:r>
        <w:rPr>
          <w:rFonts w:ascii="Calibri" w:hAnsi="Calibri"/>
          <w:b/>
          <w:i w:val="0"/>
          <w:color w:val="0F172A"/>
          <w:sz w:val="26"/>
        </w:rPr>
        <w:t>3. CONDIÇÕES COMERCIAIS E FORMAS DE PAGAMENTO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160"/>
            <w:shd w:fill="0F172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Item</w:t>
            </w:r>
          </w:p>
        </w:tc>
        <w:tc>
          <w:tcPr>
            <w:tcW w:type="dxa" w:w="3600"/>
            <w:shd w:fill="0F172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Descrição do Serviço</w:t>
            </w:r>
          </w:p>
        </w:tc>
        <w:tc>
          <w:tcPr>
            <w:tcW w:type="dxa" w:w="1872"/>
            <w:shd w:fill="0F172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Valor</w:t>
            </w:r>
          </w:p>
        </w:tc>
        <w:tc>
          <w:tcPr>
            <w:tcW w:type="dxa" w:w="2448"/>
            <w:shd w:fill="0F172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Condição / Vencimento</w:t>
            </w:r>
          </w:p>
        </w:tc>
      </w:tr>
      <w:tr>
        <w:tc>
          <w:tcPr>
            <w:tcW w:type="dxa" w:w="216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E2E8F0"/>
              <w:bottom w:val="single" w:sz="4" w:space="0" w:color="E2E8F0"/>
              <w:left w:val="single" w:sz="4" w:space="0" w:color="E2E8F0"/>
              <w:right w:val="single" w:sz="4" w:space="0" w:color="E2E8F0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1E293B"/>
                <w:sz w:val="18"/>
              </w:rPr>
              <w:t>1. Entrada / Setup de Implantação</w:t>
            </w:r>
          </w:p>
        </w:tc>
        <w:tc>
          <w:tcPr>
            <w:tcW w:type="dxa" w:w="360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E2E8F0"/>
              <w:bottom w:val="single" w:sz="4" w:space="0" w:color="E2E8F0"/>
              <w:left w:val="single" w:sz="4" w:space="0" w:color="E2E8F0"/>
              <w:right w:val="single" w:sz="4" w:space="0" w:color="E2E8F0"/>
            </w:tcBorders>
          </w:tcPr>
          <w:p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Desenvolvimento, personalização visual da plataforma, inserção de dados institucionais, configuração técnica do Supabase e publicação do site no ar.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E2E8F0"/>
              <w:bottom w:val="single" w:sz="4" w:space="0" w:color="E2E8F0"/>
              <w:left w:val="single" w:sz="4" w:space="0" w:color="E2E8F0"/>
              <w:right w:val="single" w:sz="4" w:space="0" w:color="E2E8F0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1E293B"/>
                <w:sz w:val="18"/>
              </w:rPr>
              <w:t>R$ 1.000,00</w:t>
              <w:br/>
              <w:t>(Hum mil reais)</w:t>
            </w:r>
          </w:p>
        </w:tc>
        <w:tc>
          <w:tcPr>
            <w:tcW w:type="dxa" w:w="244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E2E8F0"/>
              <w:bottom w:val="single" w:sz="4" w:space="0" w:color="E2E8F0"/>
              <w:left w:val="single" w:sz="4" w:space="0" w:color="E2E8F0"/>
              <w:right w:val="single" w:sz="4" w:space="0" w:color="E2E8F0"/>
            </w:tcBorders>
          </w:tcPr>
          <w:p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Pagamento único realizado na data de assinatura / aprovação desta proposta.</w:t>
            </w:r>
          </w:p>
        </w:tc>
      </w:tr>
      <w:tr>
        <w:tc>
          <w:tcPr>
            <w:tcW w:type="dxa" w:w="2160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E2E8F0"/>
              <w:bottom w:val="single" w:sz="4" w:space="0" w:color="E2E8F0"/>
              <w:left w:val="single" w:sz="4" w:space="0" w:color="E2E8F0"/>
              <w:right w:val="single" w:sz="4" w:space="0" w:color="E2E8F0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1E293B"/>
                <w:sz w:val="18"/>
              </w:rPr>
              <w:t>2. Contrato de Suporte &amp; Usabilidade (5 Anos)</w:t>
            </w:r>
          </w:p>
        </w:tc>
        <w:tc>
          <w:tcPr>
            <w:tcW w:type="dxa" w:w="3600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E2E8F0"/>
              <w:bottom w:val="single" w:sz="4" w:space="0" w:color="E2E8F0"/>
              <w:left w:val="single" w:sz="4" w:space="0" w:color="E2E8F0"/>
              <w:right w:val="single" w:sz="4" w:space="0" w:color="E2E8F0"/>
            </w:tcBorders>
          </w:tcPr>
          <w:p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Prestação contínua de suporte técnico, manutenção preventiva, assistência operacional aos corretores e garantia de máxima usabilidade e estabilidade.</w:t>
            </w:r>
          </w:p>
        </w:tc>
        <w:tc>
          <w:tcPr>
            <w:tcW w:type="dxa" w:w="1872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E2E8F0"/>
              <w:bottom w:val="single" w:sz="4" w:space="0" w:color="E2E8F0"/>
              <w:left w:val="single" w:sz="4" w:space="0" w:color="E2E8F0"/>
              <w:right w:val="single" w:sz="4" w:space="0" w:color="E2E8F0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1E293B"/>
                <w:sz w:val="18"/>
              </w:rPr>
              <w:t>R$ 500,00 / mês</w:t>
              <w:br/>
              <w:t>(Total em 60 meses:</w:t>
              <w:br/>
              <w:t>R$ 30.000,00)</w:t>
            </w:r>
          </w:p>
        </w:tc>
        <w:tc>
          <w:tcPr>
            <w:tcW w:type="dxa" w:w="2448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E2E8F0"/>
              <w:bottom w:val="single" w:sz="4" w:space="0" w:color="E2E8F0"/>
              <w:left w:val="single" w:sz="4" w:space="0" w:color="E2E8F0"/>
              <w:right w:val="single" w:sz="4" w:space="0" w:color="E2E8F0"/>
            </w:tcBorders>
          </w:tcPr>
          <w:p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60 (sessenta) parcelas mensais sucessivas. O 1º vencimento ocorre 30 (trinta) dias após o pagamento da entrada.</w:t>
            </w:r>
          </w:p>
        </w:tc>
      </w:tr>
    </w:tbl>
    <w:p>
      <w:pPr>
        <w:spacing w:before="160" w:after="80"/>
      </w:pPr>
      <w:r>
        <w:rPr>
          <w:rFonts w:ascii="Calibri" w:hAnsi="Calibri"/>
          <w:b/>
          <w:i w:val="0"/>
          <w:color w:val="0F172A"/>
          <w:sz w:val="19"/>
        </w:rPr>
        <w:t xml:space="preserve">Cláusula de Reajuste Anual: </w:t>
      </w:r>
      <w:r>
        <w:rPr>
          <w:rFonts w:ascii="Calibri" w:hAnsi="Calibri"/>
          <w:b w:val="0"/>
          <w:i w:val="0"/>
          <w:color w:val="1E293B"/>
          <w:sz w:val="19"/>
        </w:rPr>
        <w:t>Considerando a vigência contratual estipulada em 5 (cinco) anos (60 meses), o valor da mensalidade técnica será reajustado a cada 12 (doze) meses com base na variação acumulada do IPCA/IBGE (Índice Nacional de Preços ao Consumidor Amplo) ou, na sua ausência, pelo IGP-M/FGV, a fim de preservar o equilíbrio econômico-financeiro dos serviços prestados.</w:t>
      </w:r>
    </w:p>
    <w:p>
      <w:pPr>
        <w:keepNext/>
        <w:spacing w:before="360" w:after="120"/>
        <w:pBdr>
          <w:bottom w:val="single" w:sz="6" w:space="2" w:color="CBD5E1"/>
        </w:pBdr>
      </w:pPr>
      <w:r>
        <w:rPr>
          <w:rFonts w:ascii="Calibri" w:hAnsi="Calibri"/>
          <w:b/>
          <w:i w:val="0"/>
          <w:color w:val="0F172A"/>
          <w:sz w:val="26"/>
        </w:rPr>
        <w:t>4. ESCOPO DO CONTRATO DE SUPORTE E USABILIDADE (5 ANOS)</w:t>
      </w:r>
    </w:p>
    <w:p>
      <w:pPr>
        <w:spacing w:after="120"/>
      </w:pPr>
      <w:r>
        <w:rPr>
          <w:rFonts w:ascii="Calibri" w:hAnsi="Calibri"/>
          <w:b w:val="0"/>
          <w:i w:val="0"/>
          <w:color w:val="1E293B"/>
          <w:sz w:val="20"/>
        </w:rPr>
        <w:t>O contrato mensal de R$ 500,00 visa garantir a longevidade, agilidade e excelência operacional do portal ao longo dos 5 anos de vigência, contemplando:</w:t>
      </w:r>
    </w:p>
    <w:p>
      <w:pPr>
        <w:spacing w:after="60"/>
        <w:ind w:left="288"/>
      </w:pPr>
      <w:r>
        <w:rPr>
          <w:rFonts w:ascii="Calibri" w:hAnsi="Calibri"/>
          <w:b/>
          <w:i w:val="0"/>
          <w:color w:val="0F172A"/>
          <w:sz w:val="19"/>
        </w:rPr>
        <w:t>• Garantia de Usabilidade e Estabilidade:</w:t>
      </w:r>
      <w:r>
        <w:rPr>
          <w:rFonts w:ascii="Calibri" w:hAnsi="Calibri"/>
          <w:b w:val="0"/>
          <w:i w:val="0"/>
          <w:color w:val="1E293B"/>
          <w:sz w:val="19"/>
        </w:rPr>
        <w:t xml:space="preserve"> Monitoramento contínuo para manter o site rápido, estável e livre de erros, corrigindo prontamente qualquer falha de exibição ou funcionamento em computadores e celulares.</w:t>
      </w:r>
    </w:p>
    <w:p>
      <w:pPr>
        <w:spacing w:after="60"/>
        <w:ind w:left="288"/>
      </w:pPr>
      <w:r>
        <w:rPr>
          <w:rFonts w:ascii="Calibri" w:hAnsi="Calibri"/>
          <w:b/>
          <w:i w:val="0"/>
          <w:color w:val="0F172A"/>
          <w:sz w:val="19"/>
        </w:rPr>
        <w:t>• Suporte Técnico aos Usuários:</w:t>
      </w:r>
      <w:r>
        <w:rPr>
          <w:rFonts w:ascii="Calibri" w:hAnsi="Calibri"/>
          <w:b w:val="0"/>
          <w:i w:val="0"/>
          <w:color w:val="1E293B"/>
          <w:sz w:val="19"/>
        </w:rPr>
        <w:t xml:space="preserve"> Canal direto de atendimento via WhatsApp e e-mail para auxiliar o administrador e os corretores em eventuais dúvidas no cadastro de imóveis, alteração de fotos ou uso do funil de leads.</w:t>
      </w:r>
    </w:p>
    <w:p>
      <w:pPr>
        <w:spacing w:after="60"/>
        <w:ind w:left="288"/>
      </w:pPr>
      <w:r>
        <w:rPr>
          <w:rFonts w:ascii="Calibri" w:hAnsi="Calibri"/>
          <w:b/>
          <w:i w:val="0"/>
          <w:color w:val="0F172A"/>
          <w:sz w:val="19"/>
        </w:rPr>
        <w:t>• Manutenções Preventivas e Atualizações de Segurança:</w:t>
      </w:r>
      <w:r>
        <w:rPr>
          <w:rFonts w:ascii="Calibri" w:hAnsi="Calibri"/>
          <w:b w:val="0"/>
          <w:i w:val="0"/>
          <w:color w:val="1E293B"/>
          <w:sz w:val="19"/>
        </w:rPr>
        <w:t xml:space="preserve"> Aplicação de patches de segurança e atualização de pacotes de software e bibliotecas do sistema para prevenir vulnerabilidades e incompatibilidades futuras.</w:t>
      </w:r>
    </w:p>
    <w:p>
      <w:pPr>
        <w:spacing w:after="60"/>
        <w:ind w:left="288"/>
      </w:pPr>
      <w:r>
        <w:rPr>
          <w:rFonts w:ascii="Calibri" w:hAnsi="Calibri"/>
          <w:b/>
          <w:i w:val="0"/>
          <w:color w:val="0F172A"/>
          <w:sz w:val="19"/>
        </w:rPr>
        <w:t>• Ajustes Operacionais Contínuos:</w:t>
      </w:r>
      <w:r>
        <w:rPr>
          <w:rFonts w:ascii="Calibri" w:hAnsi="Calibri"/>
          <w:b w:val="0"/>
          <w:i w:val="0"/>
          <w:color w:val="1E293B"/>
          <w:sz w:val="19"/>
        </w:rPr>
        <w:t xml:space="preserve"> Modificação de textos institucionais, telefones, dados de CRECI, inclusão/remoção de corretores e pequenas adequações visuais no portal.</w:t>
      </w:r>
    </w:p>
    <w:p>
      <w:pPr>
        <w:spacing w:after="60"/>
        <w:ind w:left="288"/>
      </w:pPr>
      <w:r>
        <w:rPr>
          <w:rFonts w:ascii="Calibri" w:hAnsi="Calibri"/>
          <w:b/>
          <w:i w:val="0"/>
          <w:color w:val="0F172A"/>
          <w:sz w:val="19"/>
        </w:rPr>
        <w:t>• Monitoramento de Integridade e Backups:</w:t>
      </w:r>
      <w:r>
        <w:rPr>
          <w:rFonts w:ascii="Calibri" w:hAnsi="Calibri"/>
          <w:b w:val="0"/>
          <w:i w:val="0"/>
          <w:color w:val="1E293B"/>
          <w:sz w:val="19"/>
        </w:rPr>
        <w:t xml:space="preserve"> Auditoria periódica das conexões do banco de dados (Supabase) e orientação sobre a rotina de preservação e exportação dos dados da carteira.</w:t>
      </w:r>
    </w:p>
    <w:p>
      <w:pPr>
        <w:keepNext/>
        <w:spacing w:before="360" w:after="120"/>
        <w:pBdr>
          <w:bottom w:val="single" w:sz="6" w:space="2" w:color="CBD5E1"/>
        </w:pBdr>
      </w:pPr>
      <w:r>
        <w:rPr>
          <w:rFonts w:ascii="Calibri" w:hAnsi="Calibri"/>
          <w:b/>
          <w:i w:val="0"/>
          <w:color w:val="0F172A"/>
          <w:sz w:val="26"/>
        </w:rPr>
        <w:t>5. CLÁUSULA EXPRESSA: CUSTOS DE INFRAESTRUTURA, SUPABASE E TERCEIROS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10080"/>
            <w:shd w:fill="FEF2F2"/>
            <w:tcMar>
              <w:top w:w="140" w:type="dxa"/>
              <w:bottom w:w="140" w:type="dxa"/>
              <w:left w:w="180" w:type="dxa"/>
              <w:right w:w="180" w:type="dxa"/>
            </w:tcMar>
            <w:tcBorders>
              <w:top w:val="single" w:sz="4" w:space="0" w:color="FECACA"/>
              <w:bottom w:val="single" w:sz="4" w:space="0" w:color="FECACA"/>
              <w:left w:val="single" w:sz="24" w:space="0" w:color="B91C1C"/>
              <w:right w:val="single" w:sz="4" w:space="0" w:color="FECACA"/>
            </w:tcBorders>
          </w:tcPr>
          <w:p>
            <w:pPr>
              <w:spacing w:after="80"/>
            </w:pPr>
            <w:r>
              <w:rPr>
                <w:rFonts w:ascii="Calibri" w:hAnsi="Calibri"/>
                <w:b/>
                <w:i w:val="0"/>
                <w:color w:val="B91C1C"/>
                <w:sz w:val="21"/>
              </w:rPr>
              <w:t>TERMO EXPRESSO DE RESPONSABILIDADE FINANCEIRA DO CONTRATANTE</w:t>
            </w:r>
          </w:p>
          <w:p>
            <w:pPr>
              <w:spacing w:after="80"/>
            </w:pPr>
            <w:r>
              <w:rPr>
                <w:rFonts w:ascii="Calibri" w:hAnsi="Calibri"/>
                <w:b/>
                <w:i w:val="0"/>
                <w:color w:val="B91C1C"/>
                <w:sz w:val="19"/>
              </w:rPr>
              <w:t>Fica formal e expressamente ajustado entre as partes que a mensalidade de suporte de R$ 500,00 refere-se com exclusividade à contraprestação por serviços técnicos intelectuais de desenvolvimento, usabilidade, assistência e manutenção.</w:t>
            </w:r>
          </w:p>
          <w:p>
            <w:pPr>
              <w:spacing w:after="80"/>
            </w:pPr>
            <w:r>
              <w:rPr>
                <w:rFonts w:ascii="Calibri" w:hAnsi="Calibri"/>
                <w:b/>
                <w:i w:val="0"/>
                <w:color w:val="B91C1C"/>
                <w:sz w:val="19"/>
              </w:rPr>
              <w:t>PORTANTO, TODOS E QUAISQUER CUSTOS, TAXAS OU ASSINATURAS COBRADOS POR EMPRESAS TERCEIRAS PARA A OPERAÇÃO E EXPANSÃO DA INFRAESTRUTURA SÃO DE RESPONSABILIDADE FINANCEIRA DIRETA E EXCLUSIVA DO CONTRATANTE.</w:t>
            </w:r>
          </w:p>
        </w:tc>
      </w:tr>
    </w:tbl>
    <w:p>
      <w:pPr>
        <w:spacing w:before="160" w:after="80"/>
      </w:pPr>
      <w:r>
        <w:rPr>
          <w:rFonts w:ascii="Calibri" w:hAnsi="Calibri"/>
          <w:b/>
          <w:i w:val="0"/>
          <w:color w:val="0F172A"/>
          <w:sz w:val="20"/>
        </w:rPr>
        <w:t>Detalhamento dos Serviços de Terceiros e Responsabilidades:</w:t>
      </w:r>
    </w:p>
    <w:p>
      <w:pPr>
        <w:spacing w:after="60"/>
        <w:ind w:left="288"/>
      </w:pPr>
      <w:r>
        <w:rPr>
          <w:rFonts w:ascii="Calibri" w:hAnsi="Calibri"/>
          <w:b/>
          <w:i w:val="0"/>
          <w:color w:val="0F172A"/>
          <w:sz w:val="19"/>
        </w:rPr>
        <w:t>• Banco de Dados &amp; Armazenamento em Nuvem (Supabase):</w:t>
      </w:r>
      <w:r>
        <w:rPr>
          <w:rFonts w:ascii="Calibri" w:hAnsi="Calibri"/>
          <w:b w:val="0"/>
          <w:i w:val="0"/>
          <w:color w:val="1E293B"/>
          <w:sz w:val="19"/>
        </w:rPr>
        <w:t xml:space="preserve"> A plataforma está estruturada sobre o Supabase para armazenamento seguro do banco de dados (PostgreSQL) e das fotografias dos imóveis (Supabase Storage). O projeto inicia utilizando o plano gratuito disponibilizado pela plataforma. Caso o volume de dados, tráfego de imagens ou número de cadastros ultrapasse os limites da camada gratuita do Supabase, ou caso se faça necessário contratar planos comerciais (ex: Supabase Pro ou pacote extra de armazenamento em GB), os custos e faturas serão de inteira responsabilidade e custeio direto do CONTRATANTE.</w:t>
      </w:r>
    </w:p>
    <w:p>
      <w:pPr>
        <w:spacing w:after="60"/>
        <w:ind w:left="288"/>
      </w:pPr>
      <w:r>
        <w:rPr>
          <w:rFonts w:ascii="Calibri" w:hAnsi="Calibri"/>
          <w:b/>
          <w:i w:val="0"/>
          <w:color w:val="0F172A"/>
          <w:sz w:val="19"/>
        </w:rPr>
        <w:t>• Registro de Domínio Oficial:</w:t>
      </w:r>
      <w:r>
        <w:rPr>
          <w:rFonts w:ascii="Calibri" w:hAnsi="Calibri"/>
          <w:b w:val="0"/>
          <w:i w:val="0"/>
          <w:color w:val="1E293B"/>
          <w:sz w:val="19"/>
        </w:rPr>
        <w:t xml:space="preserve"> A compra e renovação periódica do domínio institucional da imobiliária (exemplo: www.suaimobiliaria.com.br no Registro.br, no valor aproximado de R$ 40,00 anuais) corre por conta exclusiva do CONTRATANTE.</w:t>
      </w:r>
    </w:p>
    <w:p>
      <w:pPr>
        <w:spacing w:after="60"/>
        <w:ind w:left="288"/>
      </w:pPr>
      <w:r>
        <w:rPr>
          <w:rFonts w:ascii="Calibri" w:hAnsi="Calibri"/>
          <w:b/>
          <w:i w:val="0"/>
          <w:color w:val="0F172A"/>
          <w:sz w:val="19"/>
        </w:rPr>
        <w:t>• Hospedagem Web &amp; Servidores:</w:t>
      </w:r>
      <w:r>
        <w:rPr>
          <w:rFonts w:ascii="Calibri" w:hAnsi="Calibri"/>
          <w:b w:val="0"/>
          <w:i w:val="0"/>
          <w:color w:val="1E293B"/>
          <w:sz w:val="19"/>
        </w:rPr>
        <w:t xml:space="preserve"> O front-end da aplicação é hospedado em provedores em nuvem de alta velocidade (como Vercel ou similares). Quaisquer taxas de planos profissionais ou consumo excedente de servidores serão custeadas diretamente pelo CONTRATANTE.</w:t>
      </w:r>
    </w:p>
    <w:p>
      <w:pPr>
        <w:spacing w:after="60"/>
        <w:ind w:left="288"/>
      </w:pPr>
      <w:r>
        <w:rPr>
          <w:rFonts w:ascii="Calibri" w:hAnsi="Calibri"/>
          <w:b/>
          <w:i w:val="0"/>
          <w:color w:val="0F172A"/>
          <w:sz w:val="19"/>
        </w:rPr>
        <w:t>• E-mails Corporativos &amp; Ferramentas Externas:</w:t>
      </w:r>
      <w:r>
        <w:rPr>
          <w:rFonts w:ascii="Calibri" w:hAnsi="Calibri"/>
          <w:b w:val="0"/>
          <w:i w:val="0"/>
          <w:color w:val="1E293B"/>
          <w:sz w:val="19"/>
        </w:rPr>
        <w:t xml:space="preserve"> Custos de serviços de e-mail institucional (ex: Google Workspace, Microsoft 365, etc.), plugins externos ou campanhas de tráfego/marketing não estão inclusos na mensalidade de suporte e devem ser contratados pelo CONTRATANTE.</w:t>
      </w:r>
    </w:p>
    <w:p>
      <w:pPr>
        <w:spacing w:after="60"/>
        <w:ind w:left="288"/>
      </w:pPr>
      <w:r>
        <w:rPr>
          <w:rFonts w:ascii="Calibri" w:hAnsi="Calibri"/>
          <w:b/>
          <w:i w:val="0"/>
          <w:color w:val="0F172A"/>
          <w:sz w:val="19"/>
        </w:rPr>
        <w:t>• Compromisso de Consultoria Econômica:</w:t>
      </w:r>
      <w:r>
        <w:rPr>
          <w:rFonts w:ascii="Calibri" w:hAnsi="Calibri"/>
          <w:b w:val="0"/>
          <w:i w:val="0"/>
          <w:color w:val="1E293B"/>
          <w:sz w:val="19"/>
        </w:rPr>
        <w:t xml:space="preserve"> O CONTRATADO compromete-se a prestar toda a consultoria técnica para configurar e otimizar os recursos, priorizando sempre as alternativas mais econômicas, estáveis e escaláveis para a imobiliária.</w:t>
      </w:r>
    </w:p>
    <w:p>
      <w:pPr>
        <w:keepNext/>
        <w:spacing w:before="360" w:after="120"/>
        <w:pBdr>
          <w:bottom w:val="single" w:sz="6" w:space="2" w:color="CBD5E1"/>
        </w:pBdr>
      </w:pPr>
      <w:r>
        <w:rPr>
          <w:rFonts w:ascii="Calibri" w:hAnsi="Calibri"/>
          <w:b/>
          <w:i w:val="0"/>
          <w:color w:val="0F172A"/>
          <w:sz w:val="26"/>
        </w:rPr>
        <w:t>6. NÍVEIS DE ATENDIMENTO (SLA) &amp; SUPORTE TÉCNICO</w:t>
      </w:r>
    </w:p>
    <w:p>
      <w:pPr>
        <w:spacing w:after="60"/>
        <w:ind w:left="288"/>
      </w:pPr>
      <w:r>
        <w:rPr>
          <w:rFonts w:ascii="Calibri" w:hAnsi="Calibri"/>
          <w:b/>
          <w:i w:val="0"/>
          <w:color w:val="0F172A"/>
          <w:sz w:val="19"/>
        </w:rPr>
        <w:t>• Canais de Comunicação:</w:t>
      </w:r>
      <w:r>
        <w:rPr>
          <w:rFonts w:ascii="Calibri" w:hAnsi="Calibri"/>
          <w:b w:val="0"/>
          <w:i w:val="0"/>
          <w:color w:val="1E293B"/>
          <w:sz w:val="19"/>
        </w:rPr>
        <w:t xml:space="preserve"> O suporte será prestado através de WhatsApp corporativo e e-mail.</w:t>
      </w:r>
    </w:p>
    <w:p>
      <w:pPr>
        <w:spacing w:after="60"/>
        <w:ind w:left="288"/>
      </w:pPr>
      <w:r>
        <w:rPr>
          <w:rFonts w:ascii="Calibri" w:hAnsi="Calibri"/>
          <w:b/>
          <w:i w:val="0"/>
          <w:color w:val="0F172A"/>
          <w:sz w:val="19"/>
        </w:rPr>
        <w:t>• Horário de Atendimento:</w:t>
      </w:r>
      <w:r>
        <w:rPr>
          <w:rFonts w:ascii="Calibri" w:hAnsi="Calibri"/>
          <w:b w:val="0"/>
          <w:i w:val="0"/>
          <w:color w:val="1E293B"/>
          <w:sz w:val="19"/>
        </w:rPr>
        <w:t xml:space="preserve"> De segunda a sexta-feira, das 09h00 às 18h00 (horário de Brasília), exceto feriados nacionais.</w:t>
      </w:r>
    </w:p>
    <w:p>
      <w:pPr>
        <w:spacing w:after="60"/>
        <w:ind w:left="288"/>
      </w:pPr>
      <w:r>
        <w:rPr>
          <w:rFonts w:ascii="Calibri" w:hAnsi="Calibri"/>
          <w:b/>
          <w:i w:val="0"/>
          <w:color w:val="0F172A"/>
          <w:sz w:val="19"/>
        </w:rPr>
        <w:t>• Prioridade Alta (Plataforma inacessível ou falha crítica):</w:t>
      </w:r>
      <w:r>
        <w:rPr>
          <w:rFonts w:ascii="Calibri" w:hAnsi="Calibri"/>
          <w:b w:val="0"/>
          <w:i w:val="0"/>
          <w:color w:val="1E293B"/>
          <w:sz w:val="19"/>
        </w:rPr>
        <w:t xml:space="preserve"> Início do atendimento e diagnóstico em até 4 (quatro) horas úteis.</w:t>
      </w:r>
    </w:p>
    <w:p>
      <w:pPr>
        <w:spacing w:after="60"/>
        <w:ind w:left="288"/>
      </w:pPr>
      <w:r>
        <w:rPr>
          <w:rFonts w:ascii="Calibri" w:hAnsi="Calibri"/>
          <w:b/>
          <w:i w:val="0"/>
          <w:color w:val="0F172A"/>
          <w:sz w:val="19"/>
        </w:rPr>
        <w:t>• Prioridade Normal (Dúvidas, ajustes de textos, alteração de dados):</w:t>
      </w:r>
      <w:r>
        <w:rPr>
          <w:rFonts w:ascii="Calibri" w:hAnsi="Calibri"/>
          <w:b w:val="0"/>
          <w:i w:val="0"/>
          <w:color w:val="1E293B"/>
          <w:sz w:val="19"/>
        </w:rPr>
        <w:t xml:space="preserve"> Atendimento concluído em até 24 a 48 horas úteis.</w:t>
      </w:r>
    </w:p>
    <w:p>
      <w:pPr>
        <w:keepNext/>
        <w:spacing w:before="360" w:after="120"/>
        <w:pBdr>
          <w:bottom w:val="single" w:sz="6" w:space="2" w:color="CBD5E1"/>
        </w:pBdr>
      </w:pPr>
      <w:r>
        <w:rPr>
          <w:rFonts w:ascii="Calibri" w:hAnsi="Calibri"/>
          <w:b/>
          <w:i w:val="0"/>
          <w:color w:val="0F172A"/>
          <w:sz w:val="26"/>
        </w:rPr>
        <w:t>7. VIGÊNCIA CONTRATUAL, RESCISÃO E PROPRIEDADE DOS DADOS</w:t>
      </w:r>
    </w:p>
    <w:p>
      <w:pPr>
        <w:spacing w:after="60"/>
      </w:pPr>
      <w:r>
        <w:rPr>
          <w:rFonts w:ascii="Calibri" w:hAnsi="Calibri"/>
          <w:b/>
          <w:i w:val="0"/>
          <w:color w:val="0F172A"/>
          <w:sz w:val="19"/>
        </w:rPr>
        <w:t>7.1. Vigência:</w:t>
      </w:r>
      <w:r>
        <w:rPr>
          <w:rFonts w:ascii="Calibri" w:hAnsi="Calibri"/>
          <w:b w:val="0"/>
          <w:i w:val="0"/>
          <w:color w:val="1E293B"/>
          <w:sz w:val="19"/>
        </w:rPr>
        <w:t xml:space="preserve"> O presente contrato vigorará pelo prazo de 5 (cinco) anos (60 meses), contados a partir da data de assinatura deste instrumento.</w:t>
      </w:r>
    </w:p>
    <w:p>
      <w:pPr>
        <w:spacing w:after="60"/>
      </w:pPr>
      <w:r>
        <w:rPr>
          <w:rFonts w:ascii="Calibri" w:hAnsi="Calibri"/>
          <w:b/>
          <w:i w:val="0"/>
          <w:color w:val="0F172A"/>
          <w:sz w:val="19"/>
        </w:rPr>
        <w:t>7.2. Rescisão sem Justa Causa:</w:t>
      </w:r>
      <w:r>
        <w:rPr>
          <w:rFonts w:ascii="Calibri" w:hAnsi="Calibri"/>
          <w:b w:val="0"/>
          <w:i w:val="0"/>
          <w:color w:val="1E293B"/>
          <w:sz w:val="19"/>
        </w:rPr>
        <w:t xml:space="preserve"> Qualquer das partes poderá rescindir o presente contrato mediante aviso prévio formal, por escrito, com antecedência mínima de 30 (trinta) dias.</w:t>
      </w:r>
    </w:p>
    <w:p>
      <w:pPr>
        <w:spacing w:after="60"/>
      </w:pPr>
      <w:r>
        <w:rPr>
          <w:rFonts w:ascii="Calibri" w:hAnsi="Calibri"/>
          <w:b/>
          <w:i w:val="0"/>
          <w:color w:val="0F172A"/>
          <w:sz w:val="19"/>
        </w:rPr>
        <w:t>7.3. Propriedade dos Dados:</w:t>
      </w:r>
      <w:r>
        <w:rPr>
          <w:rFonts w:ascii="Calibri" w:hAnsi="Calibri"/>
          <w:b w:val="0"/>
          <w:i w:val="0"/>
          <w:color w:val="1E293B"/>
          <w:sz w:val="19"/>
        </w:rPr>
        <w:t xml:space="preserve"> Todos os dados, imóveis cadastrados, fotografias, clientes e históricos contidos no banco de dados Supabase pertencem única e exclusivamente ao CONTRATANTE. Em caso de encerramento contratual, o CONTRATADO prestará assistência para entrega de cópia de segurança dos dados.</w:t>
      </w:r>
    </w:p>
    <w:p>
      <w:pPr>
        <w:spacing w:after="60"/>
      </w:pPr>
      <w:r>
        <w:rPr>
          <w:rFonts w:ascii="Calibri" w:hAnsi="Calibri"/>
          <w:b/>
          <w:i w:val="0"/>
          <w:color w:val="0F172A"/>
          <w:sz w:val="19"/>
        </w:rPr>
        <w:t>7.4. Titularidade das Contas:</w:t>
      </w:r>
      <w:r>
        <w:rPr>
          <w:rFonts w:ascii="Calibri" w:hAnsi="Calibri"/>
          <w:b w:val="0"/>
          <w:i w:val="0"/>
          <w:color w:val="1E293B"/>
          <w:sz w:val="19"/>
        </w:rPr>
        <w:t xml:space="preserve"> Todas as contas de terceiros (Supabase, Provedor de Domínio, Provedor de Hospedagem) deverão ser criadas sob a titularidade e dados do CONTRATANTE, garantindo-lhe soberania irrestrita sobre sua marca e seu patrimônio digital.</w:t>
      </w:r>
    </w:p>
    <w:p>
      <w:pPr>
        <w:keepNext/>
        <w:spacing w:before="360" w:after="120"/>
        <w:pBdr>
          <w:bottom w:val="single" w:sz="6" w:space="2" w:color="CBD5E1"/>
        </w:pBdr>
      </w:pPr>
      <w:r>
        <w:rPr>
          <w:rFonts w:ascii="Calibri" w:hAnsi="Calibri"/>
          <w:b/>
          <w:i w:val="0"/>
          <w:color w:val="0F172A"/>
          <w:sz w:val="26"/>
        </w:rPr>
        <w:t>8. TERMO DE APROVAÇÃO E ASSINATURAS</w:t>
      </w:r>
    </w:p>
    <w:p>
      <w:pPr>
        <w:spacing w:after="320"/>
      </w:pPr>
      <w:r>
        <w:rPr>
          <w:rFonts w:ascii="Calibri" w:hAnsi="Calibri"/>
          <w:b w:val="0"/>
          <w:i w:val="0"/>
          <w:color w:val="1E293B"/>
          <w:sz w:val="19"/>
        </w:rPr>
        <w:t>E por estarem justas, cientes e de mútuo acordo com todas as disposições, escopo, valores e prazos estipulados neste instrumento, as partes assinam o presente contrato em 2 (duas) vias de igual teor e forma.</w:t>
      </w:r>
    </w:p>
    <w:p>
      <w:pPr>
        <w:spacing w:after="800"/>
      </w:pPr>
      <w:r>
        <w:rPr>
          <w:rFonts w:ascii="Calibri" w:hAnsi="Calibri"/>
          <w:b w:val="0"/>
          <w:i w:val="0"/>
          <w:color w:val="1E293B"/>
          <w:sz w:val="19"/>
        </w:rPr>
        <w:t>Local e Data: ________________________, ______ de ________________ de 2026.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896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0F172A"/>
                <w:sz w:val="19"/>
              </w:rPr>
              <w:t>_________________________________________</w:t>
              <w:br/>
            </w:r>
            <w:r>
              <w:rPr>
                <w:rFonts w:ascii="Calibri" w:hAnsi="Calibri"/>
                <w:b/>
                <w:i w:val="0"/>
                <w:color w:val="0F172A"/>
                <w:sz w:val="20"/>
              </w:rPr>
              <w:t>CONTRATANTE</w:t>
              <w:br/>
            </w:r>
            <w:r>
              <w:rPr>
                <w:rFonts w:ascii="Calibri" w:hAnsi="Calibri"/>
                <w:b w:val="0"/>
                <w:i w:val="0"/>
                <w:color w:val="475569"/>
                <w:sz w:val="18"/>
              </w:rPr>
              <w:t>[Nome do Responsável / Imobiliária]</w:t>
              <w:br/>
              <w:t>CPF / CNPJ:</w:t>
            </w:r>
          </w:p>
        </w:tc>
        <w:tc>
          <w:tcPr>
            <w:tcW w:type="dxa" w:w="4896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0F172A"/>
                <w:sz w:val="19"/>
              </w:rPr>
              <w:t>_________________________________________</w:t>
              <w:br/>
            </w:r>
            <w:r>
              <w:rPr>
                <w:rFonts w:ascii="Calibri" w:hAnsi="Calibri"/>
                <w:b/>
                <w:i w:val="0"/>
                <w:color w:val="0F172A"/>
                <w:sz w:val="20"/>
              </w:rPr>
              <w:t>CONTRATADA</w:t>
              <w:br/>
            </w:r>
            <w:r>
              <w:rPr>
                <w:rFonts w:ascii="Calibri" w:hAnsi="Calibri"/>
                <w:b w:val="0"/>
                <w:i w:val="0"/>
                <w:color w:val="475569"/>
                <w:sz w:val="18"/>
              </w:rPr>
              <w:t>[Nome do Prestador / Desenvolvedor]</w:t>
              <w:br/>
              <w:t>CPF / CNPJ:</w:t>
            </w:r>
          </w:p>
        </w:tc>
      </w:tr>
    </w:tbl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