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9F" w:rsidRPr="0079609F" w:rsidRDefault="0079609F" w:rsidP="0079609F">
      <w:pPr>
        <w:tabs>
          <w:tab w:val="left" w:pos="142"/>
        </w:tabs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79609F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 xml:space="preserve">1. </w:t>
      </w: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Teoria do Agente-Principal</w:t>
      </w:r>
    </w:p>
    <w:p w:rsidR="0079609F" w:rsidRPr="0079609F" w:rsidRDefault="0079609F" w:rsidP="00AC2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O que é a Teoria do Agente-Principal, e quais problemas ela tenta resolver?</w:t>
      </w:r>
    </w:p>
    <w:p w:rsidR="0079609F" w:rsidRDefault="0079609F" w:rsidP="00AC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Teoria do Agente-Principal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trata da relação entre um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principal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(sócio/acionista) e um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agente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(executivo) que é contratado para administrar a empresa. O problema que surge nessa relação é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conflito de interesses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pois o agente pode agir visando maximizar seus próprios benefícios em </w:t>
      </w:r>
      <w:r w:rsid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vez dos interesses do principal.</w:t>
      </w:r>
    </w:p>
    <w:p w:rsidR="00AC2E1C" w:rsidRPr="0079609F" w:rsidRDefault="00AC2E1C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Como os executivos tendem a agir, segundo a Teoria do Agente-Principal, e como isso pode afetar os interesses dos acionistas?</w:t>
      </w:r>
    </w:p>
    <w:p w:rsidR="0079609F" w:rsidRPr="00AC2E1C" w:rsidRDefault="0079609F" w:rsidP="00AC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Os executivos e conselheiros, segundo a teoria, podem agir para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maximizar seus próprios interesses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, como salários maiores e mais poder, priorizando seus benefícios pessoais em detrimento dos objetivos e interesses dos acionistas e da empresa.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são as medidas sugeridas para alinhar os interesses entre executivos e acionistas?</w:t>
      </w:r>
    </w:p>
    <w:p w:rsidR="0079609F" w:rsidRPr="0079609F" w:rsidRDefault="0079609F" w:rsidP="00AC2E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As medidas sugeridas incluem 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Governança Corporativa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que envolve práticas de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monitoramento, controle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divulgação de informações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. Essas medidas são projetadas para alinhar os interesses dos executivos aos dos acionistas, visando beneficiar a organização como um </w:t>
      </w:r>
      <w:proofErr w:type="gram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todo</w:t>
      </w:r>
      <w:proofErr w:type="gramEnd"/>
    </w:p>
    <w:p w:rsidR="0079609F" w:rsidRPr="0079609F" w:rsidRDefault="0079609F" w:rsidP="00AC2E1C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9609F" w:rsidRPr="0079609F" w:rsidRDefault="0079609F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79609F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 xml:space="preserve">2. </w:t>
      </w: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Governança Corporativa</w:t>
      </w:r>
    </w:p>
    <w:p w:rsidR="0079609F" w:rsidRPr="0079609F" w:rsidRDefault="0079609F" w:rsidP="00AC2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O que é Governança Corporativa segundo o IBGC?</w:t>
      </w:r>
    </w:p>
    <w:p w:rsidR="0079609F" w:rsidRPr="00AC2E1C" w:rsidRDefault="0079609F" w:rsidP="00AC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De acordo com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Instituto Brasileiro de Governança Corporativa (IBGC)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Governança Corporativa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o sistema pelo qual empresas e organizações são dirigidas, monitoradas e incentivadas. Esse sistema envolve o relacionamento entre sócios, conselho de administração, diretoria, órgãos de fiscalização e controle, além de outras partes interessadas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são os principais objetivos da Governança Corporativa conforme a CVM?</w:t>
      </w:r>
    </w:p>
    <w:p w:rsidR="0079609F" w:rsidRPr="0079609F" w:rsidRDefault="0079609F" w:rsidP="00AC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Segundo 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Comissão de Valores Mobiliários (CVM)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os principais objetivos da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Governança Corporativa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são:</w:t>
      </w:r>
    </w:p>
    <w:p w:rsidR="0079609F" w:rsidRPr="0079609F" w:rsidRDefault="0079609F" w:rsidP="00AC2E1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Otimizar o desempenho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da companhia.</w:t>
      </w:r>
    </w:p>
    <w:p w:rsidR="0079609F" w:rsidRPr="0079609F" w:rsidRDefault="0079609F" w:rsidP="00AC2E1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Proteger as partes interessadas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, como investidores, empregados e credores.</w:t>
      </w:r>
    </w:p>
    <w:p w:rsidR="0079609F" w:rsidRPr="00AC2E1C" w:rsidRDefault="0079609F" w:rsidP="00AC2E1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Facilitar o acesso ao capital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, assegurando uma melhor gestão e transparência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Como a Governança Corporativa pode melhorar o acesso de uma empresa ao capital?</w:t>
      </w:r>
    </w:p>
    <w:p w:rsidR="0079609F" w:rsidRPr="00AC2E1C" w:rsidRDefault="0079609F" w:rsidP="00AC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adoção de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Governança Corporativa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pode melhorar o acesso ao capital, porque empresas que seguem essas práticas são vistas como </w:t>
      </w:r>
      <w:proofErr w:type="gram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mais</w:t>
      </w:r>
      <w:proofErr w:type="gramEnd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</w:t>
      </w:r>
      <w:proofErr w:type="gram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confiáveis</w:t>
      </w:r>
      <w:proofErr w:type="gramEnd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transparentes, tanto para investidores quanto para bancos. Isso pode resultar em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condições de financiamento mais favoráveis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, como taxas de juros mais baixas e melhor classificação em bolsas de valores</w:t>
      </w:r>
      <w:proofErr w:type="gram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​</w:t>
      </w:r>
      <w:proofErr w:type="gramEnd"/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Como a Governança Corporativa pode ser aplicada em empresas de médio e pequeno porte?</w:t>
      </w:r>
    </w:p>
    <w:p w:rsidR="0079609F" w:rsidRPr="00AC2E1C" w:rsidRDefault="0079609F" w:rsidP="00AC2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Embora 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Governança Corporativa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tenha surgido em grandes empresas, ela pode ser adaptada e aplicada em empresas de médio e pequeno porte. Isso envolve ajustes no sistema de governança de acordo com o tamanho e as necessidades da organização, garantindo que as práticas fundamentais sejam respeitadas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79609F">
        <w:rPr>
          <w:rFonts w:asciiTheme="majorHAnsi" w:eastAsia="Times New Roman" w:hAnsiTheme="majorHAnsi" w:cs="Times New Roman"/>
          <w:b/>
          <w:bCs/>
          <w:szCs w:val="27"/>
          <w:lang w:eastAsia="pt-BR"/>
        </w:rPr>
        <w:lastRenderedPageBreak/>
        <w:t xml:space="preserve">3. </w:t>
      </w: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Princípios da Governança Corporativa</w:t>
      </w:r>
    </w:p>
    <w:p w:rsidR="0079609F" w:rsidRPr="0079609F" w:rsidRDefault="0079609F" w:rsidP="00AC2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são os quatro princípios fundamentais da Governança Corporativa segundo o IBGC?</w:t>
      </w:r>
    </w:p>
    <w:p w:rsidR="0079609F" w:rsidRPr="0079609F" w:rsidRDefault="0079609F" w:rsidP="00AC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Os quatro princípios fundamentais da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Governança Corporativa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conforme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Instituto Brasileiro de Governança Corporativa (IBGC)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são:</w:t>
      </w:r>
    </w:p>
    <w:p w:rsidR="0079609F" w:rsidRPr="0079609F" w:rsidRDefault="0079609F" w:rsidP="00AC2E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Transparência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: Fornecimento de informações relevantes para as partes interessadas além das exigências legais, incluindo dados econômicos, financeiros e outros fatores que influenciem a gestão.</w:t>
      </w:r>
    </w:p>
    <w:p w:rsidR="0079609F" w:rsidRPr="0079609F" w:rsidRDefault="0079609F" w:rsidP="00AC2E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Equidade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: Tratamento justo e igualitário de todos os sócios e partes interessadas, levando em conta seus direitos, deveres e expectativas.</w:t>
      </w:r>
    </w:p>
    <w:p w:rsidR="0079609F" w:rsidRPr="0079609F" w:rsidRDefault="0079609F" w:rsidP="00AC2E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Prestação de Contas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(</w:t>
      </w:r>
      <w:proofErr w:type="spell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Accountability</w:t>
      </w:r>
      <w:proofErr w:type="spellEnd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): Agentes de governança devem ser responsáveis pelas consequências de suas ações, agindo com clareza e assumindo a responsabilidade por decisões e omissões.</w:t>
      </w:r>
    </w:p>
    <w:p w:rsidR="0079609F" w:rsidRPr="00AC2E1C" w:rsidRDefault="0079609F" w:rsidP="00AC2E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Responsabilidade Corporativa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: Garantir a viabilidade econômico-financeira da organização, considerando impactos sociais e ambientais, além de maximizar as externalidades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positivas​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Como o princípio da Transparência é aplicado em uma organização?</w:t>
      </w:r>
    </w:p>
    <w:p w:rsidR="0079609F" w:rsidRPr="00AC2E1C" w:rsidRDefault="0079609F" w:rsidP="00AC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 princípio da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Transparência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exige que as empresas divulguem informações relevantes e claras para todas as partes interessadas, além das exigências legais. 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(Isso inclui não apenas dados financeiros, mas também fatores intangíveis que possam afetar a organização, como questões ambientais e sociais)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Qual a importância do princípio da Equidade na relação com os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stakeholders</w:t>
      </w:r>
      <w:proofErr w:type="spell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?</w:t>
      </w:r>
    </w:p>
    <w:p w:rsidR="0079609F" w:rsidRPr="00AC2E1C" w:rsidRDefault="0079609F" w:rsidP="00AC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Equidade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garante que todos os </w:t>
      </w:r>
      <w:proofErr w:type="spell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stakeholders</w:t>
      </w:r>
      <w:proofErr w:type="spellEnd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(como sócios, investidores e empregados) sejam tratados de maneira justa e imparcial, sem favorecer um grupo em detrimento de outro. Isso evita conflitos e garante uma tomada de decisão mais justa dentro da empresa​(AULA 04 - AUDITORIA).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O que significa Prestação de Contas e qual sua relevância para a Governança Corporativa?</w:t>
      </w:r>
    </w:p>
    <w:p w:rsidR="0079609F" w:rsidRPr="00AC2E1C" w:rsidRDefault="0079609F" w:rsidP="00AC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Prestação de Contas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(</w:t>
      </w:r>
      <w:proofErr w:type="spell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Accountability</w:t>
      </w:r>
      <w:proofErr w:type="spellEnd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) é o princípio que exige que os agentes de governança sejam responsáveis por suas ações e omissões, e que prestem contas de maneira clara, concisa e acessível. Isso aumenta a confiança entre as partes interessadas e reduz o abus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o de poder​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Como o princípio da Responsabilidade Corporativa contribui para a sustentabilidade de uma organização?</w:t>
      </w:r>
    </w:p>
    <w:p w:rsidR="0079609F" w:rsidRPr="0079609F" w:rsidRDefault="0079609F" w:rsidP="00AC2E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 princípio da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Responsabilidade Corporativa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exige que a organização atue de maneira 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garantir sua sustentabilidade </w:t>
      </w:r>
      <w:proofErr w:type="gramStart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à</w:t>
      </w:r>
      <w:proofErr w:type="gramEnd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longo prazo. Isso inclui a consideração de diferentes capitais (financeiro, ambiental, social) e o impacto de suas atividades na sociedade e no meio ambiente, ajudando a reduzir externalidades nega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tivas e maximizar as positivas​.</w:t>
      </w:r>
    </w:p>
    <w:p w:rsidR="0079609F" w:rsidRPr="0079609F" w:rsidRDefault="0079609F" w:rsidP="00AC2E1C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9609F" w:rsidRPr="0079609F" w:rsidRDefault="0079609F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79609F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 xml:space="preserve">4. </w:t>
      </w: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Implementação Prática da Governança Corporativa</w:t>
      </w:r>
    </w:p>
    <w:p w:rsidR="0079609F" w:rsidRPr="0079609F" w:rsidRDefault="0079609F" w:rsidP="00AC2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são algumas das práticas comuns adotadas para operacionalizar a Governança Corporativa em uma empresa?</w:t>
      </w:r>
    </w:p>
    <w:p w:rsidR="0079609F" w:rsidRPr="0079609F" w:rsidRDefault="0079609F" w:rsidP="00AC2E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Algumas práticas comuns incluem:</w:t>
      </w:r>
    </w:p>
    <w:p w:rsidR="0079609F" w:rsidRPr="0079609F" w:rsidRDefault="0079609F" w:rsidP="00AC2E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Permitir que acionistas com ações preferenciais </w:t>
      </w:r>
      <w:proofErr w:type="gram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elejam</w:t>
      </w:r>
      <w:proofErr w:type="gramEnd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um membro do conselho de administração.</w:t>
      </w:r>
    </w:p>
    <w:p w:rsidR="0079609F" w:rsidRPr="0079609F" w:rsidRDefault="0079609F" w:rsidP="00AC2E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Realizar assembleias em datas e horários que facilitem a participação dos acionistas.</w:t>
      </w:r>
    </w:p>
    <w:p w:rsidR="0079609F" w:rsidRPr="0079609F" w:rsidRDefault="0079609F" w:rsidP="00AC2E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Incluir assuntos sugeridos por acionistas minoritários na pauta do conselho de administração.</w:t>
      </w:r>
    </w:p>
    <w:p w:rsidR="0079609F" w:rsidRPr="00AC2E1C" w:rsidRDefault="0079609F" w:rsidP="00AC2E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Separar os cargos de presidente do conselho de administr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ação e presidente da diretoria​.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Como a separação dos cargos de presidente do conselho de administração e presidente da diretoria pode beneficiar uma organização?</w:t>
      </w:r>
    </w:p>
    <w:p w:rsidR="0079609F" w:rsidRPr="00AC2E1C" w:rsidRDefault="0079609F" w:rsidP="00AC2E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A separação desses cargos evita a concentração de poder em uma única pessoa, promovendo uma governança mais equilibrada e transparente. Isso facilita a fiscalização das decisões estratégicas e operacionais, to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rnando a gestão mais eficiente​.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Qual é o papel dos acionistas minoritários na Governança Corporativa?</w:t>
      </w:r>
    </w:p>
    <w:p w:rsidR="0079609F" w:rsidRPr="0079609F" w:rsidRDefault="0079609F" w:rsidP="00AC2E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Os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acionistas minoritários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têm o direito de participar das decisões estratégicas da empresa. Algumas práticas de Governança Corporativa garantem que seus interesses sejam representados, permitindo que eles sugiram pautas e elejam membros do conselho, mesmo quando não possuem uma gra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nde participação no capital​.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79609F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 xml:space="preserve">5. </w:t>
      </w: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Responsáveis pela Governança Corporativa</w:t>
      </w:r>
    </w:p>
    <w:p w:rsidR="0079609F" w:rsidRPr="0079609F" w:rsidRDefault="0079609F" w:rsidP="00AC2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Quem são os principais responsáveis pela governança de uma pequena empresa?</w:t>
      </w:r>
    </w:p>
    <w:p w:rsidR="0079609F" w:rsidRPr="0079609F" w:rsidRDefault="0079609F" w:rsidP="00AC2E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Em uma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pequena empresa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o responsável pela governança geralmente é o próprio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dono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ou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proprietário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. À medida que o porte da empresa cresce, a governança precisa ser compartilhada entre os agentes de governança, como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Conselho de Administração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Diretoria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Conselho Fiscal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, para garantir um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a gestão eficaz e transparente</w:t>
      </w:r>
      <w:proofErr w:type="gramStart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​</w:t>
      </w:r>
      <w:proofErr w:type="gramEnd"/>
    </w:p>
    <w:p w:rsidR="0079609F" w:rsidRPr="0079609F" w:rsidRDefault="0079609F" w:rsidP="00AC2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Como a responsabilidade de governança é distribuída em empresas de grande porte?</w:t>
      </w:r>
    </w:p>
    <w:p w:rsidR="0079609F" w:rsidRPr="00AC2E1C" w:rsidRDefault="0079609F" w:rsidP="00AC2E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Em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empresas de grande porte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a governança é distribuída entre diversos agentes, como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Conselho de Administração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Diretoria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Comitê de Auditoria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Conselho Fiscal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. Cada um desses agentes tem funções específicas, como o planejamento estratégico, a fiscalização e a execução operacional. Essa distribuição de responsabilidades ajuda a evitar a concentração de poder e p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romove uma maior transparência​.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Qual o papel do Conselho de Administração na Governança Corporativa?</w:t>
      </w:r>
    </w:p>
    <w:p w:rsidR="0079609F" w:rsidRPr="0079609F" w:rsidRDefault="0079609F" w:rsidP="00AC2E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Conselho de Administração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o órgão colegiado responsável por definir a estratégia da organização e supervisionar sua execução. Ele garante que os princípios de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Governança Corporativa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sejam seguidos e que as decisões sejam tomadas de maneira independente e imparcial, representando os interesses de todos os </w:t>
      </w:r>
      <w:proofErr w:type="spell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stakeholders</w:t>
      </w:r>
      <w:proofErr w:type="spellEnd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. O conselho também é responsável por nomear a diretor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ia e monitorar suas atividades​.</w:t>
      </w:r>
    </w:p>
    <w:p w:rsidR="0079609F" w:rsidRPr="0079609F" w:rsidRDefault="0079609F" w:rsidP="00AC2E1C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9609F" w:rsidRPr="0079609F" w:rsidRDefault="0079609F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79609F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 xml:space="preserve">6. </w:t>
      </w: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Funções e Responsabilidades na Governança Corporativa</w:t>
      </w:r>
    </w:p>
    <w:p w:rsidR="0079609F" w:rsidRPr="0079609F" w:rsidRDefault="0079609F" w:rsidP="00AC2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são as principais responsabilidades dos sócios em uma organização?</w:t>
      </w:r>
    </w:p>
    <w:p w:rsidR="0079609F" w:rsidRPr="0079609F" w:rsidRDefault="0079609F" w:rsidP="00AC2E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Os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sócios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têm um papel importante na governança da empresa. Suas principais responsabilidades incluem: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Participar ativamente das assembleias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de acionistas de forma informada e consciente.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Votar em decisões estratégicas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da empresa.</w:t>
      </w:r>
    </w:p>
    <w:p w:rsidR="0079609F" w:rsidRPr="00AC2E1C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Conhecer os pareceres e relatórios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dos órgãos de fiscalização, como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Conselho Fiscal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Comitê de Auditoria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são as funções principais do Conselho de Administração?</w:t>
      </w:r>
    </w:p>
    <w:p w:rsidR="0079609F" w:rsidRPr="0079609F" w:rsidRDefault="0079609F" w:rsidP="00AC2E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Conselho de Administração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tem as seguintes funções principais: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Definir e supervisionar a estratégia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da organização.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Garantir a adesão aos princípios e valores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da governança corporativa.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Compor-se de membros qualificados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, idealmente com perfis especializados e interdisciplinares.</w:t>
      </w:r>
    </w:p>
    <w:p w:rsidR="0079609F" w:rsidRPr="00AC2E1C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lastRenderedPageBreak/>
        <w:t>Ajudar a garantir a independência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do conselho e a ausê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ncia de conflitos de interesse​.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O que é o Comitê de Auditoria e como ele auxilia o Conselho de Administração?</w:t>
      </w:r>
    </w:p>
    <w:p w:rsidR="0079609F" w:rsidRPr="0079609F" w:rsidRDefault="0079609F" w:rsidP="00AC2E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Comitê de Auditoria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um órgão de assessoramento do Conselho de Administração que tem como funções principais: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Controlar a qualidade das demonstrações financeiras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dos controles internos da organização.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Garantir a confiabilidade e a integridade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das informações financeiras fornecidas ao mercado.</w:t>
      </w:r>
    </w:p>
    <w:p w:rsidR="0079609F" w:rsidRPr="00AC2E1C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Supervisionar os processos de auditoria interna e externa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, auxiliando na identificação de riscos e no cumprimento das normas f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inanceiras​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as responsabilidades da Diretoria dentro de uma estrutura de Governança Corporativa?</w:t>
      </w:r>
    </w:p>
    <w:p w:rsidR="0079609F" w:rsidRPr="0079609F" w:rsidRDefault="0079609F" w:rsidP="00AC2E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Diretoria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responsável pela gestão operacional da organização. Suas principais responsabilidades incluem: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Executar as estratégias e diretrizes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aprovadas pelo Conselho de Administração.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Gerir os ativos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da empresa e conduzir seus negócios diários.</w:t>
      </w:r>
    </w:p>
    <w:p w:rsidR="0079609F" w:rsidRPr="00AC2E1C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Elaborar e </w:t>
      </w:r>
      <w:proofErr w:type="gram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implementar</w:t>
      </w:r>
      <w:proofErr w:type="gram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processos operacionais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financeiros, incluindo 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gestão de riscos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comunicação com o mercado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outras partes interessadas​.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Qual o papel do Conselho Fiscal e como ele difere do Comitê de Auditoria?</w:t>
      </w:r>
    </w:p>
    <w:p w:rsidR="0079609F" w:rsidRPr="0079609F" w:rsidRDefault="0079609F" w:rsidP="00AC2E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Conselho Fiscal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um órgão de fiscalização independente que tem a função de: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Fiscalizar a administração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da empresa e reportar diretamente aos sócios.</w:t>
      </w:r>
    </w:p>
    <w:p w:rsidR="0079609F" w:rsidRPr="0079609F" w:rsidRDefault="0079609F" w:rsidP="00AC2E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Garantir a preservação do valor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da organização.</w:t>
      </w:r>
    </w:p>
    <w:p w:rsidR="0079609F" w:rsidRPr="0079609F" w:rsidRDefault="0079609F" w:rsidP="00AC2E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principal diferença entre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Conselho Fiscal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Comitê de Auditoria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que o Conselho Fiscal tem o poder de atuação individual dos conselheiros e se reporta diretamente aos sócios, enquanto o Comitê de Auditoria é um órgão de suporte ao Conselho de Administração, focado no controle da qualidade das demonstrações financ</w:t>
      </w:r>
      <w:r w:rsid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eiras e dos controles internos​.</w:t>
      </w:r>
      <w:bookmarkStart w:id="0" w:name="_GoBack"/>
      <w:bookmarkEnd w:id="0"/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79609F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 xml:space="preserve">7. </w:t>
      </w: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Auditoria Independente</w:t>
      </w:r>
    </w:p>
    <w:p w:rsidR="0079609F" w:rsidRPr="0079609F" w:rsidRDefault="0079609F" w:rsidP="00AC2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Qual a função da Auditoria Independente dentro de uma organização?</w:t>
      </w:r>
    </w:p>
    <w:p w:rsidR="0079609F" w:rsidRPr="00AC2E1C" w:rsidRDefault="0079609F" w:rsidP="00AC2E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Auditoria Independente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tem a função de revisar e avaliar as demonstrações financeiras de uma organização para garantir que elas apresentem uma visão fiel e precisa da posição financeira da empresa, de acordo com as normas contábeis vigentes. Seu principal objetivo é assegurar que as demonstrações financeiras estejam livres de erros materiais ou fraudes, dando maior credibilidade às informações apresentadas aos </w:t>
      </w:r>
      <w:proofErr w:type="spellStart"/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>stakeholders</w:t>
      </w:r>
      <w:proofErr w:type="spellEnd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Como a Auditoria Independente garante a confiabilidade das demonstrações financeiras?</w:t>
      </w:r>
    </w:p>
    <w:p w:rsidR="0079609F" w:rsidRPr="0079609F" w:rsidRDefault="0079609F" w:rsidP="00AC2E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Auditoria Independente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garante a confiabilidade das demonstrações financeiras ao realizar uma análise minuciosa dos controles internos e da contabilidade da organização. Com base nessa análise, a auditoria emite uma opinião imparcial sobre se as demonstrações refletem adequadamente a situação financeira da empresa. Além disso, a auditoria identifica possíveis falhas nos controles internos e recomenda melhorias para assegurar a integrida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de das informações financeiras​.</w:t>
      </w:r>
    </w:p>
    <w:p w:rsidR="0079609F" w:rsidRPr="0079609F" w:rsidRDefault="0079609F" w:rsidP="00AC2E1C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9609F" w:rsidRPr="0079609F" w:rsidRDefault="0079609F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79609F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 xml:space="preserve">8. </w:t>
      </w: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Auditoria Interna</w:t>
      </w:r>
    </w:p>
    <w:p w:rsidR="0079609F" w:rsidRPr="0079609F" w:rsidRDefault="0079609F" w:rsidP="00AC2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lastRenderedPageBreak/>
        <w:t>Qual é o papel da Auditoria Interna no monitoramento dos controles internos?</w:t>
      </w:r>
    </w:p>
    <w:p w:rsidR="0079609F" w:rsidRPr="00AC2E1C" w:rsidRDefault="0079609F" w:rsidP="00AC2E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Auditoria Interna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tem como papel principal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monitoramento contínuo dos controles internos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da organização, avaliando sua eficácia e eficiência. Ela identifica áreas de risco, recomenda melhorias nos processos e garante que as políticas e os procedimentos internos estejam sendo seguidos. Seu foco é promover a melhoria dos controles para garantir a conformidade com as leis e regulamentos, além de assegurar a integridade das oper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ações​.</w:t>
      </w:r>
    </w:p>
    <w:p w:rsidR="0079609F" w:rsidRPr="0079609F" w:rsidRDefault="0079609F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79609F" w:rsidRPr="0079609F" w:rsidRDefault="0079609F" w:rsidP="00AC2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Como a Auditoria Interna pode ser terceirizada e qual o impacto disso na governança?</w:t>
      </w:r>
    </w:p>
    <w:p w:rsidR="0079609F" w:rsidRPr="00AC2E1C" w:rsidRDefault="0079609F" w:rsidP="00AC2E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Auditoria Interna</w:t>
      </w:r>
      <w:r w:rsidRPr="0079609F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pode ser terceirizada quando a organização contrata uma empresa externa para realizar as atividades de auditoria interna. A terceirização pode ter um impacto positivo na governança, pois pode trazer uma perspectiva imparcial e especializada, além de aumentar a eficiência. No entanto, é fundamental que a empresa contratada seja confiável e que haja um controle rigoroso sobre os resultados da auditoria para garantir que os interesses da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organização sejam preservados​.</w:t>
      </w:r>
    </w:p>
    <w:p w:rsidR="00AC2E1C" w:rsidRPr="00AC2E1C" w:rsidRDefault="00AC2E1C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9. Instituições Relacionadas com a Governança Corporativa no Brasil</w:t>
      </w:r>
    </w:p>
    <w:p w:rsidR="00AC2E1C" w:rsidRPr="00AC2E1C" w:rsidRDefault="00AC2E1C" w:rsidP="00AC2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O que é o IBGC e qual a sua contribuição para a Governança Corporativa no Brasil?</w:t>
      </w:r>
    </w:p>
    <w:p w:rsidR="00AC2E1C" w:rsidRPr="00AC2E1C" w:rsidRDefault="00AC2E1C" w:rsidP="00AC2E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Instituto Brasileiro de Governança Corporativa (IBGC)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uma organização sem fins lucrativos que atua como referência em governança corporativa no Brasil. Sua missão é promover o desenvolvimento sustentável das organizações por meio da disseminação de boas práticas de governança. O IBGC realiza capacitações, publica materiais como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Código das Melhores Práticas de Governança Corporativa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, e influencia a adoção dessas práticas em diversas empresas e setores​.</w:t>
      </w:r>
    </w:p>
    <w:p w:rsidR="00AC2E1C" w:rsidRPr="00AC2E1C" w:rsidRDefault="00AC2E1C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AC2E1C" w:rsidRPr="00AC2E1C" w:rsidRDefault="00AC2E1C" w:rsidP="00AC2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são algumas das atividades realizadas pelo IBGC para promover a Governança Corporativa?</w:t>
      </w:r>
    </w:p>
    <w:p w:rsidR="00AC2E1C" w:rsidRPr="00AC2E1C" w:rsidRDefault="00AC2E1C" w:rsidP="00AC2E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IBGC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promove a governança corporativa por meio de:</w:t>
      </w:r>
    </w:p>
    <w:p w:rsidR="00AC2E1C" w:rsidRPr="00AC2E1C" w:rsidRDefault="00AC2E1C" w:rsidP="00AC2E1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Programas de capacitação e certificação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profissional.</w:t>
      </w:r>
    </w:p>
    <w:p w:rsidR="00AC2E1C" w:rsidRPr="00AC2E1C" w:rsidRDefault="00AC2E1C" w:rsidP="00AC2E1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Publicações e eventos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focados em melhores práticas de governança.</w:t>
      </w:r>
    </w:p>
    <w:p w:rsidR="00AC2E1C" w:rsidRPr="00AC2E1C" w:rsidRDefault="00AC2E1C" w:rsidP="00AC2E1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Atuação regional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em estados brasileiros, como Ceará, Minas Gerais, Paraná, entre outros.</w:t>
      </w:r>
    </w:p>
    <w:p w:rsidR="00AC2E1C" w:rsidRPr="00AC2E1C" w:rsidRDefault="00AC2E1C" w:rsidP="00AC2E1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Parcerias com redes internacionais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como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Global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Reporting</w:t>
      </w:r>
      <w:proofErr w:type="spell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Initiative</w:t>
      </w:r>
      <w:proofErr w:type="spell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(GRI)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Global Network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of</w:t>
      </w:r>
      <w:proofErr w:type="spell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Director</w:t>
      </w:r>
      <w:proofErr w:type="spell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Institutes</w:t>
      </w:r>
      <w:proofErr w:type="spell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(GNDI)</w:t>
      </w:r>
      <w:proofErr w:type="gramStart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​</w:t>
      </w:r>
      <w:proofErr w:type="gramEnd"/>
    </w:p>
    <w:p w:rsidR="00AC2E1C" w:rsidRPr="00AC2E1C" w:rsidRDefault="00AC2E1C" w:rsidP="00AC2E1C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AC2E1C" w:rsidRPr="00AC2E1C" w:rsidRDefault="00AC2E1C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10. Usuários da Governança Corporativa</w:t>
      </w:r>
    </w:p>
    <w:p w:rsidR="00AC2E1C" w:rsidRPr="00AC2E1C" w:rsidRDefault="00AC2E1C" w:rsidP="00AC2E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tipos de organizações, além das empresas de capital aberto, podem adotar práticas de Governança Corporativa?</w:t>
      </w:r>
    </w:p>
    <w:p w:rsidR="00AC2E1C" w:rsidRPr="00AC2E1C" w:rsidRDefault="00AC2E1C" w:rsidP="00AC2E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Além das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empresas de capital aberto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outras organizações como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cooperativas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organizações do terceiro setor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(ONGs) também podem adotar práticas de governança corporativa. Embora essas organizações não estejam listadas em bolsas de valores, a governança corporativa pode contribuir para uma administração mais transparente e eficiente, melhorando a relação com seus </w:t>
      </w:r>
      <w:proofErr w:type="spellStart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stakeholders</w:t>
      </w:r>
      <w:proofErr w:type="spellEnd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​.</w:t>
      </w:r>
    </w:p>
    <w:p w:rsidR="00AC2E1C" w:rsidRPr="00AC2E1C" w:rsidRDefault="00AC2E1C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AC2E1C" w:rsidRPr="00AC2E1C" w:rsidRDefault="00AC2E1C" w:rsidP="00AC2E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Como a Governança Corporativa pode beneficiar </w:t>
      </w:r>
      <w:proofErr w:type="gram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cooperativas</w:t>
      </w:r>
      <w:proofErr w:type="gram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e organizações do terceiro setor?</w:t>
      </w:r>
    </w:p>
    <w:p w:rsidR="00AC2E1C" w:rsidRPr="00AC2E1C" w:rsidRDefault="00AC2E1C" w:rsidP="00AC2E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Para as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cooperativas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a governança corporativa pode melhorar a administração interna e reduzir conflitos entre cooperados, administradores e outros agentes envolvidos, promovendo a transparência e eficiência. No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terceiro setor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, a adoção de práticas de governança pode aumentar a legitimidade das organizações perante a sociedade, atraindo mais apoio financeiro e aumentando a confiança nos projetos realizados​.</w:t>
      </w:r>
    </w:p>
    <w:p w:rsidR="00AC2E1C" w:rsidRPr="00AC2E1C" w:rsidRDefault="00AC2E1C" w:rsidP="00AC2E1C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AC2E1C" w:rsidRPr="00AC2E1C" w:rsidRDefault="00AC2E1C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lastRenderedPageBreak/>
        <w:t xml:space="preserve">11.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Compliance</w:t>
      </w:r>
      <w:proofErr w:type="spellEnd"/>
    </w:p>
    <w:p w:rsidR="00AC2E1C" w:rsidRPr="00AC2E1C" w:rsidRDefault="00AC2E1C" w:rsidP="00AC2E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O que é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Compliance</w:t>
      </w:r>
      <w:proofErr w:type="spell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e como ele se relaciona com a Governança Corporativa?</w:t>
      </w:r>
    </w:p>
    <w:p w:rsidR="00AC2E1C" w:rsidRPr="00AC2E1C" w:rsidRDefault="00AC2E1C" w:rsidP="00AC2E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Compliance</w:t>
      </w:r>
      <w:proofErr w:type="spellEnd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o conjunto de processos e políticas que asseguram que a empresa esteja em conformidade com as leis, regulamentos e normas internas. Ele está intimamente ligado à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Governança Corporativa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pois garante que a organização opere de maneira ética e responsável, seguindo as regras estabelecidas. </w:t>
      </w:r>
      <w:proofErr w:type="spellStart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Compliance</w:t>
      </w:r>
      <w:proofErr w:type="spellEnd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visto como uma extensão da governança, ajudando a empresa a evitar riscos legais e </w:t>
      </w:r>
      <w:proofErr w:type="spellStart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reputacionais</w:t>
      </w:r>
      <w:proofErr w:type="spellEnd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.</w:t>
      </w:r>
    </w:p>
    <w:p w:rsidR="00AC2E1C" w:rsidRPr="00AC2E1C" w:rsidRDefault="00AC2E1C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AC2E1C" w:rsidRPr="00AC2E1C" w:rsidRDefault="00AC2E1C" w:rsidP="00AC2E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Quais são as responsabilidades do profissional de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Compliance</w:t>
      </w:r>
      <w:proofErr w:type="spell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dentro de uma organização?</w:t>
      </w:r>
    </w:p>
    <w:p w:rsidR="00AC2E1C" w:rsidRPr="00AC2E1C" w:rsidRDefault="00AC2E1C" w:rsidP="00AC2E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O profissional de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Compliance</w:t>
      </w:r>
      <w:proofErr w:type="spellEnd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é responsável por:</w:t>
      </w:r>
    </w:p>
    <w:p w:rsidR="00AC2E1C" w:rsidRPr="00AC2E1C" w:rsidRDefault="00AC2E1C" w:rsidP="00AC2E1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Coordenar canais de denúncia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investigar irregularidades.</w:t>
      </w:r>
    </w:p>
    <w:p w:rsidR="00AC2E1C" w:rsidRPr="00AC2E1C" w:rsidRDefault="00AC2E1C" w:rsidP="00AC2E1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Monitorar a aderência às leis e regulamentos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aplicáveis à organização.</w:t>
      </w:r>
    </w:p>
    <w:p w:rsidR="00AC2E1C" w:rsidRPr="00AC2E1C" w:rsidRDefault="00AC2E1C" w:rsidP="00AC2E1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Disseminar a cultura de conformidade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entre todos os colaboradores.</w:t>
      </w:r>
    </w:p>
    <w:p w:rsidR="00AC2E1C" w:rsidRPr="00AC2E1C" w:rsidRDefault="00AC2E1C" w:rsidP="00AC2E1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Elaborar e </w:t>
      </w:r>
      <w:proofErr w:type="gram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implementar</w:t>
      </w:r>
      <w:proofErr w:type="gram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políticas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que garantam o cumprimento de normas éticas e legais.</w:t>
      </w:r>
    </w:p>
    <w:p w:rsidR="00AC2E1C" w:rsidRPr="00AC2E1C" w:rsidRDefault="00AC2E1C" w:rsidP="00AC2E1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Sugerir sanções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em casos de descumprimento das políticas internas.</w:t>
      </w:r>
    </w:p>
    <w:p w:rsidR="00AC2E1C" w:rsidRPr="00AC2E1C" w:rsidRDefault="00AC2E1C" w:rsidP="00AC2E1C">
      <w:pPr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AC2E1C" w:rsidRPr="00AC2E1C" w:rsidRDefault="00AC2E1C" w:rsidP="00AC2E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Como a Auditoria e o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Compliance</w:t>
      </w:r>
      <w:proofErr w:type="spellEnd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 xml:space="preserve"> trabalham juntos para garantir a integridade de uma empresa?</w:t>
      </w:r>
    </w:p>
    <w:p w:rsidR="00AC2E1C" w:rsidRPr="00AC2E1C" w:rsidRDefault="00AC2E1C" w:rsidP="00AC2E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A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Auditoria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 o </w:t>
      </w:r>
      <w:proofErr w:type="spellStart"/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Compliance</w:t>
      </w:r>
      <w:proofErr w:type="spellEnd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colaboram para garantir que a organização siga as normas e regulações, além de manter práticas éticas em todas as suas atividades. Enquanto a auditoria monitora e avalia os controles internos e financeiros, o </w:t>
      </w:r>
      <w:proofErr w:type="spellStart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compliance</w:t>
      </w:r>
      <w:proofErr w:type="spellEnd"/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assegura que a empresa atenda às exigências legais e normativas. Juntos, esses dois departamentos ajudam a manter a integridade e a transparência da organização​.</w:t>
      </w:r>
    </w:p>
    <w:p w:rsidR="00AC2E1C" w:rsidRPr="00AC2E1C" w:rsidRDefault="00AC2E1C" w:rsidP="00AC2E1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Cs w:val="27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Cs w:val="27"/>
          <w:lang w:eastAsia="pt-BR"/>
        </w:rPr>
        <w:t>12. Exemplos de Boas Práticas de Governança Corporativa</w:t>
      </w:r>
    </w:p>
    <w:p w:rsidR="00AC2E1C" w:rsidRPr="00AC2E1C" w:rsidRDefault="00AC2E1C" w:rsidP="00AC2E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empresas são reconhecidas por suas boas práticas de Governança Corporativa?</w:t>
      </w:r>
    </w:p>
    <w:p w:rsidR="00AC2E1C" w:rsidRPr="00AC2E1C" w:rsidRDefault="00AC2E1C" w:rsidP="00AC2E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Empresas que fazem parte do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Novo Mercado da B3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(a bolsa de valores brasileira) ou que são associadas ao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IBGC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são reconhecidas por suas boas práticas de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Governança Corporativa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. Exemplos incluem grandes instituições financeiras como o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Banco Itaú Unibanco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Bradesco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Embraer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CPFL Energia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, e </w:t>
      </w: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Santander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​.</w:t>
      </w:r>
    </w:p>
    <w:p w:rsidR="00AC2E1C" w:rsidRPr="00AC2E1C" w:rsidRDefault="00AC2E1C" w:rsidP="00AC2E1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</w:p>
    <w:p w:rsidR="00AC2E1C" w:rsidRPr="00AC2E1C" w:rsidRDefault="00AC2E1C" w:rsidP="00AC2E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Quais são algumas práticas diferenciadas adotadas por empresas de alto padrão de Governança Corporativa?</w:t>
      </w:r>
    </w:p>
    <w:p w:rsidR="00AC2E1C" w:rsidRPr="00AC2E1C" w:rsidRDefault="00AC2E1C" w:rsidP="00AC2E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Empresas com alto padrão de Governança Corporativa adotam práticas que promovem transparência, equidade, e responsabilidade. Algumas das práticas comuns incluem:</w:t>
      </w:r>
    </w:p>
    <w:p w:rsidR="00AC2E1C" w:rsidRPr="00AC2E1C" w:rsidRDefault="00AC2E1C" w:rsidP="00AC2E1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Separação clara de funções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entre o presidente do conselho de administração e o CEO, garantindo que uma pessoa não concentre poder excessivo.</w:t>
      </w:r>
    </w:p>
    <w:p w:rsidR="00AC2E1C" w:rsidRPr="00AC2E1C" w:rsidRDefault="00AC2E1C" w:rsidP="00AC2E1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Inclusão de acionistas minoritários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no processo de tomada de decisões, permitindo que esses acionistas indiquem membros para o conselho.</w:t>
      </w:r>
    </w:p>
    <w:p w:rsidR="00AC2E1C" w:rsidRPr="00AC2E1C" w:rsidRDefault="00AC2E1C" w:rsidP="00AC2E1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Transparência total nas demonstrações financeiras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>, com auditorias independentes periódicas para garantir a veracidade das informações fornecidas aos investidores.</w:t>
      </w:r>
    </w:p>
    <w:p w:rsidR="00AC2E1C" w:rsidRPr="00AC2E1C" w:rsidRDefault="00AC2E1C" w:rsidP="00AC2E1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Adoção de canais de comunicação efetivos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para que denúncias internas possam ser feitas anonimamente, protegendo a empresa contra práticas ilegais ou antiéticas.</w:t>
      </w:r>
    </w:p>
    <w:p w:rsidR="00AC2E1C" w:rsidRPr="00AC2E1C" w:rsidRDefault="00AC2E1C" w:rsidP="00AC2E1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4"/>
          <w:lang w:eastAsia="pt-BR"/>
        </w:rPr>
      </w:pPr>
      <w:r w:rsidRPr="00AC2E1C">
        <w:rPr>
          <w:rFonts w:asciiTheme="majorHAnsi" w:eastAsia="Times New Roman" w:hAnsiTheme="majorHAnsi" w:cs="Times New Roman"/>
          <w:b/>
          <w:bCs/>
          <w:sz w:val="20"/>
          <w:szCs w:val="24"/>
          <w:lang w:eastAsia="pt-BR"/>
        </w:rPr>
        <w:t>Envolvimento contínuo dos conselheiros</w:t>
      </w:r>
      <w:r w:rsidRPr="00AC2E1C">
        <w:rPr>
          <w:rFonts w:asciiTheme="majorHAnsi" w:eastAsia="Times New Roman" w:hAnsiTheme="majorHAnsi" w:cs="Times New Roman"/>
          <w:sz w:val="20"/>
          <w:szCs w:val="24"/>
          <w:lang w:eastAsia="pt-BR"/>
        </w:rPr>
        <w:t xml:space="preserve"> na fiscalização e monitoramento das atividades operacionais e estratégicas da empresa​.</w:t>
      </w:r>
    </w:p>
    <w:p w:rsidR="009E6F13" w:rsidRPr="00AC2E1C" w:rsidRDefault="009E6F13" w:rsidP="00AC2E1C">
      <w:pPr>
        <w:spacing w:line="240" w:lineRule="auto"/>
        <w:rPr>
          <w:rFonts w:asciiTheme="majorHAnsi" w:hAnsiTheme="majorHAnsi"/>
          <w:sz w:val="18"/>
        </w:rPr>
      </w:pPr>
    </w:p>
    <w:sectPr w:rsidR="009E6F13" w:rsidRPr="00AC2E1C" w:rsidSect="0079609F">
      <w:pgSz w:w="11906" w:h="16838"/>
      <w:pgMar w:top="1417" w:right="566" w:bottom="141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C34" w:rsidRDefault="00194C34" w:rsidP="0079609F">
      <w:pPr>
        <w:spacing w:after="0" w:line="240" w:lineRule="auto"/>
      </w:pPr>
      <w:r>
        <w:separator/>
      </w:r>
    </w:p>
  </w:endnote>
  <w:endnote w:type="continuationSeparator" w:id="0">
    <w:p w:rsidR="00194C34" w:rsidRDefault="00194C34" w:rsidP="0079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C34" w:rsidRDefault="00194C34" w:rsidP="0079609F">
      <w:pPr>
        <w:spacing w:after="0" w:line="240" w:lineRule="auto"/>
      </w:pPr>
      <w:r>
        <w:separator/>
      </w:r>
    </w:p>
  </w:footnote>
  <w:footnote w:type="continuationSeparator" w:id="0">
    <w:p w:rsidR="00194C34" w:rsidRDefault="00194C34" w:rsidP="00796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098C"/>
    <w:multiLevelType w:val="multilevel"/>
    <w:tmpl w:val="F80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56B05"/>
    <w:multiLevelType w:val="multilevel"/>
    <w:tmpl w:val="ED7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66D78"/>
    <w:multiLevelType w:val="multilevel"/>
    <w:tmpl w:val="B54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15956"/>
    <w:multiLevelType w:val="multilevel"/>
    <w:tmpl w:val="EC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D786E"/>
    <w:multiLevelType w:val="multilevel"/>
    <w:tmpl w:val="ADA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B060C"/>
    <w:multiLevelType w:val="multilevel"/>
    <w:tmpl w:val="7B1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E2C9E"/>
    <w:multiLevelType w:val="multilevel"/>
    <w:tmpl w:val="E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72EBA"/>
    <w:multiLevelType w:val="multilevel"/>
    <w:tmpl w:val="B376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783337"/>
    <w:multiLevelType w:val="multilevel"/>
    <w:tmpl w:val="E5E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C218A2"/>
    <w:multiLevelType w:val="multilevel"/>
    <w:tmpl w:val="6CD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0566F8"/>
    <w:multiLevelType w:val="multilevel"/>
    <w:tmpl w:val="09BC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2C3ACF"/>
    <w:multiLevelType w:val="multilevel"/>
    <w:tmpl w:val="915A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8C"/>
    <w:rsid w:val="00194C34"/>
    <w:rsid w:val="0032188C"/>
    <w:rsid w:val="0079609F"/>
    <w:rsid w:val="009E6F13"/>
    <w:rsid w:val="00AC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96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960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960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9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609F"/>
  </w:style>
  <w:style w:type="paragraph" w:styleId="Rodap">
    <w:name w:val="footer"/>
    <w:basedOn w:val="Normal"/>
    <w:link w:val="RodapChar"/>
    <w:uiPriority w:val="99"/>
    <w:unhideWhenUsed/>
    <w:rsid w:val="0079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6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96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960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960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9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609F"/>
  </w:style>
  <w:style w:type="paragraph" w:styleId="Rodap">
    <w:name w:val="footer"/>
    <w:basedOn w:val="Normal"/>
    <w:link w:val="RodapChar"/>
    <w:uiPriority w:val="99"/>
    <w:unhideWhenUsed/>
    <w:rsid w:val="0079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2783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Canellas</dc:creator>
  <cp:keywords/>
  <dc:description/>
  <cp:lastModifiedBy>Canellas</cp:lastModifiedBy>
  <cp:revision>2</cp:revision>
  <dcterms:created xsi:type="dcterms:W3CDTF">2024-09-09T17:18:00Z</dcterms:created>
  <dcterms:modified xsi:type="dcterms:W3CDTF">2024-09-09T17:34:00Z</dcterms:modified>
</cp:coreProperties>
</file>