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PEDRO IGOR CAMPOS COSTA</w:t>
      </w:r>
    </w:p>
    <w:p>
      <w:r>
        <w:br/>
        <w:br/>
        <w:br/>
        <w:br/>
      </w:r>
    </w:p>
    <w:p>
      <w:pPr>
        <w:jc w:val="center"/>
      </w:pPr>
      <w:r>
        <w:rPr>
          <w:rFonts w:ascii="Arial" w:hAnsi="Arial"/>
          <w:b/>
          <w:color w:val="65A30D"/>
          <w:sz w:val="48"/>
        </w:rPr>
        <w:t>PROJETO LASTRO</w:t>
      </w:r>
    </w:p>
    <w:p>
      <w:pPr>
        <w:jc w:val="center"/>
      </w:pPr>
      <w:r>
        <w:rPr>
          <w:b/>
        </w:rPr>
        <w:t>Prova de conceito para entrega orientada por especificações,</w:t>
        <w:br/>
        <w:t>evidências de qualidade e desenvolvimento agêntico</w:t>
      </w:r>
    </w:p>
    <w:p>
      <w:r>
        <w:br/>
        <w:br/>
        <w:br/>
        <w:br/>
        <w:br/>
        <w:br/>
      </w:r>
    </w:p>
    <w:p>
      <w:pPr>
        <w:jc w:val="center"/>
      </w:pPr>
      <w:r>
        <w:t>Salvador</w:t>
        <w:br/>
        <w:t>2026</w:t>
      </w:r>
    </w:p>
    <w:p>
      <w:r>
        <w:br w:type="page"/>
      </w:r>
    </w:p>
    <w:p>
      <w:pPr>
        <w:jc w:val="center"/>
      </w:pPr>
      <w:r>
        <w:rPr>
          <w:b/>
        </w:rPr>
        <w:t>PEDRO IGOR CAMPOS COSTA</w:t>
      </w:r>
    </w:p>
    <w:p>
      <w:r>
        <w:br/>
        <w:br/>
      </w:r>
    </w:p>
    <w:p>
      <w:pPr>
        <w:jc w:val="center"/>
      </w:pPr>
      <w:r>
        <w:rPr>
          <w:b/>
          <w:sz w:val="40"/>
        </w:rPr>
        <w:t>PROJETO LASTRO</w:t>
      </w:r>
    </w:p>
    <w:p>
      <w:r>
        <w:br/>
        <w:br/>
      </w:r>
    </w:p>
    <w:p>
      <w:pPr>
        <w:spacing w:line="240" w:lineRule="auto" w:before="800"/>
        <w:ind w:left="3969"/>
        <w:jc w:val="left"/>
      </w:pPr>
      <w:r>
        <w:t>Prova de conceito apresentada como documentação técnica de portfólio, com o objetivo de demonstrar decisões arquiteturais, práticas de qualidade e integração entre Java, Spring Boot, Angular, SDD e ferramentas para desenvolvimento agêntico.</w:t>
      </w:r>
    </w:p>
    <w:p>
      <w:r>
        <w:br/>
        <w:br/>
        <w:br/>
      </w:r>
    </w:p>
    <w:p>
      <w:pPr>
        <w:jc w:val="center"/>
      </w:pPr>
      <w:r>
        <w:t>Salvador</w:t>
        <w:br/>
        <w:t>2026</w:t>
      </w:r>
    </w:p>
    <w:p>
      <w:r>
        <w:br w:type="page"/>
      </w:r>
    </w:p>
    <w:p>
      <w:pPr>
        <w:pStyle w:val="Heading1"/>
        <w:keepNext/>
      </w:pPr>
      <w:r>
        <w:t>RESUMO</w:t>
      </w:r>
    </w:p>
    <w:p>
      <w:pPr>
        <w:spacing w:line="360" w:lineRule="auto" w:after="120"/>
        <w:ind w:firstLine="709"/>
        <w:jc w:val="both"/>
      </w:pPr>
      <w:r>
        <w:t>Esta prova de conceito apresenta o Projeto Lastro, uma aplicação para registrar mudanças de software como especificações revisáveis e vincular critérios de aceite, evidências de qualidade e decisões de release. O sistema combina Java 21, Spring Boot 4, PostgreSQL e Angular 21. A arquitetura mantém as regras de negócio fora dos frameworks, oferece uma API REST para o fluxo operacional e publica consultas MCP somente leitura para agentes. A validação incluiu testes automatizados, regra arquitetural, análise estática, cobertura de 97,22% na lógica de negócio, build de produção e execução dos três serviços em containers. O resultado não pretende substituir Jira, GitLab ou Jenkins. Seu papel é preservar o vínculo entre a intenção da mudança e a evidência que sustenta a decisão de publicar.</w:t>
      </w:r>
    </w:p>
    <w:p>
      <w:r>
        <w:rPr>
          <w:b/>
        </w:rPr>
        <w:t xml:space="preserve">Palavras-chave: </w:t>
      </w:r>
      <w:r>
        <w:t>Java. Spring Boot. Angular. Spec-Driven Development. MCP. Qualidade de software.</w:t>
      </w:r>
    </w:p>
    <w:p>
      <w:pPr>
        <w:pStyle w:val="Heading1"/>
        <w:keepNext/>
      </w:pPr>
      <w:r>
        <w:t>ABSTRACT</w:t>
      </w:r>
    </w:p>
    <w:p>
      <w:pPr>
        <w:spacing w:line="360" w:lineRule="auto" w:after="120"/>
        <w:ind w:firstLine="709"/>
        <w:jc w:val="both"/>
      </w:pPr>
      <w:r>
        <w:t>This proof of concept presents the Projeto Lastro platform, an application that records software changes as reviewable specifications and connects acceptance criteria, quality evidence and release decisions. The solution combines Java 21, Spring Boot 4, PostgreSQL and Angular 21. Business rules remain independent from frameworks, while REST supports the operational workflow and read-only MCP tools provide safe context to development agents. Verification covered automated tests, an architecture rule, static analysis, 97.22% business-logic coverage, a production build and container execution. Lastro complements delivery tools by preserving the link between a change intention and the evidence used to authorize its release.</w:t>
      </w:r>
    </w:p>
    <w:p>
      <w:r>
        <w:rPr>
          <w:b/>
        </w:rPr>
        <w:t xml:space="preserve">Keywords: </w:t>
      </w:r>
      <w:r>
        <w:t>Java. Spring Boot. Angular. Spec-Driven Development. MCP. Software quality.</w:t>
      </w:r>
    </w:p>
    <w:p>
      <w:r>
        <w:br w:type="page"/>
      </w:r>
    </w:p>
    <w:p>
      <w:pPr>
        <w:pStyle w:val="Heading1"/>
        <w:keepNext/>
      </w:pPr>
      <w:r>
        <w:t>SUMÁRIO</w:t>
      </w:r>
    </w:p>
    <w:p>
      <w:pPr>
        <w:tabs>
          <w:tab w:pos="8787" w:val="right" w:leader="dot"/>
        </w:tabs>
        <w:spacing w:after="140"/>
      </w:pPr>
      <w:r>
        <w:t>1 INTRODUÇÃO</w:t>
        <w:tab/>
        <w:t>5</w:t>
      </w:r>
    </w:p>
    <w:p>
      <w:pPr>
        <w:tabs>
          <w:tab w:pos="8787" w:val="right" w:leader="dot"/>
        </w:tabs>
        <w:spacing w:after="140"/>
      </w:pPr>
      <w:r>
        <w:t>2 PROBLEMA E OBJETIVOS</w:t>
        <w:tab/>
        <w:t>5</w:t>
      </w:r>
    </w:p>
    <w:p>
      <w:pPr>
        <w:tabs>
          <w:tab w:pos="8787" w:val="right" w:leader="dot"/>
        </w:tabs>
        <w:spacing w:after="140"/>
      </w:pPr>
      <w:r>
        <w:t>3 FUNDAMENTAÇÃO TÉCNICA</w:t>
        <w:tab/>
        <w:t>6</w:t>
      </w:r>
    </w:p>
    <w:p>
      <w:pPr>
        <w:tabs>
          <w:tab w:pos="8787" w:val="right" w:leader="dot"/>
        </w:tabs>
        <w:spacing w:after="140"/>
      </w:pPr>
      <w:r>
        <w:t>4 ARQUITETURA DA SOLUÇÃO</w:t>
        <w:tab/>
        <w:t>6</w:t>
      </w:r>
    </w:p>
    <w:p>
      <w:pPr>
        <w:tabs>
          <w:tab w:pos="8787" w:val="right" w:leader="dot"/>
        </w:tabs>
        <w:spacing w:after="140"/>
      </w:pPr>
      <w:r>
        <w:t>5 IMPLEMENTAÇÃO</w:t>
        <w:tab/>
        <w:t>7</w:t>
      </w:r>
    </w:p>
    <w:p>
      <w:pPr>
        <w:tabs>
          <w:tab w:pos="8787" w:val="right" w:leader="dot"/>
        </w:tabs>
        <w:spacing w:after="140"/>
      </w:pPr>
      <w:r>
        <w:t>6 SEGURANÇA E CONFIABILIDADE</w:t>
        <w:tab/>
        <w:t>10</w:t>
      </w:r>
    </w:p>
    <w:p>
      <w:pPr>
        <w:tabs>
          <w:tab w:pos="8787" w:val="right" w:leader="dot"/>
        </w:tabs>
        <w:spacing w:after="140"/>
      </w:pPr>
      <w:r>
        <w:t>7 ESTRATÉGIA DE TESTES E QUALIDADE</w:t>
        <w:tab/>
        <w:t>10</w:t>
      </w:r>
    </w:p>
    <w:p>
      <w:pPr>
        <w:tabs>
          <w:tab w:pos="8787" w:val="right" w:leader="dot"/>
        </w:tabs>
        <w:spacing w:after="140"/>
      </w:pPr>
      <w:r>
        <w:t>8 DESENVOLVIMENTO AGÊNTICO</w:t>
        <w:tab/>
        <w:t>10</w:t>
      </w:r>
    </w:p>
    <w:p>
      <w:pPr>
        <w:tabs>
          <w:tab w:pos="8787" w:val="right" w:leader="dot"/>
        </w:tabs>
        <w:spacing w:after="140"/>
      </w:pPr>
      <w:r>
        <w:t>9 EXECUÇÃO DA PROVA DE CONCEITO</w:t>
        <w:tab/>
        <w:t>11</w:t>
      </w:r>
    </w:p>
    <w:p>
      <w:pPr>
        <w:tabs>
          <w:tab w:pos="8787" w:val="right" w:leader="dot"/>
        </w:tabs>
        <w:spacing w:after="140"/>
      </w:pPr>
      <w:r>
        <w:t>10 DECISÕES, LIMITES E EVOLUÇÃO</w:t>
        <w:tab/>
        <w:t>11</w:t>
      </w:r>
    </w:p>
    <w:p>
      <w:pPr>
        <w:tabs>
          <w:tab w:pos="8787" w:val="right" w:leader="dot"/>
        </w:tabs>
        <w:spacing w:after="140"/>
      </w:pPr>
      <w:r>
        <w:t>11 CONCLUSÃO</w:t>
        <w:tab/>
        <w:t>12</w:t>
      </w:r>
    </w:p>
    <w:p>
      <w:pPr>
        <w:tabs>
          <w:tab w:pos="8787" w:val="right" w:leader="dot"/>
        </w:tabs>
        <w:spacing w:after="140"/>
      </w:pPr>
      <w:r>
        <w:t>REFERÊNCIAS</w:t>
        <w:tab/>
        <w:t>12</w:t>
      </w:r>
    </w:p>
    <w:p>
      <w:pPr>
        <w:sectPr>
          <w:headerReference w:type="default" r:id="rId14"/>
          <w:footerReference w:type="default" r:id="rId15"/>
          <w:pgSz w:w="11906" w:h="16838"/>
          <w:pgMar w:top="1701" w:right="1134" w:bottom="1134" w:left="1701" w:header="720" w:footer="720" w:gutter="0"/>
          <w:cols w:space="720"/>
          <w:docGrid w:linePitch="360"/>
        </w:sectPr>
      </w:pPr>
    </w:p>
    <w:p>
      <w:pPr>
        <w:pStyle w:val="Heading1"/>
        <w:keepNext/>
      </w:pPr>
      <w:r>
        <w:t>1 INTRODUÇÃO</w:t>
      </w:r>
    </w:p>
    <w:p>
      <w:pPr>
        <w:spacing w:line="360" w:lineRule="auto" w:after="120"/>
        <w:ind w:firstLine="709"/>
        <w:jc w:val="both"/>
      </w:pPr>
      <w:r>
        <w:t>Uma entrega pode passar pelo pipeline e ainda assim chegar ao ambiente sem uma explicação clara sobre o comportamento validado. Esse problema aparece quando requisito, decisão técnica, teste e aprovação vivem em ferramentas diferentes. O Projeto Lastro foi construído para experimentar outro ponto de partida: a especificação é o contrato de engenharia, e a prontidão de release é uma conclusão derivada de evidências, não uma caixa marcada manualmente.</w:t>
      </w:r>
    </w:p>
    <w:p>
      <w:pPr>
        <w:spacing w:line="360" w:lineRule="auto" w:after="120"/>
        <w:ind w:firstLine="709"/>
        <w:jc w:val="both"/>
      </w:pPr>
      <w:r>
        <w:t>A aplicação foi planejada a partir de uma especificação versionada antes do código. As decisões que afetam estrutura, inteligência artificial e exposição para agentes foram registradas em Architecture Decision Records (ADRs). Essa sequência permite examinar não apenas o resultado, mas também os critérios e os trade-offs adotados.</w:t>
      </w:r>
    </w:p>
    <w:p>
      <w:pPr>
        <w:pStyle w:val="Heading1"/>
        <w:keepNext/>
      </w:pPr>
      <w:r>
        <w:t>2 PROBLEMA E OBJETIVOS</w:t>
      </w:r>
    </w:p>
    <w:p>
      <w:pPr>
        <w:pStyle w:val="Heading2"/>
        <w:keepNext/>
      </w:pPr>
      <w:r>
        <w:t>2.1 Problema</w:t>
      </w:r>
    </w:p>
    <w:p>
      <w:pPr>
        <w:spacing w:line="360" w:lineRule="auto" w:after="120"/>
        <w:ind w:firstLine="709"/>
        <w:jc w:val="both"/>
      </w:pPr>
      <w:r>
        <w:t>Times de produto usam Jira para coordenação, repositórios para código, SonarQube para análise e pipelines para implantação. Essas ferramentas são úteis, mas não garantem sozinhas que cada critério da mudança tenha uma evidência identificável. A fragmentação aumenta o custo da revisão e permite que um release pareça pronto mesmo quando restam comportamentos sem validação.</w:t>
      </w:r>
    </w:p>
    <w:p>
      <w:pPr>
        <w:pStyle w:val="Heading2"/>
        <w:keepNext/>
      </w:pPr>
      <w:r>
        <w:t>2.2 Objetivo geral</w:t>
      </w:r>
    </w:p>
    <w:p>
      <w:pPr>
        <w:spacing w:line="360" w:lineRule="auto" w:after="120"/>
        <w:ind w:firstLine="709"/>
        <w:jc w:val="both"/>
      </w:pPr>
      <w:r>
        <w:t>Construir e validar uma aplicação full stack que preserve a rastreabilidade entre problema, solução proposta, critérios de aceite, revisão técnica, implementação e release.</w:t>
      </w:r>
    </w:p>
    <w:p>
      <w:pPr>
        <w:pStyle w:val="Heading2"/>
        <w:keepNext/>
      </w:pPr>
      <w:r>
        <w:t>2.3 Objetivos específicos</w:t>
      </w:r>
    </w:p>
    <w:p>
      <w:pPr>
        <w:pStyle w:val="ListBullet"/>
        <w:spacing w:after="80"/>
        <w:ind w:left="709"/>
      </w:pPr>
      <w:r>
        <w:t>modelar transições explícitas e impedir estados inválidos no domínio;</w:t>
      </w:r>
    </w:p>
    <w:p>
      <w:pPr>
        <w:pStyle w:val="ListBullet"/>
        <w:spacing w:after="80"/>
        <w:ind w:left="709"/>
      </w:pPr>
      <w:r>
        <w:t>apresentar bloqueadores concretos quando a entrega não está pronta;</w:t>
      </w:r>
    </w:p>
    <w:p>
      <w:pPr>
        <w:pStyle w:val="ListBullet"/>
        <w:spacing w:after="80"/>
        <w:ind w:left="709"/>
      </w:pPr>
      <w:r>
        <w:t>expor uma interface Angular utilizável sem duplicar regras de negócio;</w:t>
      </w:r>
    </w:p>
    <w:p>
      <w:pPr>
        <w:pStyle w:val="ListBullet"/>
        <w:spacing w:after="80"/>
        <w:ind w:left="709"/>
      </w:pPr>
      <w:r>
        <w:t>oferecer contexto seguro para agentes por meio de consultas MCP somente leitura;</w:t>
      </w:r>
    </w:p>
    <w:p>
      <w:pPr>
        <w:pStyle w:val="ListBullet"/>
        <w:spacing w:after="80"/>
        <w:ind w:left="709"/>
      </w:pPr>
      <w:r>
        <w:t>produzir evidências automatizadas de testes, cobertura, análise estática e composição;</w:t>
      </w:r>
    </w:p>
    <w:p>
      <w:pPr>
        <w:pStyle w:val="ListBullet"/>
        <w:spacing w:after="80"/>
        <w:ind w:left="709"/>
      </w:pPr>
      <w:r>
        <w:t>documentar riscos, decisões arquiteturais, operação e possibilidades de evolução.</w:t>
      </w:r>
    </w:p>
    <w:p>
      <w:pPr>
        <w:pStyle w:val="Heading1"/>
        <w:keepNext/>
      </w:pPr>
      <w:r>
        <w:t>3 FUNDAMENTAÇÃO TÉCNICA</w:t>
      </w:r>
    </w:p>
    <w:p>
      <w:pPr>
        <w:pStyle w:val="Heading2"/>
        <w:keepNext/>
      </w:pPr>
      <w:r>
        <w:t>3.1 Spec-Driven Development</w:t>
      </w:r>
    </w:p>
    <w:p>
      <w:pPr>
        <w:spacing w:line="360" w:lineRule="auto" w:after="120"/>
        <w:ind w:firstLine="709"/>
        <w:jc w:val="both"/>
      </w:pPr>
      <w:r>
        <w:t>No desenvolvimento orientado por especificações, o comportamento esperado é escrito antes da implementação e permanece versionado com ela. No Lastro, cada critério recebe identidade e pode ser verificado de forma independente. O planner produz tarefas que citam esses identificadores, o que reduz a distância entre planejamento e teste.</w:t>
      </w:r>
    </w:p>
    <w:p>
      <w:pPr>
        <w:pStyle w:val="Heading2"/>
        <w:keepNext/>
      </w:pPr>
      <w:r>
        <w:t>3.2 Arquitetura hexagonal</w:t>
      </w:r>
    </w:p>
    <w:p>
      <w:pPr>
        <w:spacing w:line="360" w:lineRule="auto" w:after="120"/>
        <w:ind w:firstLine="709"/>
        <w:jc w:val="both"/>
      </w:pPr>
      <w:r>
        <w:t>O domínio não importa Spring, JPA ou classes de transporte. Serviços de aplicação coordenam casos de uso, enquanto repositório e planner são portas. Essa separação torna as regras executáveis em testes rápidos e permite trocar adaptadores sem reescrever o fluxo de negócio.</w:t>
      </w:r>
    </w:p>
    <w:p>
      <w:pPr>
        <w:pStyle w:val="Heading2"/>
        <w:keepNext/>
      </w:pPr>
      <w:r>
        <w:t>3.3 MCP e agentes</w:t>
      </w:r>
    </w:p>
    <w:p>
      <w:pPr>
        <w:spacing w:line="360" w:lineRule="auto" w:after="120"/>
        <w:ind w:firstLine="709"/>
        <w:jc w:val="both"/>
      </w:pPr>
      <w:r>
        <w:t>Model Context Protocol oferece uma fronteira padronizada para ferramentas consumidas por agentes. A POC publica listagem, detalhe e prontidão. Nenhuma ferramenta altera o sistema. Essa restrição reduz o impacto de um prompt incorreto e mantém decisões de fluxo nas APIs controladas.</w:t>
      </w:r>
    </w:p>
    <w:p>
      <w:pPr>
        <w:pStyle w:val="Heading1"/>
        <w:keepNext/>
      </w:pPr>
      <w:r>
        <w:t>4 ARQUITETURA DA SOLUÇÃO</w:t>
      </w:r>
    </w:p>
    <w:p>
      <w:pPr>
        <w:keepNext/>
        <w:jc w:val="center"/>
      </w:pPr>
      <w:r>
        <w:drawing>
          <wp:inline xmlns:a="http://schemas.openxmlformats.org/drawingml/2006/main" xmlns:pic="http://schemas.openxmlformats.org/drawingml/2006/picture">
            <wp:extent cx="5577840" cy="1719722"/>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577840" cy="1719722"/>
                    </a:xfrm>
                    <a:prstGeom prst="rect"/>
                  </pic:spPr>
                </pic:pic>
              </a:graphicData>
            </a:graphic>
          </wp:inline>
        </w:drawing>
      </w:r>
    </w:p>
    <w:p>
      <w:pPr>
        <w:spacing w:after="60"/>
        <w:jc w:val="center"/>
      </w:pPr>
      <w:r>
        <w:rPr>
          <w:i/>
          <w:sz w:val="20"/>
        </w:rPr>
        <w:t>Figura 1 — Contexto do Projeto Lastro</w:t>
      </w:r>
    </w:p>
    <w:p>
      <w:pPr>
        <w:spacing w:after="200"/>
        <w:jc w:val="center"/>
      </w:pPr>
      <w:r>
        <w:rPr>
          <w:sz w:val="18"/>
        </w:rPr>
        <w:t>Fonte: elaboração própria (2026).</w:t>
      </w:r>
    </w:p>
    <w:p>
      <w:pPr>
        <w:spacing w:line="360" w:lineRule="auto" w:after="120"/>
        <w:ind w:firstLine="709"/>
        <w:jc w:val="both"/>
      </w:pPr>
      <w:r>
        <w:t>A pessoa desenvolvedora e o revisor usam o painel Angular. A interface chama a API com uma chave de desenvolvimento; a API persiste o agregado em PostgreSQL. Pipelines registram referências de evidência, enquanto agentes consultam o mesmo estado por MCP. O Actuator publica saúde e métricas.</w:t>
      </w:r>
    </w:p>
    <w:p>
      <w:pPr>
        <w:keepNext/>
        <w:jc w:val="center"/>
      </w:pPr>
      <w:r>
        <w:drawing>
          <wp:inline xmlns:a="http://schemas.openxmlformats.org/drawingml/2006/main" xmlns:pic="http://schemas.openxmlformats.org/drawingml/2006/picture">
            <wp:extent cx="5669280" cy="4017341"/>
            <wp:docPr id="2" name="Picture 2"/>
            <wp:cNvGraphicFramePr>
              <a:graphicFrameLocks noChangeAspect="1"/>
            </wp:cNvGraphicFramePr>
            <a:graphic>
              <a:graphicData uri="http://schemas.openxmlformats.org/drawingml/2006/picture">
                <pic:pic>
                  <pic:nvPicPr>
                    <pic:cNvPr id="0" name="component-architecture.png"/>
                    <pic:cNvPicPr/>
                  </pic:nvPicPr>
                  <pic:blipFill>
                    <a:blip r:embed="rId10"/>
                    <a:stretch>
                      <a:fillRect/>
                    </a:stretch>
                  </pic:blipFill>
                  <pic:spPr>
                    <a:xfrm>
                      <a:off x="0" y="0"/>
                      <a:ext cx="5669280" cy="4017341"/>
                    </a:xfrm>
                    <a:prstGeom prst="rect"/>
                  </pic:spPr>
                </pic:pic>
              </a:graphicData>
            </a:graphic>
          </wp:inline>
        </w:drawing>
      </w:r>
    </w:p>
    <w:p>
      <w:pPr>
        <w:spacing w:after="60"/>
        <w:jc w:val="center"/>
      </w:pPr>
      <w:r>
        <w:rPr>
          <w:i/>
          <w:sz w:val="20"/>
        </w:rPr>
        <w:t>Figura 2 — Componentes e dependências</w:t>
      </w:r>
    </w:p>
    <w:p>
      <w:pPr>
        <w:spacing w:after="200"/>
        <w:jc w:val="center"/>
      </w:pPr>
      <w:r>
        <w:rPr>
          <w:sz w:val="18"/>
        </w:rPr>
        <w:t>Fonte: elaboração própria (2026).</w:t>
      </w:r>
    </w:p>
    <w:p>
      <w:pPr>
        <w:spacing w:line="360" w:lineRule="auto" w:after="120"/>
        <w:ind w:firstLine="709"/>
        <w:jc w:val="both"/>
      </w:pPr>
      <w:r>
        <w:t>As setas confirmam a direção das dependências: adaptadores conhecem portas, mas o domínio não conhece infraestrutura. Um teste com ArchUnit impede regressões nessa fronteira.</w:t>
      </w:r>
    </w:p>
    <w:p>
      <w:pPr>
        <w:pStyle w:val="Heading1"/>
        <w:keepNext/>
      </w:pPr>
      <w:r>
        <w:t>5 IMPLEMENTAÇÃO</w:t>
      </w:r>
    </w:p>
    <w:p>
      <w:pPr>
        <w:pStyle w:val="Heading2"/>
        <w:keepNext/>
      </w:pPr>
      <w:r>
        <w:t>5.1 Modelo de domínio</w:t>
      </w:r>
    </w:p>
    <w:p>
      <w:pPr>
        <w:spacing w:line="360" w:lineRule="auto" w:after="120"/>
        <w:ind w:firstLine="709"/>
        <w:jc w:val="both"/>
      </w:pPr>
      <w:r>
        <w:t>ChangeSpec é o agregado responsável pelas transições e pela avaliação de prontidão. Uma spec nasce em DRAFT, passa por revisão, aprovação e implementação. Retorno para rascunho exige motivo; aprovação exige comentário; gate aprovado exige referência; release exige todos os critérios verificados e os cinco gates aprovados.</w:t>
      </w:r>
    </w:p>
    <w:p>
      <w:pPr>
        <w:keepNext/>
        <w:jc w:val="center"/>
      </w:pPr>
      <w:r>
        <w:drawing>
          <wp:inline xmlns:a="http://schemas.openxmlformats.org/drawingml/2006/main" xmlns:pic="http://schemas.openxmlformats.org/drawingml/2006/picture">
            <wp:extent cx="3017520" cy="6981301"/>
            <wp:docPr id="3" name="Picture 3"/>
            <wp:cNvGraphicFramePr>
              <a:graphicFrameLocks noChangeAspect="1"/>
            </wp:cNvGraphicFramePr>
            <a:graphic>
              <a:graphicData uri="http://schemas.openxmlformats.org/drawingml/2006/picture">
                <pic:pic>
                  <pic:nvPicPr>
                    <pic:cNvPr id="0" name="spec-lifecycle.png"/>
                    <pic:cNvPicPr/>
                  </pic:nvPicPr>
                  <pic:blipFill>
                    <a:blip r:embed="rId11"/>
                    <a:stretch>
                      <a:fillRect/>
                    </a:stretch>
                  </pic:blipFill>
                  <pic:spPr>
                    <a:xfrm>
                      <a:off x="0" y="0"/>
                      <a:ext cx="3017520" cy="6981301"/>
                    </a:xfrm>
                    <a:prstGeom prst="rect"/>
                  </pic:spPr>
                </pic:pic>
              </a:graphicData>
            </a:graphic>
          </wp:inline>
        </w:drawing>
      </w:r>
    </w:p>
    <w:p>
      <w:pPr>
        <w:spacing w:after="60"/>
        <w:jc w:val="center"/>
      </w:pPr>
      <w:r>
        <w:rPr>
          <w:i/>
          <w:sz w:val="20"/>
        </w:rPr>
        <w:t>Figura 3 — Ciclo de vida da especificação</w:t>
      </w:r>
    </w:p>
    <w:p>
      <w:pPr>
        <w:spacing w:after="200"/>
        <w:jc w:val="center"/>
      </w:pPr>
      <w:r>
        <w:rPr>
          <w:sz w:val="18"/>
        </w:rPr>
        <w:t>Fonte: elaboração própria (2026).</w:t>
      </w:r>
    </w:p>
    <w:p>
      <w:pPr>
        <w:pStyle w:val="Heading2"/>
        <w:keepNext/>
      </w:pPr>
      <w:r>
        <w:t>5.2 Backend</w:t>
      </w:r>
    </w:p>
    <w:p>
      <w:pPr>
        <w:spacing w:line="360" w:lineRule="auto" w:after="120"/>
        <w:ind w:firstLine="709"/>
        <w:jc w:val="both"/>
      </w:pPr>
      <w:r>
        <w:t>O backend usa Java 21 e Spring Boot 4. A API aplica Bean Validation e responde falhas de negócio com Problem Details. Flyway cria o esquema, JPA implementa a persistência e o campo de versão oferece lock otimista. A configuração desativa Open Session in View para manter o carregamento de dados dentro de transações explícitas.</w:t>
      </w:r>
    </w:p>
    <w:p>
      <w:pPr>
        <w:pStyle w:val="Heading2"/>
        <w:keepNext/>
      </w:pPr>
      <w:r>
        <w:t>5.3 Frontend</w:t>
      </w:r>
    </w:p>
    <w:p>
      <w:pPr>
        <w:spacing w:line="360" w:lineRule="auto" w:after="120"/>
        <w:ind w:firstLine="709"/>
        <w:jc w:val="both"/>
      </w:pPr>
      <w:r>
        <w:t>O painel Angular 21 usa componentes standalone, signals para estado derivado, Reactive Forms e HttpClient tipado. O navegador mostra as ações permitidas pelo status, mas o backend valida cada transição novamente. Essa escolha trata a interface como cliente não confiável.</w:t>
      </w:r>
    </w:p>
    <w:p>
      <w:pPr>
        <w:keepNext/>
        <w:jc w:val="center"/>
      </w:pPr>
      <w:r>
        <w:drawing>
          <wp:inline xmlns:a="http://schemas.openxmlformats.org/drawingml/2006/main" xmlns:pic="http://schemas.openxmlformats.org/drawingml/2006/picture">
            <wp:extent cx="5623560" cy="3165198"/>
            <wp:docPr id="4" name="Picture 4"/>
            <wp:cNvGraphicFramePr>
              <a:graphicFrameLocks noChangeAspect="1"/>
            </wp:cNvGraphicFramePr>
            <a:graphic>
              <a:graphicData uri="http://schemas.openxmlformats.org/drawingml/2006/picture">
                <pic:pic>
                  <pic:nvPicPr>
                    <pic:cNvPr id="0" name="projeto-lastro-dashboard-doc.png"/>
                    <pic:cNvPicPr/>
                  </pic:nvPicPr>
                  <pic:blipFill>
                    <a:blip r:embed="rId12"/>
                    <a:stretch>
                      <a:fillRect/>
                    </a:stretch>
                  </pic:blipFill>
                  <pic:spPr>
                    <a:xfrm>
                      <a:off x="0" y="0"/>
                      <a:ext cx="5623560" cy="3165198"/>
                    </a:xfrm>
                    <a:prstGeom prst="rect"/>
                  </pic:spPr>
                </pic:pic>
              </a:graphicData>
            </a:graphic>
          </wp:inline>
        </w:drawing>
      </w:r>
    </w:p>
    <w:p>
      <w:pPr>
        <w:spacing w:after="60"/>
        <w:jc w:val="center"/>
      </w:pPr>
      <w:r>
        <w:rPr>
          <w:i/>
          <w:sz w:val="20"/>
        </w:rPr>
        <w:t>Figura 4 — Painel Angular executado com dados de demonstração</w:t>
      </w:r>
    </w:p>
    <w:p>
      <w:pPr>
        <w:spacing w:after="200"/>
        <w:jc w:val="center"/>
      </w:pPr>
      <w:r>
        <w:rPr>
          <w:sz w:val="18"/>
        </w:rPr>
        <w:t>Fonte: elaboração própria (2026).</w:t>
      </w:r>
    </w:p>
    <w:p>
      <w:pPr>
        <w:pStyle w:val="Heading1"/>
        <w:keepNext/>
      </w:pPr>
      <w:r>
        <w:t>6 SEGURANÇA E CONFIABILIDADE</w:t>
      </w:r>
    </w:p>
    <w:p>
      <w:pPr>
        <w:spacing w:line="360" w:lineRule="auto" w:after="120"/>
        <w:ind w:firstLine="709"/>
        <w:jc w:val="both"/>
      </w:pPr>
      <w:r>
        <w:t>A POC usa chave de API comparada em tempo constante, requisições sem sessão e CORS restrito ao cliente local. O container Java executa com usuário sem privilégios. O threat model reconhece que uma chave compartilhada não basta para produção e propõe OIDC, papéis e gestão de segredos.</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268"/>
            <w:shd w:fill="172016"/>
            <w:vAlign w:val="center"/>
          </w:tcPr>
          <w:p>
            <w:r/>
            <w:r>
              <w:rPr>
                <w:rFonts w:ascii="Arial" w:hAnsi="Arial"/>
                <w:b/>
                <w:color w:val="FFFFFF"/>
                <w:sz w:val="18"/>
              </w:rPr>
              <w:t>Risco</w:t>
            </w:r>
          </w:p>
        </w:tc>
        <w:tc>
          <w:tcPr>
            <w:tcW w:type="dxa" w:w="2948"/>
            <w:shd w:fill="172016"/>
            <w:vAlign w:val="center"/>
          </w:tcPr>
          <w:p>
            <w:r/>
            <w:r>
              <w:rPr>
                <w:rFonts w:ascii="Arial" w:hAnsi="Arial"/>
                <w:b/>
                <w:color w:val="FFFFFF"/>
                <w:sz w:val="18"/>
              </w:rPr>
              <w:t>Controle atual</w:t>
            </w:r>
          </w:p>
        </w:tc>
        <w:tc>
          <w:tcPr>
            <w:tcW w:type="dxa" w:w="2948"/>
            <w:shd w:fill="172016"/>
            <w:vAlign w:val="center"/>
          </w:tcPr>
          <w:p>
            <w:r/>
            <w:r>
              <w:rPr>
                <w:rFonts w:ascii="Arial" w:hAnsi="Arial"/>
                <w:b/>
                <w:color w:val="FFFFFF"/>
                <w:sz w:val="18"/>
              </w:rPr>
              <w:t>Evolução</w:t>
            </w:r>
          </w:p>
        </w:tc>
      </w:tr>
      <w:tr>
        <w:tc>
          <w:tcPr>
            <w:tcW w:type="dxa" w:w="2268"/>
            <w:vAlign w:val="center"/>
          </w:tcPr>
          <w:p>
            <w:r/>
            <w:r>
              <w:rPr>
                <w:rFonts w:ascii="Arial" w:hAnsi="Arial"/>
                <w:b w:val="0"/>
                <w:color w:val="172016"/>
                <w:sz w:val="18"/>
              </w:rPr>
              <w:t>Atualização concorrente</w:t>
            </w:r>
          </w:p>
        </w:tc>
        <w:tc>
          <w:tcPr>
            <w:tcW w:type="dxa" w:w="2948"/>
            <w:vAlign w:val="center"/>
          </w:tcPr>
          <w:p>
            <w:r/>
            <w:r>
              <w:rPr>
                <w:rFonts w:ascii="Arial" w:hAnsi="Arial"/>
                <w:b w:val="0"/>
                <w:color w:val="172016"/>
                <w:sz w:val="18"/>
              </w:rPr>
              <w:t>Lock otimista</w:t>
            </w:r>
          </w:p>
        </w:tc>
        <w:tc>
          <w:tcPr>
            <w:tcW w:type="dxa" w:w="2948"/>
            <w:vAlign w:val="center"/>
          </w:tcPr>
          <w:p>
            <w:r/>
            <w:r>
              <w:rPr>
                <w:rFonts w:ascii="Arial" w:hAnsi="Arial"/>
                <w:b w:val="0"/>
                <w:color w:val="172016"/>
                <w:sz w:val="18"/>
              </w:rPr>
              <w:t>Resposta de conflito com versão atual</w:t>
            </w:r>
          </w:p>
        </w:tc>
      </w:tr>
      <w:tr>
        <w:tc>
          <w:tcPr>
            <w:tcW w:type="dxa" w:w="2268"/>
            <w:vAlign w:val="center"/>
          </w:tcPr>
          <w:p>
            <w:r/>
            <w:r>
              <w:rPr>
                <w:rFonts w:ascii="Arial" w:hAnsi="Arial"/>
                <w:b w:val="0"/>
                <w:color w:val="172016"/>
                <w:sz w:val="18"/>
              </w:rPr>
              <w:t>Evidência forjada</w:t>
            </w:r>
          </w:p>
        </w:tc>
        <w:tc>
          <w:tcPr>
            <w:tcW w:type="dxa" w:w="2948"/>
            <w:vAlign w:val="center"/>
          </w:tcPr>
          <w:p>
            <w:r/>
            <w:r>
              <w:rPr>
                <w:rFonts w:ascii="Arial" w:hAnsi="Arial"/>
                <w:b w:val="0"/>
                <w:color w:val="172016"/>
                <w:sz w:val="18"/>
              </w:rPr>
              <w:t>Referência obrigatória e auditoria</w:t>
            </w:r>
          </w:p>
        </w:tc>
        <w:tc>
          <w:tcPr>
            <w:tcW w:type="dxa" w:w="2948"/>
            <w:vAlign w:val="center"/>
          </w:tcPr>
          <w:p>
            <w:r/>
            <w:r>
              <w:rPr>
                <w:rFonts w:ascii="Arial" w:hAnsi="Arial"/>
                <w:b w:val="0"/>
                <w:color w:val="172016"/>
                <w:sz w:val="18"/>
              </w:rPr>
              <w:t>Assinatura do provedor de CI</w:t>
            </w:r>
          </w:p>
        </w:tc>
      </w:tr>
      <w:tr>
        <w:tc>
          <w:tcPr>
            <w:tcW w:type="dxa" w:w="2268"/>
            <w:vAlign w:val="center"/>
          </w:tcPr>
          <w:p>
            <w:r/>
            <w:r>
              <w:rPr>
                <w:rFonts w:ascii="Arial" w:hAnsi="Arial"/>
                <w:b w:val="0"/>
                <w:color w:val="172016"/>
                <w:sz w:val="18"/>
              </w:rPr>
              <w:t>Agente com excesso de poder</w:t>
            </w:r>
          </w:p>
        </w:tc>
        <w:tc>
          <w:tcPr>
            <w:tcW w:type="dxa" w:w="2948"/>
            <w:vAlign w:val="center"/>
          </w:tcPr>
          <w:p>
            <w:r/>
            <w:r>
              <w:rPr>
                <w:rFonts w:ascii="Arial" w:hAnsi="Arial"/>
                <w:b w:val="0"/>
                <w:color w:val="172016"/>
                <w:sz w:val="18"/>
              </w:rPr>
              <w:t>MCP somente leitura</w:t>
            </w:r>
          </w:p>
        </w:tc>
        <w:tc>
          <w:tcPr>
            <w:tcW w:type="dxa" w:w="2948"/>
            <w:vAlign w:val="center"/>
          </w:tcPr>
          <w:p>
            <w:r/>
            <w:r>
              <w:rPr>
                <w:rFonts w:ascii="Arial" w:hAnsi="Arial"/>
                <w:b w:val="0"/>
                <w:color w:val="172016"/>
                <w:sz w:val="18"/>
              </w:rPr>
              <w:t>Revisão formal de novas tools</w:t>
            </w:r>
          </w:p>
        </w:tc>
      </w:tr>
      <w:tr>
        <w:tc>
          <w:tcPr>
            <w:tcW w:type="dxa" w:w="2268"/>
            <w:vAlign w:val="center"/>
          </w:tcPr>
          <w:p>
            <w:r/>
            <w:r>
              <w:rPr>
                <w:rFonts w:ascii="Arial" w:hAnsi="Arial"/>
                <w:b w:val="0"/>
                <w:color w:val="172016"/>
                <w:sz w:val="18"/>
              </w:rPr>
              <w:t>Dependência comprometida</w:t>
            </w:r>
          </w:p>
        </w:tc>
        <w:tc>
          <w:tcPr>
            <w:tcW w:type="dxa" w:w="2948"/>
            <w:vAlign w:val="center"/>
          </w:tcPr>
          <w:p>
            <w:r/>
            <w:r>
              <w:rPr>
                <w:rFonts w:ascii="Arial" w:hAnsi="Arial"/>
                <w:b w:val="0"/>
                <w:color w:val="172016"/>
                <w:sz w:val="18"/>
              </w:rPr>
              <w:t>Lockfile, SBOM e Dependabot</w:t>
            </w:r>
          </w:p>
        </w:tc>
        <w:tc>
          <w:tcPr>
            <w:tcW w:type="dxa" w:w="2948"/>
            <w:vAlign w:val="center"/>
          </w:tcPr>
          <w:p>
            <w:r/>
            <w:r>
              <w:rPr>
                <w:rFonts w:ascii="Arial" w:hAnsi="Arial"/>
                <w:b w:val="0"/>
                <w:color w:val="172016"/>
                <w:sz w:val="18"/>
              </w:rPr>
              <w:t>Assinatura de imagens</w:t>
            </w:r>
          </w:p>
        </w:tc>
      </w:tr>
    </w:tbl>
    <w:p/>
    <w:p>
      <w:pPr>
        <w:pStyle w:val="Heading1"/>
        <w:keepNext/>
      </w:pPr>
      <w:r>
        <w:t>7 ESTRATÉGIA DE TESTES E QUALIDADE</w:t>
      </w:r>
    </w:p>
    <w:p>
      <w:pPr>
        <w:spacing w:line="360" w:lineRule="auto" w:after="120"/>
        <w:ind w:firstLine="709"/>
        <w:jc w:val="both"/>
      </w:pPr>
      <w:r>
        <w:t>O comando Maven verify executa testes de domínio, serviços, contexto Spring e arquitetura, além de Checkstyle, SpotBugs, JaCoCo e geração de SBOM. Foram executados 17 testes sem falhas. A área de domínio e serviços atingiu 97,22% de cobertura de linhas, acima do gate de 85%. DTOs, configuração e adaptadores não entram nesse indicador; o recorte está explícito no build.</w:t>
      </w:r>
    </w:p>
    <w:tbl>
      <w:tblPr>
        <w:tblStyle w:val="TableGrid"/>
        <w:tblW w:type="auto" w:w="0"/>
        <w:jc w:val="center"/>
        <w:tblLook w:firstColumn="1" w:firstRow="1" w:lastColumn="0" w:lastRow="0" w:noHBand="0" w:noVBand="1" w:val="04A0"/>
      </w:tblPr>
      <w:tblGrid>
        <w:gridCol w:w="4535"/>
        <w:gridCol w:w="4535"/>
      </w:tblGrid>
      <w:tr>
        <w:trPr>
          <w:tblHeader w:val="true"/>
        </w:trPr>
        <w:tc>
          <w:tcPr>
            <w:tcW w:type="dxa" w:w="3005"/>
            <w:shd w:fill="172016"/>
            <w:vAlign w:val="center"/>
          </w:tcPr>
          <w:p>
            <w:r/>
            <w:r>
              <w:rPr>
                <w:rFonts w:ascii="Arial" w:hAnsi="Arial"/>
                <w:b/>
                <w:color w:val="FFFFFF"/>
                <w:sz w:val="18"/>
              </w:rPr>
              <w:t>Evidência</w:t>
            </w:r>
          </w:p>
        </w:tc>
        <w:tc>
          <w:tcPr>
            <w:tcW w:type="dxa" w:w="5216"/>
            <w:shd w:fill="172016"/>
            <w:vAlign w:val="center"/>
          </w:tcPr>
          <w:p>
            <w:r/>
            <w:r>
              <w:rPr>
                <w:rFonts w:ascii="Arial" w:hAnsi="Arial"/>
                <w:b/>
                <w:color w:val="FFFFFF"/>
                <w:sz w:val="18"/>
              </w:rPr>
              <w:t>Resultado observado</w:t>
            </w:r>
          </w:p>
        </w:tc>
      </w:tr>
      <w:tr>
        <w:tc>
          <w:tcPr>
            <w:tcW w:type="dxa" w:w="3005"/>
            <w:vAlign w:val="center"/>
          </w:tcPr>
          <w:p>
            <w:r/>
            <w:r>
              <w:rPr>
                <w:rFonts w:ascii="Arial" w:hAnsi="Arial"/>
                <w:b w:val="0"/>
                <w:color w:val="172016"/>
                <w:sz w:val="18"/>
              </w:rPr>
              <w:t>Testes backend</w:t>
            </w:r>
          </w:p>
        </w:tc>
        <w:tc>
          <w:tcPr>
            <w:tcW w:type="dxa" w:w="5216"/>
            <w:vAlign w:val="center"/>
          </w:tcPr>
          <w:p>
            <w:r/>
            <w:r>
              <w:rPr>
                <w:rFonts w:ascii="Arial" w:hAnsi="Arial"/>
                <w:b w:val="0"/>
                <w:color w:val="172016"/>
                <w:sz w:val="18"/>
              </w:rPr>
              <w:t>17 aprovados; nenhuma falha ou salto</w:t>
            </w:r>
          </w:p>
        </w:tc>
      </w:tr>
      <w:tr>
        <w:tc>
          <w:tcPr>
            <w:tcW w:type="dxa" w:w="3005"/>
            <w:vAlign w:val="center"/>
          </w:tcPr>
          <w:p>
            <w:r/>
            <w:r>
              <w:rPr>
                <w:rFonts w:ascii="Arial" w:hAnsi="Arial"/>
                <w:b w:val="0"/>
                <w:color w:val="172016"/>
                <w:sz w:val="18"/>
              </w:rPr>
              <w:t>Cobertura de negócio</w:t>
            </w:r>
          </w:p>
        </w:tc>
        <w:tc>
          <w:tcPr>
            <w:tcW w:type="dxa" w:w="5216"/>
            <w:vAlign w:val="center"/>
          </w:tcPr>
          <w:p>
            <w:r/>
            <w:r>
              <w:rPr>
                <w:rFonts w:ascii="Arial" w:hAnsi="Arial"/>
                <w:b w:val="0"/>
                <w:color w:val="172016"/>
                <w:sz w:val="18"/>
              </w:rPr>
              <w:t>97,22%; gate mínimo de 85%</w:t>
            </w:r>
          </w:p>
        </w:tc>
      </w:tr>
      <w:tr>
        <w:tc>
          <w:tcPr>
            <w:tcW w:type="dxa" w:w="3005"/>
            <w:vAlign w:val="center"/>
          </w:tcPr>
          <w:p>
            <w:r/>
            <w:r>
              <w:rPr>
                <w:rFonts w:ascii="Arial" w:hAnsi="Arial"/>
                <w:b w:val="0"/>
                <w:color w:val="172016"/>
                <w:sz w:val="18"/>
              </w:rPr>
              <w:t>Checkstyle</w:t>
            </w:r>
          </w:p>
        </w:tc>
        <w:tc>
          <w:tcPr>
            <w:tcW w:type="dxa" w:w="5216"/>
            <w:vAlign w:val="center"/>
          </w:tcPr>
          <w:p>
            <w:r/>
            <w:r>
              <w:rPr>
                <w:rFonts w:ascii="Arial" w:hAnsi="Arial"/>
                <w:b w:val="0"/>
                <w:color w:val="172016"/>
                <w:sz w:val="18"/>
              </w:rPr>
              <w:t>0 violações</w:t>
            </w:r>
          </w:p>
        </w:tc>
      </w:tr>
      <w:tr>
        <w:tc>
          <w:tcPr>
            <w:tcW w:type="dxa" w:w="3005"/>
            <w:vAlign w:val="center"/>
          </w:tcPr>
          <w:p>
            <w:r/>
            <w:r>
              <w:rPr>
                <w:rFonts w:ascii="Arial" w:hAnsi="Arial"/>
                <w:b w:val="0"/>
                <w:color w:val="172016"/>
                <w:sz w:val="18"/>
              </w:rPr>
              <w:t>SpotBugs</w:t>
            </w:r>
          </w:p>
        </w:tc>
        <w:tc>
          <w:tcPr>
            <w:tcW w:type="dxa" w:w="5216"/>
            <w:vAlign w:val="center"/>
          </w:tcPr>
          <w:p>
            <w:r/>
            <w:r>
              <w:rPr>
                <w:rFonts w:ascii="Arial" w:hAnsi="Arial"/>
                <w:b w:val="0"/>
                <w:color w:val="172016"/>
                <w:sz w:val="18"/>
              </w:rPr>
              <w:t>0 achados</w:t>
            </w:r>
          </w:p>
        </w:tc>
      </w:tr>
      <w:tr>
        <w:tc>
          <w:tcPr>
            <w:tcW w:type="dxa" w:w="3005"/>
            <w:vAlign w:val="center"/>
          </w:tcPr>
          <w:p>
            <w:r/>
            <w:r>
              <w:rPr>
                <w:rFonts w:ascii="Arial" w:hAnsi="Arial"/>
                <w:b w:val="0"/>
                <w:color w:val="172016"/>
                <w:sz w:val="18"/>
              </w:rPr>
              <w:t>Testes Angular</w:t>
            </w:r>
          </w:p>
        </w:tc>
        <w:tc>
          <w:tcPr>
            <w:tcW w:type="dxa" w:w="5216"/>
            <w:vAlign w:val="center"/>
          </w:tcPr>
          <w:p>
            <w:r/>
            <w:r>
              <w:rPr>
                <w:rFonts w:ascii="Arial" w:hAnsi="Arial"/>
                <w:b w:val="0"/>
                <w:color w:val="172016"/>
                <w:sz w:val="18"/>
              </w:rPr>
              <w:t>2 aprovados</w:t>
            </w:r>
          </w:p>
        </w:tc>
      </w:tr>
      <w:tr>
        <w:tc>
          <w:tcPr>
            <w:tcW w:type="dxa" w:w="3005"/>
            <w:vAlign w:val="center"/>
          </w:tcPr>
          <w:p>
            <w:r/>
            <w:r>
              <w:rPr>
                <w:rFonts w:ascii="Arial" w:hAnsi="Arial"/>
                <w:b w:val="0"/>
                <w:color w:val="172016"/>
                <w:sz w:val="18"/>
              </w:rPr>
              <w:t>Bundle Angular</w:t>
            </w:r>
          </w:p>
        </w:tc>
        <w:tc>
          <w:tcPr>
            <w:tcW w:type="dxa" w:w="5216"/>
            <w:vAlign w:val="center"/>
          </w:tcPr>
          <w:p>
            <w:r/>
            <w:r>
              <w:rPr>
                <w:rFonts w:ascii="Arial" w:hAnsi="Arial"/>
                <w:b w:val="0"/>
                <w:color w:val="172016"/>
                <w:sz w:val="18"/>
              </w:rPr>
              <w:t>251,68 KB bruto; 65,39 KB estimados na transferência</w:t>
            </w:r>
          </w:p>
        </w:tc>
      </w:tr>
      <w:tr>
        <w:tc>
          <w:tcPr>
            <w:tcW w:type="dxa" w:w="3005"/>
            <w:vAlign w:val="center"/>
          </w:tcPr>
          <w:p>
            <w:r/>
            <w:r>
              <w:rPr>
                <w:rFonts w:ascii="Arial" w:hAnsi="Arial"/>
                <w:b w:val="0"/>
                <w:color w:val="172016"/>
                <w:sz w:val="18"/>
              </w:rPr>
              <w:t>Containers</w:t>
            </w:r>
          </w:p>
        </w:tc>
        <w:tc>
          <w:tcPr>
            <w:tcW w:type="dxa" w:w="5216"/>
            <w:vAlign w:val="center"/>
          </w:tcPr>
          <w:p>
            <w:r/>
            <w:r>
              <w:rPr>
                <w:rFonts w:ascii="Arial" w:hAnsi="Arial"/>
                <w:b w:val="0"/>
                <w:color w:val="172016"/>
                <w:sz w:val="18"/>
              </w:rPr>
              <w:t>PostgreSQL, backend e frontend saudáveis</w:t>
            </w:r>
          </w:p>
        </w:tc>
      </w:tr>
    </w:tbl>
    <w:p/>
    <w:p>
      <w:pPr>
        <w:pStyle w:val="Heading1"/>
        <w:keepNext/>
      </w:pPr>
      <w:r>
        <w:t>8 DESENVOLVIMENTO AGÊNTICO</w:t>
      </w:r>
    </w:p>
    <w:p>
      <w:pPr>
        <w:spacing w:line="360" w:lineRule="auto" w:after="120"/>
        <w:ind w:firstLine="709"/>
        <w:jc w:val="both"/>
      </w:pPr>
      <w:r>
        <w:t>O repositório contém CLAUDE.md e uma skill de revisão. O acordo de trabalho exige leitura da especificação, vínculo com critérios, consulta aos ADRs e execução de evidências antes de concluir uma tarefa. Assim, a produtividade do agente é limitada por controles verificáveis, em vez de depender apenas de uma instrução extensa.</w:t>
      </w:r>
    </w:p>
    <w:p>
      <w:pPr>
        <w:spacing w:line="360" w:lineRule="auto" w:after="120"/>
        <w:ind w:firstLine="709"/>
        <w:jc w:val="both"/>
      </w:pPr>
      <w:r>
        <w:t>O planner local é deliberadamente determinístico. Ele cria tarefas para backend, frontend, testes e documentação e referencia todos os critérios. Um modelo generativo pode ser adicionado atrás da mesma porta, desde que tenha avaliação, fallback e controle de custo.</w:t>
      </w:r>
    </w:p>
    <w:p>
      <w:pPr>
        <w:pStyle w:val="Heading1"/>
        <w:keepNext/>
      </w:pPr>
      <w:r>
        <w:t>9 EXECUÇÃO DA PROVA DE CONCEITO</w:t>
      </w:r>
    </w:p>
    <w:p>
      <w:pPr>
        <w:spacing w:line="360" w:lineRule="auto" w:after="120"/>
        <w:ind w:firstLine="709"/>
        <w:jc w:val="both"/>
      </w:pPr>
      <w:r>
        <w:t>A validação seguiu quatro etapas: verificação isolada do backend; build e teste do Angular; build das imagens; inicialização do Compose com health checks. Depois, três specs de demonstração foram criadas pela própria API. A spec principal avançou até IMPLEMENTING e permaneceu bloqueada por três critérios de aceite e cinco gates ainda sem evidência.</w:t>
      </w:r>
    </w:p>
    <w:p>
      <w:pPr>
        <w:keepNext/>
        <w:jc w:val="center"/>
      </w:pPr>
      <w:r>
        <w:drawing>
          <wp:inline xmlns:a="http://schemas.openxmlformats.org/drawingml/2006/main" xmlns:pic="http://schemas.openxmlformats.org/drawingml/2006/picture">
            <wp:extent cx="5669280" cy="2425459"/>
            <wp:docPr id="5" name="Picture 5"/>
            <wp:cNvGraphicFramePr>
              <a:graphicFrameLocks noChangeAspect="1"/>
            </wp:cNvGraphicFramePr>
            <a:graphic>
              <a:graphicData uri="http://schemas.openxmlformats.org/drawingml/2006/picture">
                <pic:pic>
                  <pic:nvPicPr>
                    <pic:cNvPr id="0" name="release-sequence.png"/>
                    <pic:cNvPicPr/>
                  </pic:nvPicPr>
                  <pic:blipFill>
                    <a:blip r:embed="rId13"/>
                    <a:stretch>
                      <a:fillRect/>
                    </a:stretch>
                  </pic:blipFill>
                  <pic:spPr>
                    <a:xfrm>
                      <a:off x="0" y="0"/>
                      <a:ext cx="5669280" cy="2425459"/>
                    </a:xfrm>
                    <a:prstGeom prst="rect"/>
                  </pic:spPr>
                </pic:pic>
              </a:graphicData>
            </a:graphic>
          </wp:inline>
        </w:drawing>
      </w:r>
    </w:p>
    <w:p>
      <w:pPr>
        <w:spacing w:after="60"/>
        <w:jc w:val="center"/>
      </w:pPr>
      <w:r>
        <w:rPr>
          <w:i/>
          <w:sz w:val="20"/>
        </w:rPr>
        <w:t>Figura 5 — Avaliação e confirmação de release</w:t>
      </w:r>
    </w:p>
    <w:p>
      <w:pPr>
        <w:spacing w:after="200"/>
        <w:jc w:val="center"/>
      </w:pPr>
      <w:r>
        <w:rPr>
          <w:sz w:val="18"/>
        </w:rPr>
        <w:t>Fonte: elaboração própria (2026).</w:t>
      </w:r>
    </w:p>
    <w:p>
      <w:pPr>
        <w:spacing w:line="360" w:lineRule="auto" w:after="120"/>
        <w:ind w:firstLine="709"/>
        <w:jc w:val="both"/>
      </w:pPr>
      <w:r>
        <w:t>O cenário confirma uma decisão importante: o botão de release pode aparecer durante a implementação, mas a tentativa é recusada enquanto evaluateReadiness encontrar bloqueadores. A regra permanece atômica no servidor.</w:t>
      </w:r>
    </w:p>
    <w:p>
      <w:pPr>
        <w:pStyle w:val="Heading1"/>
        <w:keepNext/>
      </w:pPr>
      <w:r>
        <w:t>10 DECISÕES, LIMITES E EVOLUÇÃO</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2324"/>
            <w:shd w:fill="172016"/>
            <w:vAlign w:val="center"/>
          </w:tcPr>
          <w:p>
            <w:r/>
            <w:r>
              <w:rPr>
                <w:rFonts w:ascii="Arial" w:hAnsi="Arial"/>
                <w:b/>
                <w:color w:val="FFFFFF"/>
                <w:sz w:val="18"/>
              </w:rPr>
              <w:t>Decisão</w:t>
            </w:r>
          </w:p>
        </w:tc>
        <w:tc>
          <w:tcPr>
            <w:tcW w:type="dxa" w:w="2948"/>
            <w:shd w:fill="172016"/>
            <w:vAlign w:val="center"/>
          </w:tcPr>
          <w:p>
            <w:r/>
            <w:r>
              <w:rPr>
                <w:rFonts w:ascii="Arial" w:hAnsi="Arial"/>
                <w:b/>
                <w:color w:val="FFFFFF"/>
                <w:sz w:val="18"/>
              </w:rPr>
              <w:t>Benefício</w:t>
            </w:r>
          </w:p>
        </w:tc>
        <w:tc>
          <w:tcPr>
            <w:tcW w:type="dxa" w:w="2948"/>
            <w:shd w:fill="172016"/>
            <w:vAlign w:val="center"/>
          </w:tcPr>
          <w:p>
            <w:r/>
            <w:r>
              <w:rPr>
                <w:rFonts w:ascii="Arial" w:hAnsi="Arial"/>
                <w:b/>
                <w:color w:val="FFFFFF"/>
                <w:sz w:val="18"/>
              </w:rPr>
              <w:t>Custo assumido</w:t>
            </w:r>
          </w:p>
        </w:tc>
      </w:tr>
      <w:tr>
        <w:tc>
          <w:tcPr>
            <w:tcW w:type="dxa" w:w="2324"/>
            <w:vAlign w:val="center"/>
          </w:tcPr>
          <w:p>
            <w:r/>
            <w:r>
              <w:rPr>
                <w:rFonts w:ascii="Arial" w:hAnsi="Arial"/>
                <w:b w:val="0"/>
                <w:color w:val="172016"/>
                <w:sz w:val="18"/>
              </w:rPr>
              <w:t>Monorepo</w:t>
            </w:r>
          </w:p>
        </w:tc>
        <w:tc>
          <w:tcPr>
            <w:tcW w:type="dxa" w:w="2948"/>
            <w:vAlign w:val="center"/>
          </w:tcPr>
          <w:p>
            <w:r/>
            <w:r>
              <w:rPr>
                <w:rFonts w:ascii="Arial" w:hAnsi="Arial"/>
                <w:b w:val="0"/>
                <w:color w:val="172016"/>
                <w:sz w:val="18"/>
              </w:rPr>
              <w:t>Uma mudança preserva código, spec e evidência</w:t>
            </w:r>
          </w:p>
        </w:tc>
        <w:tc>
          <w:tcPr>
            <w:tcW w:type="dxa" w:w="2948"/>
            <w:vAlign w:val="center"/>
          </w:tcPr>
          <w:p>
            <w:r/>
            <w:r>
              <w:rPr>
                <w:rFonts w:ascii="Arial" w:hAnsi="Arial"/>
                <w:b w:val="0"/>
                <w:color w:val="172016"/>
                <w:sz w:val="18"/>
              </w:rPr>
              <w:t>Pipelines precisam separar caches</w:t>
            </w:r>
          </w:p>
        </w:tc>
      </w:tr>
      <w:tr>
        <w:tc>
          <w:tcPr>
            <w:tcW w:type="dxa" w:w="2324"/>
            <w:vAlign w:val="center"/>
          </w:tcPr>
          <w:p>
            <w:r/>
            <w:r>
              <w:rPr>
                <w:rFonts w:ascii="Arial" w:hAnsi="Arial"/>
                <w:b w:val="0"/>
                <w:color w:val="172016"/>
                <w:sz w:val="18"/>
              </w:rPr>
              <w:t>Domínio sem framework</w:t>
            </w:r>
          </w:p>
        </w:tc>
        <w:tc>
          <w:tcPr>
            <w:tcW w:type="dxa" w:w="2948"/>
            <w:vAlign w:val="center"/>
          </w:tcPr>
          <w:p>
            <w:r/>
            <w:r>
              <w:rPr>
                <w:rFonts w:ascii="Arial" w:hAnsi="Arial"/>
                <w:b w:val="0"/>
                <w:color w:val="172016"/>
                <w:sz w:val="18"/>
              </w:rPr>
              <w:t>Testes rápidos e regras explícitas</w:t>
            </w:r>
          </w:p>
        </w:tc>
        <w:tc>
          <w:tcPr>
            <w:tcW w:type="dxa" w:w="2948"/>
            <w:vAlign w:val="center"/>
          </w:tcPr>
          <w:p>
            <w:r/>
            <w:r>
              <w:rPr>
                <w:rFonts w:ascii="Arial" w:hAnsi="Arial"/>
                <w:b w:val="0"/>
                <w:color w:val="172016"/>
                <w:sz w:val="18"/>
              </w:rPr>
              <w:t>Mapeamento JPA adicional</w:t>
            </w:r>
          </w:p>
        </w:tc>
      </w:tr>
      <w:tr>
        <w:tc>
          <w:tcPr>
            <w:tcW w:type="dxa" w:w="2324"/>
            <w:vAlign w:val="center"/>
          </w:tcPr>
          <w:p>
            <w:r/>
            <w:r>
              <w:rPr>
                <w:rFonts w:ascii="Arial" w:hAnsi="Arial"/>
                <w:b w:val="0"/>
                <w:color w:val="172016"/>
                <w:sz w:val="18"/>
              </w:rPr>
              <w:t>Planner local</w:t>
            </w:r>
          </w:p>
        </w:tc>
        <w:tc>
          <w:tcPr>
            <w:tcW w:type="dxa" w:w="2948"/>
            <w:vAlign w:val="center"/>
          </w:tcPr>
          <w:p>
            <w:r/>
            <w:r>
              <w:rPr>
                <w:rFonts w:ascii="Arial" w:hAnsi="Arial"/>
                <w:b w:val="0"/>
                <w:color w:val="172016"/>
                <w:sz w:val="18"/>
              </w:rPr>
              <w:t>Determinismo, privacidade e custo zero</w:t>
            </w:r>
          </w:p>
        </w:tc>
        <w:tc>
          <w:tcPr>
            <w:tcW w:type="dxa" w:w="2948"/>
            <w:vAlign w:val="center"/>
          </w:tcPr>
          <w:p>
            <w:r/>
            <w:r>
              <w:rPr>
                <w:rFonts w:ascii="Arial" w:hAnsi="Arial"/>
                <w:b w:val="0"/>
                <w:color w:val="172016"/>
                <w:sz w:val="18"/>
              </w:rPr>
              <w:t>Menor adaptação semântica</w:t>
            </w:r>
          </w:p>
        </w:tc>
      </w:tr>
      <w:tr>
        <w:tc>
          <w:tcPr>
            <w:tcW w:type="dxa" w:w="2324"/>
            <w:vAlign w:val="center"/>
          </w:tcPr>
          <w:p>
            <w:r/>
            <w:r>
              <w:rPr>
                <w:rFonts w:ascii="Arial" w:hAnsi="Arial"/>
                <w:b w:val="0"/>
                <w:color w:val="172016"/>
                <w:sz w:val="18"/>
              </w:rPr>
              <w:t>MCP somente leitura</w:t>
            </w:r>
          </w:p>
        </w:tc>
        <w:tc>
          <w:tcPr>
            <w:tcW w:type="dxa" w:w="2948"/>
            <w:vAlign w:val="center"/>
          </w:tcPr>
          <w:p>
            <w:r/>
            <w:r>
              <w:rPr>
                <w:rFonts w:ascii="Arial" w:hAnsi="Arial"/>
                <w:b w:val="0"/>
                <w:color w:val="172016"/>
                <w:sz w:val="18"/>
              </w:rPr>
              <w:t>Menor superfície de risco</w:t>
            </w:r>
          </w:p>
        </w:tc>
        <w:tc>
          <w:tcPr>
            <w:tcW w:type="dxa" w:w="2948"/>
            <w:vAlign w:val="center"/>
          </w:tcPr>
          <w:p>
            <w:r/>
            <w:r>
              <w:rPr>
                <w:rFonts w:ascii="Arial" w:hAnsi="Arial"/>
                <w:b w:val="0"/>
                <w:color w:val="172016"/>
                <w:sz w:val="18"/>
              </w:rPr>
              <w:t>Agentes não automatizam transições</w:t>
            </w:r>
          </w:p>
        </w:tc>
      </w:tr>
      <w:tr>
        <w:tc>
          <w:tcPr>
            <w:tcW w:type="dxa" w:w="2324"/>
            <w:vAlign w:val="center"/>
          </w:tcPr>
          <w:p>
            <w:r/>
            <w:r>
              <w:rPr>
                <w:rFonts w:ascii="Arial" w:hAnsi="Arial"/>
                <w:b w:val="0"/>
                <w:color w:val="172016"/>
                <w:sz w:val="18"/>
              </w:rPr>
              <w:t>API key na POC</w:t>
            </w:r>
          </w:p>
        </w:tc>
        <w:tc>
          <w:tcPr>
            <w:tcW w:type="dxa" w:w="2948"/>
            <w:vAlign w:val="center"/>
          </w:tcPr>
          <w:p>
            <w:r/>
            <w:r>
              <w:rPr>
                <w:rFonts w:ascii="Arial" w:hAnsi="Arial"/>
                <w:b w:val="0"/>
                <w:color w:val="172016"/>
                <w:sz w:val="18"/>
              </w:rPr>
              <w:t>Execução local simples</w:t>
            </w:r>
          </w:p>
        </w:tc>
        <w:tc>
          <w:tcPr>
            <w:tcW w:type="dxa" w:w="2948"/>
            <w:vAlign w:val="center"/>
          </w:tcPr>
          <w:p>
            <w:r/>
            <w:r>
              <w:rPr>
                <w:rFonts w:ascii="Arial" w:hAnsi="Arial"/>
                <w:b w:val="0"/>
                <w:color w:val="172016"/>
                <w:sz w:val="18"/>
              </w:rPr>
              <w:t>Inadequada para identidades corporativas</w:t>
            </w:r>
          </w:p>
        </w:tc>
      </w:tr>
    </w:tbl>
    <w:p/>
    <w:p>
      <w:pPr>
        <w:spacing w:line="360" w:lineRule="auto" w:after="120"/>
        <w:ind w:firstLine="709"/>
        <w:jc w:val="both"/>
      </w:pPr>
      <w:r>
        <w:t>As próximas evoluções recomendadas são OIDC, verificação assinada de evidências de CI, paginação, integração real com Jira, testes end-to-end e observabilidade distribuída. A adoção de um modelo de IA deve vir acompanhada de dataset de avaliação e métricas de utilidade do plano.</w:t>
      </w:r>
    </w:p>
    <w:p>
      <w:pPr>
        <w:pStyle w:val="Heading1"/>
        <w:keepNext/>
      </w:pPr>
      <w:r>
        <w:t>11 CONCLUSÃO</w:t>
      </w:r>
    </w:p>
    <w:p>
      <w:pPr>
        <w:spacing w:line="360" w:lineRule="auto" w:after="120"/>
        <w:ind w:firstLine="709"/>
        <w:jc w:val="both"/>
      </w:pPr>
      <w:r>
        <w:t>O Projeto Lastro demonstrou que SDD, qualidade e agentes podem compartilhar a mesma trilha sem transformar IA em autoridade de release. A principal entrega não é um CRUD de especificações, mas um conjunto de invariantes: a mudança precisa ser revisada, cada critério precisa de verificação e cada gate precisa de evidência. Os testes, a análise estática e a execução em containers confirmam a viabilidade técnica da POC. Os limites registrados indicam com honestidade o trabalho necessário para levar o desenho a um ambiente corporativo.</w:t>
      </w:r>
    </w:p>
    <w:p>
      <w:pPr>
        <w:pStyle w:val="Heading1"/>
        <w:keepNext/>
      </w:pPr>
      <w:r>
        <w:t>REFERÊNCIAS</w:t>
      </w:r>
    </w:p>
    <w:p>
      <w:pPr>
        <w:spacing w:after="240" w:line="240" w:lineRule="auto"/>
        <w:jc w:val="left"/>
      </w:pPr>
      <w:r>
        <w:t>ANGULAR. Angular documentation. Disponível em: &lt;https://angular.dev/&gt;. Acesso em: 20 ago. 2026.</w:t>
      </w:r>
    </w:p>
    <w:p>
      <w:pPr>
        <w:spacing w:after="240" w:line="240" w:lineRule="auto"/>
        <w:jc w:val="left"/>
      </w:pPr>
      <w:r>
        <w:t>FOWLER, Martin. Patterns of Enterprise Application Architecture. Boston: Addison-Wesley, 2002.</w:t>
      </w:r>
    </w:p>
    <w:p>
      <w:pPr>
        <w:spacing w:after="240" w:line="240" w:lineRule="auto"/>
        <w:jc w:val="left"/>
      </w:pPr>
      <w:r>
        <w:t>GITHUB. GitHub Actions documentation. Disponível em: &lt;https://docs.github.com/actions&gt;. Acesso em: 20 ago. 2026.</w:t>
      </w:r>
    </w:p>
    <w:p>
      <w:pPr>
        <w:spacing w:after="240" w:line="240" w:lineRule="auto"/>
        <w:jc w:val="left"/>
      </w:pPr>
      <w:r>
        <w:t>MODEL CONTEXT PROTOCOL. Specification. Disponível em: &lt;https://modelcontextprotocol.io/&gt;. Acesso em: 20 ago. 2026.</w:t>
      </w:r>
    </w:p>
    <w:p>
      <w:pPr>
        <w:spacing w:after="240" w:line="240" w:lineRule="auto"/>
        <w:jc w:val="left"/>
      </w:pPr>
      <w:r>
        <w:t>OWASP FOUNDATION. OWASP Application Security Verification Standard. Disponível em: &lt;https://owasp.org/www-project-application-security-verification-standard/&gt;. Acesso em: 20 ago. 2026.</w:t>
      </w:r>
    </w:p>
    <w:p>
      <w:pPr>
        <w:spacing w:after="240" w:line="240" w:lineRule="auto"/>
        <w:jc w:val="left"/>
      </w:pPr>
      <w:r>
        <w:t>SPRING. Spring AI MCP Server Boot Starter. Disponível em: &lt;https://docs.spring.io/spring-ai/reference/api/mcp/mcp-server-boot-starter-docs.html&gt;. Acesso em: 20 ago. 2026.</w:t>
      </w:r>
    </w:p>
    <w:p>
      <w:pPr>
        <w:spacing w:after="240" w:line="240" w:lineRule="auto"/>
        <w:jc w:val="left"/>
      </w:pPr>
      <w:r>
        <w:t>SPRING. Spring Boot reference documentation. Disponível em: &lt;https://docs.spring.io/spring-boot/&gt;. Acesso em: 20 ago. 2026.</w:t>
      </w:r>
    </w:p>
    <w:p>
      <w:pPr>
        <w:spacing w:after="240" w:line="240" w:lineRule="auto"/>
        <w:jc w:val="left"/>
      </w:pPr>
      <w:r>
        <w:t>VERNON, Vaughn. Implementing Domain-Driven Design. Boston: Addison-Wesley, 2013.</w:t>
      </w:r>
    </w:p>
    <w:sectPr w:rsidR="00FC693F" w:rsidRPr="0006063C" w:rsidSect="00034616">
      <w:headerReference w:type="default" r:id="rId16"/>
      <w:footerReference w:type="default" r:id="rId17"/>
      <w:pgSz w:w="11906" w:h="16838"/>
      <w:pgMar w:top="1701" w:right="1134" w:bottom="1134" w:left="1701" w:header="720" w:footer="720" w:gutter="0"/>
      <w:cols w:space="720"/>
      <w:docGrid w:linePitch="360"/>
      <w:pgNumType w:start="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E665F"/>
        <w:sz w:val="16"/>
      </w:rPr>
      <w:t>PROJETO LASTRO  ·  POC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7201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65A30D"/>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2016"/>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7201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before="100" w:after="160"/>
      <w:ind w:left="397" w:right="397"/>
    </w:pPr>
    <w:rPr>
      <w:rFonts w:ascii="Consolas" w:hAnsi="Consolas"/>
      <w:color w:val="17201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Lastro — Prova de conceito</dc:title>
  <dc:subject>Java, Spring Boot, Angular, SDD, MCP e engenharia de software</dc:subject>
  <dc:creator>Pedro Igor Campos Costa</dc:creator>
  <cp:keywords>Java, Spring Boot, Angular, SDD, MCP, agentes, testes</cp:keywords>
  <dc:description>generated by python-docx</dc:description>
  <cp:lastModifiedBy/>
  <cp:revision>1</cp:revision>
  <dcterms:created xsi:type="dcterms:W3CDTF">2013-12-23T23:15:00Z</dcterms:created>
  <dcterms:modified xsi:type="dcterms:W3CDTF">2013-12-23T23:15:00Z</dcterms:modified>
  <cp:category/>
</cp:coreProperties>
</file>