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f8bf9c871cf7c5e4788f344541037055b6653a"/>
      <w:r>
        <w:t xml:space="preserve">Acordo de Tratamento de Dados (DPA) — Flow Hub</w:t>
      </w:r>
      <w:bookmarkEnd w:id="20"/>
    </w:p>
    <w:p>
      <w:pPr>
        <w:pStyle w:val="FirstParagraph"/>
      </w:pPr>
      <w:r>
        <w:t xml:space="preserve">Este Acordo de Tratamento de Dados (</w:t>
      </w:r>
      <w:r>
        <w:t xml:space="preserve">“</w:t>
      </w:r>
      <w:r>
        <w:t xml:space="preserve">DPA</w:t>
      </w:r>
      <w:r>
        <w:t xml:space="preserve">”</w:t>
      </w:r>
      <w:r>
        <w:t xml:space="preserve">) é celebrado entre</w:t>
      </w:r>
      <w:r>
        <w:t xml:space="preserve"> </w:t>
      </w:r>
      <w:r>
        <w:rPr>
          <w:b/>
        </w:rPr>
        <w:t xml:space="preserve">FLOW SYSTEMS LTDA</w:t>
      </w:r>
      <w:r>
        <w:t xml:space="preserve">, CNPJ 62.479.299/0001-66 (</w:t>
      </w:r>
      <w:r>
        <w:t xml:space="preserve">“</w:t>
      </w:r>
      <w:r>
        <w:t xml:space="preserve">Operadora</w:t>
      </w:r>
      <w:r>
        <w:t xml:space="preserve">”</w:t>
      </w:r>
      <w:r>
        <w:t xml:space="preserve">,</w:t>
      </w:r>
      <w:r>
        <w:t xml:space="preserve"> </w:t>
      </w:r>
      <w:r>
        <w:t xml:space="preserve">“</w:t>
      </w:r>
      <w:r>
        <w:t xml:space="preserve">Flow Hub</w:t>
      </w:r>
      <w:r>
        <w:t xml:space="preserve">”</w:t>
      </w:r>
      <w:r>
        <w:t xml:space="preserve">), e o Cliente contratante da plataforma Flow Hub (</w:t>
      </w:r>
      <w:r>
        <w:t xml:space="preserve">“</w:t>
      </w:r>
      <w:r>
        <w:t xml:space="preserve">Controladora</w:t>
      </w:r>
      <w:r>
        <w:t xml:space="preserve">”</w:t>
      </w:r>
      <w:r>
        <w:t xml:space="preserve">,</w:t>
      </w:r>
      <w:r>
        <w:t xml:space="preserve"> </w:t>
      </w:r>
      <w:r>
        <w:t xml:space="preserve">“</w:t>
      </w:r>
      <w:r>
        <w:t xml:space="preserve">Cliente</w:t>
      </w:r>
      <w:r>
        <w:t xml:space="preserve">”</w:t>
      </w:r>
      <w:r>
        <w:t xml:space="preserve">), e integra os Termos de Uso da plataforma, regulando o tratamento de dados pessoais dos contatos finais geridos pelo Cliente dentro da plataforma.</w:t>
      </w:r>
    </w:p>
    <w:p>
      <w:pPr>
        <w:pStyle w:val="BodyText"/>
      </w:pPr>
      <w:r>
        <w:rPr>
          <w:b/>
        </w:rPr>
        <w:t xml:space="preserve">Última atualização:</w:t>
      </w:r>
      <w:r>
        <w:t xml:space="preserve"> </w:t>
      </w:r>
      <w:r>
        <w:t xml:space="preserve">31 de julho de 2026</w:t>
      </w:r>
    </w:p>
    <w:p>
      <w:r>
        <w:pict>
          <v:rect style="width:0;height:1.5pt" o:hralign="center" o:hrstd="t" o:hr="t"/>
        </w:pict>
      </w:r>
    </w:p>
    <w:p>
      <w:pPr>
        <w:pStyle w:val="Heading2"/>
      </w:pPr>
      <w:bookmarkStart w:id="21" w:name="definições"/>
      <w:r>
        <w:t xml:space="preserve">1. Definições</w:t>
      </w:r>
      <w:bookmarkEnd w:id="21"/>
    </w:p>
    <w:p>
      <w:pPr>
        <w:pStyle w:val="FirstParagraph"/>
      </w:pPr>
      <w:r>
        <w:t xml:space="preserve">Para os fins deste DPA, aplicam-se as definições da Lei nº 13.709/2018 (LGPD), especialmente</w:t>
      </w:r>
      <w:r>
        <w:t xml:space="preserve"> </w:t>
      </w:r>
      <w:r>
        <w:t xml:space="preserve">“</w:t>
      </w:r>
      <w:r>
        <w:t xml:space="preserve">dado pessoal</w:t>
      </w:r>
      <w:r>
        <w:t xml:space="preserve">”</w:t>
      </w:r>
      <w:r>
        <w:t xml:space="preserve">,</w:t>
      </w:r>
      <w:r>
        <w:t xml:space="preserve"> </w:t>
      </w:r>
      <w:r>
        <w:t xml:space="preserve">“</w:t>
      </w:r>
      <w:r>
        <w:t xml:space="preserve">tratamento</w:t>
      </w:r>
      <w:r>
        <w:t xml:space="preserve">”</w:t>
      </w:r>
      <w:r>
        <w:t xml:space="preserve">,</w:t>
      </w:r>
      <w:r>
        <w:t xml:space="preserve"> </w:t>
      </w:r>
      <w:r>
        <w:t xml:space="preserve">“</w:t>
      </w:r>
      <w:r>
        <w:t xml:space="preserve">controlador</w:t>
      </w:r>
      <w:r>
        <w:t xml:space="preserve">”</w:t>
      </w:r>
      <w:r>
        <w:t xml:space="preserve">,</w:t>
      </w:r>
      <w:r>
        <w:t xml:space="preserve"> </w:t>
      </w:r>
      <w:r>
        <w:t xml:space="preserve">“</w:t>
      </w:r>
      <w:r>
        <w:t xml:space="preserve">operador</w:t>
      </w:r>
      <w:r>
        <w:t xml:space="preserve">”</w:t>
      </w:r>
      <w:r>
        <w:t xml:space="preserve"> </w:t>
      </w:r>
      <w:r>
        <w:t xml:space="preserve">e</w:t>
      </w:r>
      <w:r>
        <w:t xml:space="preserve"> </w:t>
      </w:r>
      <w:r>
        <w:t xml:space="preserve">“</w:t>
      </w:r>
      <w:r>
        <w:t xml:space="preserve">incidente de segurança</w:t>
      </w:r>
      <w:r>
        <w:t xml:space="preserve">”</w:t>
      </w:r>
      <w:r>
        <w:t xml:space="preserve">.</w:t>
      </w:r>
      <w:r>
        <w:t xml:space="preserve"> </w:t>
      </w:r>
      <w:r>
        <w:t xml:space="preserve">“</w:t>
      </w:r>
      <w:r>
        <w:t xml:space="preserve">Dados dos Titulares</w:t>
      </w:r>
      <w:r>
        <w:t xml:space="preserve">”</w:t>
      </w:r>
      <w:r>
        <w:t xml:space="preserve"> </w:t>
      </w:r>
      <w:r>
        <w:t xml:space="preserve">significa os dados pessoais dos contatos finais que o Cliente cadastra, gerencia ou recebe através da plataforma Flow Hub.</w:t>
      </w:r>
    </w:p>
    <w:p>
      <w:r>
        <w:pict>
          <v:rect style="width:0;height:1.5pt" o:hralign="center" o:hrstd="t" o:hr="t"/>
        </w:pict>
      </w:r>
    </w:p>
    <w:p>
      <w:pPr>
        <w:pStyle w:val="Heading2"/>
      </w:pPr>
      <w:bookmarkStart w:id="22" w:name="objeto"/>
      <w:r>
        <w:t xml:space="preserve">2. Objeto</w:t>
      </w:r>
      <w:bookmarkEnd w:id="22"/>
    </w:p>
    <w:p>
      <w:pPr>
        <w:pStyle w:val="FirstParagraph"/>
      </w:pPr>
      <w:r>
        <w:t xml:space="preserve">O Cliente, na qualidade de Controladora dos Dados dos Titulares, contrata a Flow Hub para tratá-los como Operadora, estritamente para viabilizar as funcionalidades da plataforma (CRM, atendimento via WhatsApp, automações e, quando ativado pelo Cliente, assistente de IA), conforme as instruções, configurações e finalidades definidas pelo próprio Cliente.</w:t>
      </w:r>
    </w:p>
    <w:p>
      <w:r>
        <w:pict>
          <v:rect style="width:0;height:1.5pt" o:hralign="center" o:hrstd="t" o:hr="t"/>
        </w:pict>
      </w:r>
    </w:p>
    <w:p>
      <w:pPr>
        <w:pStyle w:val="Heading2"/>
      </w:pPr>
      <w:bookmarkStart w:id="23" w:name="papéis-das-partes"/>
      <w:r>
        <w:t xml:space="preserve">3. Papéis das Partes</w:t>
      </w:r>
      <w:bookmarkEnd w:id="23"/>
    </w:p>
    <w:p>
      <w:pPr>
        <w:pStyle w:val="FirstParagraph"/>
      </w:pPr>
      <w:r>
        <w:rPr>
          <w:b/>
        </w:rPr>
        <w:t xml:space="preserve">3.1.</w:t>
      </w:r>
      <w:r>
        <w:t xml:space="preserve"> </w:t>
      </w:r>
      <w:r>
        <w:t xml:space="preserve">O Cliente é o Controlador dos Dados dos Titulares, sendo responsável por: (i) possuir base legal adequada para o tratamento que realiza; (ii) definir quais dados cadastrar e para quais finalidades; (iii) atender diretamente às solicitações de titulares relativas a esses dados, com o apoio operacional da Flow Hub descrito na Cláusula 8.</w:t>
      </w:r>
    </w:p>
    <w:p>
      <w:pPr>
        <w:pStyle w:val="BodyText"/>
      </w:pPr>
      <w:r>
        <w:rPr>
          <w:b/>
        </w:rPr>
        <w:t xml:space="preserve">3.2.</w:t>
      </w:r>
      <w:r>
        <w:t xml:space="preserve"> </w:t>
      </w:r>
      <w:r>
        <w:t xml:space="preserve">A Flow Hub é a Operadora, tratando os Dados dos Titulares exclusivamente conforme as instruções documentadas do Cliente (refletidas nas configurações e no uso normal da plataforma), sem finalidade própria alheia à prestação do serviço contratado. A Flow Hub não utiliza os Dados dos Titulares para finalidades próprias comerciais, publicidade, treinamento de modelos de inteligência artificial ou criação de perfis, salvo quando houver autorização legal ou contratual específica. A Flow Hub também não permite que Dados dos Titulares tratados na conta do Cliente sejam utilizados para aprimorar ou treinar modelos de Inteligência Artificial em benefício de outro cliente contratante.</w:t>
      </w:r>
    </w:p>
    <w:p>
      <w:pPr>
        <w:pStyle w:val="BodyText"/>
      </w:pPr>
      <w:r>
        <w:rPr>
          <w:b/>
        </w:rPr>
        <w:t xml:space="preserve">3.3.</w:t>
      </w:r>
      <w:r>
        <w:t xml:space="preserve"> </w:t>
      </w:r>
      <w:r>
        <w:t xml:space="preserve">O Cliente permanece responsável pelas instruções fornecidas à Flow Hub e pelo tratamento realizado sob sua determinação, inclusive quanto à base legal que fundamenta cada instrução.</w:t>
      </w:r>
    </w:p>
    <w:p>
      <w:r>
        <w:pict>
          <v:rect style="width:0;height:1.5pt" o:hralign="center" o:hrstd="t" o:hr="t"/>
        </w:pict>
      </w:r>
    </w:p>
    <w:p>
      <w:pPr>
        <w:pStyle w:val="Heading2"/>
      </w:pPr>
      <w:bookmarkStart w:id="24" w:name="instruções-do-controlador"/>
      <w:r>
        <w:t xml:space="preserve">4. Instruções do Controlador</w:t>
      </w:r>
      <w:bookmarkEnd w:id="24"/>
    </w:p>
    <w:p>
      <w:pPr>
        <w:pStyle w:val="FirstParagraph"/>
      </w:pPr>
      <w:r>
        <w:t xml:space="preserve">A Flow Hub tratará os Dados dos Titulares apenas conforme as instruções do Cliente, expressas por meio da configuração e uso normal da plataforma. Caso a Flow Hub entenda que uma instrução viola a LGPD ou outra norma aplicável, comunicará o Cliente antes de executá-la, podendo recusar sua execução quando houver obrigação legal que a impeça.</w:t>
      </w:r>
    </w:p>
    <w:p>
      <w:r>
        <w:pict>
          <v:rect style="width:0;height:1.5pt" o:hralign="center" o:hrstd="t" o:hr="t"/>
        </w:pict>
      </w:r>
    </w:p>
    <w:p>
      <w:pPr>
        <w:pStyle w:val="Heading2"/>
      </w:pPr>
      <w:bookmarkStart w:id="25" w:name="confidencialidade"/>
      <w:r>
        <w:t xml:space="preserve">5. Confidencialidade</w:t>
      </w:r>
      <w:bookmarkEnd w:id="25"/>
    </w:p>
    <w:p>
      <w:pPr>
        <w:pStyle w:val="FirstParagraph"/>
      </w:pPr>
      <w:r>
        <w:t xml:space="preserve">A Flow Hub garante que todas as pessoas autorizadas a tratar os Dados dos Titulares estão sujeitas a obrigação de confidencialidade, contratual ou legal, inclusive colaboradores, prestadores de serviço e subprocessadores.</w:t>
      </w:r>
    </w:p>
    <w:p>
      <w:r>
        <w:pict>
          <v:rect style="width:0;height:1.5pt" o:hralign="center" o:hrstd="t" o:hr="t"/>
        </w:pict>
      </w:r>
    </w:p>
    <w:p>
      <w:pPr>
        <w:pStyle w:val="Heading2"/>
      </w:pPr>
      <w:bookmarkStart w:id="26" w:name="medidas-de-segurança"/>
      <w:r>
        <w:t xml:space="preserve">6. Medidas de Segurança</w:t>
      </w:r>
      <w:bookmarkEnd w:id="26"/>
    </w:p>
    <w:p>
      <w:pPr>
        <w:pStyle w:val="FirstParagraph"/>
      </w:pPr>
      <w:r>
        <w:t xml:space="preserve">A Flow Hub adota as seguintes medidas técnicas e organizacionais, entre outras: mecanismos criptográficos adequados ao tipo de dado tratado, seguindo práticas reconhecidas de mercado; isolamento lógico entre clientes para impedir acesso cruzado entre contas; controle de acesso baseado em papéis (proprietário, administrador, agente, visualizador); mecanismos de limitação de requisições contra abuso; mecanismos de proteção contra ataques ao navegador; trilha de auditoria para concessão/revogação de acesso privilegiado (Super Admin) e para exclusão definitiva de contas; e monitoramento de erros de aplicação. A Flow Hub mantém Plano de Resposta a Incidentes de Segurança interno, aplicável a este DPA.</w:t>
      </w:r>
    </w:p>
    <w:p>
      <w:pPr>
        <w:pStyle w:val="BodyText"/>
      </w:pPr>
      <w:r>
        <w:t xml:space="preserve">As medidas de segurança poderão ser revisadas e atualizadas periodicamente, desde que mantido nível de proteção compatível com a natureza dos dados tratados.</w:t>
      </w:r>
    </w:p>
    <w:p>
      <w:r>
        <w:pict>
          <v:rect style="width:0;height:1.5pt" o:hralign="center" o:hrstd="t" o:hr="t"/>
        </w:pict>
      </w:r>
    </w:p>
    <w:p>
      <w:pPr>
        <w:pStyle w:val="Heading2"/>
      </w:pPr>
      <w:bookmarkStart w:id="27" w:name="subprocessadores"/>
      <w:r>
        <w:t xml:space="preserve">7. Subprocessadores</w:t>
      </w:r>
      <w:bookmarkEnd w:id="27"/>
    </w:p>
    <w:p>
      <w:pPr>
        <w:pStyle w:val="FirstParagraph"/>
      </w:pPr>
      <w:r>
        <w:rPr>
          <w:b/>
        </w:rPr>
        <w:t xml:space="preserve">7.1. Subprocessadores da Flow Hub</w:t>
      </w:r>
      <w:r>
        <w:t xml:space="preserve"> </w:t>
      </w:r>
      <w:r>
        <w:t xml:space="preserve">(contratados pela Flow Hub para viabilizar a infraestrutura da plataforma): provedor de banco de dados e autenticação (Supabase, com hospedagem na região us-east-1, Norte da Virgínia, EUA) e provedor de hospedagem da aplicação (Vercel). O Cliente autoriza, pela aceitação deste DPA, o uso desses subprocessadores.</w:t>
      </w:r>
    </w:p>
    <w:p>
      <w:pPr>
        <w:pStyle w:val="BodyText"/>
      </w:pPr>
      <w:r>
        <w:rPr>
          <w:b/>
        </w:rPr>
        <w:t xml:space="preserve">7.2. Integrações escolhidas diretamente pelo Cliente (BYOK/BYOA)</w:t>
      </w:r>
      <w:r>
        <w:t xml:space="preserve">: a API do WhatsApp Business (Meta Platforms, Inc.) e o provedor de Inteligência Artificial utilizado pelo assistente de IA (quando ativado) são contratados e configurados diretamente pelo Cliente, com credenciais próprias.</w:t>
      </w:r>
      <w:r>
        <w:t xml:space="preserve"> </w:t>
      </w:r>
      <w:r>
        <w:rPr>
          <w:b/>
        </w:rPr>
        <w:t xml:space="preserve">Em relação a essas integrações, a Flow Hub não atua como contratante nem como parte responsável pela relação com esses fornecedores</w:t>
      </w:r>
      <w:r>
        <w:t xml:space="preserve"> </w:t>
      </w:r>
      <w:r>
        <w:t xml:space="preserve">— o Cliente é responsável por avaliar e formalizar, se necessário, os instrumentos de proteção de dados diretamente com esses provedores. A Flow Hub não garante que esses fornecedores atendam aos mesmos padrões técnicos ou jurídicos por ela adotados.</w:t>
      </w:r>
    </w:p>
    <w:p>
      <w:pPr>
        <w:pStyle w:val="BodyText"/>
      </w:pPr>
      <w:r>
        <w:rPr>
          <w:b/>
        </w:rPr>
        <w:t xml:space="preserve">7.3.</w:t>
      </w:r>
      <w:r>
        <w:t xml:space="preserve"> </w:t>
      </w:r>
      <w:r>
        <w:t xml:space="preserve">A Flow Hub notificará o Cliente sobre alterações relevantes em seus subprocessadores próprios (Cláusula 7.1), permitindo que o Cliente se manifeste em prazo razoável.</w:t>
      </w:r>
    </w:p>
    <w:p>
      <w:pPr>
        <w:pStyle w:val="BodyText"/>
      </w:pPr>
      <w:r>
        <w:rPr>
          <w:b/>
        </w:rPr>
        <w:t xml:space="preserve">7.4.</w:t>
      </w:r>
      <w:r>
        <w:t xml:space="preserve"> </w:t>
      </w:r>
      <w:r>
        <w:t xml:space="preserve">A lista de subprocessadores poderá ser atualizada periodicamente, observado o disposto na Cláusula 7.3.</w:t>
      </w:r>
    </w:p>
    <w:p>
      <w:r>
        <w:pict>
          <v:rect style="width:0;height:1.5pt" o:hralign="center" o:hrstd="t" o:hr="t"/>
        </w:pict>
      </w:r>
    </w:p>
    <w:p>
      <w:pPr>
        <w:pStyle w:val="Heading2"/>
      </w:pPr>
      <w:bookmarkStart w:id="28" w:name="X927aa3bcd4568e2e80ac10d223e2d078facbdf0"/>
      <w:r>
        <w:t xml:space="preserve">8. Assistência ao Controlador — Direitos dos Titulares</w:t>
      </w:r>
      <w:bookmarkEnd w:id="28"/>
    </w:p>
    <w:p>
      <w:pPr>
        <w:pStyle w:val="FirstParagraph"/>
      </w:pPr>
      <w:r>
        <w:t xml:space="preserve">A plataforma disponibiliza ferramentas para que o Cliente atenda, por conta própria, a solicitações de titulares referentes aos Dados dos Titulares, incluindo exportação de dados (portabilidade/acesso), remoção dos campos identificáveis do cadastro a pedido do titular (nome, e-mail, empresa, avatar — conforme detalhado na Cláusula 11) e registro de oposição ou revogação de consentimento (opt-out). A Flow Hub prestará suporte operacional razoável quando o Cliente necessitar de apoio técnico para atender a uma solicitação.</w:t>
      </w:r>
    </w:p>
    <w:p>
      <w:r>
        <w:pict>
          <v:rect style="width:0;height:1.5pt" o:hralign="center" o:hrstd="t" o:hr="t"/>
        </w:pict>
      </w:r>
    </w:p>
    <w:p>
      <w:pPr>
        <w:pStyle w:val="Heading2"/>
      </w:pPr>
      <w:bookmarkStart w:id="29" w:name="notificação-de-incidentes-de-segurança"/>
      <w:r>
        <w:t xml:space="preserve">9. Notificação de Incidentes de Segurança</w:t>
      </w:r>
      <w:bookmarkEnd w:id="29"/>
    </w:p>
    <w:p>
      <w:pPr>
        <w:pStyle w:val="FirstParagraph"/>
      </w:pPr>
      <w:r>
        <w:t xml:space="preserve">Em caso de incidente de segurança que afete os Dados dos Titulares, a Flow Hub notificará o Cliente sem atraso indevido após tomar conhecimento do incidente, fornecendo as informações disponíveis sobre sua natureza, os dados afetados e as medidas adotadas, para que o Cliente possa cumprir suas próprias obrigações de notificação como Controlador perante a ANPD e os titulares afetados, conforme Art. 48 da LGPD.</w:t>
      </w:r>
    </w:p>
    <w:p>
      <w:r>
        <w:pict>
          <v:rect style="width:0;height:1.5pt" o:hralign="center" o:hrstd="t" o:hr="t"/>
        </w:pict>
      </w:r>
    </w:p>
    <w:p>
      <w:pPr>
        <w:pStyle w:val="Heading2"/>
      </w:pPr>
      <w:bookmarkStart w:id="30" w:name="transferência-internacional-de-dados"/>
      <w:r>
        <w:t xml:space="preserve">10. Transferência Internacional de Dados</w:t>
      </w:r>
      <w:bookmarkEnd w:id="30"/>
    </w:p>
    <w:p>
      <w:pPr>
        <w:pStyle w:val="FirstParagraph"/>
      </w:pPr>
      <w:r>
        <w:t xml:space="preserve">O Cliente reconhece e autoriza que os Dados dos Titulares sejam armazenados em infraestrutura localizada nos Estados Unidos (Supabase, região us-east-1), nos termos do Art. 33 da LGPD, sendo essa transferência necessária à prestação do serviço contratado, bem como eventual transferência internacional decorrente de provedores contratados diretamente pelo Cliente, quando aplicável (ex.: Meta e o provedor de Inteligência Artificial escolhido pelo Cliente no modelo BYOK/BYOA).</w:t>
      </w:r>
    </w:p>
    <w:p>
      <w:r>
        <w:pict>
          <v:rect style="width:0;height:1.5pt" o:hralign="center" o:hrstd="t" o:hr="t"/>
        </w:pict>
      </w:r>
    </w:p>
    <w:p>
      <w:pPr>
        <w:pStyle w:val="Heading2"/>
      </w:pPr>
      <w:bookmarkStart w:id="31" w:name="retenção-e-eliminação-ao-término"/>
      <w:r>
        <w:t xml:space="preserve">11. Retenção e Eliminação ao Término</w:t>
      </w:r>
      <w:bookmarkEnd w:id="31"/>
    </w:p>
    <w:p>
      <w:pPr>
        <w:pStyle w:val="FirstParagraph"/>
      </w:pPr>
      <w:r>
        <w:t xml:space="preserve">Encerrado o contrato entre o Cliente e a Flow Hub, os Dados dos Titulares serão mantidos pelo período de carência de 90 (noventa) dias previsto nos Termos de Uso, findo o qual serão eliminados de forma definitiva e automatizada, ressalvadas obrigações legais de retenção aplicáveis a registros fiscais/contábeis. Durante a vigência do contrato, quando um titular solicita a remoção de seus dados, os campos identificáveis do cadastro (nome, e-mail, empresa, avatar) são removidos permanentemente; o telefone e o histórico de conversas são preservados como registro de atendimento do Cliente, caracterizando pseudonimização — e não anonimização plena nos termos do Art. 12 da LGPD, conforme detalhado na Política de Retenção e Eliminação de Dados da Flow Hub.</w:t>
      </w:r>
    </w:p>
    <w:p>
      <w:r>
        <w:pict>
          <v:rect style="width:0;height:1.5pt" o:hralign="center" o:hrstd="t" o:hr="t"/>
        </w:pict>
      </w:r>
    </w:p>
    <w:p>
      <w:pPr>
        <w:pStyle w:val="Heading2"/>
      </w:pPr>
      <w:bookmarkStart w:id="32" w:name="auditoria"/>
      <w:r>
        <w:t xml:space="preserve">12. Auditoria</w:t>
      </w:r>
      <w:bookmarkEnd w:id="32"/>
    </w:p>
    <w:p>
      <w:pPr>
        <w:pStyle w:val="FirstParagraph"/>
      </w:pPr>
      <w:r>
        <w:t xml:space="preserve">Mediante solicitação razoável e com aviso prévio, a Flow Hub disponibilizará ao Cliente informações e documentação razoavelmente necessárias para demonstrar conformidade com este DPA.</w:t>
      </w:r>
    </w:p>
    <w:p>
      <w:r>
        <w:pict>
          <v:rect style="width:0;height:1.5pt" o:hralign="center" o:hrstd="t" o:hr="t"/>
        </w:pict>
      </w:r>
    </w:p>
    <w:p>
      <w:pPr>
        <w:pStyle w:val="Heading2"/>
      </w:pPr>
      <w:bookmarkStart w:id="33" w:name="responsabilidade"/>
      <w:r>
        <w:t xml:space="preserve">13. Responsabilidade</w:t>
      </w:r>
      <w:bookmarkEnd w:id="33"/>
    </w:p>
    <w:p>
      <w:pPr>
        <w:pStyle w:val="FirstParagraph"/>
      </w:pPr>
      <w:r>
        <w:t xml:space="preserve">Cada parte responde pelos danos que causar em decorrência do descumprimento da LGPD ou deste DPA, na forma da lei. A Flow Hub não responde por tratamentos realizados exclusivamente pelo Cliente fora do escopo da plataforma, nem por atos de subprocessadores escolhidos diretamente pelo Cliente (Cláusula 7.2).</w:t>
      </w:r>
    </w:p>
    <w:p>
      <w:r>
        <w:pict>
          <v:rect style="width:0;height:1.5pt" o:hralign="center" o:hrstd="t" o:hr="t"/>
        </w:pict>
      </w:r>
    </w:p>
    <w:p>
      <w:pPr>
        <w:pStyle w:val="Heading2"/>
      </w:pPr>
      <w:bookmarkStart w:id="34" w:name="disposições-gerais"/>
      <w:r>
        <w:t xml:space="preserve">14. Disposições Gerais</w:t>
      </w:r>
      <w:bookmarkEnd w:id="34"/>
    </w:p>
    <w:p>
      <w:pPr>
        <w:pStyle w:val="FirstParagraph"/>
      </w:pPr>
      <w:r>
        <w:t xml:space="preserve">Este DPA vigora enquanto durar o contrato principal entre as partes e é regido pelas leis brasileiras, ficando eleito o foro da Comarca de</w:t>
      </w:r>
      <w:r>
        <w:t xml:space="preserve"> </w:t>
      </w:r>
      <w:r>
        <w:rPr>
          <w:b/>
        </w:rPr>
        <w:t xml:space="preserve">Fortaleza-CE</w:t>
      </w:r>
      <w:r>
        <w:t xml:space="preserve"> </w:t>
      </w:r>
      <w:r>
        <w:t xml:space="preserve">para dirimir quaisquer controvérsias dele decorrentes, com renúncia a qualquer outro, por mais privilegiado que seja.</w:t>
      </w:r>
    </w:p>
    <w:p>
      <w:r>
        <w:pict>
          <v:rect style="width:0;height:1.5pt" o:hralign="center" o:hrstd="t" o:hr="t"/>
        </w:pict>
      </w:r>
    </w:p>
    <w:p>
      <w:pPr>
        <w:pStyle w:val="Heading2"/>
      </w:pPr>
      <w:bookmarkStart w:id="35" w:name="contato"/>
      <w:r>
        <w:t xml:space="preserve">Contato</w:t>
      </w:r>
      <w:bookmarkEnd w:id="35"/>
    </w:p>
    <w:p>
      <w:pPr>
        <w:pStyle w:val="FirstParagraph"/>
      </w:pPr>
      <w:r>
        <w:rPr>
          <w:b/>
        </w:rPr>
        <w:t xml:space="preserve">Encarregado de Proteção de Dados:</w:t>
      </w:r>
      <w:r>
        <w:t xml:space="preserve"> </w:t>
      </w:r>
      <w:r>
        <w:t xml:space="preserve">flowsystems@flowofc.com.br</w:t>
      </w:r>
    </w:p>
    <w:p>
      <w:r>
        <w:pict>
          <v:rect style="width:0;height:1.5pt" o:hralign="center" o:hrstd="t" o:hr="t"/>
        </w:pict>
      </w:r>
    </w:p>
    <w:p>
      <w:pPr>
        <w:pStyle w:val="FirstParagraph"/>
      </w:pPr>
      <w:r>
        <w:rPr>
          <w:i/>
        </w:rPr>
        <w:t xml:space="preserve">FLOW SYSTEMS LTDA — CNPJ 62.479.299/0001-66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2026-07-31T17:00:47Z</dcterms:created>
  <dcterms:modified xsi:type="dcterms:W3CDTF">2026-07-31T17:00:47Z</dcterms:modified>
</cp:coreProperties>
</file>

<file path=docProps/custom.xml><?xml version="1.0" encoding="utf-8"?>
<Properties xmlns="http://schemas.openxmlformats.org/officeDocument/2006/custom-properties" xmlns:vt="http://schemas.openxmlformats.org/officeDocument/2006/docPropsVTypes"/>
</file>