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8f352549259d1de9f82d67fa41400fa7965c3"/>
      <w:r>
        <w:t xml:space="preserve">Política de Retenção e Eliminação de Dados — Flow Hub</w:t>
      </w:r>
      <w:bookmarkEnd w:id="20"/>
    </w:p>
    <w:p>
      <w:pPr>
        <w:pStyle w:val="FirstParagraph"/>
      </w:pPr>
      <w:r>
        <w:t xml:space="preserve">Documento interno de</w:t>
      </w:r>
      <w:r>
        <w:t xml:space="preserve"> </w:t>
      </w:r>
      <w:r>
        <w:rPr>
          <w:b/>
        </w:rPr>
        <w:t xml:space="preserve">FLOW SYSTEMS LTDA</w:t>
      </w:r>
      <w:r>
        <w:t xml:space="preserve"> </w:t>
      </w:r>
      <w:r>
        <w:t xml:space="preserve">(CNPJ 62.479.299/0001-66), que formaliza os prazos e critérios de retenção e eliminação de dados pessoais tratados na plataforma Flow Hub.</w:t>
      </w:r>
    </w:p>
    <w:p>
      <w:pPr>
        <w:pStyle w:val="BodyText"/>
      </w:pPr>
      <w:r>
        <w:rPr>
          <w:b/>
        </w:rPr>
        <w:t xml:space="preserve">Última atualização:</w:t>
      </w:r>
      <w:r>
        <w:t xml:space="preserve"> </w:t>
      </w:r>
      <w:r>
        <w:t xml:space="preserve">31 de julho de 2026</w:t>
      </w:r>
    </w:p>
    <w:p>
      <w:r>
        <w:pict>
          <v:rect style="width:0;height:1.5pt" o:hralign="center" o:hrstd="t" o:hr="t"/>
        </w:pict>
      </w:r>
    </w:p>
    <w:p>
      <w:pPr>
        <w:pStyle w:val="Heading2"/>
      </w:pPr>
      <w:bookmarkStart w:id="21" w:name="objetivo"/>
      <w:r>
        <w:t xml:space="preserve">1. Objetivo</w:t>
      </w:r>
      <w:bookmarkEnd w:id="21"/>
    </w:p>
    <w:p>
      <w:pPr>
        <w:pStyle w:val="FirstParagraph"/>
      </w:pPr>
      <w:r>
        <w:t xml:space="preserve">Esta Política estabelece por quanto tempo os diferentes tipos de dados pessoais tratados pela plataforma são mantidos, e os critérios que determinam sua eliminação, pseudonimização/anonimização ou arquivamento, em conformidade com o princípio da necessidade (Art. 6º, III, LGPD) e com obrigações legais de guarda de documentos.</w:t>
      </w:r>
    </w:p>
    <w:p>
      <w:r>
        <w:pict>
          <v:rect style="width:0;height:1.5pt" o:hralign="center" o:hrstd="t" o:hr="t"/>
        </w:pict>
      </w:r>
    </w:p>
    <w:p>
      <w:pPr>
        <w:pStyle w:val="Heading2"/>
      </w:pPr>
      <w:bookmarkStart w:id="22" w:name="conta-do-cliente-contratante"/>
      <w:r>
        <w:t xml:space="preserve">2. Conta do Cliente Contratante</w:t>
      </w:r>
      <w:bookmarkEnd w:id="22"/>
    </w:p>
    <w:p>
      <w:pPr>
        <w:pStyle w:val="FirstParagraph"/>
      </w:pPr>
      <w:r>
        <w:t xml:space="preserve">Os dados da conta (cadastro, usuários vinculados, contatos, conversas, automações) são mantidos durante toda a vigência do contrato.</w:t>
      </w:r>
    </w:p>
    <w:p>
      <w:pPr>
        <w:pStyle w:val="Heading3"/>
      </w:pPr>
      <w:bookmarkStart w:id="23" w:name="cancelamento-ou-inadimplência"/>
      <w:r>
        <w:t xml:space="preserve">2.1 Cancelamento ou Inadimplência</w:t>
      </w:r>
      <w:bookmarkEnd w:id="23"/>
    </w:p>
    <w:p>
      <w:pPr>
        <w:pStyle w:val="FirstParagraph"/>
      </w:pPr>
      <w:r>
        <w:t xml:space="preserve">Após cancelamento voluntário ou inadimplência não regularizada, aplica-se um período de carência de</w:t>
      </w:r>
      <w:r>
        <w:t xml:space="preserve"> </w:t>
      </w:r>
      <w:r>
        <w:rPr>
          <w:b/>
        </w:rPr>
        <w:t xml:space="preserve">90 (noventa) dias corridos</w:t>
      </w:r>
      <w:r>
        <w:t xml:space="preserve">, durante o qual a conta permanece bloqueada (sem acesso ao produto), mas com todos os dados intactos. O pagamento ou a reativação dentro desse prazo restaura o acesso imediatamente, sem qualquer perda de dado.</w:t>
      </w:r>
    </w:p>
    <w:p>
      <w:pPr>
        <w:pStyle w:val="Heading3"/>
      </w:pPr>
      <w:bookmarkStart w:id="24" w:name="escalonamento-por-inadimplência"/>
      <w:r>
        <w:t xml:space="preserve">2.2 Escalonamento por Inadimplência</w:t>
      </w:r>
      <w:bookmarkEnd w:id="24"/>
    </w:p>
    <w:p>
      <w:pPr>
        <w:pStyle w:val="FirstParagraph"/>
      </w:pPr>
      <w:r>
        <w:t xml:space="preserve">Antes de chegar à carência de 90 dias, contas em atraso de pagamento passam pelo seguinte escalonamento de acesso. Em qualquer estágio, a regularização financeira interrompe o escalonamento e restaura o acesso total imediatamente: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Dias em atraso</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Acesso</w:t>
            </w:r>
          </w:p>
        </w:tc>
      </w:tr>
      <w:tr>
        <w:tc>
          <w:p>
            <w:pPr>
              <w:pStyle w:val="Compact"/>
              <w:jc w:val="left"/>
            </w:pPr>
            <w:r>
              <w:t xml:space="preserve">0 a 6</w:t>
            </w:r>
          </w:p>
        </w:tc>
        <w:tc>
          <w:p>
            <w:pPr>
              <w:pStyle w:val="Compact"/>
              <w:jc w:val="left"/>
            </w:pPr>
            <w:r>
              <w:t xml:space="preserve">Aviso</w:t>
            </w:r>
          </w:p>
        </w:tc>
        <w:tc>
          <w:p>
            <w:pPr>
              <w:pStyle w:val="Compact"/>
              <w:jc w:val="left"/>
            </w:pPr>
            <w:r>
              <w:t xml:space="preserve">Acesso total, com notificação</w:t>
            </w:r>
          </w:p>
        </w:tc>
      </w:tr>
      <w:tr>
        <w:tc>
          <w:p>
            <w:pPr>
              <w:pStyle w:val="Compact"/>
              <w:jc w:val="left"/>
            </w:pPr>
            <w:r>
              <w:t xml:space="preserve">7 a 13</w:t>
            </w:r>
          </w:p>
        </w:tc>
        <w:tc>
          <w:p>
            <w:pPr>
              <w:pStyle w:val="Compact"/>
              <w:jc w:val="left"/>
            </w:pPr>
            <w:r>
              <w:t xml:space="preserve">Atraso confirmado</w:t>
            </w:r>
          </w:p>
        </w:tc>
        <w:tc>
          <w:p>
            <w:pPr>
              <w:pStyle w:val="Compact"/>
              <w:jc w:val="left"/>
            </w:pPr>
            <w:r>
              <w:t xml:space="preserve">Acesso total, com aviso persistente</w:t>
            </w:r>
          </w:p>
        </w:tc>
      </w:tr>
      <w:tr>
        <w:tc>
          <w:p>
            <w:pPr>
              <w:pStyle w:val="Compact"/>
              <w:jc w:val="left"/>
            </w:pPr>
            <w:r>
              <w:t xml:space="preserve">14 a 29</w:t>
            </w:r>
          </w:p>
        </w:tc>
        <w:tc>
          <w:p>
            <w:pPr>
              <w:pStyle w:val="Compact"/>
              <w:jc w:val="left"/>
            </w:pPr>
            <w:r>
              <w:t xml:space="preserve">Somente leitura</w:t>
            </w:r>
          </w:p>
        </w:tc>
        <w:tc>
          <w:p>
            <w:pPr>
              <w:pStyle w:val="Compact"/>
              <w:jc w:val="left"/>
            </w:pPr>
            <w:r>
              <w:t xml:space="preserve">Consulta e exportação permitidas; envio de mensagens e automações bloqueado</w:t>
            </w:r>
          </w:p>
        </w:tc>
      </w:tr>
      <w:tr>
        <w:tc>
          <w:p>
            <w:pPr>
              <w:pStyle w:val="Compact"/>
              <w:jc w:val="left"/>
            </w:pPr>
            <w:r>
              <w:t xml:space="preserve">30 a 89</w:t>
            </w:r>
          </w:p>
        </w:tc>
        <w:tc>
          <w:p>
            <w:pPr>
              <w:pStyle w:val="Compact"/>
              <w:jc w:val="left"/>
            </w:pPr>
            <w:r>
              <w:t xml:space="preserve">Suspenso</w:t>
            </w:r>
          </w:p>
        </w:tc>
        <w:tc>
          <w:p>
            <w:pPr>
              <w:pStyle w:val="Compact"/>
              <w:jc w:val="left"/>
            </w:pPr>
            <w:r>
              <w:t xml:space="preserve">Acesso bloqueado; dado permanece intacto</w:t>
            </w:r>
          </w:p>
        </w:tc>
      </w:tr>
      <w:tr>
        <w:tc>
          <w:p>
            <w:pPr>
              <w:pStyle w:val="Compact"/>
              <w:jc w:val="left"/>
            </w:pPr>
            <w:r>
              <w:t xml:space="preserve">90+</w:t>
            </w:r>
          </w:p>
        </w:tc>
        <w:tc>
          <w:p>
            <w:pPr>
              <w:pStyle w:val="Compact"/>
              <w:jc w:val="left"/>
            </w:pPr>
            <w:r>
              <w:t xml:space="preserve">Cancelado</w:t>
            </w:r>
          </w:p>
        </w:tc>
        <w:tc>
          <w:p>
            <w:pPr>
              <w:pStyle w:val="Compact"/>
              <w:jc w:val="left"/>
            </w:pPr>
            <w:r>
              <w:t xml:space="preserve">Assinatura cancelada; inicia a carência de 90 dias para exclusão definitiva</w:t>
            </w:r>
          </w:p>
        </w:tc>
      </w:tr>
    </w:tbl>
    <w:p>
      <w:pPr>
        <w:pStyle w:val="Heading3"/>
      </w:pPr>
      <w:bookmarkStart w:id="25" w:name="expurgo-definitivo"/>
      <w:r>
        <w:t xml:space="preserve">2.3 Expurgo Definitivo</w:t>
      </w:r>
      <w:bookmarkEnd w:id="25"/>
    </w:p>
    <w:p>
      <w:pPr>
        <w:pStyle w:val="FirstParagraph"/>
      </w:pPr>
      <w:r>
        <w:t xml:space="preserve">Vencido o prazo de carência sem reativação, um processo automatizado diário executa, para cada conta elegível: preservação dos registros fiscais (faturas), remoção dos arquivos de mídia armazenados, exclusão da conta e de todos os dados relacionados (contatos, conversas, automações), e exclusão dos usuários vinculados que não pertençam a outra conta ativa, preservando a integridade das contas que permanecerem ativas. Um registro de auditoria da execução (sem dados pessoais de contatos finais) é mantido como prova de que o expurgo ocorreu.</w:t>
      </w:r>
    </w:p>
    <w:p>
      <w:r>
        <w:pict>
          <v:rect style="width:0;height:1.5pt" o:hralign="center" o:hrstd="t" o:hr="t"/>
        </w:pict>
      </w:r>
    </w:p>
    <w:p>
      <w:pPr>
        <w:pStyle w:val="Heading2"/>
      </w:pPr>
      <w:bookmarkStart w:id="26" w:name="registros-fiscais-e-contábeis"/>
      <w:r>
        <w:t xml:space="preserve">3. Registros Fiscais e Contábeis</w:t>
      </w:r>
      <w:bookmarkEnd w:id="26"/>
    </w:p>
    <w:p>
      <w:pPr>
        <w:pStyle w:val="FirstParagraph"/>
      </w:pPr>
      <w:r>
        <w:t xml:space="preserve">Faturas e demais documentos fiscais são preservados por obrigação legal (guarda de documentos tributários) mesmo após a exclusão definitiva da conta que os originou, com o vínculo à conta desfeito (não é possível associá-los a dados pessoais além do necessário para fins fiscais).</w:t>
      </w:r>
    </w:p>
    <w:p>
      <w:r>
        <w:pict>
          <v:rect style="width:0;height:1.5pt" o:hralign="center" o:hrstd="t" o:hr="t"/>
        </w:pict>
      </w:r>
    </w:p>
    <w:p>
      <w:pPr>
        <w:pStyle w:val="Heading2"/>
      </w:pPr>
      <w:bookmarkStart w:id="27" w:name="X728ea44c3bb49d43e4c247b43cf134df902efb4"/>
      <w:r>
        <w:t xml:space="preserve">4. Contatos Finais — Remoção de Identificadores a Pedido do Titular</w:t>
      </w:r>
      <w:bookmarkEnd w:id="27"/>
    </w:p>
    <w:p>
      <w:pPr>
        <w:pStyle w:val="FirstParagraph"/>
      </w:pPr>
      <w:r>
        <w:t xml:space="preserve">Quando um titular (contato final) solicita a eliminação de seus dados, a plataforma remove os campos identificáveis do cadastro (nome, e-mail, empresa e avatar). O número de telefone é preservado, associado ao histórico de conversas, para viabilizar o registro de atendimento do cliente contratante.</w:t>
      </w:r>
    </w:p>
    <w:p>
      <w:pPr>
        <w:pStyle w:val="BodyText"/>
      </w:pPr>
      <w:r>
        <w:t xml:space="preserve">É importante registrar, com precisão técnica e jurídica, que essa operação caracteriza</w:t>
      </w:r>
      <w:r>
        <w:t xml:space="preserve"> </w:t>
      </w:r>
      <w:r>
        <w:rPr>
          <w:b/>
        </w:rPr>
        <w:t xml:space="preserve">pseudonimização</w:t>
      </w:r>
      <w:r>
        <w:t xml:space="preserve">, não anonimização plena nos termos do Art. 12 da LGPD — o número de telefone, mesmo sem nome associado, continua sendo um dado pessoal, pois preserva a possibilidade razoável de identificação do titular. A retenção do telefone e do histórico de conversas após essa operação tem como base legal o legítimo interesse do cliente contratante na manutenção do histórico de atendimento e/ou a execução do contrato entre o cliente contratante e o próprio titular, conforme aplicável, e não a alegação de que o dado deixou de ser pessoal.</w:t>
      </w:r>
    </w:p>
    <w:p>
      <w:pPr>
        <w:pStyle w:val="BodyText"/>
      </w:pPr>
      <w:r>
        <w:t xml:space="preserve">A Flow Hub está avaliando, como evolução futura desta política, alternativas técnicas para viabilizar anonimização plena quando especificamente solicitada pelo titular (por exemplo, substituição do telefone por identificador interno ou hash, ou remoção completa), o que hoje não é oferecido como padrão.</w:t>
      </w:r>
    </w:p>
    <w:p>
      <w:r>
        <w:pict>
          <v:rect style="width:0;height:1.5pt" o:hralign="center" o:hrstd="t" o:hr="t"/>
        </w:pict>
      </w:r>
    </w:p>
    <w:p>
      <w:pPr>
        <w:pStyle w:val="Heading2"/>
      </w:pPr>
      <w:bookmarkStart w:id="28" w:name="histórico-de-mensagens"/>
      <w:r>
        <w:t xml:space="preserve">5. Histórico de Mensagens</w:t>
      </w:r>
      <w:bookmarkEnd w:id="28"/>
    </w:p>
    <w:p>
      <w:pPr>
        <w:pStyle w:val="FirstParagraph"/>
      </w:pPr>
      <w:r>
        <w:t xml:space="preserve">O histórico de mensagens trocadas entre o cliente contratante e seus contatos é mantido enquanto necessário para a prestação do serviço ou conforme configuração futura definida pelo próprio cliente contratante, e, em qualquer caso, até a exclusão definitiva da conta contratante (Cláusula 2.3). Atualmente não há prazo máximo fixo nem configuração de expurgo automático de mensagens antigas; a Flow Hub avalia, como evolução futura da plataforma, oferecer ao cliente contratante a opção de definir um prazo de retenção próprio para o histórico de conversas.</w:t>
      </w:r>
    </w:p>
    <w:p>
      <w:r>
        <w:pict>
          <v:rect style="width:0;height:1.5pt" o:hralign="center" o:hrstd="t" o:hr="t"/>
        </w:pict>
      </w:r>
    </w:p>
    <w:p>
      <w:pPr>
        <w:pStyle w:val="Heading2"/>
      </w:pPr>
      <w:bookmarkStart w:id="29" w:name="Xdf5f6cfe6fc9384391fe82ebe8e742820341821"/>
      <w:r>
        <w:t xml:space="preserve">6. Logs de Execução do Assistente de IA e Eventos de Segurança</w:t>
      </w:r>
      <w:bookmarkEnd w:id="29"/>
    </w:p>
    <w:p>
      <w:pPr>
        <w:pStyle w:val="FirstParagraph"/>
      </w:pPr>
      <w:r>
        <w:t xml:space="preserve">O conteúdo textual das interações processadas pelo assistente de IA (mensagem recebida e resposta gerada) é eliminado automaticamente após</w:t>
      </w:r>
      <w:r>
        <w:t xml:space="preserve"> </w:t>
      </w:r>
      <w:r>
        <w:rPr>
          <w:b/>
        </w:rPr>
        <w:t xml:space="preserve">180 (cento e oitenta) dias</w:t>
      </w:r>
      <w:r>
        <w:t xml:space="preserve">, por rotina diária que zera esses campos mantendo o restante do registro (modelo utilizado, tokens, tempo de execução, indicação de transferência para humano) para fins de métricas e auditoria de uso, sem conteúdo de conversa associado.</w:t>
      </w:r>
    </w:p>
    <w:p>
      <w:pPr>
        <w:pStyle w:val="BodyText"/>
      </w:pPr>
      <w:r>
        <w:t xml:space="preserve">Os registros de eventos de segurança da IA (tentativas de manipulação, jailbreak e abuso detectadas) seguem o mesmo prazo de</w:t>
      </w:r>
      <w:r>
        <w:t xml:space="preserve"> </w:t>
      </w:r>
      <w:r>
        <w:rPr>
          <w:b/>
        </w:rPr>
        <w:t xml:space="preserve">180 (cento e oitenta) dias</w:t>
      </w:r>
      <w:r>
        <w:t xml:space="preserve">, podendo ser excepcionalmente prorrogado para eventos específicos enquanto durar investigação de incidente em andamento.</w:t>
      </w:r>
    </w:p>
    <w:p>
      <w:r>
        <w:pict>
          <v:rect style="width:0;height:1.5pt" o:hralign="center" o:hrstd="t" o:hr="t"/>
        </w:pict>
      </w:r>
    </w:p>
    <w:p>
      <w:pPr>
        <w:pStyle w:val="Heading2"/>
      </w:pPr>
      <w:bookmarkStart w:id="30" w:name="backup-do-banco-de-dados"/>
      <w:r>
        <w:t xml:space="preserve">7. Backup do Banco de Dados</w:t>
      </w:r>
      <w:bookmarkEnd w:id="30"/>
    </w:p>
    <w:p>
      <w:pPr>
        <w:pStyle w:val="FirstParagraph"/>
      </w:pPr>
      <w:r>
        <w:t xml:space="preserve">O banco de dados possui rotina de backup automatizado. Os backups atualmente abrangem o banco de dados relacional; a estratégia de proteção dos arquivos armazenados em outras camadas de armazenamento é revisada periodicamente conforme a evolução da plataforma e das necessidades do negócio.</w:t>
      </w:r>
    </w:p>
    <w:p>
      <w:r>
        <w:pict>
          <v:rect style="width:0;height:1.5pt" o:hralign="center" o:hrstd="t" o:hr="t"/>
        </w:pict>
      </w:r>
    </w:p>
    <w:p>
      <w:pPr>
        <w:pStyle w:val="Heading2"/>
      </w:pPr>
      <w:bookmarkStart w:id="31" w:name="X9f0cfcbc07478c498729ec976a82aa84e2fa054"/>
      <w:r>
        <w:t xml:space="preserve">8. Auditoria de Acesso Privilegiado e de Exclusão de Contas</w:t>
      </w:r>
      <w:bookmarkEnd w:id="31"/>
    </w:p>
    <w:p>
      <w:pPr>
        <w:pStyle w:val="FirstParagraph"/>
      </w:pPr>
      <w:r>
        <w:t xml:space="preserve">Os registros de auditoria de concessão/revogação de acesso de Super Admin e de exclusão definitiva de contas são mantidos enquanto necessários para exercício regular de direitos, atendimento a obrigações legais, auditorias, investigação de incidentes e responsabilização — e não por prazo indefinido sem finalidade. Não contêm dados pessoais de contatos finais, apenas metadados da própria operação administrativa.</w:t>
      </w:r>
    </w:p>
    <w:p>
      <w:r>
        <w:pict>
          <v:rect style="width:0;height:1.5pt" o:hralign="center" o:hrstd="t" o:hr="t"/>
        </w:pict>
      </w:r>
    </w:p>
    <w:p>
      <w:pPr>
        <w:pStyle w:val="Heading2"/>
      </w:pPr>
      <w:bookmarkStart w:id="32" w:name="preferências-de-consentimento-de-cookies"/>
      <w:r>
        <w:t xml:space="preserve">9. Preferências de Consentimento de Cookies</w:t>
      </w:r>
      <w:bookmarkEnd w:id="32"/>
    </w:p>
    <w:p>
      <w:pPr>
        <w:pStyle w:val="FirstParagraph"/>
      </w:pPr>
      <w:r>
        <w:t xml:space="preserve">A preferência de consentimento de cookies do usuário é armazenada localmente, com retenção limitada ao objetivo de respeitar a escolha manifestada, podendo ser alterada ou removida pelo próprio usuário a qualquer momento por meio do painel de preferências de cookies da plataforma.</w:t>
      </w:r>
    </w:p>
    <w:p>
      <w:r>
        <w:pict>
          <v:rect style="width:0;height:1.5pt" o:hralign="center" o:hrstd="t" o:hr="t"/>
        </w:pict>
      </w:r>
    </w:p>
    <w:p>
      <w:pPr>
        <w:pStyle w:val="Heading2"/>
      </w:pPr>
      <w:bookmarkStart w:id="33" w:name="revisão-desta-política"/>
      <w:r>
        <w:t xml:space="preserve">10. Revisão desta Política</w:t>
      </w:r>
      <w:bookmarkEnd w:id="33"/>
    </w:p>
    <w:p>
      <w:pPr>
        <w:pStyle w:val="FirstParagraph"/>
      </w:pPr>
      <w:r>
        <w:t xml:space="preserve">Esta Política deve ser revisada sempre que houver mudança relevante nos prazos ou critérios de retenção adotados pela plataforma, e ao menos uma vez por ano.</w:t>
      </w:r>
    </w:p>
    <w:p>
      <w:r>
        <w:pict>
          <v:rect style="width:0;height:1.5pt" o:hralign="center" o:hrstd="t" o:hr="t"/>
        </w:pict>
      </w:r>
    </w:p>
    <w:p>
      <w:pPr>
        <w:pStyle w:val="FirstParagraph"/>
      </w:pPr>
      <w:r>
        <w:rPr>
          <w:i/>
        </w:rPr>
        <w:t xml:space="preserve">FLOW SYSTEMS LTDA — CNPJ 62.479.299/0001-66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2026-07-31T17:00:47Z</dcterms:created>
  <dcterms:modified xsi:type="dcterms:W3CDTF">2026-07-31T17:00:47Z</dcterms:modified>
</cp:coreProperties>
</file>

<file path=docProps/custom.xml><?xml version="1.0" encoding="utf-8"?>
<Properties xmlns="http://schemas.openxmlformats.org/officeDocument/2006/custom-properties" xmlns:vt="http://schemas.openxmlformats.org/officeDocument/2006/docPropsVTypes"/>
</file>