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5570e59cf61b5a94235045050889ad241bc14d"/>
      <w:r>
        <w:t xml:space="preserve">Política de Segurança da Informação — Flow Hub</w:t>
      </w:r>
      <w:bookmarkEnd w:id="20"/>
    </w:p>
    <w:p>
      <w:pPr>
        <w:pStyle w:val="FirstParagraph"/>
      </w:pPr>
      <w:r>
        <w:t xml:space="preserve">Documento interno de</w:t>
      </w:r>
      <w:r>
        <w:t xml:space="preserve"> </w:t>
      </w:r>
      <w:r>
        <w:rPr>
          <w:b/>
        </w:rPr>
        <w:t xml:space="preserve">FLOW SYSTEMS LTDA</w:t>
      </w:r>
      <w:r>
        <w:t xml:space="preserve"> </w:t>
      </w:r>
      <w:r>
        <w:t xml:space="preserve">(CNPJ 62.479.299/0001-66), que formaliza os princípios, processos e categorias de controles adotados para proteger a plataforma Flow Hub e os dados pessoais nela tratados.</w:t>
      </w:r>
    </w:p>
    <w:p>
      <w:pPr>
        <w:pStyle w:val="BodyText"/>
      </w:pPr>
      <w:r>
        <w:t xml:space="preserve">Esta Política é escrita em nível de princípios e processos, e não de mecanismos técnicos específicos — os detalhes de implementação evoluem com a arquitetura da plataforma e são tratados em documentação técnica interna, não neste documento.</w:t>
      </w:r>
    </w:p>
    <w:p>
      <w:pPr>
        <w:pStyle w:val="BodyText"/>
      </w:pPr>
      <w:r>
        <w:rPr>
          <w:b/>
        </w:rPr>
        <w:t xml:space="preserve">Última atualização:</w:t>
      </w:r>
      <w:r>
        <w:t xml:space="preserve"> </w:t>
      </w:r>
      <w:r>
        <w:t xml:space="preserve">31 de julho de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-e-escopo"/>
      <w:r>
        <w:t xml:space="preserve">1. Objetivo e Escopo</w:t>
      </w:r>
      <w:bookmarkEnd w:id="21"/>
    </w:p>
    <w:p>
      <w:pPr>
        <w:pStyle w:val="FirstParagraph"/>
      </w:pPr>
      <w:r>
        <w:t xml:space="preserve">Esta Política estabelece os princípios de segurança da informação adotados pela Flow Hub, servindo como referência interna e documento de accountability perante clientes, parceiros e a Autoridade Nacional de Proteção de Dados (ANPD). Aplica-se a toda a infraestrutura, aplicação, colaboradores e processos que tratam dados pessoais de clientes contratantes e de seus contatos finais.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lassificação-da-informação"/>
      <w:r>
        <w:t xml:space="preserve">2. Classificação da Informação</w:t>
      </w:r>
      <w:bookmarkEnd w:id="22"/>
    </w:p>
    <w:p>
      <w:pPr>
        <w:pStyle w:val="FirstParagraph"/>
      </w:pPr>
      <w:r>
        <w:t xml:space="preserve">As informações tratadas pela Flow Hub são classificadas conforme sua sensibilidade, para orientar o nível de controle de acesso e proteção aplicável: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Pública:</w:t>
      </w:r>
      <w:r>
        <w:t xml:space="preserve"> </w:t>
      </w:r>
      <w:r>
        <w:t xml:space="preserve">informações institucionais e de marketing, sem restrição de acesso.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Uso interno:</w:t>
      </w:r>
      <w:r>
        <w:t xml:space="preserve"> </w:t>
      </w:r>
      <w:r>
        <w:t xml:space="preserve">informações operacionais da empresa, sem sensibilidade especial, mas não destinadas à divulgação externa.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Confidencial:</w:t>
      </w:r>
      <w:r>
        <w:t xml:space="preserve"> </w:t>
      </w:r>
      <w:r>
        <w:t xml:space="preserve">dados de clientes contratantes e de seus contatos finais, informações comerciais e contratuais.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Restrita:</w:t>
      </w:r>
      <w:r>
        <w:t xml:space="preserve"> </w:t>
      </w:r>
      <w:r>
        <w:t xml:space="preserve">credenciais de acesso, chaves de API, segredos de infraestrutura e dados financeiros sensíveis, com acesso limitado a pessoas estritamente autorizadas.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gestão-de-ativos"/>
      <w:r>
        <w:t xml:space="preserve">3. Gestão de Ativos</w:t>
      </w:r>
      <w:bookmarkEnd w:id="23"/>
    </w:p>
    <w:p>
      <w:pPr>
        <w:pStyle w:val="FirstParagraph"/>
      </w:pPr>
      <w:r>
        <w:t xml:space="preserve">A Flow Hub mantém responsáveis definidos pelos principais ativos de informação da plataforma: base de código-fonte, banco de dados e infraestrutura de hospedagem, credenciais e segredos de acesso, e documentação de processos. A responsabilidade por cada ativo inclui zelar por sua integridade, disponibilidade e controle de acesso adequado.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gestão-de-riscos"/>
      <w:r>
        <w:t xml:space="preserve">4. Gestão de Riscos</w:t>
      </w:r>
      <w:bookmarkEnd w:id="24"/>
    </w:p>
    <w:p>
      <w:pPr>
        <w:pStyle w:val="FirstParagraph"/>
      </w:pPr>
      <w:r>
        <w:t xml:space="preserve">A Flow Hub avalia periodicamente os riscos de segurança e privacidade associados à sua arquitetura e operação, priorizando tratamento conforme impacto potencial e probabilidade. Essa avaliação é revisada sempre que uma mudança relevante é introduzida na plataforma (nova integração, novo fluxo de dados, nova funcionalidade com tratamento de dados pessoais), e à medida que a empresa cresce, esse processo tende a se formalizar em um registro de riscos estruturado.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e9dad5d7f9f134f76b11864b2b092a3d7998a2"/>
      <w:r>
        <w:t xml:space="preserve">5. Controle de Acesso e Gestão de Identidade</w:t>
      </w:r>
      <w:bookmarkEnd w:id="25"/>
    </w:p>
    <w:p>
      <w:pPr>
        <w:pStyle w:val="FirstParagraph"/>
      </w:pPr>
      <w:r>
        <w:t xml:space="preserve">O acesso à plataforma é segmentado por conta (multi-tenant), com hierarquia de papéis — proprietário, administrador, agente e visualizador — cada um com permissões progressivamente mais restritas. A autenticação de usuários é realizada por meio de provedor de identidade dedicado. A Flow Hub busca adotar boas práticas de autenticação, incluindo o incentivo ao uso de autenticação multifator quando disponível, e políticas de senha alinhadas a padrões de mercado.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gestão-de-acessos-privilegiados"/>
      <w:r>
        <w:t xml:space="preserve">6. Gestão de Acessos Privilegiados</w:t>
      </w:r>
      <w:bookmarkEnd w:id="26"/>
    </w:p>
    <w:p>
      <w:pPr>
        <w:pStyle w:val="FirstParagraph"/>
      </w:pPr>
      <w:r>
        <w:t xml:space="preserve">O acesso administrativo de mais alto nível (com visibilidade sobre todas as contas da plataforma) é restrito a um grupo controlado de pessoas, com processo formal de concessão e revogação, travas contra auto-revogação e contra a remoção do último administrador do sistema, e trilha de auditoria completa (quem concedeu/revogou, para quem, quando). A relação de pessoas com esse nível de acesso deve ser revisada periodicamente, para garantir que permaneça restrita ao estritamente necessário.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solamento-de-dados-entre-clientes"/>
      <w:r>
        <w:t xml:space="preserve">7. Isolamento de Dados entre Clientes</w:t>
      </w:r>
      <w:bookmarkEnd w:id="27"/>
    </w:p>
    <w:p>
      <w:pPr>
        <w:pStyle w:val="FirstParagraph"/>
      </w:pPr>
      <w:r>
        <w:t xml:space="preserve">Todos os dados são isolados logicamente por conta — cada operação é automaticamente restrita aos dados da conta à qual o usuário autenticado pertence, incluindo mecanismos de validação em múltiplas camadas para reduzir o risco de acesso indevido entre contas. Endpoints sensíveis (exportação, anonimização e alteração de consentimento de contatos) possuem verificação de propriedade de conta em mais de uma camada de proteção.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riptografia"/>
      <w:r>
        <w:t xml:space="preserve">8. Criptografia</w:t>
      </w:r>
      <w:bookmarkEnd w:id="28"/>
    </w:p>
    <w:p>
      <w:pPr>
        <w:pStyle w:val="FirstParagraph"/>
      </w:pPr>
      <w:r>
        <w:t xml:space="preserve">Credenciais sensíveis armazenadas pela plataforma — como tokens de integração com serviços de mensageria e chaves de API de provedores de Inteligência Artificial fornecidas pelos clientes (modelo BYOK/BYOA) — são criptografadas em repouso utilizando mecanismos criptográficos adequados ao tipo de dado tratado, seguindo práticas reconhecidas de mercado. Toda comunicação com a plataforma ocorre por meio de conexões criptografadas.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egurança-de-arquivos-e-mídia"/>
      <w:r>
        <w:t xml:space="preserve">9. Segurança de Arquivos e Mídia</w:t>
      </w:r>
      <w:bookmarkEnd w:id="29"/>
    </w:p>
    <w:p>
      <w:pPr>
        <w:pStyle w:val="FirstParagraph"/>
      </w:pPr>
      <w:r>
        <w:t xml:space="preserve">Arquivos de mídia trocados em conversas e demais anexos são armazenados de forma privada, sem acesso público direto. A entrega de mídia a serviços externos ocorre por meio de mecanismos de acesso temporário e controlado, nunca por links permanentes e públicos.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gurança-de-aplicação"/>
      <w:r>
        <w:t xml:space="preserve">10. Segurança de Aplicação</w:t>
      </w:r>
      <w:bookmarkEnd w:id="30"/>
    </w:p>
    <w:p>
      <w:pPr>
        <w:pStyle w:val="FirstParagraph"/>
      </w:pPr>
      <w:r>
        <w:t xml:space="preserve">A plataforma adota mecanismos de limitação de requisições contra abuso e mecanismos de proteção contra ataques comuns ao navegador (como restrição de origens de scripts e conexões de rede autorizadas), revisados periodicamente conforme a evolução de boas práticas de mercado.</w:t>
      </w:r>
    </w:p>
    <w:p>
      <w:pPr>
        <w:pStyle w:val="BodyText"/>
      </w:pPr>
      <w:r>
        <w:t xml:space="preserve">As preferências de consentimento de cookies são armazenadas de forma separada dos mecanismos de autenticação da plataforma, e não são utilizadas para criação de perfis de usuários.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d9eb21af5a4c59ba4f5012a4b636240a55a21bd"/>
      <w:r>
        <w:t xml:space="preserve">11. Segurança do Assistente de Inteligência Artificial</w:t>
      </w:r>
      <w:bookmarkEnd w:id="31"/>
    </w:p>
    <w:p>
      <w:pPr>
        <w:pStyle w:val="FirstParagraph"/>
      </w:pPr>
      <w:r>
        <w:t xml:space="preserve">O assistente de IA implementa mecanismos de proteção destinados à identificação de tentativas de manipulação (como injeção de comandos e tentativas de jailbreak) por eles identificadas, podendo bloquear a interação, registrar o evento de segurança e encaminhar o atendimento a um agente humano quando apropriado. O assistente não possui autonomia para executar ações com efeito jurídico ou financeiro sobre os sistemas do cliente.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gestão-de-vulnerabilidades"/>
      <w:r>
        <w:t xml:space="preserve">12. Gestão de Vulnerabilidades</w:t>
      </w:r>
      <w:bookmarkEnd w:id="32"/>
    </w:p>
    <w:p>
      <w:pPr>
        <w:pStyle w:val="FirstParagraph"/>
      </w:pPr>
      <w:r>
        <w:t xml:space="preserve">Vulnerabilidades identificadas — por meio de monitoramento próprio, relato de terceiros ou atualização de dependências — são avaliadas quanto ao impacto e criticidade, priorizadas conforme risco, e tratadas dentro de prazos definidos internamente conforme sua severidade.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gestão-de-mudanças"/>
      <w:r>
        <w:t xml:space="preserve">13. Gestão de Mudanças</w:t>
      </w:r>
      <w:bookmarkEnd w:id="33"/>
    </w:p>
    <w:p>
      <w:pPr>
        <w:pStyle w:val="FirstParagraph"/>
      </w:pPr>
      <w:r>
        <w:t xml:space="preserve">Mudanças relevantes na aplicação passam por revisão antes da implantação em produção, incluindo verificação automatizada de qualidade (testes e checagem de tipos) como parte do processo de integração contínua.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mbientes-de-desenvolvimento-e-produção"/>
      <w:r>
        <w:t xml:space="preserve">14. Ambientes de Desenvolvimento e Produção</w:t>
      </w:r>
      <w:bookmarkEnd w:id="34"/>
    </w:p>
    <w:p>
      <w:pPr>
        <w:pStyle w:val="FirstParagraph"/>
      </w:pPr>
      <w:r>
        <w:t xml:space="preserve">O desenvolvimento da plataforma ocorre em ambiente local separado do ambiente de produção. Atualmente, considerando o estágio operacional da plataforma, mudanças aprovadas são implantadas em produção mediante o processo de revisão e validação técnica descrito na Cláusula 13, incluindo verificação automatizada de qualidade. A adoção de um ambiente de homologação intermediário persistente é um item avaliado para evolução futura do processo de desenvolvimento, à medida que a complexidade da plataforma e da equipe justifique essa etapa adicional.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monitoramento-e-detecção"/>
      <w:r>
        <w:t xml:space="preserve">15. Monitoramento e Detecção</w:t>
      </w:r>
      <w:bookmarkEnd w:id="35"/>
    </w:p>
    <w:p>
      <w:pPr>
        <w:pStyle w:val="FirstParagraph"/>
      </w:pPr>
      <w:r>
        <w:t xml:space="preserve">A plataforma utiliza captura automatizada de exceções de aplicação e verificação periódica de disponibilidade dos serviços. Eventos de segurança relevantes — incluindo tentativas críticas de manipulação do assistente de IA e alterações em acessos privilegiados — geram alerta em tempo hábil para a equipe operacional responsável.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gestão-de-logs"/>
      <w:r>
        <w:t xml:space="preserve">16. Gestão de Logs</w:t>
      </w:r>
      <w:bookmarkEnd w:id="36"/>
    </w:p>
    <w:p>
      <w:pPr>
        <w:pStyle w:val="FirstParagraph"/>
      </w:pPr>
      <w:r>
        <w:t xml:space="preserve">Os registros técnicos e de auditoria mantidos pela plataforma observam controle de acesso restrito, prazo de retenção definido conforme a finalidade de cada registro, e sincronização temporal consistente, de modo a preservar sua utilidade para investigação e auditoria.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continuidade-de-negócios-e-backup"/>
      <w:r>
        <w:t xml:space="preserve">17. Continuidade de Negócios e Backup</w:t>
      </w:r>
      <w:bookmarkEnd w:id="37"/>
    </w:p>
    <w:p>
      <w:pPr>
        <w:pStyle w:val="FirstParagraph"/>
      </w:pPr>
      <w:r>
        <w:t xml:space="preserve">O banco de dados relacional possui rotina de backup automatizado. Os backups atualmente abrangem o banco de dados relacional; a estratégia de proteção de arquivos armazenados em outras camadas de armazenamento é periodicamente reavaliada conforme a evolução da plataforma e dos requisitos de negócio. A Flow Hub busca manter objetivos razoáveis de tempo e ponto de recuperação, a serem formalizados numericamente à medida que a operação amadurecer.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gestão-de-dispositivos-e-acesso-remoto"/>
      <w:r>
        <w:t xml:space="preserve">18. Gestão de Dispositivos e Acesso Remoto</w:t>
      </w:r>
      <w:bookmarkEnd w:id="38"/>
    </w:p>
    <w:p>
      <w:pPr>
        <w:pStyle w:val="FirstParagraph"/>
      </w:pPr>
      <w:r>
        <w:t xml:space="preserve">Colaboradores e prestadores com acesso a sistemas de produção devem observar práticas adequadas de segurança em seus dispositivos, incluindo controle de acesso, proteção contra software malicioso e cuidado no manuseio de credenciais, mesmo em ambiente de trabalho remoto. Esse tema é candidato a política dedicada à medida que a equipe cresça.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nscientização-e-treinamento"/>
      <w:r>
        <w:t xml:space="preserve">19. Conscientização e Treinamento</w:t>
      </w:r>
      <w:bookmarkEnd w:id="39"/>
    </w:p>
    <w:p>
      <w:pPr>
        <w:pStyle w:val="FirstParagraph"/>
      </w:pPr>
      <w:r>
        <w:t xml:space="preserve">A Flow Hub busca manter seus colaboradores informados sobre práticas de segurança da informação e proteção de dados pessoais relevantes às suas funções, promovendo essa conscientização de forma contínua conforme a equipe se expande.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0b05d724925fcdf288246b163138128abc02d5e"/>
      <w:r>
        <w:t xml:space="preserve">20. Gestão de Fornecedores e Cadeia de Suprimentos</w:t>
      </w:r>
      <w:bookmarkEnd w:id="40"/>
    </w:p>
    <w:p>
      <w:pPr>
        <w:pStyle w:val="FirstParagraph"/>
      </w:pPr>
      <w:r>
        <w:t xml:space="preserve">Fornecedores de infraestrutura, pagamento e demais serviços essenciais à operação da plataforma são selecionados considerando práticas de segurança reconhecidas no mercado. Integrações de mensageria e de Inteligência Artificial seguem o modelo BYOK/BYOA, com credenciais e responsabilidade contratual do próprio cliente perante esses fornecedores. O inventário detalhado de operadores e suboperadores consta do Registro das Operações de Tratamento (RAT).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esposta-a-incidentes"/>
      <w:r>
        <w:t xml:space="preserve">21. Resposta a Incidentes</w:t>
      </w:r>
      <w:bookmarkEnd w:id="41"/>
    </w:p>
    <w:p>
      <w:pPr>
        <w:pStyle w:val="FirstParagraph"/>
      </w:pPr>
      <w:r>
        <w:t xml:space="preserve">A Flow Hub mantém Plano de Resposta a Incidentes de Segurança específico, que detalha o processo de detecção, contenção, avaliação de severidade, notificação à ANPD e aos titulares afetados quando aplicável, remediação e registro de lições aprendidas, em conformidade com o Art. 48 da LGPD.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visão-desta-política"/>
      <w:r>
        <w:t xml:space="preserve">22. Revisão desta Política</w:t>
      </w:r>
      <w:bookmarkEnd w:id="42"/>
    </w:p>
    <w:p>
      <w:pPr>
        <w:pStyle w:val="FirstParagraph"/>
      </w:pPr>
      <w:r>
        <w:t xml:space="preserve">Esta Política deve ser revisada sempre que houver mudança relevante na arquitetura de segurança da plataforma, e ao menos uma vez por ano.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FLOW SYSTEMS LTDA — CNPJ 62.479.299/0001-66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2026-07-31T17:00:47Z</dcterms:created>
  <dcterms:modified xsi:type="dcterms:W3CDTF">2026-07-31T17:00:47Z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