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olítica-de-privacidade-flow-hub"/>
      <w:r>
        <w:t xml:space="preserve">Política de Privacidade — Flow Hub</w:t>
      </w:r>
      <w:bookmarkEnd w:id="20"/>
    </w:p>
    <w:p>
      <w:pPr>
        <w:pStyle w:val="FirstParagraph"/>
      </w:pPr>
      <w:r>
        <w:rPr>
          <w:b/>
        </w:rPr>
        <w:t xml:space="preserve">Flow Hub</w:t>
      </w:r>
      <w:r>
        <w:t xml:space="preserve"> </w:t>
      </w:r>
      <w:r>
        <w:t xml:space="preserve">é uma plataforma de CRM e atendimento via WhatsApp operada por</w:t>
      </w:r>
      <w:r>
        <w:t xml:space="preserve"> </w:t>
      </w:r>
      <w:r>
        <w:rPr>
          <w:b/>
        </w:rPr>
        <w:t xml:space="preserve">FLOW SYSTEMS LTDA</w:t>
      </w:r>
      <w:r>
        <w:t xml:space="preserve">, inscrita no CNPJ sob o nº 62.479.299/0001-66 (</w:t>
      </w:r>
      <w:r>
        <w:t xml:space="preserve">“</w:t>
      </w:r>
      <w:r>
        <w:t xml:space="preserve">Flow Hub</w:t>
      </w:r>
      <w:r>
        <w:t xml:space="preserve">”</w:t>
      </w:r>
      <w:r>
        <w:t xml:space="preserve">,</w:t>
      </w:r>
      <w:r>
        <w:t xml:space="preserve"> </w:t>
      </w:r>
      <w:r>
        <w:t xml:space="preserve">“</w:t>
      </w:r>
      <w:r>
        <w:t xml:space="preserve">nós</w:t>
      </w:r>
      <w:r>
        <w:t xml:space="preserve">”</w:t>
      </w:r>
      <w:r>
        <w:t xml:space="preserve">).</w:t>
      </w:r>
    </w:p>
    <w:p>
      <w:pPr>
        <w:pStyle w:val="BodyText"/>
      </w:pPr>
      <w:r>
        <w:t xml:space="preserve">Esta Política de Privacidade descreve como tratamos dados pessoais no âmbito da plataforma, em conformidade com a Lei nº 13.709/2018 (Lei Geral de Proteção de Dados Pessoais — LGPD).</w:t>
      </w:r>
    </w:p>
    <w:p>
      <w:pPr>
        <w:pStyle w:val="BodyText"/>
      </w:pPr>
      <w:r>
        <w:rPr>
          <w:b/>
        </w:rPr>
        <w:t xml:space="preserve">Última atualização:</w:t>
      </w:r>
      <w:r>
        <w:t xml:space="preserve"> </w:t>
      </w:r>
      <w:r>
        <w:t xml:space="preserve">31 de julho de 2026</w:t>
      </w:r>
    </w:p>
    <w:p>
      <w:r>
        <w:pict>
          <v:rect style="width:0;height:1.5pt" o:hralign="center" o:hrstd="t" o:hr="t"/>
        </w:pict>
      </w:r>
    </w:p>
    <w:p>
      <w:pPr>
        <w:pStyle w:val="Heading2"/>
      </w:pPr>
      <w:bookmarkStart w:id="21" w:name="Xe37b19ed769069c51850bb95060550da636a01a"/>
      <w:r>
        <w:t xml:space="preserve">1. Quem Somos e Papéis no Tratamento de Dados</w:t>
      </w:r>
      <w:bookmarkEnd w:id="21"/>
    </w:p>
    <w:p>
      <w:pPr>
        <w:pStyle w:val="FirstParagraph"/>
      </w:pPr>
      <w:r>
        <w:t xml:space="preserve">A Flow Hub assume papéis diferentes conforme o tipo de dado tratado, e é importante que isso esteja claro:</w:t>
      </w:r>
    </w:p>
    <w:p>
      <w:pPr>
        <w:pStyle w:val="BodyText"/>
      </w:pPr>
      <w:r>
        <w:rPr>
          <w:b/>
        </w:rPr>
        <w:t xml:space="preserve">Como Controladora</w:t>
      </w:r>
      <w:r>
        <w:t xml:space="preserve">, a Flow Hub trata os dados dos seus próprios clientes contratantes (razão social, CPF/CNPJ, dados de faturamento, dados de acesso dos usuários da conta — proprietário, administradores, agentes) para fins de prestação do serviço, cobrança e relacionamento comercial.</w:t>
      </w:r>
    </w:p>
    <w:p>
      <w:pPr>
        <w:pStyle w:val="BodyText"/>
      </w:pPr>
      <w:r>
        <w:rPr>
          <w:b/>
        </w:rPr>
        <w:t xml:space="preserve">Como Operadora</w:t>
      </w:r>
      <w:r>
        <w:t xml:space="preserve">, a Flow Hub trata os dados dos contatos finais que o cliente contratante gerencia dentro da plataforma (pessoas que conversam via WhatsApp com o negócio do cliente). Nesse caso,</w:t>
      </w:r>
      <w:r>
        <w:t xml:space="preserve"> </w:t>
      </w:r>
      <w:r>
        <w:rPr>
          <w:b/>
        </w:rPr>
        <w:t xml:space="preserve">o cliente contratante é o Controlador</w:t>
      </w:r>
      <w:r>
        <w:t xml:space="preserve"> </w:t>
      </w:r>
      <w:r>
        <w:t xml:space="preserve">desses dados — ele decide quais contatos cadastrar, quais informações registrar sobre eles e como utilizá-las. A Flow Hub processa esses dados conforme as instruções e configurações do próprio cliente, dentro da plataforma.</w:t>
      </w:r>
    </w:p>
    <w:p>
      <w:pPr>
        <w:pStyle w:val="BodyText"/>
      </w:pPr>
      <w:r>
        <w:t xml:space="preserve">A Flow Hub atua, portanto,</w:t>
      </w:r>
      <w:r>
        <w:t xml:space="preserve"> </w:t>
      </w:r>
      <w:r>
        <w:rPr>
          <w:b/>
        </w:rPr>
        <w:t xml:space="preserve">predominantemente como Operadora</w:t>
      </w:r>
      <w:r>
        <w:t xml:space="preserve"> </w:t>
      </w:r>
      <w:r>
        <w:t xml:space="preserve">em relação aos dados dos contatos finais, podendo atuar como</w:t>
      </w:r>
      <w:r>
        <w:t xml:space="preserve"> </w:t>
      </w:r>
      <w:r>
        <w:rPr>
          <w:b/>
        </w:rPr>
        <w:t xml:space="preserve">Controladora</w:t>
      </w:r>
      <w:r>
        <w:t xml:space="preserve"> </w:t>
      </w:r>
      <w:r>
        <w:t xml:space="preserve">em relação aos tratamentos necessários ao cumprimento de obrigações legais ou regulatórias, à segurança da plataforma, à prevenção a fraudes e à proteção da infraestrutura — inclusive quando esses tratamentos incidirem sobre dados de contatos finais (por exemplo, registros de segurança, auditoria e monitoramento técnico).</w:t>
      </w:r>
    </w:p>
    <w:p>
      <w:pPr>
        <w:pStyle w:val="BodyText"/>
      </w:pPr>
      <w:r>
        <w:t xml:space="preserve">Isso significa que, se você é um contato final de um negócio que usa a Flow Hub, seus direitos como titular devem ser majoritariamente exercidos junto a esse negócio (o Controlador), embora a Flow Hub também disponibilize canal próprio para dúvidas sobre o tratamento técnico dos dados (seção 14).</w:t>
      </w:r>
    </w:p>
    <w:p>
      <w:pPr>
        <w:pStyle w:val="BodyText"/>
      </w:pPr>
      <w:r>
        <w:t xml:space="preserve">A Flow Hub não utiliza dados dos contatos finais para finalidades próprias comerciais, publicidade, treinamento de modelos de inteligência artificial ou criação de perfis, salvo quando houver autorização legal ou contratual específica. Da mesma forma, a Flow Hub não permite que dados tratados na conta de um cliente contratante sejam utilizados para aprimorar ou treinar modelos de Inteligência Artificial em benefício de outro cliente contratante.</w:t>
      </w:r>
    </w:p>
    <w:p>
      <w:r>
        <w:pict>
          <v:rect style="width:0;height:1.5pt" o:hralign="center" o:hrstd="t" o:hr="t"/>
        </w:pict>
      </w:r>
    </w:p>
    <w:p>
      <w:pPr>
        <w:pStyle w:val="Heading2"/>
      </w:pPr>
      <w:bookmarkStart w:id="22" w:name="X45ea1e114b43c44f68218d72323c6966ead46a8"/>
      <w:r>
        <w:t xml:space="preserve">2. Modelo</w:t>
      </w:r>
      <w:r>
        <w:t xml:space="preserve"> </w:t>
      </w:r>
      <w:r>
        <w:t xml:space="preserve">“</w:t>
      </w:r>
      <w:r>
        <w:t xml:space="preserve">Traga sua Própria Credencial</w:t>
      </w:r>
      <w:r>
        <w:t xml:space="preserve">”</w:t>
      </w:r>
      <w:r>
        <w:t xml:space="preserve"> </w:t>
      </w:r>
      <w:r>
        <w:t xml:space="preserve">(BYOK/BYOA)</w:t>
      </w:r>
      <w:bookmarkEnd w:id="22"/>
    </w:p>
    <w:p>
      <w:pPr>
        <w:pStyle w:val="FirstParagraph"/>
      </w:pPr>
      <w:r>
        <w:t xml:space="preserve">A Flow Hub opera sob um modelo de</w:t>
      </w:r>
      <w:r>
        <w:t xml:space="preserve"> </w:t>
      </w:r>
      <w:r>
        <w:rPr>
          <w:b/>
        </w:rPr>
        <w:t xml:space="preserve">BYOK/BYOA (Bring Your Own Key / Bring Your Own Account)</w:t>
      </w:r>
      <w:r>
        <w:t xml:space="preserve"> </w:t>
      </w:r>
      <w:r>
        <w:t xml:space="preserve">para duas integrações centrais da plataforma:</w:t>
      </w:r>
    </w:p>
    <w:p>
      <w:pPr>
        <w:numPr>
          <w:ilvl w:val="0"/>
          <w:numId w:val="1001"/>
        </w:numPr>
        <w:pStyle w:val="Compact"/>
      </w:pPr>
      <w:r>
        <w:rPr>
          <w:b/>
        </w:rPr>
        <w:t xml:space="preserve">WhatsApp Business (Meta Cloud API):</w:t>
      </w:r>
      <w:r>
        <w:t xml:space="preserve"> </w:t>
      </w:r>
      <w:r>
        <w:t xml:space="preserve">cada cliente contratante conecta sua própria conta e credenciais oficiais da Meta. A relação contratual pelo uso da API do WhatsApp é entre o cliente contratante e a Meta Platforms, Inc. — a Flow Hub não é parte dessa relação, apenas fornece a interface técnica de integração.</w:t>
      </w:r>
    </w:p>
    <w:p>
      <w:pPr>
        <w:numPr>
          <w:ilvl w:val="0"/>
          <w:numId w:val="1001"/>
        </w:numPr>
        <w:pStyle w:val="Compact"/>
      </w:pPr>
      <w:r>
        <w:rPr>
          <w:b/>
        </w:rPr>
        <w:t xml:space="preserve">Assistente de Inteligência Artificial:</w:t>
      </w:r>
      <w:r>
        <w:t xml:space="preserve"> </w:t>
      </w:r>
      <w:r>
        <w:t xml:space="preserve">cada cliente contratante fornece sua própria chave de API de um provedor de modelos de linguagem (ex.: OpenAI ou qualquer serviço compatível com o padrão da OpenAI, escolhido livremente pelo cliente). A relação contratual e a responsabilidade pela escolha, contratação e segurança desse provedor são do cliente contratante — a Flow Hub não tem visibilidade, controle ou relação contratual com o provedor de IA escolhido.</w:t>
      </w:r>
    </w:p>
    <w:p>
      <w:pPr>
        <w:pStyle w:val="FirstParagraph"/>
      </w:pPr>
      <w:r>
        <w:t xml:space="preserve">Em ambos os casos, a Flow Hub armazena essas credenciais de forma criptografada, utilizando mecanismos criptográficos adequados ao tipo de dado tratado, seguindo práticas reconhecidas de mercado, e nunca as utiliza fora do contexto da conta que as configurou. A Flow Hub não garante que provedores externos utilizados pelo cliente contratante (Meta, provedor de IA escolhido) atendam aos mesmos padrões técnicos ou jurídicos por ela adotados.</w:t>
      </w:r>
    </w:p>
    <w:p>
      <w:r>
        <w:pict>
          <v:rect style="width:0;height:1.5pt" o:hralign="center" o:hrstd="t" o:hr="t"/>
        </w:pict>
      </w:r>
    </w:p>
    <w:p>
      <w:pPr>
        <w:pStyle w:val="Heading2"/>
      </w:pPr>
      <w:bookmarkStart w:id="23" w:name="dados-coletados"/>
      <w:r>
        <w:t xml:space="preserve">3. Dados Coletados</w:t>
      </w:r>
      <w:bookmarkEnd w:id="23"/>
    </w:p>
    <w:p>
      <w:pPr>
        <w:pStyle w:val="Heading3"/>
      </w:pPr>
      <w:bookmarkStart w:id="24" w:name="dados-do-cliente-contratante-conta"/>
      <w:r>
        <w:t xml:space="preserve">3.1 Dados do Cliente Contratante (conta)</w:t>
      </w:r>
      <w:bookmarkEnd w:id="24"/>
    </w:p>
    <w:p>
      <w:pPr>
        <w:pStyle w:val="FirstParagraph"/>
      </w:pPr>
      <w:r>
        <w:t xml:space="preserve">Nome/razão social, CPF ou CNPJ, endereço, telefone, e-mail, dados de usuários vinculados à conta (nome, e-mail, função/papel de acesso), dados de faturamento processados através do gateway de pagamento Asaas.</w:t>
      </w:r>
    </w:p>
    <w:p>
      <w:pPr>
        <w:pStyle w:val="Heading3"/>
      </w:pPr>
      <w:bookmarkStart w:id="25" w:name="Xcc8ee3c893f0febbf6eed4c815f6b68cfb7f267"/>
      <w:r>
        <w:t xml:space="preserve">3.2 Dados dos Contatos Finais (geridos pelo cliente dentro da plataforma)</w:t>
      </w:r>
      <w:bookmarkEnd w:id="25"/>
    </w:p>
    <w:p>
      <w:pPr>
        <w:pStyle w:val="FirstParagraph"/>
      </w:pPr>
      <w:r>
        <w:t xml:space="preserve">Nome, número de telefone (WhatsApp), e quaisquer outras informações que o cliente contratante opte por registrar no CRM (e-mail, empresa, tags, campos personalizados, histórico de conversas e mídias trocadas). O conteúdo dessas conversas é definido inteiramente pelo cliente contratante e pelos próprios contatos finais — a Flow Hub não define, filtra ou modera esse conteúdo.</w:t>
      </w:r>
    </w:p>
    <w:p>
      <w:pPr>
        <w:pStyle w:val="Heading3"/>
      </w:pPr>
      <w:bookmarkStart w:id="26" w:name="dados-de-uso-e-técnicos"/>
      <w:r>
        <w:t xml:space="preserve">3.3 Dados de Uso e Técnicos</w:t>
      </w:r>
      <w:bookmarkEnd w:id="26"/>
    </w:p>
    <w:p>
      <w:pPr>
        <w:pStyle w:val="FirstParagraph"/>
      </w:pPr>
      <w:r>
        <w:t xml:space="preserve">Dados de navegação e uso da plataforma coletados via Google Analytics 4 e Microsoft Clarity (ver seção 9), e logs técnicos necessários para segurança e operação — como endereço IP, navegador utilizado, data/hora e ação realizada — mantidos pelo tempo necessário para essas finalidades.</w:t>
      </w:r>
    </w:p>
    <w:p>
      <w:r>
        <w:pict>
          <v:rect style="width:0;height:1.5pt" o:hralign="center" o:hrstd="t" o:hr="t"/>
        </w:pict>
      </w:r>
    </w:p>
    <w:p>
      <w:pPr>
        <w:pStyle w:val="Heading2"/>
      </w:pPr>
      <w:bookmarkStart w:id="27" w:name="finalidade-e-base-legal-do-tratamento"/>
      <w:r>
        <w:t xml:space="preserve">4. Finalidade e Base Legal do Tratamento</w:t>
      </w:r>
      <w:bookmarkEnd w:id="27"/>
    </w:p>
    <w:p>
      <w:pPr>
        <w:pStyle w:val="FirstParagraph"/>
      </w:pPr>
      <w:r>
        <w:t xml:space="preserve">Tratamos dados pessoais para: (i) viabilizar a execução do contrato de prestação de serviço (Art. 7º, V, LGPD); (ii) cumprimento de obrigação legal ou regulatória, incluindo obrigações fiscais e contábeis (Art. 7º, II); (iii) legítimo interesse na segurança, prevenção a fraudes e melhoria da plataforma (Art. 7º, IX), sempre observando os direitos e liberdades fundamentais dos titulares; e (iv) execução de contrato ou procedimentos preliminares relacionados ao contrato do cliente contratante com seus próprios contatos, quando aplicável.</w:t>
      </w:r>
    </w:p>
    <w:p>
      <w:r>
        <w:pict>
          <v:rect style="width:0;height:1.5pt" o:hralign="center" o:hrstd="t" o:hr="t"/>
        </w:pict>
      </w:r>
    </w:p>
    <w:p>
      <w:pPr>
        <w:pStyle w:val="Heading2"/>
      </w:pPr>
      <w:bookmarkStart w:id="28" w:name="compartilhamento-de-dados-com-terceiros"/>
      <w:r>
        <w:t xml:space="preserve">5. Compartilhamento de Dados com Terceiros</w:t>
      </w:r>
      <w:bookmarkEnd w:id="28"/>
    </w:p>
    <w:p>
      <w:pPr>
        <w:pStyle w:val="FirstParagraph"/>
      </w:pPr>
      <w:r>
        <w:t xml:space="preserve">Dados pessoais podem ser compartilhados, na medida estritamente necessária, com:</w:t>
      </w:r>
    </w:p>
    <w:p>
      <w:pPr>
        <w:numPr>
          <w:ilvl w:val="0"/>
          <w:numId w:val="1002"/>
        </w:numPr>
        <w:pStyle w:val="Compact"/>
      </w:pPr>
      <w:r>
        <w:rPr>
          <w:b/>
        </w:rPr>
        <w:t xml:space="preserve">Meta Platforms, Inc.</w:t>
      </w:r>
      <w:r>
        <w:t xml:space="preserve"> </w:t>
      </w:r>
      <w:r>
        <w:t xml:space="preserve">— para envio e recebimento de mensagens via WhatsApp Business API, conforme a integração BYOK/BYOA do próprio cliente contratante.</w:t>
      </w:r>
    </w:p>
    <w:p>
      <w:pPr>
        <w:numPr>
          <w:ilvl w:val="0"/>
          <w:numId w:val="1002"/>
        </w:numPr>
        <w:pStyle w:val="Compact"/>
      </w:pPr>
      <w:r>
        <w:rPr>
          <w:b/>
        </w:rPr>
        <w:t xml:space="preserve">Provedor de Inteligência Artificial escolhido pelo cliente contratante</w:t>
      </w:r>
      <w:r>
        <w:t xml:space="preserve"> </w:t>
      </w:r>
      <w:r>
        <w:t xml:space="preserve">— quando o cliente ativa o assistente de IA, o conteúdo relevante da conversa é enviado ao endpoint configurado por ele (OpenAI ou compatível) para geração de resposta. A Flow Hub não seleciona nem controla esse provedor.</w:t>
      </w:r>
    </w:p>
    <w:p>
      <w:pPr>
        <w:numPr>
          <w:ilvl w:val="0"/>
          <w:numId w:val="1002"/>
        </w:numPr>
        <w:pStyle w:val="Compact"/>
      </w:pPr>
      <w:r>
        <w:rPr>
          <w:b/>
        </w:rPr>
        <w:t xml:space="preserve">Asaas Soluções de Pagamento</w:t>
      </w:r>
      <w:r>
        <w:t xml:space="preserve"> </w:t>
      </w:r>
      <w:r>
        <w:t xml:space="preserve">— para processamento de cobranças, emissão de faturas e dados fiscais do cliente contratante.</w:t>
      </w:r>
    </w:p>
    <w:p>
      <w:pPr>
        <w:numPr>
          <w:ilvl w:val="0"/>
          <w:numId w:val="1002"/>
        </w:numPr>
        <w:pStyle w:val="Compact"/>
      </w:pPr>
      <w:r>
        <w:rPr>
          <w:b/>
        </w:rPr>
        <w:t xml:space="preserve">Supabase (infraestrutura de banco de dados) e Vercel (hospedagem da aplicação)</w:t>
      </w:r>
      <w:r>
        <w:t xml:space="preserve"> </w:t>
      </w:r>
      <w:r>
        <w:t xml:space="preserve">— como operadores técnicos de infraestrutura, atuando sob instrução da Flow Hub.</w:t>
      </w:r>
    </w:p>
    <w:p>
      <w:pPr>
        <w:pStyle w:val="FirstParagraph"/>
      </w:pPr>
      <w:r>
        <w:t xml:space="preserve">Não vendemos dados pessoais a terceiros, nem os utilizamos para fins de publicidade de terceiros.</w:t>
      </w:r>
    </w:p>
    <w:p>
      <w:r>
        <w:pict>
          <v:rect style="width:0;height:1.5pt" o:hralign="center" o:hrstd="t" o:hr="t"/>
        </w:pict>
      </w:r>
    </w:p>
    <w:p>
      <w:pPr>
        <w:pStyle w:val="Heading2"/>
      </w:pPr>
      <w:bookmarkStart w:id="29" w:name="transferência-internacional-de-dados"/>
      <w:r>
        <w:t xml:space="preserve">6. Transferência Internacional de Dados</w:t>
      </w:r>
      <w:bookmarkEnd w:id="29"/>
    </w:p>
    <w:p>
      <w:pPr>
        <w:pStyle w:val="FirstParagraph"/>
      </w:pPr>
      <w:r>
        <w:t xml:space="preserve">A infraestrutura de banco de dados (Supabase) utilizada pela Flow Hub está hospedada na região</w:t>
      </w:r>
      <w:r>
        <w:t xml:space="preserve"> </w:t>
      </w:r>
      <w:r>
        <w:rPr>
          <w:b/>
        </w:rPr>
        <w:t xml:space="preserve">us-east-1 (Norte da Virgínia, Estados Unidos)</w:t>
      </w:r>
      <w:r>
        <w:t xml:space="preserve">, o que caracteriza transferência internacional de dados nos termos do Art. 33 da LGPD — inclusive em razão da utilização da infraestrutura dos demais provedores contratados pela Flow Hub ou escolhidos pelo próprio cliente contratante (por exemplo, Meta e o provedor de IA selecionado). Essa transferência é necessária para a prestação do serviço e ocorre para fornecedores reconhecidos no mercado e avaliados conforme critérios internos de contratação. A Flow Hub acompanha a evolução regulatória sobre transferência internacional e adotará salvaguardas adicionais caso venham a ser exigidas pela ANPD.</w:t>
      </w:r>
    </w:p>
    <w:p>
      <w:r>
        <w:pict>
          <v:rect style="width:0;height:1.5pt" o:hralign="center" o:hrstd="t" o:hr="t"/>
        </w:pict>
      </w:r>
    </w:p>
    <w:p>
      <w:pPr>
        <w:pStyle w:val="Heading2"/>
      </w:pPr>
      <w:bookmarkStart w:id="30" w:name="uso-de-inteligência-artificial"/>
      <w:r>
        <w:t xml:space="preserve">7. Uso de Inteligência Artificial</w:t>
      </w:r>
      <w:bookmarkEnd w:id="30"/>
    </w:p>
    <w:p>
      <w:pPr>
        <w:pStyle w:val="FirstParagraph"/>
      </w:pPr>
      <w:r>
        <w:t xml:space="preserve">Quando o cliente contratante ativa o assistente de IA da Flow Hub, esse assistente: (i) identifica-se explicitamente como assistente virtual automatizado nas conversas; (ii) foi projetado para responder prioritariamente com base nas informações cadastradas pelo próprio cliente contratante (base de conhecimento), podendo encaminhar o atendimento para um agente humano quando não houver informações suficientes ou quando houver baixa confiança na resposta; (iii) não possui autonomia para executar ações com efeito jurídico ou financeiro (não cancela pedidos, não aplica descontos, não altera cadastros) — atua apenas por texto e envio de mídias pré-aprovadas pelo cliente; (iv) possui detecção automática de tentativas de manipulação do assistente por meio de comandos maliciosos, e transfere a conversa para atendimento humano quando identifica tentativa de abuso.</w:t>
      </w:r>
    </w:p>
    <w:p>
      <w:pPr>
        <w:pStyle w:val="BodyText"/>
      </w:pPr>
      <w:r>
        <w:t xml:space="preserve">Os registros técnicos de cada execução da IA (mensagem recebida e resposta gerada) são mantidos por até 180 dias para fins de auditoria, segurança e suporte, após os quais o conteúdo textual é removido automaticamente, preservando-se apenas metadados técnicos agregados (modelo utilizado, tempo de execução, se houve transferência para humano).</w:t>
      </w:r>
    </w:p>
    <w:p>
      <w:r>
        <w:pict>
          <v:rect style="width:0;height:1.5pt" o:hralign="center" o:hrstd="t" o:hr="t"/>
        </w:pict>
      </w:r>
    </w:p>
    <w:p>
      <w:pPr>
        <w:pStyle w:val="Heading2"/>
      </w:pPr>
      <w:bookmarkStart w:id="31" w:name="segurança-da-informação"/>
      <w:r>
        <w:t xml:space="preserve">8. Segurança da Informação</w:t>
      </w:r>
      <w:bookmarkEnd w:id="31"/>
    </w:p>
    <w:p>
      <w:pPr>
        <w:pStyle w:val="FirstParagraph"/>
      </w:pPr>
      <w:r>
        <w:t xml:space="preserve">Adotamos medidas técnicas e administrativas para proteger os dados pessoais tratados, incluindo: mecanismos criptográficos adequados ao tipo de dado tratado, seguindo práticas reconhecidas de mercado; isolamento lógico entre clientes para impedir acesso cruzado entre contas; controle de acesso baseado em papéis; mecanismos de limitação de requisições contra abuso; mecanismos de proteção contra ataques ao navegador; e trilha de auditoria para ações administrativas privilegiadas (concessão/revogação de acesso de Super Admin). Mantemos um plano interno de resposta a incidentes de segurança, incluindo procedimento de avaliação e comunicação à Autoridade Nacional de Proteção de Dados (ANPD) e aos titulares afetados quando um incidente representar risco ou dano relevante, conforme Art. 48 da LGPD.</w:t>
      </w:r>
    </w:p>
    <w:p>
      <w:r>
        <w:pict>
          <v:rect style="width:0;height:1.5pt" o:hralign="center" o:hrstd="t" o:hr="t"/>
        </w:pict>
      </w:r>
    </w:p>
    <w:p>
      <w:pPr>
        <w:pStyle w:val="Heading2"/>
      </w:pPr>
      <w:bookmarkStart w:id="32" w:name="cookies-e-tecnologias-de-rastreamento"/>
      <w:r>
        <w:t xml:space="preserve">9. Cookies e Tecnologias de Rastreamento</w:t>
      </w:r>
      <w:bookmarkEnd w:id="32"/>
    </w:p>
    <w:p>
      <w:pPr>
        <w:pStyle w:val="FirstParagraph"/>
      </w:pPr>
      <w:r>
        <w:t xml:space="preserve">A plataforma utiliza um mecanismo próprio de gerenciamento de consentimento de cookies, com duas categorias:</w:t>
      </w:r>
    </w:p>
    <w:p>
      <w:pPr>
        <w:numPr>
          <w:ilvl w:val="0"/>
          <w:numId w:val="1003"/>
        </w:numPr>
        <w:pStyle w:val="Compact"/>
      </w:pPr>
      <w:r>
        <w:rPr>
          <w:b/>
        </w:rPr>
        <w:t xml:space="preserve">Cookies necessários:</w:t>
      </w:r>
      <w:r>
        <w:t xml:space="preserve"> </w:t>
      </w:r>
      <w:r>
        <w:t xml:space="preserve">utilizados para autenticação e funcionamento essencial da plataforma (por exemplo, manutenção da sessão do usuário). Esses cookies não dependem de consentimento, por serem estritamente necessários para fornecer o serviço solicitado por você.</w:t>
      </w:r>
    </w:p>
    <w:p>
      <w:pPr>
        <w:numPr>
          <w:ilvl w:val="0"/>
          <w:numId w:val="1003"/>
        </w:numPr>
        <w:pStyle w:val="Compact"/>
      </w:pPr>
      <w:r>
        <w:rPr>
          <w:b/>
        </w:rPr>
        <w:t xml:space="preserve">Cookies analíticos (opcionais):</w:t>
      </w:r>
      <w:r>
        <w:t xml:space="preserve"> </w:t>
      </w:r>
      <w:r>
        <w:t xml:space="preserve">utilizados por Google Analytics 4 e Microsoft Clarity para métricas de uso e experiência do usuário. Esses cookies e os scripts correspondentes</w:t>
      </w:r>
      <w:r>
        <w:t xml:space="preserve"> </w:t>
      </w:r>
      <w:r>
        <w:rPr>
          <w:b/>
        </w:rPr>
        <w:t xml:space="preserve">somente são carregados após seu consentimento explícito</w:t>
      </w:r>
      <w:r>
        <w:t xml:space="preserve">, dado por meio do banner ou do painel de preferências de cookies da plataforma. Se você optar por não aceitar cookies analíticos, nenhum dado seu é enviado a essas ferramentas.</w:t>
      </w:r>
    </w:p>
    <w:p>
      <w:pPr>
        <w:pStyle w:val="FirstParagraph"/>
      </w:pPr>
      <w:r>
        <w:t xml:space="preserve">Sua preferência de consentimento é armazenada localmente pela plataforma, para que a escolha seja respeitada em acessos futuros sem necessidade de solicitação repetida, e pode ser alterada a qualquer momento pelo painel de preferências de cookies disponível na plataforma. O tratamento realizado pelo Google Analytics 4 e pelo Microsoft Clarity, quando ativados, está sujeito às respectivas políticas de privacidade desses fornecedores. Detalhes adicionais sobre o uso de cookies constam da nossa Política de Cookies específica.</w:t>
      </w:r>
    </w:p>
    <w:p>
      <w:r>
        <w:pict>
          <v:rect style="width:0;height:1.5pt" o:hralign="center" o:hrstd="t" o:hr="t"/>
        </w:pict>
      </w:r>
    </w:p>
    <w:p>
      <w:pPr>
        <w:pStyle w:val="Heading2"/>
      </w:pPr>
      <w:bookmarkStart w:id="33" w:name="retenção-e-eliminação-de-dados"/>
      <w:r>
        <w:t xml:space="preserve">10. Retenção e Eliminação de Dados</w:t>
      </w:r>
      <w:bookmarkEnd w:id="33"/>
    </w:p>
    <w:p>
      <w:pPr>
        <w:pStyle w:val="FirstParagraph"/>
      </w:pPr>
      <w:r>
        <w:t xml:space="preserve">Os dados da conta do cliente contratante são mantidos enquanto o contrato estiver vigente. Em caso de cancelamento ou inadimplência não regularizada, aplica-se um período de carência de</w:t>
      </w:r>
      <w:r>
        <w:t xml:space="preserve"> </w:t>
      </w:r>
      <w:r>
        <w:rPr>
          <w:b/>
        </w:rPr>
        <w:t xml:space="preserve">90 dias corridos</w:t>
      </w:r>
      <w:r>
        <w:t xml:space="preserve">, após o qual os dados da conta são definitivamente eliminados de forma automatizada — exceto registros fiscais/contábeis (como faturas), que são preservados por obrigação legal mesmo após a exclusão da conta, e salvo quando houver obrigação legal, regulatória ou ordem judicial que imponha retenção por prazo superior.</w:t>
      </w:r>
    </w:p>
    <w:p>
      <w:pPr>
        <w:pStyle w:val="BodyText"/>
      </w:pPr>
      <w:r>
        <w:t xml:space="preserve">Quando um contato final solicita a eliminação de seus dados (ver seção 11), removemos permanentemente os campos identificáveis do cadastro (nome, e-mail, empresa, avatar). O número de telefone e o histórico de conversas são preservados, associados ao registro de atendimento do cliente contratante. Essa operação caracteriza</w:t>
      </w:r>
      <w:r>
        <w:t xml:space="preserve"> </w:t>
      </w:r>
      <w:r>
        <w:rPr>
          <w:b/>
        </w:rPr>
        <w:t xml:space="preserve">pseudonimização</w:t>
      </w:r>
      <w:r>
        <w:t xml:space="preserve">, e não anonimização plena nos termos do Art. 12 da LGPD — o telefone, ainda que desvinculado do nome, permanece um dado pessoal, por preservar a possibilidade razoável de identificação do titular. A retenção do telefone e do histórico após essa operação se dá com base no legítimo interesse do cliente contratante na manutenção do histórico de atendimento e/ou na execução do contrato entre o cliente contratante e o próprio titular, conforme aplicável — não na alegação de que o dado deixou de ser pessoal. Detalhes adicionais constam da Política de Retenção e Eliminação de Dados.</w:t>
      </w:r>
    </w:p>
    <w:p>
      <w:r>
        <w:pict>
          <v:rect style="width:0;height:1.5pt" o:hralign="center" o:hrstd="t" o:hr="t"/>
        </w:pict>
      </w:r>
    </w:p>
    <w:p>
      <w:pPr>
        <w:pStyle w:val="Heading2"/>
      </w:pPr>
      <w:bookmarkStart w:id="34" w:name="direitos-do-titular-art.-18-da-lgpd"/>
      <w:r>
        <w:t xml:space="preserve">11. Direitos do Titular (Art. 18 da LGPD)</w:t>
      </w:r>
      <w:bookmarkEnd w:id="34"/>
    </w:p>
    <w:p>
      <w:pPr>
        <w:pStyle w:val="FirstParagraph"/>
      </w:pPr>
      <w:r>
        <w:t xml:space="preserve">Você tem direito a: confirmação da existência de tratamento; acesso aos dados; correção de dados incompletos, inexatos ou desatualizados; anonimização, bloqueio ou eliminação de dados desnecessários ou tratados em desconformidade com a lei; portabilidade dos dados; eliminação dos dados tratados com consentimento; informação sobre entidades com as quais compartilhamos dados; informação sobre a possibilidade de não fornecer consentimento; e revogação do consentimento.</w:t>
      </w:r>
    </w:p>
    <w:p>
      <w:pPr>
        <w:pStyle w:val="BodyText"/>
      </w:pPr>
      <w:r>
        <w:t xml:space="preserve">Se você é um</w:t>
      </w:r>
      <w:r>
        <w:t xml:space="preserve"> </w:t>
      </w:r>
      <w:r>
        <w:rPr>
          <w:b/>
        </w:rPr>
        <w:t xml:space="preserve">contato final</w:t>
      </w:r>
      <w:r>
        <w:t xml:space="preserve"> </w:t>
      </w:r>
      <w:r>
        <w:t xml:space="preserve">gerido por um cliente contratante da Flow Hub, seu pedido deve ser dirigido, preferencialmente, diretamente a esse negócio. Caso prefira, pode também entrar em contato conosco (seção 14), e encaminharemos ou orientaremos conforme aplicável.</w:t>
      </w:r>
    </w:p>
    <w:p>
      <w:pPr>
        <w:pStyle w:val="BodyText"/>
      </w:pPr>
      <w:r>
        <w:t xml:space="preserve">Se você é um</w:t>
      </w:r>
      <w:r>
        <w:t xml:space="preserve"> </w:t>
      </w:r>
      <w:r>
        <w:rPr>
          <w:b/>
        </w:rPr>
        <w:t xml:space="preserve">usuário de uma conta contratante</w:t>
      </w:r>
      <w:r>
        <w:t xml:space="preserve"> </w:t>
      </w:r>
      <w:r>
        <w:t xml:space="preserve">(proprietário, administrador ou agente), seus pedidos referentes aos seus próprios dados de acesso podem ser dirigidos diretamente à Flow Hub.</w:t>
      </w:r>
    </w:p>
    <w:p>
      <w:pPr>
        <w:pStyle w:val="BodyText"/>
      </w:pPr>
      <w:r>
        <w:rPr>
          <w:b/>
        </w:rPr>
        <w:t xml:space="preserve">Prazo de resposta:</w:t>
      </w:r>
      <w:r>
        <w:t xml:space="preserve"> </w:t>
      </w:r>
      <w:r>
        <w:t xml:space="preserve">buscamos responder toda solicitação em até</w:t>
      </w:r>
      <w:r>
        <w:t xml:space="preserve"> </w:t>
      </w:r>
      <w:r>
        <w:rPr>
          <w:b/>
        </w:rPr>
        <w:t xml:space="preserve">15 (quinze) dias</w:t>
      </w:r>
      <w:r>
        <w:t xml:space="preserve">, observado o disposto na legislação aplicável, contados do recebimento do pedido.</w:t>
      </w:r>
    </w:p>
    <w:p>
      <w:r>
        <w:pict>
          <v:rect style="width:0;height:1.5pt" o:hralign="center" o:hrstd="t" o:hr="t"/>
        </w:pict>
      </w:r>
    </w:p>
    <w:p>
      <w:pPr>
        <w:pStyle w:val="Heading2"/>
      </w:pPr>
      <w:bookmarkStart w:id="35" w:name="menores-de-idade"/>
      <w:r>
        <w:t xml:space="preserve">12. Menores de Idade</w:t>
      </w:r>
      <w:bookmarkEnd w:id="35"/>
    </w:p>
    <w:p>
      <w:pPr>
        <w:pStyle w:val="FirstParagraph"/>
      </w:pPr>
      <w:r>
        <w:t xml:space="preserve">A plataforma não é destinada a menores de 18 anos e não realiza tratamento intencional de dados pessoais de crianças ou adolescentes. Caso identifiquemos que dados de um menor foram cadastrados sem a devida base legal, adotaremos as medidas cabíveis para sua eliminação.</w:t>
      </w:r>
    </w:p>
    <w:p>
      <w:r>
        <w:pict>
          <v:rect style="width:0;height:1.5pt" o:hralign="center" o:hrstd="t" o:hr="t"/>
        </w:pict>
      </w:r>
    </w:p>
    <w:p>
      <w:pPr>
        <w:pStyle w:val="Heading2"/>
      </w:pPr>
      <w:bookmarkStart w:id="36" w:name="alterações-desta-política"/>
      <w:r>
        <w:t xml:space="preserve">13. Alterações desta Política</w:t>
      </w:r>
      <w:bookmarkEnd w:id="36"/>
    </w:p>
    <w:p>
      <w:pPr>
        <w:pStyle w:val="FirstParagraph"/>
      </w:pPr>
      <w:r>
        <w:t xml:space="preserve">Esta Política pode ser atualizada periodicamente para refletir mudanças na plataforma ou na legislação aplicável. A data da última atualização estará sempre indicada no topo deste documento.</w:t>
      </w:r>
    </w:p>
    <w:p>
      <w:r>
        <w:pict>
          <v:rect style="width:0;height:1.5pt" o:hralign="center" o:hrstd="t" o:hr="t"/>
        </w:pict>
      </w:r>
    </w:p>
    <w:p>
      <w:pPr>
        <w:pStyle w:val="Heading2"/>
      </w:pPr>
      <w:bookmarkStart w:id="37" w:name="X7c7549bfb675fc05fc830631a2655a62271e917"/>
      <w:r>
        <w:t xml:space="preserve">14. Encarregado de Dados (DPO) e Canal de Contato</w:t>
      </w:r>
      <w:bookmarkEnd w:id="37"/>
    </w:p>
    <w:p>
      <w:pPr>
        <w:pStyle w:val="FirstParagraph"/>
      </w:pPr>
      <w:r>
        <w:t xml:space="preserve">Para exercer seus direitos como titular de dados ou esclarecer dúvidas sobre esta Política, entre em contato com nosso Encarregado de Proteção de Dados:</w:t>
      </w:r>
    </w:p>
    <w:p>
      <w:pPr>
        <w:pStyle w:val="BodyText"/>
      </w:pPr>
      <w:r>
        <w:rPr>
          <w:b/>
        </w:rPr>
        <w:t xml:space="preserve">E-mail:</w:t>
      </w:r>
      <w:r>
        <w:t xml:space="preserve"> </w:t>
      </w:r>
      <w:r>
        <w:t xml:space="preserve">flowsystems@flowofc.com.br</w:t>
      </w:r>
    </w:p>
    <w:p>
      <w:r>
        <w:pict>
          <v:rect style="width:0;height:1.5pt" o:hralign="center" o:hrstd="t" o:hr="t"/>
        </w:pict>
      </w:r>
    </w:p>
    <w:p>
      <w:pPr>
        <w:pStyle w:val="FirstParagraph"/>
      </w:pPr>
      <w:r>
        <w:rPr>
          <w:i/>
        </w:rPr>
        <w:t xml:space="preserve">FLOW SYSTEMS LTDA — CNPJ 62.479.299/0001-66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2026-07-31T17:00:46Z</dcterms:created>
  <dcterms:modified xsi:type="dcterms:W3CDTF">2026-07-31T17:00:46Z</dcterms:modified>
</cp:coreProperties>
</file>

<file path=docProps/custom.xml><?xml version="1.0" encoding="utf-8"?>
<Properties xmlns="http://schemas.openxmlformats.org/officeDocument/2006/custom-properties" xmlns:vt="http://schemas.openxmlformats.org/officeDocument/2006/docPropsVTypes"/>
</file>