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492b2817fdba3c42eac1bf34d6c1d257ae6ea85"/>
      <w:r>
        <w:t xml:space="preserve">Registro das Operações de Tratamento de Dados Pessoais (RAT) — Flow Hub</w:t>
      </w:r>
      <w:bookmarkEnd w:id="20"/>
    </w:p>
    <w:p>
      <w:pPr>
        <w:pStyle w:val="FirstParagraph"/>
      </w:pPr>
      <w:r>
        <w:t xml:space="preserve">Documento interno mantido por</w:t>
      </w:r>
      <w:r>
        <w:t xml:space="preserve"> </w:t>
      </w:r>
      <w:r>
        <w:rPr>
          <w:b/>
        </w:rPr>
        <w:t xml:space="preserve">FLOW SYSTEMS LTDA</w:t>
      </w:r>
      <w:r>
        <w:t xml:space="preserve"> </w:t>
      </w:r>
      <w:r>
        <w:t xml:space="preserve">(CNPJ 62.479.299/0001-66), nos termos do Art. 37 da Lei nº 13.709/2018 (LGPD), que exige que operadores mantenham registro das operações de tratamento de dados pessoais que realizam, especialmente quando baseadas no legítimo interesse.</w:t>
      </w:r>
    </w:p>
    <w:p>
      <w:pPr>
        <w:pStyle w:val="BodyText"/>
      </w:pPr>
      <w:r>
        <w:t xml:space="preserve">Este registro deve ser revisado sempre que houver mudança relevante nos fluxos de dados da plataforma, e pode ser solicitado pela Autoridade Nacional de Proteção de Dados (ANPD).</w:t>
      </w:r>
    </w:p>
    <w:p>
      <w:pPr>
        <w:pStyle w:val="BodyText"/>
      </w:pPr>
      <w:r>
        <w:rPr>
          <w:b/>
        </w:rPr>
        <w:t xml:space="preserve">Última atualização:</w:t>
      </w:r>
      <w:r>
        <w:t xml:space="preserve"> </w:t>
      </w:r>
      <w:r>
        <w:t xml:space="preserve">31 de julho de 2026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cadastro-de-conta-do-cliente-contratante"/>
      <w:r>
        <w:t xml:space="preserve">1. Cadastro de Conta do Cliente Contratante</w:t>
      </w:r>
      <w:bookmarkEnd w:id="21"/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Dados tratados:</w:t>
      </w:r>
      <w:r>
        <w:t xml:space="preserve"> </w:t>
      </w:r>
      <w:r>
        <w:t xml:space="preserve">razão social/nome, CPF ou CNPJ, endereço, telefone, e-mail, dados bancários/fiscais para faturamento.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Categoria de dados:</w:t>
      </w:r>
      <w:r>
        <w:t xml:space="preserve"> </w:t>
      </w:r>
      <w:r>
        <w:t xml:space="preserve">dados cadastrais e dados financeiros.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Titulares:</w:t>
      </w:r>
      <w:r>
        <w:t xml:space="preserve"> </w:t>
      </w:r>
      <w:r>
        <w:t xml:space="preserve">representantes e responsáveis pela conta do cliente contratante.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Dados sensíveis:</w:t>
      </w:r>
      <w:r>
        <w:t xml:space="preserve"> </w:t>
      </w:r>
      <w:r>
        <w:t xml:space="preserve">não há tratamento intencional de dados pessoais sensíveis.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Finalidade:</w:t>
      </w:r>
      <w:r>
        <w:t xml:space="preserve"> </w:t>
      </w:r>
      <w:r>
        <w:t xml:space="preserve">formalização e execução do contrato de prestação de serviço; emissão de cobranças e documentos fiscais.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Base legal:</w:t>
      </w:r>
      <w:r>
        <w:t xml:space="preserve"> </w:t>
      </w:r>
      <w:r>
        <w:t xml:space="preserve">execução de contrato (Art. 7º, V); cumprimento de obrigação legal/regulatória (Art. 7º, II).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Nível de risco:</w:t>
      </w:r>
      <w:r>
        <w:t xml:space="preserve"> </w:t>
      </w:r>
      <w:r>
        <w:t xml:space="preserve">baixo.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Papel da Flow Hub:</w:t>
      </w:r>
      <w:r>
        <w:t xml:space="preserve"> </w:t>
      </w:r>
      <w:r>
        <w:t xml:space="preserve">Controladora.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Compartilhamento:</w:t>
      </w:r>
      <w:r>
        <w:t xml:space="preserve"> </w:t>
      </w:r>
      <w:r>
        <w:t xml:space="preserve">Asaas Soluções de Pagamento (processamento de cobrança e dados fiscais).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Prazo de retenção:</w:t>
      </w:r>
      <w:r>
        <w:t xml:space="preserve"> </w:t>
      </w:r>
      <w:r>
        <w:t xml:space="preserve">durante a vigência da conta + 90 dias de carência após cancelamento; registros fiscais preservados por obrigação legal mesmo após exclusão da conta.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Medidas de segurança:</w:t>
      </w:r>
      <w:r>
        <w:t xml:space="preserve"> </w:t>
      </w:r>
      <w:r>
        <w:t xml:space="preserve">isolamento lógico por conta, controle de acesso por papel, criptografia de credenciais.</w:t>
      </w:r>
    </w:p>
    <w:p>
      <w:pPr>
        <w:pStyle w:val="Heading2"/>
      </w:pPr>
      <w:bookmarkStart w:id="22" w:name="X1d461f05e01087e694af0b3b2d45d568ad7d719"/>
      <w:r>
        <w:t xml:space="preserve">2. Usuários Vinculados à Conta (Perfis de Acesso)</w:t>
      </w:r>
      <w:bookmarkEnd w:id="22"/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Dados tratados:</w:t>
      </w:r>
      <w:r>
        <w:t xml:space="preserve"> </w:t>
      </w:r>
      <w:r>
        <w:t xml:space="preserve">nome, e-mail, avatar, papel de acesso (proprietário/administrador/agente/visualizador).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Categoria de dados:</w:t>
      </w:r>
      <w:r>
        <w:t xml:space="preserve"> </w:t>
      </w:r>
      <w:r>
        <w:t xml:space="preserve">dados cadastrais.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Titulares:</w:t>
      </w:r>
      <w:r>
        <w:t xml:space="preserve"> </w:t>
      </w:r>
      <w:r>
        <w:t xml:space="preserve">usuários do cliente contratante (proprietário, administradores, agentes, visualizadores).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Dados sensíveis:</w:t>
      </w:r>
      <w:r>
        <w:t xml:space="preserve"> </w:t>
      </w:r>
      <w:r>
        <w:t xml:space="preserve">não há tratamento intencional de dados pessoais sensíveis.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Finalidade:</w:t>
      </w:r>
      <w:r>
        <w:t xml:space="preserve"> </w:t>
      </w:r>
      <w:r>
        <w:t xml:space="preserve">autenticação, controle de acesso e colaboração dentro da conta do cliente.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Base legal:</w:t>
      </w:r>
      <w:r>
        <w:t xml:space="preserve"> </w:t>
      </w:r>
      <w:r>
        <w:t xml:space="preserve">execução de contrato (Art. 7º, V).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Nível de risco:</w:t>
      </w:r>
      <w:r>
        <w:t xml:space="preserve"> </w:t>
      </w:r>
      <w:r>
        <w:t xml:space="preserve">baixo.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Papel da Flow Hub:</w:t>
      </w:r>
      <w:r>
        <w:t xml:space="preserve"> </w:t>
      </w:r>
      <w:r>
        <w:t xml:space="preserve">Controladora.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Compartilhamento:</w:t>
      </w:r>
      <w:r>
        <w:t xml:space="preserve"> </w:t>
      </w:r>
      <w:r>
        <w:t xml:space="preserve">nenhum compartilhamento externo.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Prazo de retenção:</w:t>
      </w:r>
      <w:r>
        <w:t xml:space="preserve"> </w:t>
      </w:r>
      <w:r>
        <w:t xml:space="preserve">durante a vigência da conta; eliminado na purga definitiva após 90 dias de carência.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Medidas de segurança:</w:t>
      </w:r>
      <w:r>
        <w:t xml:space="preserve"> </w:t>
      </w:r>
      <w:r>
        <w:t xml:space="preserve">autenticação via provedor de identidade, isolamento lógico por conta, hierarquia de papéis.</w:t>
      </w:r>
    </w:p>
    <w:p>
      <w:pPr>
        <w:pStyle w:val="Heading2"/>
      </w:pPr>
      <w:bookmarkStart w:id="23" w:name="contatos-finais-geridos-pelo-cliente-crm"/>
      <w:r>
        <w:t xml:space="preserve">3. Contatos Finais Geridos pelo Cliente (CRM)</w:t>
      </w:r>
      <w:bookmarkEnd w:id="23"/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Dados tratados:</w:t>
      </w:r>
      <w:r>
        <w:t xml:space="preserve"> </w:t>
      </w:r>
      <w:r>
        <w:t xml:space="preserve">nome, telefone (WhatsApp), e-mail, empresa, campos personalizados, tags, status de consentimento/opt-out — todos definidos livremente pelo próprio cliente contratante.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Categoria de dados:</w:t>
      </w:r>
      <w:r>
        <w:t xml:space="preserve"> </w:t>
      </w:r>
      <w:r>
        <w:t xml:space="preserve">dados cadastrais e, eventualmente, dados comportamentais (histórico de interação), conforme o que o cliente contratante optar por registrar.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Titulares:</w:t>
      </w:r>
      <w:r>
        <w:t xml:space="preserve"> </w:t>
      </w:r>
      <w:r>
        <w:t xml:space="preserve">clientes, consumidores, leads e fornecedores do cliente contratante.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Dados sensíveis:</w:t>
      </w:r>
      <w:r>
        <w:t xml:space="preserve"> </w:t>
      </w:r>
      <w:r>
        <w:t xml:space="preserve">não há tratamento intencional de dados pessoais sensíveis por parte da Flow Hub; o cliente contratante é responsável por não inserir esse tipo de dado sem base legal adequada, e o titular do contato pode inserir dados de qualquer natureza no conteúdo livre das conversas (ver Operação 4).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Finalidade:</w:t>
      </w:r>
      <w:r>
        <w:t xml:space="preserve"> </w:t>
      </w:r>
      <w:r>
        <w:t xml:space="preserve">viabilizar a gestão de relacionamento e atendimento do cliente contratante com seus próprios contatos.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Base legal:</w:t>
      </w:r>
      <w:r>
        <w:t xml:space="preserve"> </w:t>
      </w:r>
      <w:r>
        <w:t xml:space="preserve">conforme a base legal definida pelo cliente contratante, na qualidade de Controlador.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Nível de risco:</w:t>
      </w:r>
      <w:r>
        <w:t xml:space="preserve"> </w:t>
      </w:r>
      <w:r>
        <w:t xml:space="preserve">médio.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Papel da Flow Hub:</w:t>
      </w:r>
      <w:r>
        <w:t xml:space="preserve"> </w:t>
      </w:r>
      <w:r>
        <w:t xml:space="preserve">Operadora.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Compartilhamento:</w:t>
      </w:r>
      <w:r>
        <w:t xml:space="preserve"> </w:t>
      </w:r>
      <w:r>
        <w:t xml:space="preserve">Meta Platforms, Inc. (envio/recebimento de mensagens via WhatsApp, sob credenciais do próprio cliente).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Prazo de retenção:</w:t>
      </w:r>
      <w:r>
        <w:t xml:space="preserve"> </w:t>
      </w:r>
      <w:r>
        <w:t xml:space="preserve">enquanto a conta do cliente estiver ativa; mediante solicitação do titular, os campos identificáveis (nome, e-mail, empresa) são removidos, com telefone e histórico de conversas preservados como registro de atendimento — operação que caracteriza pseudonimização, e não anonimização plena nos termos do Art. 12 da LGPD, conforme detalhado na Política de Retenção e Eliminação de Dados.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Medidas de segurança:</w:t>
      </w:r>
      <w:r>
        <w:t xml:space="preserve"> </w:t>
      </w:r>
      <w:r>
        <w:t xml:space="preserve">isolamento lógico por conta, endpoints de exportação/remoção de identificadores com verificação de propriedade por conta.</w:t>
      </w:r>
    </w:p>
    <w:p>
      <w:pPr>
        <w:pStyle w:val="Heading2"/>
      </w:pPr>
      <w:bookmarkStart w:id="24" w:name="X05a8bd560442aa6a2c37a13ad0e20f5cd08509b"/>
      <w:r>
        <w:t xml:space="preserve">4. Conversas e Mídias Trocadas (Mensagens, Imagens, Áudios, Documentos)</w:t>
      </w:r>
      <w:bookmarkEnd w:id="24"/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Dados tratados:</w:t>
      </w:r>
      <w:r>
        <w:t xml:space="preserve"> </w:t>
      </w:r>
      <w:r>
        <w:t xml:space="preserve">conteúdo textual das mensagens, mídias anexadas (buckets</w:t>
      </w:r>
      <w:r>
        <w:t xml:space="preserve"> </w:t>
      </w:r>
      <w:r>
        <w:rPr>
          <w:rStyle w:val="VerbatimChar"/>
        </w:rPr>
        <w:t xml:space="preserve">chat-media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flow-media</w:t>
      </w:r>
      <w:r>
        <w:t xml:space="preserve">).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Categoria de dados:</w:t>
      </w:r>
      <w:r>
        <w:t xml:space="preserve"> </w:t>
      </w:r>
      <w:r>
        <w:t xml:space="preserve">dados comportamentais e de comunicação; podem eventualmente conter dados sensíveis, caso o próprio titular os insira livremente no conteúdo da conversa.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Titulares:</w:t>
      </w:r>
      <w:r>
        <w:t xml:space="preserve"> </w:t>
      </w:r>
      <w:r>
        <w:t xml:space="preserve">clientes, consumidores e leads do cliente contratante.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Dados sensíveis:</w:t>
      </w:r>
      <w:r>
        <w:t xml:space="preserve"> </w:t>
      </w:r>
      <w:r>
        <w:t xml:space="preserve">não há tratamento intencional; o conteúdo é de livre digitação das partes da conversa e não é filtrado ou moderado pela Flow Hub.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Finalidade:</w:t>
      </w:r>
      <w:r>
        <w:t xml:space="preserve"> </w:t>
      </w:r>
      <w:r>
        <w:t xml:space="preserve">registro do histórico de atendimento entre o cliente contratante e seus contatos.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Base legal:</w:t>
      </w:r>
      <w:r>
        <w:t xml:space="preserve"> </w:t>
      </w:r>
      <w:r>
        <w:t xml:space="preserve">conforme a base legal definida pelo cliente contratante (Controlador); legítimo interesse da Flow Hub na integridade operacional do serviço.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Nível de risco:</w:t>
      </w:r>
      <w:r>
        <w:t xml:space="preserve"> </w:t>
      </w:r>
      <w:r>
        <w:t xml:space="preserve">médio.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Papel da Flow Hub:</w:t>
      </w:r>
      <w:r>
        <w:t xml:space="preserve"> </w:t>
      </w:r>
      <w:r>
        <w:t xml:space="preserve">predominantemente Operadora, podendo atuar como Controladora quanto aos tratamentos necessários à segurança da plataforma e à integridade operacional do serviço.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Compartilhamento:</w:t>
      </w:r>
      <w:r>
        <w:t xml:space="preserve"> </w:t>
      </w:r>
      <w:r>
        <w:t xml:space="preserve">Meta Platforms, Inc. (entrega de mídia via WhatsApp, através de URL assinada e temporária).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Prazo de retenção:</w:t>
      </w:r>
      <w:r>
        <w:t xml:space="preserve"> </w:t>
      </w:r>
      <w:r>
        <w:t xml:space="preserve">retido como histórico de atendimento; eliminado na purga definitiva da conta.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Medidas de segurança:</w:t>
      </w:r>
      <w:r>
        <w:t xml:space="preserve"> </w:t>
      </w:r>
      <w:r>
        <w:t xml:space="preserve">buckets privados (isolamento lógico por conta), URLs assinadas de curta duração para entrega, sem exposição pública.</w:t>
      </w:r>
    </w:p>
    <w:p>
      <w:pPr>
        <w:pStyle w:val="Heading2"/>
      </w:pPr>
      <w:bookmarkStart w:id="25" w:name="Xe8d22fb849ba1269ec2cae929faadc8392985d5"/>
      <w:r>
        <w:t xml:space="preserve">5. Biblioteca de Mídia e Base de Conhecimento da IA</w:t>
      </w:r>
      <w:bookmarkEnd w:id="25"/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Dados tratados:</w:t>
      </w:r>
      <w:r>
        <w:t xml:space="preserve"> </w:t>
      </w:r>
      <w:r>
        <w:t xml:space="preserve">documentos, imagens e textos cadastrados pelo cliente contratante para uso pelo assistente de IA (bucket</w:t>
      </w:r>
      <w:r>
        <w:t xml:space="preserve"> </w:t>
      </w:r>
      <w:r>
        <w:rPr>
          <w:rStyle w:val="VerbatimChar"/>
        </w:rPr>
        <w:t xml:space="preserve">ai-service-media</w:t>
      </w:r>
      <w:r>
        <w:t xml:space="preserve">, tabela</w:t>
      </w:r>
      <w:r>
        <w:t xml:space="preserve"> </w:t>
      </w:r>
      <w:r>
        <w:rPr>
          <w:rStyle w:val="VerbatimChar"/>
        </w:rPr>
        <w:t xml:space="preserve">ai_knowledge_base</w:t>
      </w:r>
      <w:r>
        <w:t xml:space="preserve">).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Categoria de dados:</w:t>
      </w:r>
      <w:r>
        <w:t xml:space="preserve"> </w:t>
      </w:r>
      <w:r>
        <w:t xml:space="preserve">conteúdo comercial/institucional cadastrado pelo cliente; via de regra não constitui dado pessoal, salvo se o cliente optar por incluir informações pessoais em seu conteúdo.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Titulares:</w:t>
      </w:r>
      <w:r>
        <w:t xml:space="preserve"> </w:t>
      </w:r>
      <w:r>
        <w:t xml:space="preserve">normalmente não há titular pessoa física direta; caso o cliente inclua dados pessoais no conteúdo, aplica-se o mesmo tratamento da Operação 3.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Dados sensíveis:</w:t>
      </w:r>
      <w:r>
        <w:t xml:space="preserve"> </w:t>
      </w:r>
      <w:r>
        <w:t xml:space="preserve">não há tratamento intencional de dados pessoais sensíveis.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Finalidade:</w:t>
      </w:r>
      <w:r>
        <w:t xml:space="preserve"> </w:t>
      </w:r>
      <w:r>
        <w:t xml:space="preserve">subsidiar as respostas do assistente de IA durante o atendimento automatizado.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Base legal:</w:t>
      </w:r>
      <w:r>
        <w:t xml:space="preserve"> </w:t>
      </w:r>
      <w:r>
        <w:t xml:space="preserve">conforme a base legal definida pelo cliente contratante.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Nível de risco:</w:t>
      </w:r>
      <w:r>
        <w:t xml:space="preserve"> </w:t>
      </w:r>
      <w:r>
        <w:t xml:space="preserve">baixo.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Papel da Flow Hub:</w:t>
      </w:r>
      <w:r>
        <w:t xml:space="preserve"> </w:t>
      </w:r>
      <w:r>
        <w:t xml:space="preserve">Operadora.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Compartilhamento:</w:t>
      </w:r>
      <w:r>
        <w:t xml:space="preserve"> </w:t>
      </w:r>
      <w:r>
        <w:t xml:space="preserve">provedor de IA escolhido pelo próprio cliente (BYOK/BYOA — fora do controle da Flow Hub).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Prazo de retenção:</w:t>
      </w:r>
      <w:r>
        <w:t xml:space="preserve"> </w:t>
      </w:r>
      <w:r>
        <w:t xml:space="preserve">enquanto a conta estiver ativa e o item permanecer cadastrado.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Medidas de segurança:</w:t>
      </w:r>
      <w:r>
        <w:t xml:space="preserve"> </w:t>
      </w:r>
      <w:r>
        <w:t xml:space="preserve">bucket privado com isolamento lógico por conta, URL assinada para entrega ao WhatsApp.</w:t>
      </w:r>
    </w:p>
    <w:p>
      <w:pPr>
        <w:pStyle w:val="Heading2"/>
      </w:pPr>
      <w:bookmarkStart w:id="26" w:name="execuções-do-assistente-de-ia"/>
      <w:r>
        <w:t xml:space="preserve">6. Execuções do Assistente de IA</w:t>
      </w:r>
      <w:bookmarkEnd w:id="26"/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Dados tratados:</w:t>
      </w:r>
      <w:r>
        <w:t xml:space="preserve"> </w:t>
      </w:r>
      <w:r>
        <w:t xml:space="preserve">conteúdo necessário ao processamento da solicitação (mensagem recebida e resposta gerada), modelo utilizado, tokens consumidos, tempo de execução, itens de conhecimento/mídia utilizados, indicação de transferência para atendimento humano (tabela</w:t>
      </w:r>
      <w:r>
        <w:t xml:space="preserve"> </w:t>
      </w:r>
      <w:r>
        <w:rPr>
          <w:rStyle w:val="VerbatimChar"/>
        </w:rPr>
        <w:t xml:space="preserve">ai_execution_logs</w:t>
      </w:r>
      <w:r>
        <w:t xml:space="preserve">).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Categoria de dados:</w:t>
      </w:r>
      <w:r>
        <w:t xml:space="preserve"> </w:t>
      </w:r>
      <w:r>
        <w:t xml:space="preserve">dados de comunicação e dados técnicos de operação.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Titulares:</w:t>
      </w:r>
      <w:r>
        <w:t xml:space="preserve"> </w:t>
      </w:r>
      <w:r>
        <w:t xml:space="preserve">clientes, consumidores e leads do cliente contratante que interagem com o assistente de IA.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Dados sensíveis:</w:t>
      </w:r>
      <w:r>
        <w:t xml:space="preserve"> </w:t>
      </w:r>
      <w:r>
        <w:t xml:space="preserve">não há tratamento intencional; o conteúdo processado depende do que o titular digita livremente durante a conversa.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Finalidade:</w:t>
      </w:r>
      <w:r>
        <w:t xml:space="preserve"> </w:t>
      </w:r>
      <w:r>
        <w:t xml:space="preserve">auditoria de segurança, depuração técnica e métricas de uso do assistente de IA.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Base legal:</w:t>
      </w:r>
      <w:r>
        <w:t xml:space="preserve"> </w:t>
      </w:r>
      <w:r>
        <w:t xml:space="preserve">legítimo interesse (Art. 7º, IX) na segurança e qualidade do serviço.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Nível de risco:</w:t>
      </w:r>
      <w:r>
        <w:t xml:space="preserve"> </w:t>
      </w:r>
      <w:r>
        <w:t xml:space="preserve">médio.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Papel da Flow Hub:</w:t>
      </w:r>
      <w:r>
        <w:t xml:space="preserve"> </w:t>
      </w:r>
      <w:r>
        <w:t xml:space="preserve">predominantemente Operadora, podendo atuar como Controladora quanto aos tratamentos necessários à segurança da plataforma e à prevenção de abuso.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Compartilhamento:</w:t>
      </w:r>
      <w:r>
        <w:t xml:space="preserve"> </w:t>
      </w:r>
      <w:r>
        <w:t xml:space="preserve">provedor de IA escolhido pelo cliente, no momento do processamento (BYOK/BYOA).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Prazo de retenção:</w:t>
      </w:r>
      <w:r>
        <w:t xml:space="preserve"> </w:t>
      </w:r>
      <w:r>
        <w:t xml:space="preserve">conteúdo textual eliminado após 180 dias; metadados agregados preservados por mais tempo para fins analíticos.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Medidas de segurança:</w:t>
      </w:r>
      <w:r>
        <w:t xml:space="preserve"> </w:t>
      </w:r>
      <w:r>
        <w:t xml:space="preserve">isolamento lógico por conta, rotina automatizada de expurgo de texto.</w:t>
      </w:r>
    </w:p>
    <w:p>
      <w:pPr>
        <w:pStyle w:val="Heading2"/>
      </w:pPr>
      <w:bookmarkStart w:id="27" w:name="eventos-de-segurança-da-ia"/>
      <w:r>
        <w:t xml:space="preserve">7. Eventos de Segurança da IA</w:t>
      </w:r>
      <w:bookmarkEnd w:id="27"/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Dados tratados:</w:t>
      </w:r>
      <w:r>
        <w:t xml:space="preserve"> </w:t>
      </w:r>
      <w:r>
        <w:t xml:space="preserve">tipo de evento (tentativa de jailbreak, injeção de prompt, limite de taxa excedido), severidade, detalhes técnicos, trecho mínimo necessário da mensagem para fins de investigação do incidente (tabela</w:t>
      </w:r>
      <w:r>
        <w:t xml:space="preserve"> </w:t>
      </w:r>
      <w:r>
        <w:rPr>
          <w:rStyle w:val="VerbatimChar"/>
        </w:rPr>
        <w:t xml:space="preserve">ai_security_events</w:t>
      </w:r>
      <w:r>
        <w:t xml:space="preserve">).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Categoria de dados:</w:t>
      </w:r>
      <w:r>
        <w:t xml:space="preserve"> </w:t>
      </w:r>
      <w:r>
        <w:t xml:space="preserve">dados técnicos de segurança.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Titulares:</w:t>
      </w:r>
      <w:r>
        <w:t xml:space="preserve"> </w:t>
      </w:r>
      <w:r>
        <w:t xml:space="preserve">clientes, consumidores e leads do cliente contratante envolvidos no evento de segurança.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Dados sensíveis:</w:t>
      </w:r>
      <w:r>
        <w:t xml:space="preserve"> </w:t>
      </w:r>
      <w:r>
        <w:t xml:space="preserve">não há tratamento intencional; o trecho registrado é limitado ao mínimo necessário para investigação, podendo eventualmente conter dado sensível inserido pelo próprio titular, tratado com o mesmo cuidado dos demais dados de conversa.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Finalidade:</w:t>
      </w:r>
      <w:r>
        <w:t xml:space="preserve"> </w:t>
      </w:r>
      <w:r>
        <w:t xml:space="preserve">detecção e resposta a tentativas de abuso do assistente de IA.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Base legal:</w:t>
      </w:r>
      <w:r>
        <w:t xml:space="preserve"> </w:t>
      </w:r>
      <w:r>
        <w:t xml:space="preserve">legítimo interesse (Art. 7º, IX) na segurança da plataforma.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Nível de risco:</w:t>
      </w:r>
      <w:r>
        <w:t xml:space="preserve"> </w:t>
      </w:r>
      <w:r>
        <w:t xml:space="preserve">médio.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Papel da Flow Hub:</w:t>
      </w:r>
      <w:r>
        <w:t xml:space="preserve"> </w:t>
      </w:r>
      <w:r>
        <w:t xml:space="preserve">predominantemente Operadora, podendo atuar como Controladora quanto aos tratamentos necessários à segurança da plataforma e à prevenção de fraude/abuso.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Compartilhamento:</w:t>
      </w:r>
      <w:r>
        <w:t xml:space="preserve"> </w:t>
      </w:r>
      <w:r>
        <w:t xml:space="preserve">alerta interno automatizado (WhatsApp operacional da Flow Systems) para eventos críticos.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Prazo de retenção:</w:t>
      </w:r>
      <w:r>
        <w:t xml:space="preserve"> </w:t>
      </w:r>
      <w:r>
        <w:t xml:space="preserve">180 (cento e oitenta) dias, prazo análogo ao aplicável aos demais registros de segurança e execução da IA (Operação 6), podendo ser prorrogado para eventos específicos enquanto durar investigação de incidente em andamento.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Medidas de segurança:</w:t>
      </w:r>
      <w:r>
        <w:t xml:space="preserve"> </w:t>
      </w:r>
      <w:r>
        <w:t xml:space="preserve">isolamento lógico por conta, gatilho de alerta em tempo real para eventos críticos.</w:t>
      </w:r>
    </w:p>
    <w:p>
      <w:pPr>
        <w:pStyle w:val="Heading2"/>
      </w:pPr>
      <w:bookmarkStart w:id="28" w:name="faturas-e-dados-de-cobrança"/>
      <w:r>
        <w:t xml:space="preserve">8. Faturas e Dados de Cobrança</w:t>
      </w:r>
      <w:bookmarkEnd w:id="28"/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Dados tratados:</w:t>
      </w:r>
      <w:r>
        <w:t xml:space="preserve"> </w:t>
      </w:r>
      <w:r>
        <w:t xml:space="preserve">valor, status de pagamento, tipo de cobrança, número da fatura, identificadores do gateway Asaas (tabela</w:t>
      </w:r>
      <w:r>
        <w:t xml:space="preserve"> </w:t>
      </w:r>
      <w:r>
        <w:rPr>
          <w:rStyle w:val="VerbatimChar"/>
        </w:rPr>
        <w:t xml:space="preserve">invoices</w:t>
      </w:r>
      <w:r>
        <w:t xml:space="preserve">).</w:t>
      </w:r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Categoria de dados:</w:t>
      </w:r>
      <w:r>
        <w:t xml:space="preserve"> </w:t>
      </w:r>
      <w:r>
        <w:t xml:space="preserve">dados financeiros.</w:t>
      </w:r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Titulares:</w:t>
      </w:r>
      <w:r>
        <w:t xml:space="preserve"> </w:t>
      </w:r>
      <w:r>
        <w:t xml:space="preserve">representantes e responsáveis pela conta do cliente contratante.</w:t>
      </w:r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Dados sensíveis:</w:t>
      </w:r>
      <w:r>
        <w:t xml:space="preserve"> </w:t>
      </w:r>
      <w:r>
        <w:t xml:space="preserve">não há tratamento intencional de dados pessoais sensíveis.</w:t>
      </w:r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Finalidade:</w:t>
      </w:r>
      <w:r>
        <w:t xml:space="preserve"> </w:t>
      </w:r>
      <w:r>
        <w:t xml:space="preserve">cobrança, controle financeiro e cumprimento de obrigações fiscais.</w:t>
      </w:r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Base legal:</w:t>
      </w:r>
      <w:r>
        <w:t xml:space="preserve"> </w:t>
      </w:r>
      <w:r>
        <w:t xml:space="preserve">execução de contrato (Art. 7º, V) e cumprimento de obrigação legal (Art. 7º, II).</w:t>
      </w:r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Nível de risco:</w:t>
      </w:r>
      <w:r>
        <w:t xml:space="preserve"> </w:t>
      </w:r>
      <w:r>
        <w:t xml:space="preserve">médio.</w:t>
      </w:r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Papel da Flow Hub:</w:t>
      </w:r>
      <w:r>
        <w:t xml:space="preserve"> </w:t>
      </w:r>
      <w:r>
        <w:t xml:space="preserve">Controladora.</w:t>
      </w:r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Compartilhamento:</w:t>
      </w:r>
      <w:r>
        <w:t xml:space="preserve"> </w:t>
      </w:r>
      <w:r>
        <w:t xml:space="preserve">Asaas Soluções de Pagamento.</w:t>
      </w:r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Prazo de retenção:</w:t>
      </w:r>
      <w:r>
        <w:t xml:space="preserve"> </w:t>
      </w:r>
      <w:r>
        <w:t xml:space="preserve">preservado mesmo após exclusão da conta, por obrigação legal fiscal/contábil (vínculo com a conta é desfeito, não o registro da fatura).</w:t>
      </w:r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Medidas de segurança:</w:t>
      </w:r>
      <w:r>
        <w:t xml:space="preserve"> </w:t>
      </w:r>
      <w:r>
        <w:t xml:space="preserve">autenticação por token dedicado no webhook de pagamento, isolamento lógico restrito a membros da conta e Super Admins.</w:t>
      </w:r>
    </w:p>
    <w:p>
      <w:pPr>
        <w:pStyle w:val="Heading2"/>
      </w:pPr>
      <w:bookmarkStart w:id="29" w:name="Xffb58c60ccb0b1ea4ab890ede8beb1984a3fc48"/>
      <w:r>
        <w:t xml:space="preserve">9. Auditoria de Acesso Privilegiado (Super Admin)</w:t>
      </w:r>
      <w:bookmarkEnd w:id="29"/>
    </w:p>
    <w:p>
      <w:pPr>
        <w:numPr>
          <w:ilvl w:val="0"/>
          <w:numId w:val="1009"/>
        </w:numPr>
        <w:pStyle w:val="Compact"/>
      </w:pPr>
      <w:r>
        <w:rPr>
          <w:b/>
        </w:rPr>
        <w:t xml:space="preserve">Dados tratados:</w:t>
      </w:r>
      <w:r>
        <w:t xml:space="preserve"> </w:t>
      </w:r>
      <w:r>
        <w:t xml:space="preserve">e-mail de quem concedeu/revogou o acesso, e-mail do usuário afetado, ação, data/hora (tabela</w:t>
      </w:r>
      <w:r>
        <w:t xml:space="preserve"> </w:t>
      </w:r>
      <w:r>
        <w:rPr>
          <w:rStyle w:val="VerbatimChar"/>
        </w:rPr>
        <w:t xml:space="preserve">super_admin_audit_logs</w:t>
      </w:r>
      <w:r>
        <w:t xml:space="preserve">).</w:t>
      </w:r>
    </w:p>
    <w:p>
      <w:pPr>
        <w:numPr>
          <w:ilvl w:val="0"/>
          <w:numId w:val="1009"/>
        </w:numPr>
        <w:pStyle w:val="Compact"/>
      </w:pPr>
      <w:r>
        <w:rPr>
          <w:b/>
        </w:rPr>
        <w:t xml:space="preserve">Categoria de dados:</w:t>
      </w:r>
      <w:r>
        <w:t xml:space="preserve"> </w:t>
      </w:r>
      <w:r>
        <w:t xml:space="preserve">dados cadastrais e dados técnicos de auditoria.</w:t>
      </w:r>
    </w:p>
    <w:p>
      <w:pPr>
        <w:numPr>
          <w:ilvl w:val="0"/>
          <w:numId w:val="1009"/>
        </w:numPr>
        <w:pStyle w:val="Compact"/>
      </w:pPr>
      <w:r>
        <w:rPr>
          <w:b/>
        </w:rPr>
        <w:t xml:space="preserve">Titulares:</w:t>
      </w:r>
      <w:r>
        <w:t xml:space="preserve"> </w:t>
      </w:r>
      <w:r>
        <w:t xml:space="preserve">usuários do cliente contratante e da própria Flow Hub com acesso administrativo.</w:t>
      </w:r>
    </w:p>
    <w:p>
      <w:pPr>
        <w:numPr>
          <w:ilvl w:val="0"/>
          <w:numId w:val="1009"/>
        </w:numPr>
        <w:pStyle w:val="Compact"/>
      </w:pPr>
      <w:r>
        <w:rPr>
          <w:b/>
        </w:rPr>
        <w:t xml:space="preserve">Dados sensíveis:</w:t>
      </w:r>
      <w:r>
        <w:t xml:space="preserve"> </w:t>
      </w:r>
      <w:r>
        <w:t xml:space="preserve">não há tratamento intencional de dados pessoais sensíveis.</w:t>
      </w:r>
    </w:p>
    <w:p>
      <w:pPr>
        <w:numPr>
          <w:ilvl w:val="0"/>
          <w:numId w:val="1009"/>
        </w:numPr>
        <w:pStyle w:val="Compact"/>
      </w:pPr>
      <w:r>
        <w:rPr>
          <w:b/>
        </w:rPr>
        <w:t xml:space="preserve">Finalidade:</w:t>
      </w:r>
      <w:r>
        <w:t xml:space="preserve"> </w:t>
      </w:r>
      <w:r>
        <w:t xml:space="preserve">accountability e rastreabilidade sobre o nível de acesso mais alto do sistema.</w:t>
      </w:r>
    </w:p>
    <w:p>
      <w:pPr>
        <w:numPr>
          <w:ilvl w:val="0"/>
          <w:numId w:val="1009"/>
        </w:numPr>
        <w:pStyle w:val="Compact"/>
      </w:pPr>
      <w:r>
        <w:rPr>
          <w:b/>
        </w:rPr>
        <w:t xml:space="preserve">Base legal:</w:t>
      </w:r>
      <w:r>
        <w:t xml:space="preserve"> </w:t>
      </w:r>
      <w:r>
        <w:t xml:space="preserve">legítimo interesse (Art. 7º, IX) e cumprimento do princípio de responsabilização (Art. 6º, X).</w:t>
      </w:r>
    </w:p>
    <w:p>
      <w:pPr>
        <w:numPr>
          <w:ilvl w:val="0"/>
          <w:numId w:val="1009"/>
        </w:numPr>
        <w:pStyle w:val="Compact"/>
      </w:pPr>
      <w:r>
        <w:rPr>
          <w:b/>
        </w:rPr>
        <w:t xml:space="preserve">Nível de risco:</w:t>
      </w:r>
      <w:r>
        <w:t xml:space="preserve"> </w:t>
      </w:r>
      <w:r>
        <w:t xml:space="preserve">médio.</w:t>
      </w:r>
    </w:p>
    <w:p>
      <w:pPr>
        <w:numPr>
          <w:ilvl w:val="0"/>
          <w:numId w:val="1009"/>
        </w:numPr>
        <w:pStyle w:val="Compact"/>
      </w:pPr>
      <w:r>
        <w:rPr>
          <w:b/>
        </w:rPr>
        <w:t xml:space="preserve">Papel da Flow Hub:</w:t>
      </w:r>
      <w:r>
        <w:t xml:space="preserve"> </w:t>
      </w:r>
      <w:r>
        <w:t xml:space="preserve">predominantemente Operadora quanto aos dados da conta afetada, atuando como Controladora quanto ao próprio tratamento de auditoria e segurança administrativa.</w:t>
      </w:r>
    </w:p>
    <w:p>
      <w:pPr>
        <w:numPr>
          <w:ilvl w:val="0"/>
          <w:numId w:val="1009"/>
        </w:numPr>
        <w:pStyle w:val="Compact"/>
      </w:pPr>
      <w:r>
        <w:rPr>
          <w:b/>
        </w:rPr>
        <w:t xml:space="preserve">Compartilhamento:</w:t>
      </w:r>
      <w:r>
        <w:t xml:space="preserve"> </w:t>
      </w:r>
      <w:r>
        <w:t xml:space="preserve">alerta interno automatizado (WhatsApp operacional).</w:t>
      </w:r>
    </w:p>
    <w:p>
      <w:pPr>
        <w:numPr>
          <w:ilvl w:val="0"/>
          <w:numId w:val="1009"/>
        </w:numPr>
        <w:pStyle w:val="Compact"/>
      </w:pPr>
      <w:r>
        <w:rPr>
          <w:b/>
        </w:rPr>
        <w:t xml:space="preserve">Prazo de retenção:</w:t>
      </w:r>
      <w:r>
        <w:t xml:space="preserve"> </w:t>
      </w:r>
      <w:r>
        <w:t xml:space="preserve">enquanto necessário para comprovação do cumprimento de obrigações legais e exercício regular de direitos.</w:t>
      </w:r>
    </w:p>
    <w:p>
      <w:pPr>
        <w:numPr>
          <w:ilvl w:val="0"/>
          <w:numId w:val="1009"/>
        </w:numPr>
        <w:pStyle w:val="Compact"/>
      </w:pPr>
      <w:r>
        <w:rPr>
          <w:b/>
        </w:rPr>
        <w:t xml:space="preserve">Medidas de segurança:</w:t>
      </w:r>
      <w:r>
        <w:t xml:space="preserve"> </w:t>
      </w:r>
      <w:r>
        <w:t xml:space="preserve">isolamento restrito a Super Admins, travas contra auto-revogação e contra a remoção do último administrador.</w:t>
      </w:r>
    </w:p>
    <w:p>
      <w:pPr>
        <w:pStyle w:val="Heading2"/>
      </w:pPr>
      <w:bookmarkStart w:id="30" w:name="X1a5d1f32fbe363823591f5bd9cfcf27cb7e7d2f"/>
      <w:r>
        <w:t xml:space="preserve">10. Auditoria de Exclusão Definitiva de Conta</w:t>
      </w:r>
      <w:bookmarkEnd w:id="30"/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Dados tratados:</w:t>
      </w:r>
      <w:r>
        <w:t xml:space="preserve"> </w:t>
      </w:r>
      <w:r>
        <w:t xml:space="preserve">nome da conta, e-mail do proprietário, data agendada e data efetiva de exclusão, quantidade de faturas preservadas (tabela</w:t>
      </w:r>
      <w:r>
        <w:t xml:space="preserve"> </w:t>
      </w:r>
      <w:r>
        <w:rPr>
          <w:rStyle w:val="VerbatimChar"/>
        </w:rPr>
        <w:t xml:space="preserve">account_deletion_audit_logs</w:t>
      </w:r>
      <w:r>
        <w:t xml:space="preserve">).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Categoria de dados:</w:t>
      </w:r>
      <w:r>
        <w:t xml:space="preserve"> </w:t>
      </w:r>
      <w:r>
        <w:t xml:space="preserve">dados cadastrais mínimos e metadados de auditoria.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Titulares:</w:t>
      </w:r>
      <w:r>
        <w:t xml:space="preserve"> </w:t>
      </w:r>
      <w:r>
        <w:t xml:space="preserve">proprietário da conta excluída.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Dados sensíveis:</w:t>
      </w:r>
      <w:r>
        <w:t xml:space="preserve"> </w:t>
      </w:r>
      <w:r>
        <w:t xml:space="preserve">não há tratamento intencional de dados pessoais sensíveis.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Finalidade:</w:t>
      </w:r>
      <w:r>
        <w:t xml:space="preserve"> </w:t>
      </w:r>
      <w:r>
        <w:t xml:space="preserve">comprovação de cumprimento do prazo de retenção/eliminação perante o cliente e a ANPD.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Base legal:</w:t>
      </w:r>
      <w:r>
        <w:t xml:space="preserve"> </w:t>
      </w:r>
      <w:r>
        <w:t xml:space="preserve">cumprimento de obrigação legal e legítimo interesse em accountability.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Nível de risco:</w:t>
      </w:r>
      <w:r>
        <w:t xml:space="preserve"> </w:t>
      </w:r>
      <w:r>
        <w:t xml:space="preserve">baixo.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Papel da Flow Hub:</w:t>
      </w:r>
      <w:r>
        <w:t xml:space="preserve"> </w:t>
      </w:r>
      <w:r>
        <w:t xml:space="preserve">Controladora quanto a este registro específico de auditoria.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Compartilhamento:</w:t>
      </w:r>
      <w:r>
        <w:t xml:space="preserve"> </w:t>
      </w:r>
      <w:r>
        <w:t xml:space="preserve">alerta interno automatizado (WhatsApp operacional).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Prazo de retenção:</w:t>
      </w:r>
      <w:r>
        <w:t xml:space="preserve"> </w:t>
      </w:r>
      <w:r>
        <w:t xml:space="preserve">enquanto necessário para comprovação do cumprimento das obrigações legais e exercício regular de direitos — não se trata de retenção indefinida sem finalidade, mas vinculada a esse propósito de accountability.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Medidas de segurança:</w:t>
      </w:r>
      <w:r>
        <w:t xml:space="preserve"> </w:t>
      </w:r>
      <w:r>
        <w:t xml:space="preserve">gravado antes da exclusão efetiva da conta, isolamento restrito a Super Admins.</w:t>
      </w:r>
    </w:p>
    <w:p>
      <w:pPr>
        <w:pStyle w:val="Heading2"/>
      </w:pPr>
      <w:bookmarkStart w:id="31" w:name="dados-de-navegação-e-uso-analytics"/>
      <w:r>
        <w:t xml:space="preserve">11. Dados de Navegação e Uso (Analytics)</w:t>
      </w:r>
      <w:bookmarkEnd w:id="31"/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Dados tratados:</w:t>
      </w:r>
      <w:r>
        <w:t xml:space="preserve"> </w:t>
      </w:r>
      <w:r>
        <w:t xml:space="preserve">dados de navegação, endereço IP (quando aplicável), identificadores de dispositivo e cookies, coletados via Google Analytics 4 e Microsoft Clarity.</w:t>
      </w:r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Categoria de dados:</w:t>
      </w:r>
      <w:r>
        <w:t xml:space="preserve"> </w:t>
      </w:r>
      <w:r>
        <w:t xml:space="preserve">dados comportamentais e identificadores técnicos.</w:t>
      </w:r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Titulares:</w:t>
      </w:r>
      <w:r>
        <w:t xml:space="preserve"> </w:t>
      </w:r>
      <w:r>
        <w:t xml:space="preserve">usuários autenticados da plataforma que consintam com cookies analíticos.</w:t>
      </w:r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Dados sensíveis:</w:t>
      </w:r>
      <w:r>
        <w:t xml:space="preserve"> </w:t>
      </w:r>
      <w:r>
        <w:t xml:space="preserve">não há tratamento intencional de dados pessoais sensíveis.</w:t>
      </w:r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Finalidade:</w:t>
      </w:r>
      <w:r>
        <w:t xml:space="preserve"> </w:t>
      </w:r>
      <w:r>
        <w:t xml:space="preserve">métricas de uso, melhoria de produto e experiência do usuário.</w:t>
      </w:r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Base legal:</w:t>
      </w:r>
      <w:r>
        <w:t xml:space="preserve"> </w:t>
      </w:r>
      <w:r>
        <w:t xml:space="preserve">consentimento do titular (Art. 7º, I), obtido por meio de mecanismo próprio de gerenciamento de cookies antes do carregamento das ferramentas. Os cookies estritamente necessários à autenticação e ao funcionamento da plataforma não dependem de consentimento, por se enquadrarem na execução do serviço solicitado pelo próprio usuário.</w:t>
      </w:r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Nível de risco:</w:t>
      </w:r>
      <w:r>
        <w:t xml:space="preserve"> </w:t>
      </w:r>
      <w:r>
        <w:t xml:space="preserve">baixo.</w:t>
      </w:r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Papel da Flow Hub:</w:t>
      </w:r>
      <w:r>
        <w:t xml:space="preserve"> </w:t>
      </w:r>
      <w:r>
        <w:t xml:space="preserve">Controladora.</w:t>
      </w:r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Compartilhamento:</w:t>
      </w:r>
      <w:r>
        <w:t xml:space="preserve"> </w:t>
      </w:r>
      <w:r>
        <w:t xml:space="preserve">Google LLC (GA4) e Microsoft Corporation (Clarity), exclusivamente quando o usuário consentir com cookies analíticos.</w:t>
      </w:r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Prazo de retenção:</w:t>
      </w:r>
      <w:r>
        <w:t xml:space="preserve"> </w:t>
      </w:r>
      <w:r>
        <w:t xml:space="preserve">conforme política padrão de retenção dessas ferramentas de terceiros; a preferência de consentimento do usuário é armazenada localmente até ser alterada por ele.</w:t>
      </w:r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Medidas de segurança:</w:t>
      </w:r>
      <w:r>
        <w:t xml:space="preserve"> </w:t>
      </w:r>
      <w:r>
        <w:t xml:space="preserve">os scripts do Google Analytics 4 e do Microsoft Clarity somente são carregados após consentimento explícito do usuário — nenhum dado é enviado a essas ferramentas antes dessa etapa; usuários que recusarem cookies analíticos não têm dados enviados a esses fornecedores.</w:t>
      </w:r>
    </w:p>
    <w:p>
      <w:pPr>
        <w:pStyle w:val="Heading2"/>
      </w:pPr>
      <w:bookmarkStart w:id="32" w:name="Xb53eeefbd1e0db982c65e263ba1279f072f559c"/>
      <w:r>
        <w:t xml:space="preserve">12. Dados de Colaboradores e Prestadores Internos da Flow Hub</w:t>
      </w:r>
      <w:bookmarkEnd w:id="32"/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Dados tratados:</w:t>
      </w:r>
      <w:r>
        <w:t xml:space="preserve"> </w:t>
      </w:r>
      <w:r>
        <w:t xml:space="preserve">nome, e-mail, dados de acesso a sistemas internos e de infraestrutura da Flow Hub.</w:t>
      </w:r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Categoria de dados:</w:t>
      </w:r>
      <w:r>
        <w:t xml:space="preserve"> </w:t>
      </w:r>
      <w:r>
        <w:t xml:space="preserve">dados cadastrais e dados trabalhistas/contratuais básicos.</w:t>
      </w:r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Titulares:</w:t>
      </w:r>
      <w:r>
        <w:t xml:space="preserve"> </w:t>
      </w:r>
      <w:r>
        <w:t xml:space="preserve">colaboradores e prestadores de serviço da FLOW SYSTEMS LTDA.</w:t>
      </w:r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Dados sensíveis:</w:t>
      </w:r>
      <w:r>
        <w:t xml:space="preserve"> </w:t>
      </w:r>
      <w:r>
        <w:t xml:space="preserve">não há tratamento intencional de dados pessoais sensíveis para esta finalidade.</w:t>
      </w:r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Finalidade:</w:t>
      </w:r>
      <w:r>
        <w:t xml:space="preserve"> </w:t>
      </w:r>
      <w:r>
        <w:t xml:space="preserve">gestão de acesso interno, segurança da informação e administração de pessoal.</w:t>
      </w:r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Base legal:</w:t>
      </w:r>
      <w:r>
        <w:t xml:space="preserve"> </w:t>
      </w:r>
      <w:r>
        <w:t xml:space="preserve">execução de contrato de trabalho/prestação de serviço (Art. 7º, V) e cumprimento de obrigação legal (Art. 7º, II), conforme aplicável.</w:t>
      </w:r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Nível de risco:</w:t>
      </w:r>
      <w:r>
        <w:t xml:space="preserve"> </w:t>
      </w:r>
      <w:r>
        <w:t xml:space="preserve">baixo.</w:t>
      </w:r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Papel da Flow Hub:</w:t>
      </w:r>
      <w:r>
        <w:t xml:space="preserve"> </w:t>
      </w:r>
      <w:r>
        <w:t xml:space="preserve">Controladora.</w:t>
      </w:r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Compartilhamento:</w:t>
      </w:r>
      <w:r>
        <w:t xml:space="preserve"> </w:t>
      </w:r>
      <w:r>
        <w:t xml:space="preserve">nenhum compartilhamento externo, salvo obrigação legal.</w:t>
      </w:r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Prazo de retenção:</w:t>
      </w:r>
      <w:r>
        <w:t xml:space="preserve"> </w:t>
      </w:r>
      <w:r>
        <w:t xml:space="preserve">durante o vínculo contratual/trabalhista, observadas obrigações legais de retenção posterior quando aplicável.</w:t>
      </w:r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Medidas de segurança:</w:t>
      </w:r>
      <w:r>
        <w:t xml:space="preserve"> </w:t>
      </w:r>
      <w:r>
        <w:t xml:space="preserve">controle de acesso por papel, gestão de acessos privilegiados conforme Política de Segurança da Informação.</w:t>
      </w:r>
    </w:p>
    <w:p>
      <w:pPr>
        <w:pStyle w:val="Heading2"/>
      </w:pPr>
      <w:bookmarkStart w:id="33" w:name="acesso-excepcional-para-suporte-técnico"/>
      <w:r>
        <w:t xml:space="preserve">13. Acesso Excepcional para Suporte Técnico</w:t>
      </w:r>
      <w:bookmarkEnd w:id="33"/>
    </w:p>
    <w:p>
      <w:pPr>
        <w:numPr>
          <w:ilvl w:val="0"/>
          <w:numId w:val="1013"/>
        </w:numPr>
        <w:pStyle w:val="Compact"/>
      </w:pPr>
      <w:r>
        <w:rPr>
          <w:b/>
        </w:rPr>
        <w:t xml:space="preserve">Dados tratados:</w:t>
      </w:r>
      <w:r>
        <w:t xml:space="preserve"> </w:t>
      </w:r>
      <w:r>
        <w:t xml:space="preserve">dados da conta e dos contatos do cliente contratante, acessados excepcionalmente por equipe técnica autorizada da Flow Hub para diagnóstico e resolução de problemas reportados pelo cliente.</w:t>
      </w:r>
    </w:p>
    <w:p>
      <w:pPr>
        <w:numPr>
          <w:ilvl w:val="0"/>
          <w:numId w:val="1013"/>
        </w:numPr>
        <w:pStyle w:val="Compact"/>
      </w:pPr>
      <w:r>
        <w:rPr>
          <w:b/>
        </w:rPr>
        <w:t xml:space="preserve">Categoria de dados:</w:t>
      </w:r>
      <w:r>
        <w:t xml:space="preserve"> </w:t>
      </w:r>
      <w:r>
        <w:t xml:space="preserve">variável, conforme o escopo do chamado de suporte (pode incluir dados cadastrais, de comunicação ou técnicos já descritos nas demais operações deste Registro).</w:t>
      </w:r>
    </w:p>
    <w:p>
      <w:pPr>
        <w:numPr>
          <w:ilvl w:val="0"/>
          <w:numId w:val="1013"/>
        </w:numPr>
        <w:pStyle w:val="Compact"/>
      </w:pPr>
      <w:r>
        <w:rPr>
          <w:b/>
        </w:rPr>
        <w:t xml:space="preserve">Titulares:</w:t>
      </w:r>
      <w:r>
        <w:t xml:space="preserve"> </w:t>
      </w:r>
      <w:r>
        <w:t xml:space="preserve">contatos finais e usuários do cliente contratante cujos dados sejam necessários à investigação do chamado.</w:t>
      </w:r>
    </w:p>
    <w:p>
      <w:pPr>
        <w:numPr>
          <w:ilvl w:val="0"/>
          <w:numId w:val="1013"/>
        </w:numPr>
        <w:pStyle w:val="Compact"/>
      </w:pPr>
      <w:r>
        <w:rPr>
          <w:b/>
        </w:rPr>
        <w:t xml:space="preserve">Dados sensíveis:</w:t>
      </w:r>
      <w:r>
        <w:t xml:space="preserve"> </w:t>
      </w:r>
      <w:r>
        <w:t xml:space="preserve">não há tratamento intencional; aplicam-se as mesmas ressalvas das Operações 3 e 4 quanto a conteúdo livremente inserido nas conversas.</w:t>
      </w:r>
    </w:p>
    <w:p>
      <w:pPr>
        <w:numPr>
          <w:ilvl w:val="0"/>
          <w:numId w:val="1013"/>
        </w:numPr>
        <w:pStyle w:val="Compact"/>
      </w:pPr>
      <w:r>
        <w:rPr>
          <w:b/>
        </w:rPr>
        <w:t xml:space="preserve">Finalidade:</w:t>
      </w:r>
      <w:r>
        <w:t xml:space="preserve"> </w:t>
      </w:r>
      <w:r>
        <w:t xml:space="preserve">diagnóstico e resolução de problemas técnicos reportados pelo cliente contratante, a seu pedido ou com sua ciência.</w:t>
      </w:r>
    </w:p>
    <w:p>
      <w:pPr>
        <w:numPr>
          <w:ilvl w:val="0"/>
          <w:numId w:val="1013"/>
        </w:numPr>
        <w:pStyle w:val="Compact"/>
      </w:pPr>
      <w:r>
        <w:rPr>
          <w:b/>
        </w:rPr>
        <w:t xml:space="preserve">Base legal:</w:t>
      </w:r>
      <w:r>
        <w:t xml:space="preserve"> </w:t>
      </w:r>
      <w:r>
        <w:t xml:space="preserve">execução de contrato (Art. 7º, V) e legítimo interesse na continuidade e qualidade do serviço (Art. 7º, IX).</w:t>
      </w:r>
    </w:p>
    <w:p>
      <w:pPr>
        <w:numPr>
          <w:ilvl w:val="0"/>
          <w:numId w:val="1013"/>
        </w:numPr>
        <w:pStyle w:val="Compact"/>
      </w:pPr>
      <w:r>
        <w:rPr>
          <w:b/>
        </w:rPr>
        <w:t xml:space="preserve">Nível de risco:</w:t>
      </w:r>
      <w:r>
        <w:t xml:space="preserve"> </w:t>
      </w:r>
      <w:r>
        <w:t xml:space="preserve">médio.</w:t>
      </w:r>
    </w:p>
    <w:p>
      <w:pPr>
        <w:numPr>
          <w:ilvl w:val="0"/>
          <w:numId w:val="1013"/>
        </w:numPr>
        <w:pStyle w:val="Compact"/>
      </w:pPr>
      <w:r>
        <w:rPr>
          <w:b/>
        </w:rPr>
        <w:t xml:space="preserve">Papel da Flow Hub:</w:t>
      </w:r>
      <w:r>
        <w:t xml:space="preserve"> </w:t>
      </w:r>
      <w:r>
        <w:t xml:space="preserve">Operadora, atuando sob instrução ou solicitação do cliente contratante.</w:t>
      </w:r>
    </w:p>
    <w:p>
      <w:pPr>
        <w:numPr>
          <w:ilvl w:val="0"/>
          <w:numId w:val="1013"/>
        </w:numPr>
        <w:pStyle w:val="Compact"/>
      </w:pPr>
      <w:r>
        <w:rPr>
          <w:b/>
        </w:rPr>
        <w:t xml:space="preserve">Compartilhamento:</w:t>
      </w:r>
      <w:r>
        <w:t xml:space="preserve"> </w:t>
      </w:r>
      <w:r>
        <w:t xml:space="preserve">nenhum compartilhamento externo adicional.</w:t>
      </w:r>
    </w:p>
    <w:p>
      <w:pPr>
        <w:numPr>
          <w:ilvl w:val="0"/>
          <w:numId w:val="1013"/>
        </w:numPr>
        <w:pStyle w:val="Compact"/>
      </w:pPr>
      <w:r>
        <w:rPr>
          <w:b/>
        </w:rPr>
        <w:t xml:space="preserve">Prazo de retenção:</w:t>
      </w:r>
      <w:r>
        <w:t xml:space="preserve"> </w:t>
      </w:r>
      <w:r>
        <w:t xml:space="preserve">o acesso não gera retenção de dados além da já prevista nas demais operações deste Registro; eventual registro do próprio chamado de suporte é mantido enquanto necessário para histórico de atendimento e auditoria.</w:t>
      </w:r>
    </w:p>
    <w:p>
      <w:pPr>
        <w:numPr>
          <w:ilvl w:val="0"/>
          <w:numId w:val="1013"/>
        </w:numPr>
        <w:pStyle w:val="Compact"/>
      </w:pPr>
      <w:r>
        <w:rPr>
          <w:b/>
        </w:rPr>
        <w:t xml:space="preserve">Medidas de segurança:</w:t>
      </w:r>
      <w:r>
        <w:t xml:space="preserve"> </w:t>
      </w:r>
      <w:r>
        <w:t xml:space="preserve">acesso excepcional, restrito a equipe técnica autorizada, idealmente com trilha de auditoria própria (item avaliado para formalização futura).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4" w:name="inventário-de-operadores-e-suboperadores"/>
      <w:r>
        <w:t xml:space="preserve">Inventário de Operadores e Suboperadores</w:t>
      </w:r>
      <w:bookmarkEnd w:id="34"/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Empresa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Função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País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Dados envolvidos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Supabase</w:t>
            </w:r>
          </w:p>
        </w:tc>
        <w:tc>
          <w:p>
            <w:pPr>
              <w:pStyle w:val="Compact"/>
              <w:jc w:val="left"/>
            </w:pPr>
            <w:r>
              <w:t xml:space="preserve">Banco de dados e autenticação</w:t>
            </w:r>
          </w:p>
        </w:tc>
        <w:tc>
          <w:p>
            <w:pPr>
              <w:pStyle w:val="Compact"/>
              <w:jc w:val="left"/>
            </w:pPr>
            <w:r>
              <w:t xml:space="preserve">EUA (us-east-1, Norte da Virgínia)</w:t>
            </w:r>
          </w:p>
        </w:tc>
        <w:tc>
          <w:p>
            <w:pPr>
              <w:pStyle w:val="Compact"/>
              <w:jc w:val="left"/>
            </w:pPr>
            <w:r>
              <w:t xml:space="preserve">Todos os dados tratados na plataforma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Vercel</w:t>
            </w:r>
          </w:p>
        </w:tc>
        <w:tc>
          <w:p>
            <w:pPr>
              <w:pStyle w:val="Compact"/>
              <w:jc w:val="left"/>
            </w:pPr>
            <w:r>
              <w:t xml:space="preserve">Hospedagem da aplicação</w:t>
            </w:r>
          </w:p>
        </w:tc>
        <w:tc>
          <w:p>
            <w:pPr>
              <w:pStyle w:val="Compact"/>
              <w:jc w:val="left"/>
            </w:pPr>
            <w:r>
              <w:t xml:space="preserve">EUA</w:t>
            </w:r>
          </w:p>
        </w:tc>
        <w:tc>
          <w:p>
            <w:pPr>
              <w:pStyle w:val="Compact"/>
              <w:jc w:val="left"/>
            </w:pPr>
            <w:r>
              <w:t xml:space="preserve">Logs técnicos e dados em trânsito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Meta Platforms, Inc.</w:t>
            </w:r>
          </w:p>
        </w:tc>
        <w:tc>
          <w:p>
            <w:pPr>
              <w:pStyle w:val="Compact"/>
              <w:jc w:val="left"/>
            </w:pPr>
            <w:r>
              <w:t xml:space="preserve">API do WhatsApp Business (BYOK do cliente)</w:t>
            </w:r>
          </w:p>
        </w:tc>
        <w:tc>
          <w:p>
            <w:pPr>
              <w:pStyle w:val="Compact"/>
              <w:jc w:val="left"/>
            </w:pPr>
            <w:r>
              <w:t xml:space="preserve">EUA</w:t>
            </w:r>
          </w:p>
        </w:tc>
        <w:tc>
          <w:p>
            <w:pPr>
              <w:pStyle w:val="Compact"/>
              <w:jc w:val="left"/>
            </w:pPr>
            <w:r>
              <w:t xml:space="preserve">Mensagens e mídias trocadas com contatos finais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Provedor de IA escolhido pelo cliente</w:t>
            </w:r>
          </w:p>
        </w:tc>
        <w:tc>
          <w:p>
            <w:pPr>
              <w:pStyle w:val="Compact"/>
              <w:jc w:val="left"/>
            </w:pPr>
            <w:r>
              <w:t xml:space="preserve">Assistente de atendimento automatizado (BYOA do cliente)</w:t>
            </w:r>
          </w:p>
        </w:tc>
        <w:tc>
          <w:p>
            <w:pPr>
              <w:pStyle w:val="Compact"/>
              <w:jc w:val="left"/>
            </w:pPr>
            <w:r>
              <w:t xml:space="preserve">Variável, conforme escolha do cliente</w:t>
            </w:r>
          </w:p>
        </w:tc>
        <w:tc>
          <w:p>
            <w:pPr>
              <w:pStyle w:val="Compact"/>
              <w:jc w:val="left"/>
            </w:pPr>
            <w:r>
              <w:t xml:space="preserve">Conteúdo de conversas processado pela IA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Asaas Soluções de Pagamento</w:t>
            </w:r>
          </w:p>
        </w:tc>
        <w:tc>
          <w:p>
            <w:pPr>
              <w:pStyle w:val="Compact"/>
              <w:jc w:val="left"/>
            </w:pPr>
            <w:r>
              <w:t xml:space="preserve">Cobrança e faturamento</w:t>
            </w:r>
          </w:p>
        </w:tc>
        <w:tc>
          <w:p>
            <w:pPr>
              <w:pStyle w:val="Compact"/>
              <w:jc w:val="left"/>
            </w:pPr>
            <w:r>
              <w:t xml:space="preserve">Brasil</w:t>
            </w:r>
          </w:p>
        </w:tc>
        <w:tc>
          <w:p>
            <w:pPr>
              <w:pStyle w:val="Compact"/>
              <w:jc w:val="left"/>
            </w:pPr>
            <w:r>
              <w:t xml:space="preserve">Dados financeiros e fiscais do cliente contratante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Google LLC</w:t>
            </w:r>
          </w:p>
        </w:tc>
        <w:tc>
          <w:p>
            <w:pPr>
              <w:pStyle w:val="Compact"/>
              <w:jc w:val="left"/>
            </w:pPr>
            <w:r>
              <w:t xml:space="preserve">Google Analytics 4</w:t>
            </w:r>
          </w:p>
        </w:tc>
        <w:tc>
          <w:p>
            <w:pPr>
              <w:pStyle w:val="Compact"/>
              <w:jc w:val="left"/>
            </w:pPr>
            <w:r>
              <w:t xml:space="preserve">EUA</w:t>
            </w:r>
          </w:p>
        </w:tc>
        <w:tc>
          <w:p>
            <w:pPr>
              <w:pStyle w:val="Compact"/>
              <w:jc w:val="left"/>
            </w:pPr>
            <w:r>
              <w:t xml:space="preserve">Dados de navegação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Microsoft Corporation</w:t>
            </w:r>
          </w:p>
        </w:tc>
        <w:tc>
          <w:p>
            <w:pPr>
              <w:pStyle w:val="Compact"/>
              <w:jc w:val="left"/>
            </w:pPr>
            <w:r>
              <w:t xml:space="preserve">Microsoft Clarity</w:t>
            </w:r>
          </w:p>
        </w:tc>
        <w:tc>
          <w:p>
            <w:pPr>
              <w:pStyle w:val="Compact"/>
              <w:jc w:val="left"/>
            </w:pPr>
            <w:r>
              <w:t xml:space="preserve">EUA</w:t>
            </w:r>
          </w:p>
        </w:tc>
        <w:tc>
          <w:p>
            <w:pPr>
              <w:pStyle w:val="Compact"/>
              <w:jc w:val="left"/>
            </w:pPr>
            <w:r>
              <w:t xml:space="preserve">Dados de navegação</w:t>
            </w:r>
          </w:p>
        </w:tc>
      </w:tr>
    </w:tbl>
    <w:p>
      <w:pPr>
        <w:pStyle w:val="BodyText"/>
      </w:pPr>
      <w:r>
        <w:t xml:space="preserve">Este inventário deve ser atualizado sempre que um novo fornecedor de infraestrutura ou integração for adicionado à plataforma.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5" w:name="X2837930ea1f319c17ad516d8252fbc1f67d0c2e"/>
      <w:r>
        <w:t xml:space="preserve">Infraestrutura e Transferência Internacional</w:t>
      </w:r>
      <w:bookmarkEnd w:id="35"/>
    </w:p>
    <w:p>
      <w:pPr>
        <w:pStyle w:val="FirstParagraph"/>
      </w:pPr>
      <w:r>
        <w:t xml:space="preserve">Toda a base de dados é hospedada via Supabase, na região us-east-1 (Norte da Virgínia, EUA), o que caracteriza transferência internacional de dados nos termos do Art. 33 da LGPD para praticamente todas as atividades de tratamento listadas acima. A aplicação é hospedada na Vercel.</w:t>
      </w:r>
    </w:p>
    <w:p>
      <w:pPr>
        <w:pStyle w:val="Heading2"/>
      </w:pPr>
      <w:bookmarkStart w:id="36" w:name="revisão-deste-registro"/>
      <w:r>
        <w:t xml:space="preserve">Revisão deste Registro</w:t>
      </w:r>
      <w:bookmarkEnd w:id="36"/>
    </w:p>
    <w:p>
      <w:pPr>
        <w:pStyle w:val="FirstParagraph"/>
      </w:pPr>
      <w:r>
        <w:t xml:space="preserve">Este RAT deve ser revisado sempre que uma nova funcionalidade envolver tratamento de dados pessoais, e ao menos uma vez por ano.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</w:rPr>
        <w:t xml:space="preserve">FLOW SYSTEMS LTDA — CNPJ 62.479.299/0001-66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2026-07-31T17:00:47Z</dcterms:created>
  <dcterms:modified xsi:type="dcterms:W3CDTF">2026-07-31T17:00:47Z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