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 Perencanaan Arsitektur Enterprise Web &amp; Mobile</w:t>
      </w:r>
    </w:p>
    <w:p>
      <w:pPr>
        <w:pStyle w:val="Heading1"/>
      </w:pPr>
      <w:r>
        <w:t>1. Topologi dan Infrastruktur (Final)</w:t>
      </w:r>
    </w:p>
    <w:p>
      <w:r>
        <w:t>Sistem dijalankan melalui Docker Compose canonical yang memisahkan database tiap core service (master_data_db, schedule_db, livescore_db, porprov_db, venue_db). Traffic luar masuk secara eksklusif dari API Gateway pada port 8000.</w:t>
      </w:r>
    </w:p>
    <w:p>
      <w:pPr>
        <w:pStyle w:val="Heading1"/>
      </w:pPr>
      <w:r>
        <w:t>2. Standar Port (Namespace)</w:t>
      </w:r>
    </w:p>
    <w:p>
      <w:r>
        <w:t>Alokasi port lokal (debugging go run) menggunakan awalan 28xxx:</w:t>
        <w:br/>
        <w:t>- 28000: API Gateway</w:t>
        <w:br/>
        <w:t>- 28001: User Service</w:t>
        <w:br/>
        <w:t>- 28081: Master Data Service</w:t>
        <w:br/>
        <w:t>- 28082: Schedule Service</w:t>
        <w:br/>
        <w:t>- 28083: LiveScore Service</w:t>
        <w:br/>
        <w:t>- 28084: Audit Service</w:t>
        <w:br/>
        <w:t>- 28085: Realtime Gateway</w:t>
        <w:br/>
        <w:t>- 28086: Medal Standing Service</w:t>
        <w:br/>
        <w:t>- 28087: Venue Service</w:t>
      </w:r>
    </w:p>
    <w:p>
      <w:pPr>
        <w:pStyle w:val="Heading1"/>
      </w:pPr>
      <w:r>
        <w:t>3. Keamanan</w:t>
      </w:r>
    </w:p>
    <w:p>
      <w:r>
        <w:t>Penggunaan API Gateway (memvalidasi token Keycloak). CORS headers eksklusif hanya diberikan oleh API Gateway. Setiap perubahan data yang berkaitan dengan jadwal dan pertandingan di-record ke dalam sistem Immutable Audit Logging.</w:t>
      </w:r>
    </w:p>
    <w:p>
      <w:pPr>
        <w:pStyle w:val="Heading1"/>
      </w:pPr>
      <w:r>
        <w:t>4. Transactional Outbox Pattern</w:t>
      </w:r>
    </w:p>
    <w:p>
      <w:r>
        <w:t>Modul LiveScore dan Medal menggunakan pendekatan Outbox Pattern, di mana tabel events ditulis bersamaan dengan update tabel state pada satu transaksi PostgreSQL, kemudian sebuah NATS publisher membaca outbox ini secara asinkron dan mengirimkannya (At-Least-Once delivery).</w:t>
      </w:r>
    </w:p>
    <w:p>
      <w:pPr>
        <w:pStyle w:val="Heading1"/>
      </w:pPr>
      <w:r>
        <w:t>5. Tema Tunggal UI/UX</w:t>
      </w:r>
    </w:p>
    <w:p>
      <w:pPr/>
      <w:r>
        <w:t>Tema UI/UX wajib dan tunggal adalah Techwind 3.3.0. Public Web wajib mengacu hanya pada theme-reference/HTML/Landing/dist/, sedangkan Admin Web wajib mengacu hanya pada theme-reference/HTML/Dashboard/dist/. Web dan mobile wajib mengadaptasi pola Techwind yang paling relevan. Tema, template, design system, layout, komponen visual, tipografi, dan bahasa interaksi selain Techwind dilarang. Tailwind CSS v4.x dan pustaka UI hanya berfungsi sebagai mesin atau alat implementasi; hasil visual wajib dinormalisasi ke pola dan token Techwind PORPROV.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