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/>
          <w:color w:val="1A1A2E"/>
          <w:sz w:val="32"/>
        </w:rPr>
        <w:t>XP Investimentos</w:t>
      </w:r>
      <w:r>
        <w:rPr>
          <w:sz w:val="12"/>
        </w:rPr>
        <w:br/>
      </w:r>
      <w:r>
        <w:rPr>
          <w:rFonts w:ascii="Calibri" w:hAnsi="Calibri"/>
          <w:color w:val="6B7B8F"/>
          <w:sz w:val="18"/>
        </w:rPr>
        <w:t>Assessoria de Investimentos</w:t>
      </w:r>
    </w:p>
    <w:p>
      <w:pPr>
        <w:spacing w:before="40" w:after="120"/>
      </w:pPr>
      <w:r>
        <w:rPr>
          <w:rFonts w:ascii="Calibri" w:hAnsi="Calibri"/>
          <w:color w:val="EDB92E"/>
          <w:sz w:val="10"/>
        </w:rPr>
        <w:t>__________________________________________________________________________________________</w:t>
      </w:r>
    </w:p>
    <w:p>
      <w:pPr>
        <w:spacing w:line="276" w:lineRule="auto" w:before="0" w:after="120"/>
        <w:jc w:val="left"/>
      </w:pPr>
      <w:r>
        <w:rPr>
          <w:rFonts w:ascii="Calibri" w:hAnsi="Calibri"/>
          <w:b/>
          <w:color w:val="1A1A2E"/>
          <w:sz w:val="24"/>
        </w:rPr>
        <w:t>Carta Mensal de Investimentos — Fevereiro/2026</w:t>
      </w:r>
    </w:p>
    <w:p>
      <w:pPr>
        <w:spacing w:line="276" w:lineRule="auto" w:before="80" w:after="80"/>
      </w:pPr>
      <w:r>
        <w:rPr>
          <w:rFonts w:ascii="Calibri" w:hAnsi="Calibri"/>
          <w:color w:val="333333"/>
          <w:sz w:val="20"/>
        </w:rPr>
        <w:t>Prezado(a) Albert da Silva,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Espero que esteja bem. Apresento a seguir o relatório mensal de sua carteira de investimentos, com os principais destaques do mês de fevereiro de 2026. Como sempre, nosso objetivo é manter você informado sobre o desempenho de seus investimentos e as perspectivas para os próximos meses.</w:t>
      </w:r>
    </w:p>
    <w:p>
      <w:pPr>
        <w:spacing w:line="276" w:lineRule="auto" w:before="160" w:after="40"/>
      </w:pPr>
      <w:r>
        <w:rPr>
          <w:rFonts w:ascii="Calibri" w:hAnsi="Calibri"/>
          <w:b/>
          <w:color w:val="1A1A2E"/>
          <w:sz w:val="21"/>
        </w:rPr>
        <w:t>Cenário Macroeconômico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O mês de fevereiro foi marcado por um cenário de cautela nos mercados. O Comitê de Política Monetária (Copom) manteve a taxa Selic em 14.25% ao ano, reforçando o compromisso com o controle da inflação, que acumula 5.2% em 12 meses. No cenário doméstico, a economia brasileira projeta crescimento de 2.0% para 2025, enquanto o câmbio segue volátil, com o dólar cotado a R$5.85.</w:t>
      </w:r>
    </w:p>
    <w:p>
      <w:pPr>
        <w:spacing w:line="276" w:lineRule="auto" w:before="160" w:after="40"/>
      </w:pPr>
      <w:r>
        <w:rPr>
          <w:rFonts w:ascii="Calibri" w:hAnsi="Calibri"/>
          <w:b/>
          <w:color w:val="1A1A2E"/>
          <w:sz w:val="21"/>
        </w:rPr>
        <w:t>Desempenho da Carteira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Sua carteira apresentou rentabilidade de -0.25% no mês, ficando abaixo do CDI de 1.07% em 1.32 pontos percentuais. No acumulado do ano, o retorno é de 1.85%, e nos últimos 12 meses, de 2.80%. A parcela de renda fixa continua sendo o principal motor de estabilidade da carteira, enquanto as posições em ações apresentaram desempenho misto no período.</w:t>
      </w:r>
    </w:p>
    <w:p>
      <w:pPr>
        <w:spacing w:line="276" w:lineRule="auto" w:before="160" w:after="40"/>
      </w:pPr>
      <w:r>
        <w:rPr>
          <w:rFonts w:ascii="Calibri" w:hAnsi="Calibri"/>
          <w:b/>
          <w:color w:val="1A1A2E"/>
          <w:sz w:val="21"/>
        </w:rPr>
        <w:t>Rentabilidade Mensal das Ações</w:t>
      </w:r>
    </w:p>
    <w:p>
      <w:pPr>
        <w:spacing w:line="240" w:lineRule="auto" w:before="0" w:after="20"/>
        <w:ind w:left="283"/>
      </w:pPr>
      <w:r>
        <w:rPr>
          <w:rFonts w:ascii="Calibri" w:hAnsi="Calibri"/>
          <w:color w:val="333333"/>
          <w:sz w:val="18"/>
        </w:rPr>
        <w:t>- LREN3 (Lojas Renner): valorização de 4.3% no mês</w:t>
      </w:r>
    </w:p>
    <w:p>
      <w:pPr>
        <w:spacing w:line="240" w:lineRule="auto" w:before="0" w:after="20"/>
        <w:ind w:left="283"/>
      </w:pPr>
      <w:r>
        <w:rPr>
          <w:rFonts w:ascii="Calibri" w:hAnsi="Calibri"/>
          <w:color w:val="333333"/>
          <w:sz w:val="18"/>
        </w:rPr>
        <w:t>- MRFG3 (Marfrig): desvalorização de 4.9% no mês</w:t>
      </w:r>
    </w:p>
    <w:p>
      <w:pPr>
        <w:spacing w:line="240" w:lineRule="auto" w:before="0" w:after="20"/>
        <w:ind w:left="283"/>
      </w:pPr>
      <w:r>
        <w:rPr>
          <w:rFonts w:ascii="Calibri" w:hAnsi="Calibri"/>
          <w:color w:val="333333"/>
          <w:sz w:val="18"/>
        </w:rPr>
        <w:t>- ARZZ3 (Arezzo): desvalorização de 4.7% no mês</w:t>
      </w:r>
    </w:p>
    <w:p>
      <w:pPr>
        <w:spacing w:line="240" w:lineRule="auto" w:before="0" w:after="20"/>
        <w:ind w:left="283"/>
      </w:pPr>
      <w:r>
        <w:rPr>
          <w:rFonts w:ascii="Calibri" w:hAnsi="Calibri"/>
          <w:color w:val="333333"/>
          <w:sz w:val="18"/>
        </w:rPr>
        <w:t>- HAPV3 (Hapvida): desvalorização de 19.3% no mês</w:t>
      </w:r>
    </w:p>
    <w:p>
      <w:pPr>
        <w:spacing w:line="276" w:lineRule="auto" w:before="160" w:after="40"/>
      </w:pPr>
      <w:r>
        <w:rPr>
          <w:rFonts w:ascii="Calibri" w:hAnsi="Calibri"/>
          <w:b/>
          <w:color w:val="1A1A2E"/>
          <w:sz w:val="21"/>
        </w:rPr>
        <w:t>Posicionamento e Recomendações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Com base na análise do seu perfil Moderado e nas condições atuais de mercado, destacamos os seguintes pontos de atenção: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A alocação em Renda Fixa encontra-se acima do target para o perfil Moderado (70.4% vs. 45% alvo). Pode ser oportuno avaliar uma redução gradual de aproximadamente R$81,581 nesta classe.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A alocação em FIIs está abaixo do nível sugerido para o perfil Moderado (0.0% vs. 15% alvo). Considerando o cenário atual, pode ser interessante avaliar um incremento de aproximadamente R$48,140.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A alocação em Internacional está abaixo do nível sugerido para o perfil Moderado (0.0% vs. 12% alvo). Considerando o cenário atual, pode ser interessante avaliar um incremento de aproximadamente R$38,512.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Seguimos monitorando o mercado e avaliando oportunidades que possam contribuir para a evolução da sua carteira, sempre respeitando seu perfil de risco e objetivos de investimento.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Permaneço à disposição para agendarmos uma conversa e discutirmos em mais detalhes o posicionamento de sua carteira. Não hesite em entrar em contato caso tenha qualquer dúvida.</w:t>
      </w:r>
    </w:p>
    <w:p>
      <w:pPr>
        <w:spacing w:line="276" w:lineRule="auto" w:before="120" w:after="40"/>
      </w:pPr>
      <w:r>
        <w:rPr>
          <w:rFonts w:ascii="Calibri" w:hAnsi="Calibri"/>
          <w:color w:val="333333"/>
          <w:sz w:val="20"/>
        </w:rPr>
        <w:t>Atenciosamente,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Carlos Eduardo Martins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CNPI-T 12345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XP Investimentos - Faria Lima</w:t>
      </w:r>
    </w:p>
    <w:p>
      <w:pPr>
        <w:spacing w:line="276" w:lineRule="auto" w:before="40" w:after="40"/>
      </w:pPr>
      <w:r>
        <w:rPr>
          <w:rFonts w:ascii="Calibri" w:hAnsi="Calibri"/>
          <w:color w:val="333333"/>
          <w:sz w:val="20"/>
        </w:rPr>
        <w:t>(11) 91234-5678</w:t>
      </w:r>
    </w:p>
    <w:p>
      <w:pPr>
        <w:spacing w:line="276" w:lineRule="auto" w:before="80" w:after="40"/>
      </w:pPr>
      <w:r>
        <w:rPr>
          <w:rFonts w:ascii="Calibri" w:hAnsi="Calibri"/>
          <w:color w:val="CCCCCC"/>
          <w:sz w:val="10"/>
        </w:rPr>
        <w:t>__________________________________________________________________________________________</w:t>
      </w:r>
    </w:p>
    <w:p>
      <w:pPr>
        <w:spacing w:line="240" w:lineRule="auto" w:before="0" w:after="0"/>
      </w:pPr>
      <w:r>
        <w:rPr>
          <w:rFonts w:ascii="Calibri" w:hAnsi="Calibri"/>
          <w:i/>
          <w:color w:val="999999"/>
          <w:sz w:val="15"/>
        </w:rPr>
        <w:t>Este material é informativo e não constitui recomendação de investimento. Rentabilidade passada não é garantia de retorno futuro. Investimentos envolvem riscos, inclusive de perda do capital investido.</w:t>
      </w:r>
    </w:p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