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36"/>
        </w:rPr>
        <w:t>XP Investimentos</w:t>
      </w:r>
    </w:p>
    <w:p>
      <w:pPr>
        <w:jc w:val="left"/>
      </w:pPr>
      <w:r>
        <w:rPr>
          <w:color w:val="6B7B8F"/>
          <w:sz w:val="20"/>
        </w:rPr>
        <w:t>Assessoria de Investimentos</w:t>
      </w:r>
    </w:p>
    <w:p>
      <w:pPr>
        <w:jc w:val="left"/>
      </w:pPr>
      <w:r>
        <w:rPr>
          <w:color w:val="EDB92E"/>
          <w:sz w:val="12"/>
        </w:rPr>
        <w:t>________________________________________________________________________________</w:t>
      </w:r>
    </w:p>
    <w:p>
      <w:pPr>
        <w:jc w:val="left"/>
      </w:pPr>
      <w:r>
        <w:rPr>
          <w:rFonts w:ascii="Calibri" w:hAnsi="Calibri"/>
          <w:b/>
          <w:color w:val="1A1A2E"/>
          <w:sz w:val="28"/>
        </w:rPr>
        <w:t>Carta Mensal de Investimentos — Fevereiro/2026</w:t>
      </w:r>
    </w:p>
    <w:p/>
    <w:p>
      <w:r>
        <w:rPr>
          <w:rFonts w:ascii="Calibri" w:hAnsi="Calibri"/>
          <w:color w:val="333333"/>
          <w:sz w:val="21"/>
        </w:rPr>
        <w:t>Prezado(a) Albert da Silva,</w:t>
      </w:r>
    </w:p>
    <w:p/>
    <w:p>
      <w:r>
        <w:rPr>
          <w:rFonts w:ascii="Calibri" w:hAnsi="Calibri"/>
          <w:color w:val="333333"/>
          <w:sz w:val="21"/>
        </w:rPr>
        <w:t>Espero que esteja bem. Apresento a seguir o relatório mensal de sua carteira de investimentos, referente ao mês de fevereiro de 2026.</w:t>
      </w:r>
    </w:p>
    <w:p/>
    <w:p>
      <w:r>
        <w:rPr>
          <w:rFonts w:ascii="Calibri" w:hAnsi="Calibri"/>
          <w:b/>
          <w:color w:val="1A1A2E"/>
          <w:sz w:val="22"/>
        </w:rPr>
        <w:t>Cenário Macroeconômico</w:t>
      </w:r>
    </w:p>
    <w:p/>
    <w:p>
      <w:r>
        <w:rPr>
          <w:rFonts w:ascii="Calibri" w:hAnsi="Calibri"/>
          <w:color w:val="333333"/>
          <w:sz w:val="21"/>
        </w:rPr>
        <w:t>O mês de fevereiro foi marcado por um cenário de cautela nos mercados. O Comitê de Política Monetária (Copom) elevou a taxa Selic para 14.25% ao ano, reforçando o compromisso com o controle da inflação, que acumula 5.2% em 12 meses. A economia brasileira mostra sinais de desaceleração, com projeção de crescimento de 2.0% para 2025, ante 3.6% registrado em 2024. O câmbio operou com volatilidade, com o dólar cotado a R$5.85.</w:t>
      </w:r>
    </w:p>
    <w:p/>
    <w:p>
      <w:r>
        <w:rPr>
          <w:rFonts w:ascii="Calibri" w:hAnsi="Calibri"/>
          <w:color w:val="333333"/>
          <w:sz w:val="21"/>
        </w:rPr>
        <w:t>No cenário internacional, a política tarifária dos EUA continuou gerando incerteza, enquanto o Federal Reserve manteve os juros estáveis diante de uma inflação persistente.</w:t>
      </w:r>
    </w:p>
    <w:p/>
    <w:p>
      <w:r>
        <w:rPr>
          <w:rFonts w:ascii="Calibri" w:hAnsi="Calibri"/>
          <w:b/>
          <w:color w:val="1A1A2E"/>
          <w:sz w:val="22"/>
        </w:rPr>
        <w:t>Desempenho da Carteira</w:t>
      </w:r>
    </w:p>
    <w:p/>
    <w:p>
      <w:r>
        <w:rPr>
          <w:rFonts w:ascii="Calibri" w:hAnsi="Calibri"/>
          <w:color w:val="333333"/>
          <w:sz w:val="21"/>
        </w:rPr>
        <w:t>Sua carteira apresentou rentabilidade de -2.35% no mês, ficando abaixo do o CDI de 1.07% em 3.42 pontos percentuais. No acumulado do ano, o retorno é de -5.10%, e nos últimos 12 meses, de -8.40%.</w:t>
      </w:r>
    </w:p>
    <w:p/>
    <w:p>
      <w:r>
        <w:rPr>
          <w:rFonts w:ascii="Calibri" w:hAnsi="Calibri"/>
          <w:color w:val="333333"/>
          <w:sz w:val="21"/>
        </w:rPr>
        <w:t>O portfólio mantém uma alocação diversificada e alinhada ao seu perfil Moderado, com exposição equilibrada entre as diferentes classes de ativos. A parcela de renda fixa continua se beneficiando do ambiente de juros elevados, enquanto a exposição a renda variável foi impactada pela volatilidade do período.</w:t>
      </w:r>
    </w:p>
    <w:p/>
    <w:p>
      <w:r>
        <w:rPr>
          <w:rFonts w:ascii="Calibri" w:hAnsi="Calibri"/>
          <w:b/>
          <w:color w:val="1A1A2E"/>
          <w:sz w:val="22"/>
        </w:rPr>
        <w:t>Posicionamento e Perspectivas</w:t>
      </w:r>
    </w:p>
    <w:p/>
    <w:p>
      <w:r>
        <w:rPr>
          <w:rFonts w:ascii="Calibri" w:hAnsi="Calibri"/>
          <w:color w:val="333333"/>
          <w:sz w:val="21"/>
        </w:rPr>
        <w:t>A alocação em Renda Fixa encontra-se acima do target para o perfil Moderado (70.8% vs. 45% alvo). Pode ser oportuno avaliar uma redução gradual de aproximadamente R$99,964 nesta classe.</w:t>
      </w:r>
    </w:p>
    <w:p/>
    <w:p>
      <w:r>
        <w:rPr>
          <w:rFonts w:ascii="Calibri" w:hAnsi="Calibri"/>
          <w:color w:val="333333"/>
          <w:sz w:val="21"/>
        </w:rPr>
        <w:t>A alocação em FIIs está abaixo do nível sugerido para o perfil Moderado (0.0% vs. 15% alvo). Considerando o cenário atual, pode ser interessante avaliar um incremento de aproximadamente R$58,029.</w:t>
      </w:r>
    </w:p>
    <w:p/>
    <w:p>
      <w:r>
        <w:rPr>
          <w:rFonts w:ascii="Calibri" w:hAnsi="Calibri"/>
          <w:color w:val="333333"/>
          <w:sz w:val="21"/>
        </w:rPr>
        <w:t>A alocação em Internacional está abaixo do nível sugerido para o perfil Moderado (0.0% vs. 12% alvo). Considerando o cenário atual, pode ser interessante avaliar um incremento de aproximadamente R$46,423.</w:t>
      </w:r>
    </w:p>
    <w:p/>
    <w:p>
      <w:r>
        <w:rPr>
          <w:rFonts w:ascii="Calibri" w:hAnsi="Calibri"/>
          <w:color w:val="333333"/>
          <w:sz w:val="21"/>
        </w:rPr>
        <w:t>A posição em Hapvida (HAPV3) apresenta uma desvalorização de -74.6% em relação ao preço médio. É recomendável uma revisão desta posição à luz da tese original de investimento.</w:t>
      </w:r>
    </w:p>
    <w:p/>
    <w:p>
      <w:r>
        <w:rPr>
          <w:rFonts w:ascii="Calibri" w:hAnsi="Calibri"/>
          <w:color w:val="333333"/>
          <w:sz w:val="21"/>
        </w:rPr>
        <w:t>A posição em Lojas Renner (LREN3) apresenta uma desvalorização de -41.7% em relação ao preço médio. É recomendável uma revisão desta posição à luz da tese original de investimento.</w:t>
      </w:r>
    </w:p>
    <w:p/>
    <w:p>
      <w:r>
        <w:rPr>
          <w:rFonts w:ascii="Calibri" w:hAnsi="Calibri"/>
          <w:color w:val="333333"/>
          <w:sz w:val="21"/>
        </w:rPr>
        <w:t>A posição em Arezzo (ARZZ3) apresenta uma desvalorização de -31.1% em relação ao preço médio. É recomendável uma revisão desta posição à luz da tese original de investimento.</w:t>
      </w:r>
    </w:p>
    <w:p/>
    <w:p>
      <w:r>
        <w:rPr>
          <w:rFonts w:ascii="Calibri" w:hAnsi="Calibri"/>
          <w:color w:val="333333"/>
          <w:sz w:val="21"/>
        </w:rPr>
        <w:t>A posição em Constellation Institucional Advisory FIC FIA (CONST-FIA) apresenta uma desvalorização de -25.7% em relação ao preço médio. É recomendável uma revisão desta posição à luz da tese original de investimento.</w:t>
      </w:r>
    </w:p>
    <w:p/>
    <w:p>
      <w:r>
        <w:rPr>
          <w:rFonts w:ascii="Calibri" w:hAnsi="Calibri"/>
          <w:color w:val="333333"/>
          <w:sz w:val="21"/>
        </w:rPr>
        <w:t>A posição em Marfrig (MRFG3) acumula valorização de 43.5%. Pode ser oportuno considerar uma realização parcial de lucros para reequilibrar o portfólio.</w:t>
      </w:r>
    </w:p>
    <w:p/>
    <w:p>
      <w:r>
        <w:rPr>
          <w:rFonts w:ascii="Calibri" w:hAnsi="Calibri"/>
          <w:color w:val="333333"/>
          <w:sz w:val="21"/>
        </w:rPr>
        <w:t>A posição em CDB Banco C6 Consignado SET/2024 (CDB-C6) acumula valorização de 34.9%. Pode ser oportuno considerar uma realização parcial de lucros para reequilibrar o portfólio.</w:t>
      </w:r>
    </w:p>
    <w:p/>
    <w:p>
      <w:r>
        <w:rPr>
          <w:rFonts w:ascii="Calibri" w:hAnsi="Calibri"/>
          <w:color w:val="333333"/>
          <w:sz w:val="21"/>
        </w:rPr>
        <w:t>A posição em Ibiuna Hedge ST Advisory FIC FIM (IBIUNA-HST) acumula valorização de 33.7%. Pode ser oportuno considerar uma realização parcial de lucros para reequilibrar o portfólio.</w:t>
      </w:r>
    </w:p>
    <w:p/>
    <w:p>
      <w:r>
        <w:rPr>
          <w:rFonts w:ascii="Calibri" w:hAnsi="Calibri"/>
          <w:color w:val="333333"/>
          <w:sz w:val="21"/>
        </w:rPr>
        <w:t>Diante do cenário atual, entendemos que a carteira está adequadamente posicionada para navegar o ambiente de juros elevados e desaceleração econômica. Seguimos atentos às oportunidades que possam surgir com a evolução do cenário.</w:t>
      </w:r>
    </w:p>
    <w:p/>
    <w:p>
      <w:r>
        <w:rPr>
          <w:rFonts w:ascii="Calibri" w:hAnsi="Calibri"/>
          <w:color w:val="333333"/>
          <w:sz w:val="21"/>
        </w:rPr>
        <w:t>Permaneço à disposição para agendarmos uma conversa e discutirmos em mais detalhes o posicionamento de sua carteira.</w:t>
      </w:r>
    </w:p>
    <w:p/>
    <w:p>
      <w:r>
        <w:rPr>
          <w:rFonts w:ascii="Calibri" w:hAnsi="Calibri"/>
          <w:color w:val="333333"/>
          <w:sz w:val="21"/>
        </w:rPr>
        <w:t>Atenciosamente,</w:t>
      </w:r>
    </w:p>
    <w:p/>
    <w:p>
      <w:r>
        <w:rPr>
          <w:rFonts w:ascii="Calibri" w:hAnsi="Calibri"/>
          <w:color w:val="333333"/>
          <w:sz w:val="21"/>
        </w:rPr>
        <w:t>Carlos Eduardo Martins</w:t>
      </w:r>
    </w:p>
    <w:p>
      <w:r>
        <w:rPr>
          <w:rFonts w:ascii="Calibri" w:hAnsi="Calibri"/>
          <w:color w:val="333333"/>
          <w:sz w:val="21"/>
        </w:rPr>
        <w:t>CNPI-T 12345</w:t>
      </w:r>
    </w:p>
    <w:p>
      <w:r>
        <w:rPr>
          <w:rFonts w:ascii="Calibri" w:hAnsi="Calibri"/>
          <w:color w:val="333333"/>
          <w:sz w:val="21"/>
        </w:rPr>
        <w:t>XP Investimentos - Faria Lima</w:t>
      </w:r>
    </w:p>
    <w:p>
      <w:r>
        <w:rPr>
          <w:rFonts w:ascii="Calibri" w:hAnsi="Calibri"/>
          <w:color w:val="333333"/>
          <w:sz w:val="21"/>
        </w:rPr>
        <w:t>(11) 91234-5678</w:t>
      </w:r>
    </w:p>
    <w:p/>
    <w:p>
      <w:r>
        <w:rPr>
          <w:rFonts w:ascii="Calibri" w:hAnsi="Calibri"/>
          <w:color w:val="CCCCCC"/>
          <w:sz w:val="12"/>
        </w:rPr>
        <w:t>________________________________________________________________________________</w:t>
      </w:r>
    </w:p>
    <w:p>
      <w:r>
        <w:rPr>
          <w:rFonts w:ascii="Calibri" w:hAnsi="Calibri"/>
          <w:i/>
          <w:color w:val="999999"/>
          <w:sz w:val="16"/>
        </w:rPr>
        <w:t>Este material é informativo e não constitui recomendação de investimento. Rentabilidade passada não é garantia de retorno futuro. Investimentos envolvem riscos, inclusive de perda do capital investido.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