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36"/>
        </w:rPr>
        <w:t>XP Investimentos</w:t>
      </w:r>
    </w:p>
    <w:p>
      <w:pPr>
        <w:jc w:val="left"/>
      </w:pPr>
      <w:r>
        <w:rPr>
          <w:color w:val="6B7B8F"/>
          <w:sz w:val="20"/>
        </w:rPr>
        <w:t>Assessoria de Investimentos</w:t>
      </w:r>
    </w:p>
    <w:p>
      <w:pPr>
        <w:jc w:val="left"/>
      </w:pPr>
      <w:r>
        <w:rPr>
          <w:color w:val="EDB92E"/>
          <w:sz w:val="12"/>
        </w:rPr>
        <w:t>________________________________________________________________________________</w:t>
      </w:r>
    </w:p>
    <w:p>
      <w:pPr>
        <w:jc w:val="left"/>
      </w:pPr>
      <w:r>
        <w:rPr>
          <w:rFonts w:ascii="Calibri" w:hAnsi="Calibri"/>
          <w:b/>
          <w:color w:val="1A1A2E"/>
          <w:sz w:val="28"/>
        </w:rPr>
        <w:t>Carta Mensal de Investimentos — Fevereiro/2026</w:t>
      </w:r>
    </w:p>
    <w:p/>
    <w:p>
      <w:r>
        <w:rPr>
          <w:rFonts w:ascii="Calibri" w:hAnsi="Calibri"/>
          <w:color w:val="333333"/>
          <w:sz w:val="21"/>
        </w:rPr>
        <w:t>Prezado(a) Ricardo Mendes Oliveira,</w:t>
      </w:r>
    </w:p>
    <w:p/>
    <w:p>
      <w:r>
        <w:rPr>
          <w:rFonts w:ascii="Calibri" w:hAnsi="Calibri"/>
          <w:color w:val="333333"/>
          <w:sz w:val="21"/>
        </w:rPr>
        <w:t>Espero que esteja bem. Apresento a seguir o relatório mensal de sua carteira de investimentos, referente ao mês de fevereiro de 2026.</w:t>
      </w:r>
    </w:p>
    <w:p/>
    <w:p>
      <w:r>
        <w:rPr>
          <w:rFonts w:ascii="Calibri" w:hAnsi="Calibri"/>
          <w:b/>
          <w:color w:val="1A1A2E"/>
          <w:sz w:val="22"/>
        </w:rPr>
        <w:t>Cenário Macroeconômico</w:t>
      </w:r>
    </w:p>
    <w:p/>
    <w:p>
      <w:r>
        <w:rPr>
          <w:rFonts w:ascii="Calibri" w:hAnsi="Calibri"/>
          <w:color w:val="333333"/>
          <w:sz w:val="21"/>
        </w:rPr>
        <w:t>O mês de fevereiro foi marcado por um cenário de cautela nos mercados. O Comitê de Política Monetária (Copom) elevou a taxa Selic para 14.25% ao ano, reforçando o compromisso com o controle da inflação, que acumula 5.2% em 12 meses. A economia brasileira mostra sinais de desaceleração, com projeção de crescimento de 2.0% para 2025, ante 3.6% registrado em 2024. O câmbio operou com volatilidade, com o dólar cotado a R$5.85.</w:t>
      </w:r>
    </w:p>
    <w:p/>
    <w:p>
      <w:r>
        <w:rPr>
          <w:rFonts w:ascii="Calibri" w:hAnsi="Calibri"/>
          <w:color w:val="333333"/>
          <w:sz w:val="21"/>
        </w:rPr>
        <w:t>No cenário internacional, a política tarifária dos EUA continuou gerando incerteza, enquanto o Federal Reserve manteve os juros estáveis diante de uma inflação persistente.</w:t>
      </w:r>
    </w:p>
    <w:p/>
    <w:p>
      <w:r>
        <w:rPr>
          <w:rFonts w:ascii="Calibri" w:hAnsi="Calibri"/>
          <w:b/>
          <w:color w:val="1A1A2E"/>
          <w:sz w:val="22"/>
        </w:rPr>
        <w:t>Desempenho da Carteira</w:t>
      </w:r>
    </w:p>
    <w:p/>
    <w:p>
      <w:r>
        <w:rPr>
          <w:rFonts w:ascii="Calibri" w:hAnsi="Calibri"/>
          <w:color w:val="333333"/>
          <w:sz w:val="21"/>
        </w:rPr>
        <w:t>Sua carteira apresentou rentabilidade de 2.15% no mês, superando o CDI de 1.07% em 1.08 pontos percentuais. No acumulado do ano, o retorno é de 5.40%, e nos últimos 12 meses, de 16.20%.</w:t>
      </w:r>
    </w:p>
    <w:p/>
    <w:p>
      <w:r>
        <w:rPr>
          <w:rFonts w:ascii="Calibri" w:hAnsi="Calibri"/>
          <w:color w:val="333333"/>
          <w:sz w:val="21"/>
        </w:rPr>
        <w:t>O portfólio mantém uma alocação diversificada e alinhada ao seu perfil Moderado, com exposição equilibrada entre as diferentes classes de ativos. A parcela de renda fixa continua se beneficiando do ambiente de juros elevados, enquanto a exposição a renda variável foi impactada pela volatilidade do período.</w:t>
      </w:r>
    </w:p>
    <w:p/>
    <w:p>
      <w:r>
        <w:rPr>
          <w:rFonts w:ascii="Calibri" w:hAnsi="Calibri"/>
          <w:b/>
          <w:color w:val="1A1A2E"/>
          <w:sz w:val="22"/>
        </w:rPr>
        <w:t>Posicionamento e Perspectivas</w:t>
      </w:r>
    </w:p>
    <w:p/>
    <w:p>
      <w:r>
        <w:rPr>
          <w:rFonts w:ascii="Calibri" w:hAnsi="Calibri"/>
          <w:color w:val="333333"/>
          <w:sz w:val="21"/>
        </w:rPr>
        <w:t>A carteira de Ricardo Mendes Oliveira encontra-se alinhada ao perfil Moderado. Sugerimos manter o posicionamento atual e acompanhar a evolução do cenário macroeconômico.</w:t>
      </w:r>
    </w:p>
    <w:p/>
    <w:p>
      <w:r>
        <w:rPr>
          <w:rFonts w:ascii="Calibri" w:hAnsi="Calibri"/>
          <w:color w:val="333333"/>
          <w:sz w:val="21"/>
        </w:rPr>
        <w:t>Diante do cenário atual, entendemos que a carteira está adequadamente posicionada para navegar o ambiente de juros elevados e desaceleração econômica. Seguimos atentos às oportunidades que possam surgir com a evolução do cenário.</w:t>
      </w:r>
    </w:p>
    <w:p/>
    <w:p>
      <w:r>
        <w:rPr>
          <w:rFonts w:ascii="Calibri" w:hAnsi="Calibri"/>
          <w:color w:val="333333"/>
          <w:sz w:val="21"/>
        </w:rPr>
        <w:t>Permaneço à disposição para agendarmos uma conversa e discutirmos em mais detalhes o posicionamento de sua carteira.</w:t>
      </w:r>
    </w:p>
    <w:p/>
    <w:p>
      <w:r>
        <w:rPr>
          <w:rFonts w:ascii="Calibri" w:hAnsi="Calibri"/>
          <w:color w:val="333333"/>
          <w:sz w:val="21"/>
        </w:rPr>
        <w:t>Atenciosamente,</w:t>
      </w:r>
    </w:p>
    <w:p/>
    <w:p>
      <w:r>
        <w:rPr>
          <w:rFonts w:ascii="Calibri" w:hAnsi="Calibri"/>
          <w:color w:val="333333"/>
          <w:sz w:val="21"/>
        </w:rPr>
        <w:t>Carlos Eduardo Martins</w:t>
      </w:r>
    </w:p>
    <w:p>
      <w:r>
        <w:rPr>
          <w:rFonts w:ascii="Calibri" w:hAnsi="Calibri"/>
          <w:color w:val="333333"/>
          <w:sz w:val="21"/>
        </w:rPr>
        <w:t>CNPI-T 12345</w:t>
      </w:r>
    </w:p>
    <w:p>
      <w:r>
        <w:rPr>
          <w:rFonts w:ascii="Calibri" w:hAnsi="Calibri"/>
          <w:color w:val="333333"/>
          <w:sz w:val="21"/>
        </w:rPr>
        <w:t>XP Investimentos - Faria Lima</w:t>
      </w:r>
    </w:p>
    <w:p>
      <w:r>
        <w:rPr>
          <w:rFonts w:ascii="Calibri" w:hAnsi="Calibri"/>
          <w:color w:val="333333"/>
          <w:sz w:val="21"/>
        </w:rPr>
        <w:t>(11) 91234-5678</w:t>
      </w:r>
    </w:p>
    <w:p/>
    <w:p>
      <w:r>
        <w:rPr>
          <w:rFonts w:ascii="Calibri" w:hAnsi="Calibri"/>
          <w:color w:val="CCCCCC"/>
          <w:sz w:val="12"/>
        </w:rPr>
        <w:t>________________________________________________________________________________</w:t>
      </w:r>
    </w:p>
    <w:p>
      <w:r>
        <w:rPr>
          <w:rFonts w:ascii="Calibri" w:hAnsi="Calibri"/>
          <w:i/>
          <w:color w:val="999999"/>
          <w:sz w:val="16"/>
        </w:rPr>
        <w:t>Este material é informativo e não constitui recomendação de investimento. Rentabilidade passada não é garantia de retorno futuro. Investimentos envolvem riscos, inclusive de perda do capital investido.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