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2E"/>
          <w:sz w:val="32"/>
        </w:rPr>
        <w:t>XP AAI Platform — Workflow Report</w:t>
      </w:r>
    </w:p>
    <w:p>
      <w:pPr>
        <w:jc w:val="center"/>
      </w:pPr>
      <w:r>
        <w:rPr>
          <w:rFonts w:ascii="Calibri" w:hAnsi="Calibri"/>
          <w:color w:val="6B7B8F"/>
          <w:sz w:val="20"/>
        </w:rPr>
        <w:t>Generated: March 07, 2026</w:t>
      </w:r>
    </w:p>
    <w:p/>
    <w:p>
      <w:r>
        <w:rPr>
          <w:rFonts w:ascii="Calibri" w:hAnsi="Calibri"/>
          <w:b/>
          <w:color w:val="1A1A2E"/>
          <w:sz w:val="28"/>
        </w:rPr>
        <w:t>Workflow Report — XP AAI Platform</w:t>
      </w:r>
    </w:p>
    <w:p/>
    <w:p>
      <w:r>
        <w:rPr>
          <w:rFonts w:ascii="Calibri" w:hAnsi="Calibri"/>
          <w:b/>
          <w:color w:val="1A1A2E"/>
          <w:sz w:val="24"/>
        </w:rPr>
        <w:t>Question 1: What are the main issues with the first version?</w:t>
      </w:r>
    </w:p>
    <w:p/>
    <w:p>
      <w:r>
        <w:rPr>
          <w:rFonts w:ascii="Calibri" w:hAnsi="Calibri"/>
          <w:color w:val="333333"/>
          <w:sz w:val="21"/>
        </w:rPr>
        <w:t>The original Rivet MVP has several critical issues that limit its effectiveness as a financial advisory tool: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Model Choice: Uses GPT-4o-mini, which lacks the depth and nuance required for professional financial analysis. A more capable model is needed for CVM-compliant, contextually rich investment letters.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No Code-Based Calculations: The original system passes raw portfolio data to the LLM and asks it to summarize returns. This is fundamentally flawed — LLMs can hallucinate numbers. Financial figures must be calculated deterministically by code (e.g., pandas), not generated by the model.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No Compliance Review: The output goes directly to the client without any CVM compliance check. This is a regulatory risk — investment letters must avoid direct buy/sell language, include proper disclaimers, and never guarantee returns.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No Recommendation Engine: The original system only summarizes what exists. It does not compare current allocation against target ranges for the client's risk profile, flag drift, or generate rebalancing suggestions.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Single Linear Flow: All three data sources (portfolio, risk profile, macro) are processed sequentially. The portfolio and macro analysis are independent and should run in parallel for efficiency.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No Document Generation: The output is plain text, not a professionally formatted .docx that can be sent to clients.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Hardcoded Paths: Windows-specific file paths (C:\Users\blope\...) make the system non-portable.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Generic Prompts: The prompts produce generic summaries without client-specific personalization or actionable insights.</w:t>
      </w:r>
    </w:p>
    <w:p/>
    <w:p>
      <w:r>
        <w:rPr>
          <w:rFonts w:ascii="Calibri" w:hAnsi="Calibri"/>
          <w:b/>
          <w:color w:val="1A1A2E"/>
          <w:sz w:val="24"/>
        </w:rPr>
        <w:t>Question 2: How did you decide on your approach?</w:t>
      </w:r>
    </w:p>
    <w:p/>
    <w:p>
      <w:r>
        <w:rPr>
          <w:rFonts w:ascii="Calibri" w:hAnsi="Calibri"/>
          <w:color w:val="333333"/>
          <w:sz w:val="21"/>
        </w:rPr>
        <w:t>The approach was driven by three principles:</w:t>
      </w:r>
    </w:p>
    <w:p/>
    <w:p>
      <w:r>
        <w:rPr>
          <w:rFonts w:ascii="Calibri" w:hAnsi="Calibri"/>
          <w:color w:val="333333"/>
          <w:sz w:val="21"/>
        </w:rPr>
        <w:t>1. Separation of Concerns (Agentic Architecture): Each task in the advisory workflow maps to a specialized agent. This mirrors how a real advisory team works — analysts calculate, strategists recommend, writers communicate, compliance reviews. The 6-agent design (Portfolio Analyst, Macro Analyst, Recommendation Engine, Letter Writer, Compliance Reviewer, Doc Formatter) ensures each component can be tested, improved, and scaled independently.</w:t>
      </w:r>
    </w:p>
    <w:p/>
    <w:p>
      <w:r>
        <w:rPr>
          <w:rFonts w:ascii="Calibri" w:hAnsi="Calibri"/>
          <w:color w:val="333333"/>
          <w:sz w:val="21"/>
        </w:rPr>
        <w:t>2. Code for Math, LLM for Language: The most critical design decision is that ALL financial calculations are done by Python/pandas code, never by the LLM. The LLM's role is strictly to generate natural language text from verified numbers. This eliminates hallucination risk for financial figures.</w:t>
      </w:r>
    </w:p>
    <w:p/>
    <w:p>
      <w:r>
        <w:rPr>
          <w:rFonts w:ascii="Calibri" w:hAnsi="Calibri"/>
          <w:color w:val="333333"/>
          <w:sz w:val="21"/>
        </w:rPr>
        <w:t>3. Compliance by Design: Rather than hoping the LLM produces compliant output, we built compliance into the architecture. The Recommendation Engine uses CVM-compliant language patterns in its prompts. The Compliance Reviewer acts as a quality gate — the letter cannot be delivered without passing automated and LLM-based compliance checks.</w:t>
      </w:r>
    </w:p>
    <w:p/>
    <w:p>
      <w:r>
        <w:rPr>
          <w:rFonts w:ascii="Calibri" w:hAnsi="Calibri"/>
          <w:color w:val="333333"/>
          <w:sz w:val="21"/>
        </w:rPr>
        <w:t>The Streamlit platform was chosen because it demonstrates the full advisor workflow: from client overview to report generation. It shows how agents can power an entire AAI productivity tool, not just one letter.</w:t>
      </w:r>
    </w:p>
    <w:p/>
    <w:p>
      <w:r>
        <w:rPr>
          <w:rFonts w:ascii="Calibri" w:hAnsi="Calibri"/>
          <w:b/>
          <w:color w:val="1A1A2E"/>
          <w:sz w:val="24"/>
        </w:rPr>
        <w:t>Question 3: What would you do with a full month?</w:t>
      </w:r>
    </w:p>
    <w:p/>
    <w:p>
      <w:r>
        <w:rPr>
          <w:rFonts w:ascii="Calibri" w:hAnsi="Calibri"/>
          <w:color w:val="333333"/>
          <w:sz w:val="21"/>
        </w:rPr>
        <w:t>With a full month, the platform would evolve into a production-ready AAI tool: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Real Data Integration: Connect to XP's APIs for live portfolio data, market prices, and client CRM. Replace mock data with real-time feeds.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Multi-Agent Orchestration Framework: Build a proper orchestration layer with retry logic, error handling, agent memory, and conversation history. Enable agents to iterate (e.g., if compliance fails, send back to the writer for revision).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Client Communication Automation: Integrate email delivery (via Gmail API or internal systems), schedule monthly report generation, and add client notification preferences.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Advanced Analytics: Add Monte Carlo simulations for portfolio risk, scenario analysis (what-if Selic goes to 16%?), and automated rebalancing execution tracking.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RAG Pipeline: Implement retrieval-augmented generation using XP's research library, enabling the macro analyst to cite specific research reports and data points.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Human-in-the-Loop: Add an approval workflow where the advisor reviews and edits the generated letter before sending, building trust in the AI system.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Performance Monitoring: Track which recommendations were followed, measure portfolio outcomes, and use this data to improve future recommendations.</w:t>
      </w:r>
    </w:p>
    <w:p/>
    <w:p>
      <w:pPr>
        <w:ind w:left="567"/>
      </w:pPr>
      <w:r>
        <w:rPr>
          <w:rFonts w:ascii="Calibri" w:hAnsi="Calibri"/>
          <w:color w:val="333333"/>
          <w:sz w:val="21"/>
        </w:rPr>
        <w:t>- Mobile Interface: Build a mobile-first dashboard so advisors can review client status and approve communications on the go.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