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1A1A2E"/>
          <w:sz w:val="32"/>
        </w:rPr>
        <w:t>XP Investimentos</w:t>
      </w:r>
      <w:r>
        <w:rPr>
          <w:sz w:val="12"/>
        </w:rPr>
        <w:br/>
      </w:r>
      <w:r>
        <w:rPr>
          <w:rFonts w:ascii="Calibri" w:hAnsi="Calibri"/>
          <w:color w:val="6B7B8F"/>
          <w:sz w:val="18"/>
        </w:rPr>
        <w:t>Assessoria de Investimentos</w:t>
      </w:r>
    </w:p>
    <w:p>
      <w:pPr>
        <w:spacing w:before="40" w:after="120"/>
      </w:pPr>
      <w:r>
        <w:rPr>
          <w:rFonts w:ascii="Calibri" w:hAnsi="Calibri"/>
          <w:color w:val="EDB92E"/>
          <w:sz w:val="10"/>
        </w:rPr>
        <w:t>__________________________________________________________________________________________</w:t>
      </w:r>
    </w:p>
    <w:p>
      <w:pPr>
        <w:spacing w:line="276" w:lineRule="auto" w:before="0" w:after="120"/>
        <w:jc w:val="left"/>
      </w:pPr>
      <w:r>
        <w:rPr>
          <w:rFonts w:ascii="Calibri" w:hAnsi="Calibri"/>
          <w:b/>
          <w:color w:val="1A1A2E"/>
          <w:sz w:val="24"/>
        </w:rPr>
        <w:t>Carta Mensal de Investimentos — Março/2026</w:t>
      </w:r>
    </w:p>
    <w:p>
      <w:pPr>
        <w:spacing w:line="276" w:lineRule="auto" w:before="80" w:after="80"/>
      </w:pPr>
      <w:r>
        <w:rPr>
          <w:rFonts w:ascii="Calibri" w:hAnsi="Calibri"/>
          <w:color w:val="333333"/>
          <w:sz w:val="20"/>
        </w:rPr>
        <w:t>Prezado(a) Albert da Silva,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Espero que esteja bem. Apresento a seguir o relatório mensal de sua carteira de investimentos, com os principais destaques do mês de março de 2026. Como sempre, nosso objetivo é manter você informado sobre o desempenho de seus investimentos e as perspectivas para os próximos meses.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Cenário Macroeconômico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O mês de março de 2026 foi marcado por uma importante mudança na política monetária brasileira. Com a taxa Selic em 15.0% ao ano, o Banco Central sinalizou o início de um ciclo de afrouxamento monetário. A XP projeta 5 cortes consecutivos de 0,50 p.p. a partir deste mês, levando a Selic a 12,50% ao final de 2026. A inflação acumula 3.95% em 12 meses, com projeção de 3,8% para 2026. A economia brasileira encerrou 2025 com crescimento de 2.3%, e a projeção para 2026 é de 2.0%.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No cenário externo, as tensões entre EUA e Irã elevaram o petróleo a cerca de US$80/barril, enquanto fluxos recordes para mercados emergentes impulsionaram o Ibovespa a uma alta acumulada de aproximadamente 20% no ano. O real se apreciou significativamente, com o dólar cotado a R$5.1, beneficiado pela rotação global para ativos emergentes.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Desempenho da Carteira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Em março de 2026, sua carteira apresentou rentabilidade de -0.25%, ficando abaixo do CDI de 1.17% em 1.42 pontos percentuais. No acumulado do ano (janeiro-março/2026), o retorno é de 1.85%, e nos últimos 12 meses, de 2.80%. A perspectiva de início do ciclo de cortes na Selic tende a beneficiar posições em renda fixa prefixada e FIIs, enquanto o forte rali das ações brasileiras contribuiu positivamente para as posições em renda variável.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Rentabilidade Mensal das Ações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LREN3 (Lojas Renner): valorização de 4.3%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MRFG3 (Marfrig): desvalorização de 4.9%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ARZZ3 (Arezzo): desvalorização de 4.7%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HAPV3 (Hapvida): desvalorização de 19.3% no mês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Posicionamento e Recomendações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Com base na análise do seu perfil Moderate e nas condições atuais de mercado de março de 2026, destacamos os seguintes pontos de atenção: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Fixed Income encontra-se acima do target para o perfil Moderate (43.6% vs. 35% alvo). Pode ser oportuno avaliar uma redução gradual de aproximadamente R$27,664 nesta classe.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Multi-Market encontra-se acima do target para o perfil Moderate (26.8% vs. 10% alvo). Pode ser oportuno avaliar uma redução gradual de aproximadamente R$53,917 nesta classe.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REITs está abaixo do nível sugerido para o perfil Moderate (0.0% vs. 15% alvo). Considerando o cenário atual, pode ser interessante avaliar um incremento de aproximadamente R$48,140.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O cenário de queda de juros abre oportunidades em diversas classes de ativos, mas é importante manter a diversificação e atenção aos riscos geopolíticos (tensões EUA-Irã) e eleitorais (campanha presidencial 2026). Seguimos monitorando o mercado e avaliando oportunidades que possam contribuir para a evolução da sua carteira, sempre respeitando seu perfil de risco e objetivos de investimento.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Permaneço à disposição para agendarmos uma conversa e discutirmos em mais detalhes o posicionamento de sua carteira. Não hesite em entrar em contato caso tenha qualquer dúvida.</w:t>
      </w:r>
    </w:p>
    <w:p>
      <w:pPr>
        <w:spacing w:line="276" w:lineRule="auto" w:before="120" w:after="40"/>
      </w:pPr>
      <w:r>
        <w:rPr>
          <w:rFonts w:ascii="Calibri" w:hAnsi="Calibri"/>
          <w:color w:val="333333"/>
          <w:sz w:val="20"/>
        </w:rPr>
        <w:t>Atenciosamente,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Carlos Eduardo Martins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CNPI-T 12345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XP Investimentos - Faria Lima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(11) 91234-5678</w:t>
      </w:r>
    </w:p>
    <w:p>
      <w:pPr>
        <w:spacing w:line="276" w:lineRule="auto" w:before="80" w:after="40"/>
      </w:pPr>
      <w:r>
        <w:rPr>
          <w:rFonts w:ascii="Calibri" w:hAnsi="Calibri"/>
          <w:color w:val="CCCCCC"/>
          <w:sz w:val="10"/>
        </w:rPr>
        <w:t>__________________________________________________________________________________________</w:t>
      </w:r>
    </w:p>
    <w:p>
      <w:pPr>
        <w:spacing w:line="240" w:lineRule="auto" w:before="0" w:after="0"/>
      </w:pPr>
      <w:r>
        <w:rPr>
          <w:rFonts w:ascii="Calibri" w:hAnsi="Calibri"/>
          <w:i/>
          <w:color w:val="999999"/>
          <w:sz w:val="15"/>
        </w:rPr>
        <w:t>Este material é informativo e não constitui recomendação de investimento. Rentabilidade passada não é garantia de retorno futuro. Investimentos envolvem riscos, inclusive de perda do capital investido.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