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3FA4F" w14:textId="0468203C" w:rsidR="001B56E2" w:rsidRDefault="001B56E2" w:rsidP="001B56E2">
      <w:pPr>
        <w:pStyle w:val="Ttulo1"/>
        <w:ind w:left="-709"/>
        <w:rPr>
          <w:rFonts w:eastAsia="Arial"/>
          <w:lang w:val="en-US" w:eastAsia="es-VE"/>
        </w:rPr>
      </w:pPr>
      <w:proofErr w:type="spellStart"/>
      <w:r>
        <w:rPr>
          <w:rFonts w:eastAsia="Arial"/>
          <w:lang w:val="en-US" w:eastAsia="es-VE"/>
        </w:rPr>
        <w:t>Perfil</w:t>
      </w:r>
      <w:proofErr w:type="spellEnd"/>
      <w:r>
        <w:rPr>
          <w:rFonts w:eastAsia="Arial"/>
          <w:lang w:val="en-US" w:eastAsia="es-VE"/>
        </w:rPr>
        <w:t xml:space="preserve"> Avanzado</w:t>
      </w:r>
    </w:p>
    <w:p w14:paraId="1FF662E5" w14:textId="72E67473" w:rsidR="00170C72" w:rsidRPr="00170C72" w:rsidRDefault="00170C72" w:rsidP="00170C72">
      <w:pPr>
        <w:spacing w:before="60" w:after="0" w:line="240" w:lineRule="auto"/>
        <w:ind w:left="-720" w:right="-720"/>
        <w:jc w:val="both"/>
        <w:rPr>
          <w:rFonts w:ascii="Open Sans Light" w:eastAsia="Lato" w:hAnsi="Open Sans Light" w:cs="Open Sans Light"/>
          <w:color w:val="111111"/>
          <w:sz w:val="16"/>
          <w:szCs w:val="16"/>
          <w:lang w:val="en-US" w:eastAsia="es-VE"/>
        </w:rPr>
      </w:pPr>
      <w:r w:rsidRPr="00170C72">
        <w:rPr>
          <w:rFonts w:ascii="Open Sans Light" w:eastAsia="Arial" w:hAnsi="Open Sans Light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Growing Companies Advisors (GCA)</w:t>
      </w:r>
      <w:r w:rsidRPr="00170C72">
        <w:rPr>
          <w:rFonts w:ascii="Open Sans Light" w:eastAsia="Arial" w:hAnsi="Open Sans Light" w:cs="Open Sans Light"/>
          <w:color w:val="111111"/>
          <w:sz w:val="18"/>
          <w:szCs w:val="17"/>
          <w:lang w:val="en-US" w:eastAsia="es-VE"/>
        </w:rPr>
        <w:t xml:space="preserve">, </w:t>
      </w:r>
      <w:r w:rsidRPr="00170C72">
        <w:rPr>
          <w:rFonts w:ascii="Open Sans Light" w:eastAsia="Lato" w:hAnsi="Open Sans Light" w:cs="Open Sans Light"/>
          <w:color w:val="111111"/>
          <w:sz w:val="18"/>
          <w:szCs w:val="16"/>
          <w:lang w:val="en-US" w:eastAsia="es-VE"/>
        </w:rPr>
        <w:t>Consulting firm — U.S. (Remote)</w:t>
      </w:r>
      <w:r w:rsidRPr="00170C72">
        <w:rPr>
          <w:rFonts w:ascii="Open Sans Light" w:eastAsia="Lato" w:hAnsi="Open Sans Light" w:cs="Open Sans Light"/>
          <w:color w:val="111111"/>
          <w:sz w:val="16"/>
          <w:szCs w:val="16"/>
          <w:lang w:val="en-US" w:eastAsia="es-VE"/>
        </w:rPr>
        <w:t xml:space="preserve"> </w:t>
      </w:r>
    </w:p>
    <w:tbl>
      <w:tblPr>
        <w:tblStyle w:val="Tablaconcuadrcula"/>
        <w:tblW w:w="1078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1"/>
        <w:gridCol w:w="2694"/>
      </w:tblGrid>
      <w:tr w:rsidR="00170C72" w:rsidRPr="00170C72" w14:paraId="45BEA95A" w14:textId="77777777" w:rsidTr="00170C72">
        <w:tc>
          <w:tcPr>
            <w:tcW w:w="8091" w:type="dxa"/>
            <w:vAlign w:val="center"/>
          </w:tcPr>
          <w:p w14:paraId="4A3CBA9D" w14:textId="3BF8D887" w:rsidR="00170C72" w:rsidRPr="00170C72" w:rsidRDefault="00170C72" w:rsidP="00170C72">
            <w:pPr>
              <w:spacing w:before="40"/>
              <w:ind w:left="-110" w:right="-111"/>
              <w:jc w:val="both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bookmarkStart w:id="0" w:name="_Hlk206150296"/>
            <w:r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 xml:space="preserve">Product </w:t>
            </w:r>
            <w:r w:rsidRPr="001B56E2"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>Manager</w:t>
            </w:r>
            <w:r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 xml:space="preserve"> | Product Owner | </w:t>
            </w:r>
            <w:r w:rsidRPr="00170C72"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 xml:space="preserve">Product </w:t>
            </w:r>
            <w:bookmarkStart w:id="1" w:name="_Hlk206636055"/>
            <w:r w:rsidRPr="00170C72"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>Analyst</w:t>
            </w:r>
            <w:r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 xml:space="preserve"> | Project Manager | Business Analyst</w:t>
            </w:r>
            <w:r w:rsidRPr="00170C72"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 xml:space="preserve"> </w:t>
            </w:r>
            <w:bookmarkEnd w:id="1"/>
            <w:r w:rsidRPr="00170C72">
              <w:rPr>
                <w:rFonts w:ascii="Open Sans Light" w:eastAsia="Lato" w:hAnsi="Open Sans Light" w:cs="Open Sans Light"/>
                <w:color w:val="111111"/>
                <w:sz w:val="18"/>
                <w:szCs w:val="16"/>
                <w:lang w:val="en-US" w:eastAsia="es-VE"/>
              </w:rPr>
              <w:t>(Noddok Saas Application)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16D0078F" w14:textId="77777777" w:rsidR="00170C72" w:rsidRPr="00170C72" w:rsidRDefault="00170C72" w:rsidP="00170C72">
            <w:pPr>
              <w:ind w:left="-720" w:right="-108"/>
              <w:jc w:val="right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r w:rsidRPr="00170C72"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  <w:t>11/2023 – Present</w:t>
            </w:r>
          </w:p>
        </w:tc>
      </w:tr>
    </w:tbl>
    <w:bookmarkEnd w:id="0"/>
    <w:p w14:paraId="3E73C893" w14:textId="77777777" w:rsidR="00170C72" w:rsidRPr="00170C72" w:rsidRDefault="00170C72" w:rsidP="00170C72">
      <w:pPr>
        <w:pStyle w:val="Prrafodelista"/>
      </w:pPr>
      <w:r w:rsidRPr="00170C72">
        <w:t>Led the design and development of key modules for Noddok, a SaaS B2B fintech platform for cloud-based accounting solutions ($5MM impact), streamlining client workflows and enabling 20x faster documents processing.</w:t>
      </w:r>
    </w:p>
    <w:p w14:paraId="7AE271EF" w14:textId="77777777" w:rsidR="00170C72" w:rsidRPr="00170C72" w:rsidRDefault="00170C72" w:rsidP="00170C72">
      <w:pPr>
        <w:pStyle w:val="Prrafodelista"/>
      </w:pPr>
      <w:r w:rsidRPr="00170C72">
        <w:t>Drove 100% year-one revenue growth by redesigning the billing model, optimizing UX and implementing recurring subscriptions in collaboration with engineering and sales teams.</w:t>
      </w:r>
    </w:p>
    <w:p w14:paraId="5C39E96A" w14:textId="77777777" w:rsidR="00170C72" w:rsidRDefault="00170C72" w:rsidP="00170C72">
      <w:pPr>
        <w:pStyle w:val="Prrafodelista"/>
      </w:pPr>
      <w:r w:rsidRPr="00170C72">
        <w:t xml:space="preserve">Achieved 30% time-on-task reduction by shortening critical user journey and restructuring user interface, grounding product decisions in user interaction data. </w:t>
      </w:r>
    </w:p>
    <w:p w14:paraId="43CFF8E7" w14:textId="23CD2D71" w:rsidR="0031581F" w:rsidRPr="00170C72" w:rsidRDefault="0031581F" w:rsidP="00170C72">
      <w:pPr>
        <w:pStyle w:val="Prrafodelista"/>
      </w:pPr>
      <w:r w:rsidRPr="00555054">
        <w:t>Enhanced AI reliability by training Azure machine learning models to process invoices and bank statements, reducing conversion errors by 30% and increasing adoption by improving operational stability.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170C72" w:rsidRPr="00170C72" w14:paraId="101F1274" w14:textId="77777777" w:rsidTr="00037EE9">
        <w:trPr>
          <w:trHeight w:val="281"/>
        </w:trPr>
        <w:tc>
          <w:tcPr>
            <w:tcW w:w="5441" w:type="dxa"/>
          </w:tcPr>
          <w:p w14:paraId="34BC70A2" w14:textId="108CA9A0" w:rsidR="00170C72" w:rsidRPr="00170C72" w:rsidRDefault="00170C72" w:rsidP="00170C72">
            <w:pPr>
              <w:spacing w:before="40"/>
              <w:ind w:left="-110" w:right="-720"/>
              <w:jc w:val="both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bookmarkStart w:id="2" w:name="_Hlk206150386"/>
            <w:r w:rsidRPr="00170C72"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>Product</w:t>
            </w:r>
            <w:r w:rsidRPr="00170C72">
              <w:rPr>
                <w:rFonts w:ascii="Open Sans SemiBold" w:eastAsia="Lato" w:hAnsi="Open Sans SemiBold" w:cs="Open Sans SemiBold"/>
                <w:color w:val="625B71"/>
                <w:sz w:val="18"/>
                <w:szCs w:val="17"/>
                <w:lang w:val="en-US" w:eastAsia="es-VE"/>
              </w:rPr>
              <w:t xml:space="preserve"> Operations Specialist </w:t>
            </w:r>
            <w:r w:rsidRPr="00170C72">
              <w:rPr>
                <w:rFonts w:ascii="Open Sans Light" w:eastAsia="Lato" w:hAnsi="Open Sans Light" w:cs="Open Sans Light"/>
                <w:color w:val="111111"/>
                <w:sz w:val="18"/>
                <w:szCs w:val="17"/>
                <w:lang w:val="en-US" w:eastAsia="es-VE"/>
              </w:rPr>
              <w:t>(Internal Operations Platform)</w:t>
            </w:r>
          </w:p>
        </w:tc>
        <w:tc>
          <w:tcPr>
            <w:tcW w:w="5339" w:type="dxa"/>
          </w:tcPr>
          <w:p w14:paraId="3C39CA9F" w14:textId="77777777" w:rsidR="00170C72" w:rsidRPr="00170C72" w:rsidRDefault="00170C72" w:rsidP="00170C72">
            <w:pPr>
              <w:spacing w:before="40"/>
              <w:ind w:left="-720" w:right="-108"/>
              <w:jc w:val="right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r w:rsidRPr="00170C72">
              <w:rPr>
                <w:rFonts w:ascii="Open Sans Light" w:eastAsia="Lato" w:hAnsi="Open Sans Light" w:cs="Open Sans Light"/>
                <w:color w:val="111111"/>
                <w:sz w:val="18"/>
                <w:szCs w:val="17"/>
                <w:lang w:val="en-US" w:eastAsia="es-VE"/>
              </w:rPr>
              <w:t>08/2022 - 11/2023</w:t>
            </w:r>
          </w:p>
        </w:tc>
      </w:tr>
    </w:tbl>
    <w:bookmarkEnd w:id="2"/>
    <w:p w14:paraId="131393B5" w14:textId="77777777" w:rsidR="00170C72" w:rsidRPr="00170C72" w:rsidRDefault="00170C72" w:rsidP="00170C72">
      <w:pPr>
        <w:pStyle w:val="Prrafodelista"/>
      </w:pPr>
      <w:r w:rsidRPr="00170C72">
        <w:t>Increased service adoption by 25% within three months by designing and implementing an automated proposal generator that simplified the quotation workflow and streamlined the sales process.</w:t>
      </w:r>
    </w:p>
    <w:p w14:paraId="711636A1" w14:textId="77777777" w:rsidR="00170C72" w:rsidRPr="00170C72" w:rsidRDefault="00170C72" w:rsidP="00170C72">
      <w:pPr>
        <w:pStyle w:val="Prrafodelista"/>
      </w:pPr>
      <w:r w:rsidRPr="00170C72">
        <w:t xml:space="preserve">Achieved 95% first-contact resolution rate by developing an automated ticket management module in collaboration with support and engineering teams, and by producing comprehensive documentation. </w:t>
      </w:r>
    </w:p>
    <w:p w14:paraId="23C47466" w14:textId="77777777" w:rsidR="00170C72" w:rsidRPr="001B56E2" w:rsidRDefault="00170C72" w:rsidP="00170C72">
      <w:pPr>
        <w:spacing w:before="60" w:after="0" w:line="240" w:lineRule="auto"/>
        <w:ind w:left="-720" w:right="-720"/>
        <w:jc w:val="both"/>
        <w:rPr>
          <w:rFonts w:ascii="Open Sans Light" w:eastAsia="Arial" w:hAnsi="Open Sans Light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</w:pPr>
    </w:p>
    <w:p w14:paraId="7C3AC14F" w14:textId="48208CC0" w:rsidR="00170C72" w:rsidRPr="00170C72" w:rsidRDefault="00170C72" w:rsidP="00170C72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color w:val="111111"/>
          <w:sz w:val="18"/>
          <w:szCs w:val="17"/>
          <w:lang w:val="es-VE" w:eastAsia="es-VE"/>
        </w:rPr>
      </w:pPr>
      <w:r w:rsidRPr="00170C72">
        <w:rPr>
          <w:rFonts w:ascii="Open Sans Light" w:eastAsia="Arial" w:hAnsi="Open Sans Light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Industrias de Tapas </w:t>
      </w:r>
      <w:proofErr w:type="spellStart"/>
      <w:r w:rsidRPr="00170C72">
        <w:rPr>
          <w:rFonts w:ascii="Open Sans Light" w:eastAsia="Arial" w:hAnsi="Open Sans Light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Taime</w:t>
      </w:r>
      <w:proofErr w:type="spellEnd"/>
      <w:r w:rsidRPr="00170C72">
        <w:rPr>
          <w:rFonts w:ascii="Open Sans Light" w:eastAsia="Arial" w:hAnsi="Open Sans Light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, C.A,</w:t>
      </w:r>
      <w:r w:rsidRPr="00170C72">
        <w:rPr>
          <w:rFonts w:ascii="Open Sans Light" w:eastAsia="Arial" w:hAnsi="Open Sans Light" w:cs="Open Sans Light"/>
          <w:color w:val="111111"/>
          <w:sz w:val="18"/>
          <w:szCs w:val="17"/>
          <w:lang w:val="es-VE" w:eastAsia="es-VE"/>
        </w:rPr>
        <w:t xml:space="preserve"> </w:t>
      </w:r>
      <w:bookmarkStart w:id="3" w:name="_Hlk206853367"/>
      <w:r w:rsidRPr="00170C72">
        <w:rPr>
          <w:rFonts w:ascii="Open Sans Light" w:eastAsia="Arial" w:hAnsi="Open Sans Light" w:cs="Open Sans Light"/>
          <w:color w:val="111111"/>
          <w:sz w:val="18"/>
          <w:szCs w:val="17"/>
          <w:lang w:val="en-US" w:eastAsia="es-VE"/>
        </w:rPr>
        <w:t>Manufacturing company</w:t>
      </w:r>
      <w:bookmarkEnd w:id="3"/>
      <w:r w:rsidRPr="00170C72">
        <w:rPr>
          <w:rFonts w:ascii="Open Sans" w:eastAsia="Arial" w:hAnsi="Open Sans" w:cs="Open Sans"/>
          <w:color w:val="111111"/>
          <w:sz w:val="18"/>
          <w:szCs w:val="17"/>
          <w:lang w:val="es-VE" w:eastAsia="es-VE"/>
        </w:rPr>
        <w:t xml:space="preserve"> </w:t>
      </w:r>
      <w:r w:rsidRPr="00170C72">
        <w:rPr>
          <w:rFonts w:ascii="Open Sans Light" w:eastAsia="Arial" w:hAnsi="Open Sans Light" w:cs="Open Sans Light"/>
          <w:color w:val="111111"/>
          <w:sz w:val="18"/>
          <w:szCs w:val="17"/>
          <w:lang w:val="es-VE" w:eastAsia="es-VE"/>
        </w:rPr>
        <w:t>— Caracas, Venezuela</w:t>
      </w:r>
    </w:p>
    <w:tbl>
      <w:tblPr>
        <w:tblStyle w:val="Tablaconcuadrcula"/>
        <w:tblW w:w="16119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  <w:gridCol w:w="5339"/>
      </w:tblGrid>
      <w:tr w:rsidR="001B56E2" w:rsidRPr="00170C72" w14:paraId="702EE7E1" w14:textId="77777777" w:rsidTr="001B56E2">
        <w:trPr>
          <w:trHeight w:val="281"/>
        </w:trPr>
        <w:tc>
          <w:tcPr>
            <w:tcW w:w="5441" w:type="dxa"/>
            <w:vAlign w:val="center"/>
          </w:tcPr>
          <w:p w14:paraId="7516F998" w14:textId="5CDC4E2B" w:rsidR="001B56E2" w:rsidRPr="00170C72" w:rsidRDefault="001B56E2" w:rsidP="00170C72">
            <w:pPr>
              <w:ind w:left="-110" w:right="-720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r w:rsidRPr="00170C72">
              <w:rPr>
                <w:rFonts w:ascii="Open Sans SemiBold" w:eastAsia="Lato" w:hAnsi="Open Sans SemiBold" w:cs="Open Sans SemiBold"/>
                <w:color w:val="625B71"/>
                <w:sz w:val="18"/>
                <w:szCs w:val="17"/>
                <w:lang w:val="en-US" w:eastAsia="es-VE"/>
              </w:rPr>
              <w:t xml:space="preserve">Quality Assurance Analyst </w:t>
            </w:r>
          </w:p>
        </w:tc>
        <w:tc>
          <w:tcPr>
            <w:tcW w:w="5339" w:type="dxa"/>
          </w:tcPr>
          <w:p w14:paraId="49B8145D" w14:textId="77777777" w:rsidR="001B56E2" w:rsidRPr="00170C72" w:rsidRDefault="001B56E2" w:rsidP="00170C72">
            <w:pPr>
              <w:ind w:left="-720" w:right="-108"/>
              <w:jc w:val="right"/>
              <w:rPr>
                <w:rFonts w:ascii="Open Sans Light" w:eastAsia="Lato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</w:p>
        </w:tc>
        <w:tc>
          <w:tcPr>
            <w:tcW w:w="5339" w:type="dxa"/>
            <w:vAlign w:val="center"/>
          </w:tcPr>
          <w:p w14:paraId="0D722CD7" w14:textId="2605DB3A" w:rsidR="001B56E2" w:rsidRPr="00170C72" w:rsidRDefault="001B56E2" w:rsidP="00170C72">
            <w:pPr>
              <w:ind w:left="-720" w:right="-108"/>
              <w:jc w:val="right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r w:rsidRPr="00170C72">
              <w:rPr>
                <w:rFonts w:ascii="Open Sans Light" w:eastAsia="Lato" w:hAnsi="Open Sans Light" w:cs="Open Sans Light"/>
                <w:color w:val="111111"/>
                <w:sz w:val="18"/>
                <w:szCs w:val="17"/>
                <w:lang w:val="en-US" w:eastAsia="es-VE"/>
              </w:rPr>
              <w:t>11/2021 - 08/2022</w:t>
            </w:r>
          </w:p>
        </w:tc>
      </w:tr>
    </w:tbl>
    <w:p w14:paraId="52829048" w14:textId="44DBCE16" w:rsidR="00170C72" w:rsidRPr="00170C72" w:rsidRDefault="00170C72" w:rsidP="00170C72">
      <w:pPr>
        <w:pStyle w:val="Prrafodelista"/>
      </w:pPr>
      <w:r w:rsidRPr="00170C72">
        <w:t xml:space="preserve">Mitigated supply chain risks by up to $250K per month for a manufacturing operation producing food, medicine and beverages caps ($10MM market), by leading compliance initiatives in collaboration with operations, logistics, and compliance teams. </w:t>
      </w:r>
    </w:p>
    <w:p w14:paraId="75E60992" w14:textId="77777777" w:rsidR="00170C72" w:rsidRPr="00170C72" w:rsidRDefault="00170C72" w:rsidP="00170C72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color w:val="111111"/>
          <w:sz w:val="18"/>
          <w:szCs w:val="17"/>
          <w:lang w:val="en-US" w:eastAsia="es-VE"/>
        </w:rPr>
      </w:pPr>
      <w:proofErr w:type="spellStart"/>
      <w:r w:rsidRPr="00170C72">
        <w:rPr>
          <w:rFonts w:ascii="Open Sans Light" w:eastAsia="Arial" w:hAnsi="Open Sans Light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Loszen</w:t>
      </w:r>
      <w:proofErr w:type="spellEnd"/>
      <w:r w:rsidRPr="00170C72">
        <w:rPr>
          <w:rFonts w:ascii="Open Sans Light" w:eastAsia="Times New Roman" w:hAnsi="Open Sans Light" w:cs="Open Sans Light"/>
          <w:color w:val="111111"/>
          <w:sz w:val="18"/>
          <w:szCs w:val="17"/>
          <w:lang w:val="en-US"/>
        </w:rPr>
        <w:t>,</w:t>
      </w:r>
      <w:r w:rsidRPr="00170C72">
        <w:rPr>
          <w:rFonts w:ascii="Open Sans" w:eastAsia="Arial" w:hAnsi="Open Sans" w:cs="Open Sans"/>
          <w:color w:val="111111"/>
          <w:sz w:val="18"/>
          <w:szCs w:val="17"/>
          <w:lang w:val="en-US" w:eastAsia="es-VE"/>
        </w:rPr>
        <w:t xml:space="preserve"> </w:t>
      </w:r>
      <w:r w:rsidRPr="00170C72">
        <w:rPr>
          <w:rFonts w:ascii="Open Sans Light" w:eastAsia="Arial" w:hAnsi="Open Sans Light" w:cs="Open Sans Light"/>
          <w:color w:val="111111"/>
          <w:sz w:val="18"/>
          <w:szCs w:val="17"/>
          <w:lang w:val="en-US" w:eastAsia="es-VE"/>
        </w:rPr>
        <w:t>Mobile app development startup — Spain (Remote)</w:t>
      </w:r>
    </w:p>
    <w:tbl>
      <w:tblPr>
        <w:tblStyle w:val="Tablaconcuadrcula"/>
        <w:tblW w:w="1078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1"/>
        <w:gridCol w:w="2694"/>
      </w:tblGrid>
      <w:tr w:rsidR="00170C72" w:rsidRPr="00170C72" w14:paraId="0F5731B9" w14:textId="77777777" w:rsidTr="00170C72">
        <w:trPr>
          <w:trHeight w:val="281"/>
        </w:trPr>
        <w:tc>
          <w:tcPr>
            <w:tcW w:w="8091" w:type="dxa"/>
            <w:vAlign w:val="center"/>
          </w:tcPr>
          <w:p w14:paraId="150A2A11" w14:textId="0E02CCDC" w:rsidR="00170C72" w:rsidRPr="00170C72" w:rsidRDefault="00170C72" w:rsidP="00E57C0B">
            <w:pPr>
              <w:ind w:left="-110" w:right="1306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r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>Product Manager | Product Owner | Project Manager | Business Analyst</w:t>
            </w:r>
            <w:r w:rsidRPr="00170C72">
              <w:rPr>
                <w:rFonts w:ascii="Open Sans SemiBold" w:eastAsia="Lato" w:hAnsi="Open Sans SemiBold" w:cs="Open Sans SemiBold"/>
                <w:color w:val="625B71"/>
                <w:kern w:val="0"/>
                <w:sz w:val="18"/>
                <w:szCs w:val="18"/>
                <w:lang w:val="en-US" w:eastAsia="es-VE"/>
                <w14:ligatures w14:val="none"/>
              </w:rPr>
              <w:t xml:space="preserve"> </w:t>
            </w:r>
            <w:r w:rsidRPr="00170C72">
              <w:rPr>
                <w:rFonts w:ascii="Open Sans Light" w:eastAsia="Lato" w:hAnsi="Open Sans Light" w:cs="Open Sans Light"/>
                <w:color w:val="111111"/>
                <w:sz w:val="18"/>
                <w:szCs w:val="16"/>
                <w:lang w:val="en-US" w:eastAsia="es-VE"/>
              </w:rPr>
              <w:t>(Mobile B2C Application)</w:t>
            </w:r>
          </w:p>
        </w:tc>
        <w:tc>
          <w:tcPr>
            <w:tcW w:w="2694" w:type="dxa"/>
            <w:vAlign w:val="center"/>
          </w:tcPr>
          <w:p w14:paraId="41FC83C0" w14:textId="77777777" w:rsidR="00170C72" w:rsidRPr="00170C72" w:rsidRDefault="00170C72" w:rsidP="00170C72">
            <w:pPr>
              <w:ind w:left="-720" w:right="-108"/>
              <w:jc w:val="right"/>
              <w:rPr>
                <w:rFonts w:ascii="Open Sans Light" w:eastAsia="Times New Roman" w:hAnsi="Open Sans Light" w:cs="Open Sans Light"/>
                <w:color w:val="111111"/>
                <w:sz w:val="18"/>
                <w:szCs w:val="17"/>
                <w:lang w:val="en-US" w:eastAsia="es-VE"/>
              </w:rPr>
            </w:pPr>
            <w:r w:rsidRPr="00170C72">
              <w:rPr>
                <w:rFonts w:ascii="Open Sans Light" w:eastAsia="Lato" w:hAnsi="Open Sans Light" w:cs="Open Sans Light"/>
                <w:color w:val="111111"/>
                <w:sz w:val="18"/>
                <w:szCs w:val="17"/>
                <w:lang w:val="en-US" w:eastAsia="es-VE"/>
              </w:rPr>
              <w:t>08/2020 - 11/2021</w:t>
            </w:r>
          </w:p>
        </w:tc>
      </w:tr>
    </w:tbl>
    <w:p w14:paraId="1F1B38F0" w14:textId="77777777" w:rsidR="00170C72" w:rsidRPr="00170C72" w:rsidRDefault="00170C72" w:rsidP="00170C72">
      <w:pPr>
        <w:pStyle w:val="Prrafodelista"/>
      </w:pPr>
      <w:r w:rsidRPr="00170C72">
        <w:t>Spearheaded the end-to-end development and launch of Compartaxi, a ride-sharing platform, from concept to deployment on Google Play and Apple Store, delivering innovative solutions to reduce transportation costs for users.</w:t>
      </w:r>
    </w:p>
    <w:p w14:paraId="7D20C5C1" w14:textId="72640189" w:rsidR="00170C72" w:rsidRPr="00170C72" w:rsidRDefault="00170C72" w:rsidP="00170C72">
      <w:pPr>
        <w:pStyle w:val="Prrafodelista"/>
      </w:pPr>
      <w:r w:rsidRPr="00170C72">
        <w:t>Reduced user-reported errors by 20% within three months by conducting rigorous QA testing, analyzing user feedback, and optimizing critical user flows.</w:t>
      </w:r>
    </w:p>
    <w:p w14:paraId="1A8500D6" w14:textId="77777777" w:rsidR="00170C72" w:rsidRPr="00170C72" w:rsidRDefault="00170C72" w:rsidP="00170C72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</w:pPr>
    </w:p>
    <w:p w14:paraId="1F9BEABF" w14:textId="43390279" w:rsidR="00170C72" w:rsidRPr="00A2696F" w:rsidRDefault="00170C72" w:rsidP="00170C72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Industrias </w:t>
      </w:r>
      <w:proofErr w:type="spellStart"/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QProductos</w:t>
      </w:r>
      <w:proofErr w:type="spellEnd"/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, S.A.</w:t>
      </w:r>
      <w:r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, </w:t>
      </w:r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Industrial-grade </w:t>
      </w:r>
      <w:proofErr w:type="spellStart"/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water</w:t>
      </w:r>
      <w:proofErr w:type="spellEnd"/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</w:t>
      </w:r>
      <w:proofErr w:type="spellStart"/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tanks</w:t>
      </w:r>
      <w:proofErr w:type="spellEnd"/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</w:t>
      </w:r>
      <w:proofErr w:type="spellStart"/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manufacturer</w:t>
      </w:r>
      <w:proofErr w:type="spellEnd"/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— Santa Cruz de Aragua, Venezuela.</w:t>
      </w:r>
    </w:p>
    <w:p w14:paraId="3B895BFB" w14:textId="46DF0CE4" w:rsidR="00170C72" w:rsidRPr="00C33165" w:rsidRDefault="00253FD8" w:rsidP="00170C72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 w:rsidRPr="00170C72">
        <w:rPr>
          <w:rFonts w:ascii="Open Sans SemiBold" w:eastAsia="Lato" w:hAnsi="Open Sans SemiBold" w:cs="Open Sans SemiBold"/>
          <w:color w:val="625B71"/>
          <w:sz w:val="18"/>
          <w:szCs w:val="17"/>
          <w:lang w:val="en-US" w:eastAsia="es-VE"/>
        </w:rPr>
        <w:t>Quality Assurance Analyst</w:t>
      </w:r>
      <w:r w:rsidR="00170C72" w:rsidRPr="00505CD1">
        <w:rPr>
          <w:rFonts w:ascii="Open Sans" w:eastAsia="Lato" w:hAnsi="Open Sans" w:cs="Open Sans"/>
          <w:color w:val="595959"/>
          <w:kern w:val="0"/>
          <w:sz w:val="18"/>
          <w:szCs w:val="18"/>
          <w:lang w:val="en-US" w:eastAsia="es-VE"/>
          <w14:ligatures w14:val="none"/>
        </w:rPr>
        <w:tab/>
      </w:r>
      <w:r w:rsidR="00170C72" w:rsidRPr="00C33165">
        <w:rPr>
          <w:rFonts w:ascii="Open Sans" w:eastAsia="Lato" w:hAnsi="Open Sans" w:cs="Open Sans"/>
          <w:color w:val="111111"/>
          <w:kern w:val="0"/>
          <w:sz w:val="16"/>
          <w:szCs w:val="16"/>
          <w:lang w:val="en-US" w:eastAsia="es-VE"/>
          <w14:ligatures w14:val="none"/>
        </w:rPr>
        <w:t>11/2019 - 08/2020</w:t>
      </w:r>
    </w:p>
    <w:p w14:paraId="1F9A87AC" w14:textId="77777777" w:rsidR="00170C72" w:rsidRPr="00A2696F" w:rsidRDefault="00170C72" w:rsidP="00170C72">
      <w:pPr>
        <w:pStyle w:val="Prrafodelista"/>
      </w:pPr>
      <w:r w:rsidRPr="00170C72">
        <w:t>Led</w:t>
      </w:r>
      <w:r w:rsidRPr="00A2696F">
        <w:t xml:space="preserve"> quality control and defect-reduction initiatives for a high-volume manufacturing operation, improving product durability and customer satisfaction.</w:t>
      </w:r>
    </w:p>
    <w:p w14:paraId="0653A303" w14:textId="77777777" w:rsidR="00170C72" w:rsidRPr="00A2696F" w:rsidRDefault="00170C72" w:rsidP="00170C72">
      <w:pPr>
        <w:pStyle w:val="Prrafodelista"/>
      </w:pPr>
      <w:r w:rsidRPr="00A2696F">
        <w:t>Resolved 90% of defective product cases within one week, maintaining strong distributor relationships and ensuring timely resolution of customer issues.</w:t>
      </w:r>
    </w:p>
    <w:p w14:paraId="13DB88B6" w14:textId="77777777" w:rsidR="00901B87" w:rsidRPr="00170C72" w:rsidRDefault="00901B87">
      <w:pPr>
        <w:rPr>
          <w:lang w:val="en-US"/>
        </w:rPr>
      </w:pPr>
    </w:p>
    <w:sectPr w:rsidR="00901B87" w:rsidRPr="0017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ACC69" w14:textId="77777777" w:rsidR="00A9000C" w:rsidRDefault="00A9000C" w:rsidP="0031581F">
      <w:pPr>
        <w:spacing w:after="0" w:line="240" w:lineRule="auto"/>
      </w:pPr>
      <w:r>
        <w:separator/>
      </w:r>
    </w:p>
  </w:endnote>
  <w:endnote w:type="continuationSeparator" w:id="0">
    <w:p w14:paraId="16E0320E" w14:textId="77777777" w:rsidR="00A9000C" w:rsidRDefault="00A9000C" w:rsidP="0031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E7C3A" w14:textId="77777777" w:rsidR="00A9000C" w:rsidRDefault="00A9000C" w:rsidP="0031581F">
      <w:pPr>
        <w:spacing w:after="0" w:line="240" w:lineRule="auto"/>
      </w:pPr>
      <w:r>
        <w:separator/>
      </w:r>
    </w:p>
  </w:footnote>
  <w:footnote w:type="continuationSeparator" w:id="0">
    <w:p w14:paraId="04B30D14" w14:textId="77777777" w:rsidR="00A9000C" w:rsidRDefault="00A9000C" w:rsidP="0031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21A00"/>
    <w:multiLevelType w:val="hybridMultilevel"/>
    <w:tmpl w:val="2D601110"/>
    <w:lvl w:ilvl="0" w:tplc="20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8C296F"/>
    <w:multiLevelType w:val="hybridMultilevel"/>
    <w:tmpl w:val="D3A4F42A"/>
    <w:lvl w:ilvl="0" w:tplc="71B4778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8467266">
    <w:abstractNumId w:val="2"/>
  </w:num>
  <w:num w:numId="2" w16cid:durableId="995646290">
    <w:abstractNumId w:val="0"/>
  </w:num>
  <w:num w:numId="3" w16cid:durableId="143081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7"/>
    <w:rsid w:val="00170C72"/>
    <w:rsid w:val="001B56E2"/>
    <w:rsid w:val="00253FD8"/>
    <w:rsid w:val="002D6FB6"/>
    <w:rsid w:val="0031581F"/>
    <w:rsid w:val="004A51F3"/>
    <w:rsid w:val="004C1C82"/>
    <w:rsid w:val="00901B87"/>
    <w:rsid w:val="009333CB"/>
    <w:rsid w:val="00A9000C"/>
    <w:rsid w:val="00E57C0B"/>
    <w:rsid w:val="00F46BDF"/>
    <w:rsid w:val="00FB0047"/>
    <w:rsid w:val="00F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C9A2"/>
  <w15:chartTrackingRefBased/>
  <w15:docId w15:val="{DC9CB4AF-10A4-4D8E-A246-04FF2A7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72"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B56E2"/>
    <w:pPr>
      <w:keepNext/>
      <w:keepLines/>
      <w:spacing w:before="360" w:after="80"/>
      <w:outlineLvl w:val="0"/>
    </w:pPr>
    <w:rPr>
      <w:rFonts w:ascii="Open Sans" w:eastAsiaTheme="majorEastAsia" w:hAnsi="Open Sans" w:cstheme="majorBidi"/>
      <w:color w:val="24222A" w:themeColor="accen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A191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1B87"/>
    <w:pPr>
      <w:keepNext/>
      <w:keepLines/>
      <w:spacing w:before="160" w:after="80"/>
      <w:outlineLvl w:val="2"/>
    </w:pPr>
    <w:rPr>
      <w:rFonts w:eastAsiaTheme="majorEastAsia" w:cstheme="majorBidi"/>
      <w:color w:val="1A191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191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B87"/>
    <w:pPr>
      <w:keepNext/>
      <w:keepLines/>
      <w:spacing w:before="80" w:after="40"/>
      <w:outlineLvl w:val="4"/>
    </w:pPr>
    <w:rPr>
      <w:rFonts w:eastAsiaTheme="majorEastAsia" w:cstheme="majorBidi"/>
      <w:color w:val="1A191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6E2"/>
    <w:rPr>
      <w:rFonts w:ascii="Open Sans" w:eastAsiaTheme="majorEastAsia" w:hAnsi="Open Sans" w:cstheme="majorBidi"/>
      <w:color w:val="24222A" w:themeColor="accent1"/>
      <w:sz w:val="28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1B87"/>
    <w:rPr>
      <w:rFonts w:asciiTheme="majorHAnsi" w:eastAsiaTheme="majorEastAsia" w:hAnsiTheme="majorHAnsi" w:cstheme="majorBidi"/>
      <w:color w:val="1A191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1B87"/>
    <w:rPr>
      <w:rFonts w:eastAsiaTheme="majorEastAsia" w:cstheme="majorBidi"/>
      <w:color w:val="1A191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1B87"/>
    <w:rPr>
      <w:rFonts w:eastAsiaTheme="majorEastAsia" w:cstheme="majorBidi"/>
      <w:i/>
      <w:iCs/>
      <w:color w:val="1A191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B87"/>
    <w:rPr>
      <w:rFonts w:eastAsiaTheme="majorEastAsia" w:cstheme="majorBidi"/>
      <w:color w:val="1A191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B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1B87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170C72"/>
    <w:pPr>
      <w:numPr>
        <w:numId w:val="1"/>
      </w:numPr>
      <w:tabs>
        <w:tab w:val="clear" w:pos="720"/>
      </w:tabs>
      <w:spacing w:after="60" w:line="240" w:lineRule="auto"/>
      <w:ind w:left="-284" w:right="-720" w:hanging="425"/>
      <w:contextualSpacing/>
      <w:jc w:val="both"/>
    </w:pPr>
    <w:rPr>
      <w:rFonts w:ascii="Open Sans Light" w:eastAsia="Lato" w:hAnsi="Open Sans Light" w:cs="Open Sans Light"/>
      <w:color w:val="111111"/>
      <w:kern w:val="0"/>
      <w:sz w:val="17"/>
      <w:szCs w:val="17"/>
      <w:lang w:val="en-US" w:eastAsia="es-VE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901B87"/>
    <w:rPr>
      <w:i/>
      <w:iCs/>
      <w:color w:val="1A191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1B87"/>
    <w:pPr>
      <w:pBdr>
        <w:top w:val="single" w:sz="4" w:space="10" w:color="1A191F" w:themeColor="accent1" w:themeShade="BF"/>
        <w:bottom w:val="single" w:sz="4" w:space="10" w:color="1A191F" w:themeColor="accent1" w:themeShade="BF"/>
      </w:pBdr>
      <w:spacing w:before="360" w:after="360"/>
      <w:ind w:left="864" w:right="864"/>
      <w:jc w:val="center"/>
    </w:pPr>
    <w:rPr>
      <w:i/>
      <w:iCs/>
      <w:color w:val="1A191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1B87"/>
    <w:rPr>
      <w:i/>
      <w:iCs/>
      <w:color w:val="1A191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1B87"/>
    <w:rPr>
      <w:b/>
      <w:bCs/>
      <w:smallCaps/>
      <w:color w:val="1A191F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0C7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81F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1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81F"/>
    <w:rPr>
      <w:rFonts w:eastAsiaTheme="minorEastAsia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1B56E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A4459"/>
      </a:dk2>
      <a:lt2>
        <a:srgbClr val="E8E8E8"/>
      </a:lt2>
      <a:accent1>
        <a:srgbClr val="24222A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Herrera Villarroel</dc:creator>
  <cp:keywords/>
  <dc:description/>
  <cp:lastModifiedBy>Pedro José Herrera Villarroel</cp:lastModifiedBy>
  <cp:revision>7</cp:revision>
  <dcterms:created xsi:type="dcterms:W3CDTF">2025-08-22T12:36:00Z</dcterms:created>
  <dcterms:modified xsi:type="dcterms:W3CDTF">2025-08-25T15:47:00Z</dcterms:modified>
</cp:coreProperties>
</file>