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alibri" w:cs="Calibri" w:eastAsia="Calibri" w:hAnsi="Calibri"/>
          <w:b/>
          <w:bCs/>
          <w:color w:val="8A6A4F"/>
          <w:sz w:val="22"/>
          <w:szCs w:val="22"/>
        </w:rPr>
        <w:t xml:space="preserve">Supplementary Material S1</w:t>
      </w:r>
    </w:p>
    <w:p>
      <w:pPr>
        <w:spacing w:after="160"/>
      </w:pPr>
      <w:r>
        <w:rPr>
          <w:rFonts w:ascii="Calibri" w:cs="Calibri" w:eastAsia="Calibri" w:hAnsi="Calibri"/>
          <w:b/>
          <w:bCs/>
          <w:sz w:val="36"/>
          <w:szCs w:val="36"/>
        </w:rPr>
        <w:t xml:space="preserve">Applying Knowledge–Maturity Coevolution: a step-by-step guide with a worked example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This guide shows how to apply the method of the paper to a real development claim, from an organization's past records to the decision at each review. It uses the paper's notation and step numbers (Table 6, headroom procedure; Table 11, calibration protocol; Fig. 8, flowchart). Every number in the worked example was computed with the paper's code; the organization ("Org X"), its projects and records are </w:t>
      </w:r>
      <w:r>
        <w:rPr>
          <w:rFonts w:ascii="Calibri" w:cs="Calibri" w:eastAsia="Calibri" w:hAnsi="Calibri"/>
          <w:b/>
          <w:bCs/>
        </w:rPr>
        <w:t xml:space="preserve">fictional</w:t>
      </w:r>
      <w:r>
        <w:rPr>
          <w:rFonts w:ascii="Calibri" w:cs="Calibri" w:eastAsia="Calibri" w:hAnsi="Calibri"/>
        </w:rPr>
        <w:t xml:space="preserve"> and serve only to illustrate the arithmetic.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single" w:color="1D5B8F" w:sz="18"/>
              <w:bottom w:val="none"/>
              <w:right w:val="none"/>
            </w:tcBorders>
            <w:shd w:fill="EEF3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D5B8F"/>
              </w:rPr>
              <w:t xml:space="preserve">What you need</w:t>
            </w:r>
          </w:p>
          <w:p>
            <w:pPr>
              <w:spacing w:after="120" w:line="276"/>
            </w:pPr>
            <w:r>
              <w:rPr>
                <w:rFonts w:ascii="Calibri" w:cs="Calibri" w:eastAsia="Calibri" w:hAnsi="Calibri"/>
              </w:rPr>
              <w:t xml:space="preserve">• An assessment log for one or more past programs (cost, activity class, K, M, shocks), or at least the outcome history of past integrated tests.</w:t>
            </w:r>
          </w:p>
          <w:p>
            <w:pPr>
              <w:spacing w:after="120" w:line="276"/>
            </w:pPr>
            <w:r>
              <w:rPr>
                <w:rFonts w:ascii="Calibri" w:cs="Calibri" w:eastAsia="Calibri" w:hAnsi="Calibri"/>
              </w:rPr>
              <w:t xml:space="preserve">• A review board that scores K and M for each claim at each review (Section 1).</w:t>
            </w:r>
          </w:p>
          <w:p>
            <w:pPr>
              <w:spacing w:after="120" w:line="276"/>
            </w:pPr>
            <w:r>
              <w:rPr>
                <w:rFonts w:ascii="Calibri" w:cs="Calibri" w:eastAsia="Calibri" w:hAnsi="Calibri"/>
              </w:rPr>
              <w:t xml:space="preserve">• A spreadsheet. The companion workbook KMC_Worksheet.xlsx implements Sections 3–5; the Python code (kmc_model.py) is needed only for the optional checks of Section 7.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700"/>
        <w:gridCol w:w="2700"/>
        <w:gridCol w:w="2026"/>
      </w:tblGrid>
      <w:tr>
        <w:trPr>
          <w:tblHeader/>
        </w:trPr>
        <w:tc>
          <w:tcPr>
            <w:tcW w:type="dxa" w:w="600"/>
            <w:shd w:fill="DCE4E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Step</w:t>
            </w:r>
          </w:p>
        </w:tc>
        <w:tc>
          <w:tcPr>
            <w:tcW w:type="dxa" w:w="3700"/>
            <w:shd w:fill="DCE4E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What you do</w:t>
            </w:r>
          </w:p>
        </w:tc>
        <w:tc>
          <w:tcPr>
            <w:tcW w:type="dxa" w:w="2700"/>
            <w:shd w:fill="DCE4E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Where in the paper</w:t>
            </w:r>
          </w:p>
        </w:tc>
        <w:tc>
          <w:tcPr>
            <w:tcW w:type="dxa" w:w="2026"/>
            <w:shd w:fill="DCE4E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This guide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0</w:t>
            </w:r>
          </w:p>
        </w:tc>
        <w:tc>
          <w:tcPr>
            <w:tcW w:type="dxa" w:w="3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Define the claim, the target region, budget and exposure limit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Sec. III-C, Table 6 step 1</w:t>
            </w:r>
          </w:p>
        </w:tc>
        <w:tc>
          <w:tcPr>
            <w:tcW w:type="dxa" w:w="20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Sec. 4.1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3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Score K and M at every review; keep the log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Sec. III-H, IV-A; Tables 4, 11-1</w:t>
            </w:r>
          </w:p>
        </w:tc>
        <w:tc>
          <w:tcPr>
            <w:tcW w:type="dxa" w:w="20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Sec. 1–2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3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Calibrate the coefficients from records + public priors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Table 11, steps 2–4</w:t>
            </w:r>
          </w:p>
        </w:tc>
        <w:tc>
          <w:tcPr>
            <w:tcW w:type="dxa" w:w="20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Sec. 3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3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Compute the test threshold K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  <w:vertAlign w:val="subscript"/>
              </w:rPr>
              <w:t xml:space="preserve">test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= max(K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  <w:vertAlign w:val="subscript"/>
              </w:rPr>
              <w:t xml:space="preserve">need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, K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  <w:vertAlign w:val="subscript"/>
              </w:rPr>
              <w:t xml:space="preserve">haz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)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Eq. (17b), Table 6 steps 3/3b</w:t>
            </w:r>
          </w:p>
        </w:tc>
        <w:tc>
          <w:tcPr>
            <w:tcW w:type="dxa" w:w="20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Sec. 4.2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3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At each review, choose the next activity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Table 6, steps 3–6; Fig. 8</w:t>
            </w:r>
          </w:p>
        </w:tc>
        <w:tc>
          <w:tcPr>
            <w:tcW w:type="dxa" w:w="20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Sec. 4.3–4.5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3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After the project, update the coefficients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Table 11, steps 5–6</w:t>
            </w:r>
          </w:p>
        </w:tc>
        <w:tc>
          <w:tcPr>
            <w:tcW w:type="dxa" w:w="20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Sec. 5</w:t>
            </w:r>
          </w:p>
        </w:tc>
      </w:tr>
    </w:tbl>
    <w:p>
      <w:pPr>
        <w:pStyle w:val="Heading1"/>
        <w:spacing w:after="140" w:before="280"/>
      </w:pPr>
      <w:r>
        <w:rPr>
          <w:rFonts w:ascii="Calibri" w:cs="Calibri" w:eastAsia="Calibri" w:hAnsi="Calibri"/>
        </w:rPr>
        <w:t xml:space="preserve">1. Scoring K and M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Both quantities are scored </w:t>
      </w:r>
      <w:r>
        <w:rPr>
          <w:rFonts w:ascii="Calibri" w:cs="Calibri" w:eastAsia="Calibri" w:hAnsi="Calibri"/>
          <w:b/>
          <w:bCs/>
        </w:rPr>
        <w:t xml:space="preserve">per claim</w:t>
      </w:r>
      <w:r>
        <w:rPr>
          <w:rFonts w:ascii="Calibri" w:cs="Calibri" w:eastAsia="Calibri" w:hAnsi="Calibri"/>
        </w:rPr>
        <w:t xml:space="preserve"> (for example, "combustion is stable across the operating envelope"), never averaged across subsystems.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</w:rPr>
        <w:t xml:space="preserve">1.1 Validated knowledge K</w:t>
      </w:r>
    </w:p>
    <w:p>
      <w:pPr>
        <w:spacing w:after="120" w:before="80"/>
        <w:jc w:val="center"/>
      </w:pPr>
      <w:r>
        <w:rPr>
          <w:rFonts w:ascii="Cambria Math" w:cs="Cambria Math" w:eastAsia="Cambria Math" w:hAnsi="Cambria Math"/>
          <w:sz w:val="23"/>
          <w:szCs w:val="23"/>
        </w:rPr>
        <w:t xml:space="preserve">K = 1 − U / U</w:t>
      </w:r>
      <w:r>
        <w:rPr>
          <w:rFonts w:ascii="Cambria Math" w:cs="Cambria Math" w:eastAsia="Cambria Math" w:hAnsi="Cambria Math"/>
          <w:sz w:val="23"/>
          <w:szCs w:val="23"/>
          <w:vertAlign w:val="subscript"/>
        </w:rPr>
        <w:t xml:space="preserve">0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U is the width of the validated prediction uncertainty for the intended-use quantity (for example, the area validation metric of the model against the most representative data, or the width of a credibility-weighted prediction interval), and U</w:t>
      </w:r>
      <w:r>
        <w:rPr>
          <w:rFonts w:ascii="Calibri" w:cs="Calibri" w:eastAsia="Calibri" w:hAnsi="Calibri"/>
          <w:vertAlign w:val="subscript"/>
        </w:rPr>
        <w:t xml:space="preserve">0</w:t>
      </w:r>
      <w:r>
        <w:rPr>
          <w:rFonts w:ascii="Calibri" w:cs="Calibri" w:eastAsia="Calibri" w:hAnsi="Calibri"/>
        </w:rPr>
        <w:t xml:space="preserve"> its value at the start of the program. If the initial model predicts the stability margin within ±40% and today's validated model within ±10%, then K = 1 − 10/40 = 0.75.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When no quantitative uncertainty is available yet, use the rubric of Table 4: score each K criterion 0–4, take the lowest mandatory criterion (never the average), and map 0, 1, 2, 3, 4 to K ≈ 0, 0.25, 0.5, 0.75, 1 as a first coding. Record the coding convention and keep it fixed within a program; the decision rule of Section 4 is insensitive to monotone recoding (paper, Sec. IV-D), but the calibrated coefficients are not.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</w:rPr>
        <w:t xml:space="preserve">1.2 Evidence-backed maturity M</w:t>
      </w:r>
    </w:p>
    <w:p>
      <w:pPr>
        <w:spacing w:after="120" w:before="80"/>
        <w:jc w:val="center"/>
      </w:pPr>
      <w:r>
        <w:rPr>
          <w:rFonts w:ascii="Cambria Math" w:cs="Cambria Math" w:eastAsia="Cambria Math" w:hAnsi="Cambria Math"/>
          <w:sz w:val="23"/>
          <w:szCs w:val="23"/>
        </w:rPr>
        <w:t xml:space="preserve">M = Σ</w:t>
      </w:r>
      <w:r>
        <w:rPr>
          <w:rFonts w:ascii="Cambria Math" w:cs="Cambria Math" w:eastAsia="Cambria Math" w:hAnsi="Cambria Math"/>
          <w:sz w:val="23"/>
          <w:szCs w:val="23"/>
          <w:vertAlign w:val="subscript"/>
        </w:rPr>
        <w:t xml:space="preserve">v</w:t>
      </w:r>
      <w:r>
        <w:rPr>
          <w:rFonts w:ascii="Cambria Math" w:cs="Cambria Math" w:eastAsia="Cambria Math" w:hAnsi="Cambria Math"/>
          <w:sz w:val="23"/>
          <w:szCs w:val="23"/>
        </w:rPr>
        <w:t xml:space="preserve"> w</w:t>
      </w:r>
      <w:r>
        <w:rPr>
          <w:rFonts w:ascii="Cambria Math" w:cs="Cambria Math" w:eastAsia="Cambria Math" w:hAnsi="Cambria Math"/>
          <w:sz w:val="23"/>
          <w:szCs w:val="23"/>
          <w:vertAlign w:val="subscript"/>
        </w:rPr>
        <w:t xml:space="preserve">v</w:t>
      </w:r>
      <w:r>
        <w:rPr>
          <w:rFonts w:ascii="Cambria Math" w:cs="Cambria Math" w:eastAsia="Cambria Math" w:hAnsi="Cambria Math"/>
          <w:sz w:val="23"/>
          <w:szCs w:val="23"/>
        </w:rPr>
        <w:t xml:space="preserve"> s</w:t>
      </w:r>
      <w:r>
        <w:rPr>
          <w:rFonts w:ascii="Cambria Math" w:cs="Cambria Math" w:eastAsia="Cambria Math" w:hAnsi="Cambria Math"/>
          <w:sz w:val="23"/>
          <w:szCs w:val="23"/>
          <w:vertAlign w:val="subscript"/>
        </w:rPr>
        <w:t xml:space="preserve">v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List the test points v of the required demonstration envelope with weights w</w:t>
      </w:r>
      <w:r>
        <w:rPr>
          <w:rFonts w:ascii="Calibri" w:cs="Calibri" w:eastAsia="Calibri" w:hAnsi="Calibri"/>
          <w:vertAlign w:val="subscript"/>
        </w:rPr>
        <w:t xml:space="preserve">v</w:t>
      </w:r>
      <w:r>
        <w:rPr>
          <w:rFonts w:ascii="Calibri" w:cs="Calibri" w:eastAsia="Calibri" w:hAnsi="Calibri"/>
        </w:rPr>
        <w:t xml:space="preserve"> that sum to one (by risk or by envelope area), and set s</w:t>
      </w:r>
      <w:r>
        <w:rPr>
          <w:rFonts w:ascii="Calibri" w:cs="Calibri" w:eastAsia="Calibri" w:hAnsi="Calibri"/>
          <w:vertAlign w:val="subscript"/>
        </w:rPr>
        <w:t xml:space="preserve">v</w:t>
      </w:r>
      <w:r>
        <w:rPr>
          <w:rFonts w:ascii="Calibri" w:cs="Calibri" w:eastAsia="Calibri" w:hAnsi="Calibri"/>
        </w:rPr>
        <w:t xml:space="preserve"> = 1 where the acceptance criteria have been met under representative and repeatable conditions, 0 otherwise. Example: 20 equally weighted points, 8 passed: M = 0.40. Missing evidence is "not assessed", never zero.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</w:rPr>
        <w:t xml:space="preserve">1.3 Cost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Cumulative cost c is measured in one budget unit (BU) for the whole program, for example one integrated flight or one month of the test campaign. Only differences of c matter.</w:t>
      </w:r>
    </w:p>
    <w:p>
      <w:pPr>
        <w:pStyle w:val="Heading1"/>
        <w:spacing w:after="140" w:before="280"/>
      </w:pPr>
      <w:r>
        <w:rPr>
          <w:rFonts w:ascii="Calibri" w:cs="Calibri" w:eastAsia="Calibri" w:hAnsi="Calibri"/>
        </w:rPr>
        <w:t xml:space="preserve">2. The assessment log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Record one line per review and per claim. Five columns are indispensable: cumulative cost, activity class performed since the last review (S simulation/analysis, E separate-effects test, T integrated test), K, M, and any shock (discrepancy) with its rework cost.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300"/>
        <w:gridCol w:w="1300"/>
        <w:gridCol w:w="1000"/>
        <w:gridCol w:w="800"/>
        <w:gridCol w:w="800"/>
        <w:gridCol w:w="2726"/>
      </w:tblGrid>
      <w:tr>
        <w:trPr>
          <w:tblHeader/>
        </w:trPr>
        <w:tc>
          <w:tcPr>
            <w:tcW w:type="dxa" w:w="1100"/>
            <w:shd w:fill="DCE4E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Date</w:t>
            </w:r>
          </w:p>
        </w:tc>
        <w:tc>
          <w:tcPr>
            <w:tcW w:type="dxa" w:w="1300"/>
            <w:shd w:fill="DCE4E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Project</w:t>
            </w:r>
          </w:p>
        </w:tc>
        <w:tc>
          <w:tcPr>
            <w:tcW w:type="dxa" w:w="1300"/>
            <w:shd w:fill="DCE4E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Cum. cost (BU)</w:t>
            </w:r>
          </w:p>
        </w:tc>
        <w:tc>
          <w:tcPr>
            <w:tcW w:type="dxa" w:w="1000"/>
            <w:shd w:fill="DCE4E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Activity</w:t>
            </w:r>
          </w:p>
        </w:tc>
        <w:tc>
          <w:tcPr>
            <w:tcW w:type="dxa" w:w="800"/>
            <w:shd w:fill="DCE4E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K</w:t>
            </w:r>
          </w:p>
        </w:tc>
        <w:tc>
          <w:tcPr>
            <w:tcW w:type="dxa" w:w="800"/>
            <w:shd w:fill="DCE4E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M</w:t>
            </w:r>
          </w:p>
        </w:tc>
        <w:tc>
          <w:tcPr>
            <w:tcW w:type="dxa" w:w="2726"/>
            <w:shd w:fill="DCE4E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Event</w:t>
            </w:r>
          </w:p>
        </w:tc>
      </w:tr>
      <w:tr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2014-06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Rocket R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0.0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0.10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0.05</w:t>
            </w:r>
          </w:p>
        </w:tc>
        <w:tc>
          <w:tcPr>
            <w:tcW w:type="dxa" w:w="27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baseline review</w:t>
            </w:r>
          </w:p>
        </w:tc>
      </w:tr>
      <w:tr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2014-11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Rocket R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2.0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0.16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0.05</w:t>
            </w:r>
          </w:p>
        </w:tc>
        <w:tc>
          <w:tcPr>
            <w:tcW w:type="dxa" w:w="27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flight 1 lost (shock)</w:t>
            </w:r>
          </w:p>
        </w:tc>
      </w:tr>
      <w:tr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2019-03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Engine E-1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1.0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0.37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0.12</w:t>
            </w:r>
          </w:p>
        </w:tc>
        <w:tc>
          <w:tcPr>
            <w:tcW w:type="dxa" w:w="27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2021-08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CFD-2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3.0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0.57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0.30</w:t>
            </w:r>
          </w:p>
        </w:tc>
        <w:tc>
          <w:tcPr>
            <w:tcW w:type="dxa" w:w="27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simulation plateau</w:t>
            </w:r>
          </w:p>
        </w:tc>
      </w:tr>
    </w:tbl>
    <w:p>
      <w:pPr>
        <w:spacing w:after="60"/>
      </w:pPr>
    </w:p>
    <w:p>
      <w:pPr>
        <w:pStyle w:val="Heading1"/>
        <w:spacing w:after="140" w:before="280"/>
      </w:pPr>
      <w:r>
        <w:rPr>
          <w:rFonts w:ascii="Calibri" w:cs="Calibri" w:eastAsia="Calibri" w:hAnsi="Calibri"/>
        </w:rPr>
        <w:t xml:space="preserve">3. Calibrating the coefficients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The model has thirteen coefficients (paper, Eqs. (8)–(10) and Table 5). Calibrate first those that drive the plan most: the test hazard λ</w:t>
      </w:r>
      <w:r>
        <w:rPr>
          <w:rFonts w:ascii="Calibri" w:cs="Calibri" w:eastAsia="Calibri" w:hAnsi="Calibri"/>
          <w:vertAlign w:val="subscript"/>
        </w:rPr>
        <w:t xml:space="preserve">T</w:t>
      </w:r>
      <w:r>
        <w:rPr>
          <w:rFonts w:ascii="Calibri" w:cs="Calibri" w:eastAsia="Calibri" w:hAnsi="Calibri"/>
        </w:rPr>
        <w:t xml:space="preserve">, the two ceilings and the main rates. Keep the paper's base values as priors for the others until records exist.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800"/>
        <w:gridCol w:w="2526"/>
        <w:gridCol w:w="2000"/>
      </w:tblGrid>
      <w:tr>
        <w:trPr>
          <w:tblHeader/>
        </w:trPr>
        <w:tc>
          <w:tcPr>
            <w:tcW w:type="dxa" w:w="1700"/>
            <w:shd w:fill="DCE4E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Coefficient</w:t>
            </w:r>
          </w:p>
        </w:tc>
        <w:tc>
          <w:tcPr>
            <w:tcW w:type="dxa" w:w="2800"/>
            <w:shd w:fill="DCE4E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Meaning</w:t>
            </w:r>
          </w:p>
        </w:tc>
        <w:tc>
          <w:tcPr>
            <w:tcW w:type="dxa" w:w="2526"/>
            <w:shd w:fill="DCE4E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Record needed</w:t>
            </w:r>
          </w:p>
        </w:tc>
        <w:tc>
          <w:tcPr>
            <w:tcW w:type="dxa" w:w="2000"/>
            <w:shd w:fill="DCE4E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Method</w:t>
            </w:r>
          </w:p>
        </w:tc>
      </w:tr>
      <w:t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λ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  <w:vertAlign w:val="subscript"/>
              </w:rPr>
              <w:t xml:space="preserve">T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integrated-test shock hazard per BU, × (1 − K)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  <w:vertAlign w:val="superscript"/>
              </w:rPr>
              <w:t xml:space="preserve">2</w:t>
            </w:r>
          </w:p>
        </w:tc>
        <w:tc>
          <w:tcPr>
            <w:tcW w:type="dxa" w:w="25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outcomes of past integrated tests and K before each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likelihood + public prior (3.1)</w:t>
            </w:r>
          </w:p>
        </w:tc>
      </w:tr>
      <w:t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  <w:vertAlign w:val="subscript"/>
              </w:rPr>
              <w:t xml:space="preserve">T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knowledge gained per BU of integrated testing</w:t>
            </w:r>
          </w:p>
        </w:tc>
        <w:tc>
          <w:tcPr>
            <w:tcW w:type="dxa" w:w="25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K before consecutive tests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least squares (3.2)</w:t>
            </w:r>
          </w:p>
        </w:tc>
      </w:tr>
      <w:t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  <w:vertAlign w:val="subscript"/>
              </w:rPr>
              <w:t xml:space="preserve">S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, r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  <w:vertAlign w:val="subscript"/>
              </w:rPr>
              <w:t xml:space="preserve">E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, r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  <w:vertAlign w:val="subscript"/>
              </w:rPr>
              <w:t xml:space="preserve">T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main rates of S, E, T</w:t>
            </w:r>
          </w:p>
        </w:tc>
        <w:tc>
          <w:tcPr>
            <w:tcW w:type="dxa" w:w="25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K or M versus cost within a campaign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log-linear fit (3.3)</w:t>
            </w:r>
          </w:p>
        </w:tc>
      </w:tr>
      <w:t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k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  <w:vertAlign w:val="subscript"/>
              </w:rPr>
              <w:t xml:space="preserve">b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, k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  <w:vertAlign w:val="subscript"/>
              </w:rPr>
              <w:t xml:space="preserve">l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; m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  <w:vertAlign w:val="subscript"/>
              </w:rPr>
              <w:t xml:space="preserve">b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, m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  <w:vertAlign w:val="subscript"/>
              </w:rPr>
              <w:t xml:space="preserve">l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ceilings K̄(M) and M̄(K)</w:t>
            </w:r>
          </w:p>
        </w:tc>
        <w:tc>
          <w:tcPr>
            <w:tcW w:type="dxa" w:w="25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plateaus of S and T campaigns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linear regression (3.4)</w:t>
            </w:r>
          </w:p>
        </w:tc>
      </w:tr>
      <w:t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  <w:vertAlign w:val="subscript"/>
              </w:rPr>
              <w:t xml:space="preserve">E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, λ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  <w:vertAlign w:val="subscript"/>
              </w:rPr>
              <w:t xml:space="preserve">E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, δ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  <w:vertAlign w:val="subscript"/>
              </w:rPr>
              <w:t xml:space="preserve">K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, δ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  <w:vertAlign w:val="subscript"/>
              </w:rPr>
              <w:t xml:space="preserve">M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, ρ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secondary credit, small-test hazard, shock size, rework</w:t>
            </w:r>
          </w:p>
        </w:tc>
        <w:tc>
          <w:tcPr>
            <w:tcW w:type="dxa" w:w="25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paper base values</w:t>
            </w:r>
          </w:p>
        </w:tc>
      </w:tr>
    </w:tbl>
    <w:p>
      <w:pPr>
        <w:pStyle w:val="Heading2"/>
        <w:spacing w:after="100" w:before="220"/>
      </w:pPr>
      <w:r>
        <w:rPr>
          <w:rFonts w:ascii="Calibri" w:cs="Calibri" w:eastAsia="Calibri" w:hAnsi="Calibri"/>
        </w:rPr>
        <w:t xml:space="preserve">3.1 Test hazard λ</w:t>
      </w:r>
      <w:r>
        <w:rPr>
          <w:rFonts w:ascii="Calibri" w:cs="Calibri" w:eastAsia="Calibri" w:hAnsi="Calibri"/>
          <w:vertAlign w:val="subscript"/>
        </w:rPr>
        <w:t xml:space="preserve">T</w:t>
      </w:r>
      <w:r>
        <w:rPr>
          <w:rFonts w:ascii="Calibri" w:cs="Calibri" w:eastAsia="Calibri" w:hAnsi="Calibri"/>
        </w:rPr>
        <w:t xml:space="preserve">: likelihood and prior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For integrated test n with cost c</w:t>
      </w:r>
      <w:r>
        <w:rPr>
          <w:rFonts w:ascii="Calibri" w:cs="Calibri" w:eastAsia="Calibri" w:hAnsi="Calibri"/>
          <w:vertAlign w:val="subscript"/>
        </w:rPr>
        <w:t xml:space="preserve">f</w:t>
      </w:r>
      <w:r>
        <w:rPr>
          <w:rFonts w:ascii="Calibri" w:cs="Calibri" w:eastAsia="Calibri" w:hAnsi="Calibri"/>
        </w:rPr>
        <w:t xml:space="preserve"> and assessed knowledge K</w:t>
      </w:r>
      <w:r>
        <w:rPr>
          <w:rFonts w:ascii="Calibri" w:cs="Calibri" w:eastAsia="Calibri" w:hAnsi="Calibri"/>
          <w:vertAlign w:val="subscript"/>
        </w:rPr>
        <w:t xml:space="preserve">n</w:t>
      </w:r>
      <w:r>
        <w:rPr>
          <w:rFonts w:ascii="Calibri" w:cs="Calibri" w:eastAsia="Calibri" w:hAnsi="Calibri"/>
        </w:rPr>
        <w:t xml:space="preserve">, the probability of a discrepancy is</w:t>
      </w:r>
    </w:p>
    <w:p>
      <w:pPr>
        <w:spacing w:after="120" w:before="80"/>
        <w:jc w:val="center"/>
      </w:pPr>
      <w:r>
        <w:rPr>
          <w:rFonts w:ascii="Cambria Math" w:cs="Cambria Math" w:eastAsia="Cambria Math" w:hAnsi="Cambria Math"/>
          <w:sz w:val="23"/>
          <w:szCs w:val="23"/>
        </w:rPr>
        <w:t xml:space="preserve">p</w:t>
      </w:r>
      <w:r>
        <w:rPr>
          <w:rFonts w:ascii="Cambria Math" w:cs="Cambria Math" w:eastAsia="Cambria Math" w:hAnsi="Cambria Math"/>
          <w:sz w:val="23"/>
          <w:szCs w:val="23"/>
          <w:vertAlign w:val="subscript"/>
        </w:rPr>
        <w:t xml:space="preserve">n</w:t>
      </w:r>
      <w:r>
        <w:rPr>
          <w:rFonts w:ascii="Cambria Math" w:cs="Cambria Math" w:eastAsia="Cambria Math" w:hAnsi="Cambria Math"/>
          <w:sz w:val="23"/>
          <w:szCs w:val="23"/>
        </w:rPr>
        <w:t xml:space="preserve">(λ) = 1 − exp[ −λ (1 − K</w:t>
      </w:r>
      <w:r>
        <w:rPr>
          <w:rFonts w:ascii="Cambria Math" w:cs="Cambria Math" w:eastAsia="Cambria Math" w:hAnsi="Cambria Math"/>
          <w:sz w:val="23"/>
          <w:szCs w:val="23"/>
          <w:vertAlign w:val="subscript"/>
        </w:rPr>
        <w:t xml:space="preserve">n</w:t>
      </w:r>
      <w:r>
        <w:rPr>
          <w:rFonts w:ascii="Cambria Math" w:cs="Cambria Math" w:eastAsia="Cambria Math" w:hAnsi="Cambria Math"/>
          <w:sz w:val="23"/>
          <w:szCs w:val="23"/>
        </w:rPr>
        <w:t xml:space="preserve">)</w:t>
      </w:r>
      <w:r>
        <w:rPr>
          <w:rFonts w:ascii="Cambria Math" w:cs="Cambria Math" w:eastAsia="Cambria Math" w:hAnsi="Cambria Math"/>
          <w:sz w:val="23"/>
          <w:szCs w:val="23"/>
          <w:vertAlign w:val="superscript"/>
        </w:rPr>
        <w:t xml:space="preserve">2</w:t>
      </w:r>
      <w:r>
        <w:rPr>
          <w:rFonts w:ascii="Cambria Math" w:cs="Cambria Math" w:eastAsia="Cambria Math" w:hAnsi="Cambria Math"/>
          <w:sz w:val="23"/>
          <w:szCs w:val="23"/>
        </w:rPr>
        <w:t xml:space="preserve"> c</w:t>
      </w:r>
      <w:r>
        <w:rPr>
          <w:rFonts w:ascii="Cambria Math" w:cs="Cambria Math" w:eastAsia="Cambria Math" w:hAnsi="Cambria Math"/>
          <w:sz w:val="23"/>
          <w:szCs w:val="23"/>
          <w:vertAlign w:val="subscript"/>
        </w:rPr>
        <w:t xml:space="preserve">f</w:t>
      </w:r>
      <w:r>
        <w:rPr>
          <w:rFonts w:ascii="Cambria Math" w:cs="Cambria Math" w:eastAsia="Cambria Math" w:hAnsi="Cambria Math"/>
          <w:sz w:val="23"/>
          <w:szCs w:val="23"/>
        </w:rPr>
        <w:t xml:space="preserve"> ]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and the likelihood of the observed history (failures F, successes S) is L(λ) = Π</w:t>
      </w:r>
      <w:r>
        <w:rPr>
          <w:rFonts w:ascii="Calibri" w:cs="Calibri" w:eastAsia="Calibri" w:hAnsi="Calibri"/>
          <w:vertAlign w:val="subscript"/>
        </w:rPr>
        <w:t xml:space="preserve">n∈F</w:t>
      </w:r>
      <w:r>
        <w:rPr>
          <w:rFonts w:ascii="Calibri" w:cs="Calibri" w:eastAsia="Calibri" w:hAnsi="Calibri"/>
        </w:rPr>
        <w:t xml:space="preserve"> p</w:t>
      </w:r>
      <w:r>
        <w:rPr>
          <w:rFonts w:ascii="Calibri" w:cs="Calibri" w:eastAsia="Calibri" w:hAnsi="Calibri"/>
          <w:vertAlign w:val="subscript"/>
        </w:rPr>
        <w:t xml:space="preserve">n</w:t>
      </w:r>
      <w:r>
        <w:rPr>
          <w:rFonts w:ascii="Calibri" w:cs="Calibri" w:eastAsia="Calibri" w:hAnsi="Calibri"/>
        </w:rPr>
        <w:t xml:space="preserve"> · Π</w:t>
      </w:r>
      <w:r>
        <w:rPr>
          <w:rFonts w:ascii="Calibri" w:cs="Calibri" w:eastAsia="Calibri" w:hAnsi="Calibri"/>
          <w:vertAlign w:val="subscript"/>
        </w:rPr>
        <w:t xml:space="preserve">n∈S</w:t>
      </w:r>
      <w:r>
        <w:rPr>
          <w:rFonts w:ascii="Calibri" w:cs="Calibri" w:eastAsia="Calibri" w:hAnsi="Calibri"/>
        </w:rPr>
        <w:t xml:space="preserve"> (1 − p</w:t>
      </w:r>
      <w:r>
        <w:rPr>
          <w:rFonts w:ascii="Calibri" w:cs="Calibri" w:eastAsia="Calibri" w:hAnsi="Calibri"/>
          <w:vertAlign w:val="subscript"/>
        </w:rPr>
        <w:t xml:space="preserve">n</w:t>
      </w:r>
      <w:r>
        <w:rPr>
          <w:rFonts w:ascii="Calibri" w:cs="Calibri" w:eastAsia="Calibri" w:hAnsi="Calibri"/>
        </w:rPr>
        <w:t xml:space="preserve">). Maximize ln L over λ with a one-dimensional search (the workbook does it on a grid). Because a few tests give a wide estimate, combine L with a public prior, for example ln λ ~ Normal(ln 0.90, 0.5</w:t>
      </w:r>
      <w:r>
        <w:rPr>
          <w:rFonts w:ascii="Calibri" w:cs="Calibri" w:eastAsia="Calibri" w:hAnsi="Calibri"/>
          <w:vertAlign w:val="superscript"/>
        </w:rPr>
        <w:t xml:space="preserve">2</w:t>
      </w:r>
      <w:r>
        <w:rPr>
          <w:rFonts w:ascii="Calibri" w:cs="Calibri" w:eastAsia="Calibri" w:hAnsi="Calibri"/>
        </w:rPr>
        <w:t xml:space="preserve">) from the FAA first-flight data of the paper (Sec. VI-B), and use the posterior median.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single" w:color="1D5B8F" w:sz="18"/>
              <w:bottom w:val="none"/>
              <w:right w:val="none"/>
            </w:tcBorders>
            <w:shd w:fill="EEF3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D5B8F"/>
              </w:rPr>
              <w:t xml:space="preserve">Worked example: Rocket R (8 launches, 2014–2024, first success on flight 8, c</w:t>
            </w:r>
            <w:r>
              <w:rPr>
                <w:rFonts w:ascii="Calibri" w:cs="Calibri" w:eastAsia="Calibri" w:hAnsi="Calibri"/>
                <w:b/>
                <w:bCs/>
                <w:color w:val="1D5B8F"/>
                <w:vertAlign w:val="subscript"/>
              </w:rPr>
              <w:t xml:space="preserve">f</w:t>
            </w:r>
            <w:r>
              <w:rPr>
                <w:rFonts w:ascii="Calibri" w:cs="Calibri" w:eastAsia="Calibri" w:hAnsi="Calibri"/>
                <w:b/>
                <w:bCs/>
                <w:color w:val="1D5B8F"/>
              </w:rPr>
              <w:t xml:space="preserve"> = 2 BU)</w:t>
            </w:r>
          </w:p>
          <w:p>
            <w:pPr>
              <w:spacing w:after="120" w:line="276"/>
            </w:pPr>
            <w:r>
              <w:rPr>
                <w:rFonts w:ascii="Calibri" w:cs="Calibri" w:eastAsia="Calibri" w:hAnsi="Calibri"/>
              </w:rPr>
              <w:t xml:space="preserve">K before flights 1–8: 0.10, 0.16, 0.21, 0.27, 0.32, 0.37, 0.42, 0.47; outcomes: seven failures, then success.</w:t>
            </w:r>
          </w:p>
          <w:p>
            <w:pPr>
              <w:spacing w:after="120" w:line="276"/>
            </w:pPr>
            <w:r>
              <w:rPr>
                <w:rFonts w:ascii="Calibri" w:cs="Calibri" w:eastAsia="Calibri" w:hAnsi="Calibri"/>
              </w:rPr>
              <w:t xml:space="preserve">Data only: λ̂</w:t>
            </w:r>
            <w:r>
              <w:rPr>
                <w:rFonts w:ascii="Calibri" w:cs="Calibri" w:eastAsia="Calibri" w:hAnsi="Calibri"/>
                <w:vertAlign w:val="subscript"/>
              </w:rPr>
              <w:t xml:space="preserve">T</w:t>
            </w:r>
            <w:r>
              <w:rPr>
                <w:rFonts w:ascii="Calibri" w:cs="Calibri" w:eastAsia="Calibri" w:hAnsi="Calibri"/>
              </w:rPr>
              <w:t xml:space="preserve"> = </w:t>
            </w:r>
            <w:r>
              <w:rPr>
                <w:rFonts w:ascii="Calibri" w:cs="Calibri" w:eastAsia="Calibri" w:hAnsi="Calibri"/>
                <w:b/>
                <w:bCs/>
              </w:rPr>
              <w:t xml:space="preserve">2.55</w:t>
            </w:r>
            <w:r>
              <w:rPr>
                <w:rFonts w:ascii="Calibri" w:cs="Calibri" w:eastAsia="Calibri" w:hAnsi="Calibri"/>
              </w:rPr>
              <w:t xml:space="preserve"> per BU (flight 1: 1 − exp(−2.55 × 0.90</w:t>
            </w:r>
            <w:r>
              <w:rPr>
                <w:rFonts w:ascii="Calibri" w:cs="Calibri" w:eastAsia="Calibri" w:hAnsi="Calibri"/>
                <w:vertAlign w:val="superscript"/>
              </w:rPr>
              <w:t xml:space="preserve">2</w:t>
            </w:r>
            <w:r>
              <w:rPr>
                <w:rFonts w:ascii="Calibri" w:cs="Calibri" w:eastAsia="Calibri" w:hAnsi="Calibri"/>
              </w:rPr>
              <w:t xml:space="preserve"> × 2) = 0.98).</w:t>
            </w:r>
          </w:p>
          <w:p>
            <w:pPr>
              <w:spacing w:after="120" w:line="276"/>
            </w:pPr>
            <w:r>
              <w:rPr>
                <w:rFonts w:ascii="Calibri" w:cs="Calibri" w:eastAsia="Calibri" w:hAnsi="Calibri"/>
              </w:rPr>
              <w:t xml:space="preserve">With the FAA prior: posterior median </w:t>
            </w:r>
            <w:r>
              <w:rPr>
                <w:rFonts w:ascii="Calibri" w:cs="Calibri" w:eastAsia="Calibri" w:hAnsi="Calibri"/>
                <w:b/>
                <w:bCs/>
              </w:rPr>
              <w:t xml:space="preserve">1.48</w:t>
            </w:r>
            <w:r>
              <w:rPr>
                <w:rFonts w:ascii="Calibri" w:cs="Calibri" w:eastAsia="Calibri" w:hAnsi="Calibri"/>
              </w:rPr>
              <w:t xml:space="preserve"> per BU, 90% interval 0.80–2.68. Org X uses </w:t>
            </w:r>
            <w:r>
              <w:rPr>
                <w:rFonts w:ascii="Calibri" w:cs="Calibri" w:eastAsia="Calibri" w:hAnsi="Calibri"/>
                <w:b/>
                <w:bCs/>
              </w:rPr>
              <w:t xml:space="preserve">λ</w:t>
            </w:r>
            <w:r>
              <w:rPr>
                <w:rFonts w:ascii="Calibri" w:cs="Calibri" w:eastAsia="Calibri" w:hAnsi="Calibri"/>
                <w:b/>
                <w:bCs/>
                <w:vertAlign w:val="subscript"/>
              </w:rPr>
              <w:t xml:space="preserve">T</w:t>
            </w:r>
            <w:r>
              <w:rPr>
                <w:rFonts w:ascii="Calibri" w:cs="Calibri" w:eastAsia="Calibri" w:hAnsi="Calibri"/>
                <w:b/>
                <w:bCs/>
              </w:rPr>
              <w:t xml:space="preserve"> = 1.5</w:t>
            </w:r>
            <w:r>
              <w:rPr>
                <w:rFonts w:ascii="Calibri" w:cs="Calibri" w:eastAsia="Calibri" w:hAnsi="Calibri"/>
              </w:rPr>
              <w:t xml:space="preserve">.</w:t>
            </w:r>
          </w:p>
        </w:tc>
      </w:tr>
    </w:tbl>
    <w:p>
      <w:pPr>
        <w:spacing w:after="60" w:before="120"/>
        <w:jc w:val="center"/>
      </w:pPr>
      <w:r>
        <w:drawing>
          <wp:inline distT="0" distB="0" distL="0" distR="0">
            <wp:extent cx="4572000" cy="24003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cs="Calibri" w:eastAsia="Calibri" w:hAnsi="Calibri"/>
          <w:i/>
          <w:iCs/>
          <w:sz w:val="18"/>
          <w:szCs w:val="18"/>
        </w:rPr>
        <w:t xml:space="preserve">Figure S1. Rocket R: failure probability per flight from the data alone (dashed) and from the posterior median (bars).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</w:rPr>
        <w:t xml:space="preserve">3.2 Knowledge per integrated test e</w:t>
      </w:r>
      <w:r>
        <w:rPr>
          <w:rFonts w:ascii="Calibri" w:cs="Calibri" w:eastAsia="Calibri" w:hAnsi="Calibri"/>
          <w:vertAlign w:val="subscript"/>
        </w:rPr>
        <w:t xml:space="preserve">T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With ΔK</w:t>
      </w:r>
      <w:r>
        <w:rPr>
          <w:rFonts w:ascii="Calibri" w:cs="Calibri" w:eastAsia="Calibri" w:hAnsi="Calibri"/>
          <w:vertAlign w:val="subscript"/>
        </w:rPr>
        <w:t xml:space="preserve">n</w:t>
      </w:r>
      <w:r>
        <w:rPr>
          <w:rFonts w:ascii="Calibri" w:cs="Calibri" w:eastAsia="Calibri" w:hAnsi="Calibri"/>
        </w:rPr>
        <w:t xml:space="preserve"> the increase of K between consecutive tests and x</w:t>
      </w:r>
      <w:r>
        <w:rPr>
          <w:rFonts w:ascii="Calibri" w:cs="Calibri" w:eastAsia="Calibri" w:hAnsi="Calibri"/>
          <w:vertAlign w:val="subscript"/>
        </w:rPr>
        <w:t xml:space="preserve">n</w:t>
      </w:r>
      <w:r>
        <w:rPr>
          <w:rFonts w:ascii="Calibri" w:cs="Calibri" w:eastAsia="Calibri" w:hAnsi="Calibri"/>
        </w:rPr>
        <w:t xml:space="preserve"> = (1 − K</w:t>
      </w:r>
      <w:r>
        <w:rPr>
          <w:rFonts w:ascii="Calibri" w:cs="Calibri" w:eastAsia="Calibri" w:hAnsi="Calibri"/>
          <w:vertAlign w:val="subscript"/>
        </w:rPr>
        <w:t xml:space="preserve">n</w:t>
      </w:r>
      <w:r>
        <w:rPr>
          <w:rFonts w:ascii="Calibri" w:cs="Calibri" w:eastAsia="Calibri" w:hAnsi="Calibri"/>
        </w:rPr>
        <w:t xml:space="preserve">) c</w:t>
      </w:r>
      <w:r>
        <w:rPr>
          <w:rFonts w:ascii="Calibri" w:cs="Calibri" w:eastAsia="Calibri" w:hAnsi="Calibri"/>
          <w:vertAlign w:val="subscript"/>
        </w:rPr>
        <w:t xml:space="preserve">f</w:t>
      </w:r>
      <w:r>
        <w:rPr>
          <w:rFonts w:ascii="Calibri" w:cs="Calibri" w:eastAsia="Calibri" w:hAnsi="Calibri"/>
        </w:rPr>
        <w:t xml:space="preserve">, fit ΔK</w:t>
      </w:r>
      <w:r>
        <w:rPr>
          <w:rFonts w:ascii="Calibri" w:cs="Calibri" w:eastAsia="Calibri" w:hAnsi="Calibri"/>
          <w:vertAlign w:val="subscript"/>
        </w:rPr>
        <w:t xml:space="preserve">n</w:t>
      </w:r>
      <w:r>
        <w:rPr>
          <w:rFonts w:ascii="Calibri" w:cs="Calibri" w:eastAsia="Calibri" w:hAnsi="Calibri"/>
        </w:rPr>
        <w:t xml:space="preserve"> = e</w:t>
      </w:r>
      <w:r>
        <w:rPr>
          <w:rFonts w:ascii="Calibri" w:cs="Calibri" w:eastAsia="Calibri" w:hAnsi="Calibri"/>
          <w:vertAlign w:val="subscript"/>
        </w:rPr>
        <w:t xml:space="preserve">T</w:t>
      </w:r>
      <w:r>
        <w:rPr>
          <w:rFonts w:ascii="Calibri" w:cs="Calibri" w:eastAsia="Calibri" w:hAnsi="Calibri"/>
        </w:rPr>
        <w:t xml:space="preserve"> x</w:t>
      </w:r>
      <w:r>
        <w:rPr>
          <w:rFonts w:ascii="Calibri" w:cs="Calibri" w:eastAsia="Calibri" w:hAnsi="Calibri"/>
          <w:vertAlign w:val="subscript"/>
        </w:rPr>
        <w:t xml:space="preserve">n</w:t>
      </w:r>
      <w:r>
        <w:rPr>
          <w:rFonts w:ascii="Calibri" w:cs="Calibri" w:eastAsia="Calibri" w:hAnsi="Calibri"/>
        </w:rPr>
        <w:t xml:space="preserve"> through the origin:</w:t>
      </w:r>
    </w:p>
    <w:p>
      <w:pPr>
        <w:spacing w:after="120" w:before="80"/>
        <w:jc w:val="center"/>
      </w:pPr>
      <w:r>
        <w:rPr>
          <w:rFonts w:ascii="Cambria Math" w:cs="Cambria Math" w:eastAsia="Cambria Math" w:hAnsi="Cambria Math"/>
          <w:sz w:val="23"/>
          <w:szCs w:val="23"/>
        </w:rPr>
        <w:t xml:space="preserve">ê</w:t>
      </w:r>
      <w:r>
        <w:rPr>
          <w:rFonts w:ascii="Cambria Math" w:cs="Cambria Math" w:eastAsia="Cambria Math" w:hAnsi="Cambria Math"/>
          <w:sz w:val="23"/>
          <w:szCs w:val="23"/>
          <w:vertAlign w:val="subscript"/>
        </w:rPr>
        <w:t xml:space="preserve">T</w:t>
      </w:r>
      <w:r>
        <w:rPr>
          <w:rFonts w:ascii="Cambria Math" w:cs="Cambria Math" w:eastAsia="Cambria Math" w:hAnsi="Cambria Math"/>
          <w:sz w:val="23"/>
          <w:szCs w:val="23"/>
        </w:rPr>
        <w:t xml:space="preserve"> = Σ ΔK</w:t>
      </w:r>
      <w:r>
        <w:rPr>
          <w:rFonts w:ascii="Cambria Math" w:cs="Cambria Math" w:eastAsia="Cambria Math" w:hAnsi="Cambria Math"/>
          <w:sz w:val="23"/>
          <w:szCs w:val="23"/>
          <w:vertAlign w:val="subscript"/>
        </w:rPr>
        <w:t xml:space="preserve">n</w:t>
      </w:r>
      <w:r>
        <w:rPr>
          <w:rFonts w:ascii="Cambria Math" w:cs="Cambria Math" w:eastAsia="Cambria Math" w:hAnsi="Cambria Math"/>
          <w:sz w:val="23"/>
          <w:szCs w:val="23"/>
        </w:rPr>
        <w:t xml:space="preserve"> x</w:t>
      </w:r>
      <w:r>
        <w:rPr>
          <w:rFonts w:ascii="Cambria Math" w:cs="Cambria Math" w:eastAsia="Cambria Math" w:hAnsi="Cambria Math"/>
          <w:sz w:val="23"/>
          <w:szCs w:val="23"/>
          <w:vertAlign w:val="subscript"/>
        </w:rPr>
        <w:t xml:space="preserve">n</w:t>
      </w:r>
      <w:r>
        <w:rPr>
          <w:rFonts w:ascii="Cambria Math" w:cs="Cambria Math" w:eastAsia="Cambria Math" w:hAnsi="Cambria Math"/>
          <w:sz w:val="23"/>
          <w:szCs w:val="23"/>
        </w:rPr>
        <w:t xml:space="preserve"> / Σ x</w:t>
      </w:r>
      <w:r>
        <w:rPr>
          <w:rFonts w:ascii="Cambria Math" w:cs="Cambria Math" w:eastAsia="Cambria Math" w:hAnsi="Cambria Math"/>
          <w:sz w:val="23"/>
          <w:szCs w:val="23"/>
          <w:vertAlign w:val="subscript"/>
        </w:rPr>
        <w:t xml:space="preserve">n</w:t>
      </w:r>
      <w:r>
        <w:rPr>
          <w:rFonts w:ascii="Cambria Math" w:cs="Cambria Math" w:eastAsia="Cambria Math" w:hAnsi="Cambria Math"/>
          <w:sz w:val="23"/>
          <w:szCs w:val="23"/>
          <w:vertAlign w:val="superscript"/>
        </w:rPr>
        <w:t xml:space="preserve">2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Rocket R: ΔK = 0.06, 0.05, 0.06, 0.05, 0.05, 0.05, 0.05 and x = 1.80 … 1.16 give </w:t>
      </w:r>
      <w:r>
        <w:rPr>
          <w:rFonts w:ascii="Calibri" w:cs="Calibri" w:eastAsia="Calibri" w:hAnsi="Calibri"/>
          <w:b/>
          <w:bCs/>
        </w:rPr>
        <w:t xml:space="preserve">e</w:t>
      </w:r>
      <w:r>
        <w:rPr>
          <w:rFonts w:ascii="Calibri" w:cs="Calibri" w:eastAsia="Calibri" w:hAnsi="Calibri"/>
          <w:b/>
          <w:bCs/>
          <w:vertAlign w:val="subscript"/>
        </w:rPr>
        <w:t xml:space="preserve">T</w:t>
      </w:r>
      <w:r>
        <w:rPr>
          <w:rFonts w:ascii="Calibri" w:cs="Calibri" w:eastAsia="Calibri" w:hAnsi="Calibri"/>
          <w:b/>
          <w:bCs/>
        </w:rPr>
        <w:t xml:space="preserve"> = 0.035</w:t>
      </w:r>
      <w:r>
        <w:rPr>
          <w:rFonts w:ascii="Calibri" w:cs="Calibri" w:eastAsia="Calibri" w:hAnsi="Calibri"/>
        </w:rPr>
        <w:t xml:space="preserve"> per BU. If the increments shrink faster than (1 − K), use the power form g(1 − K)</w:t>
      </w:r>
      <w:r>
        <w:rPr>
          <w:rFonts w:ascii="Calibri" w:cs="Calibri" w:eastAsia="Calibri" w:hAnsi="Calibri"/>
          <w:vertAlign w:val="superscript"/>
        </w:rPr>
        <w:t xml:space="preserve">q</w:t>
      </w:r>
      <w:r>
        <w:rPr>
          <w:rFonts w:ascii="Calibri" w:cs="Calibri" w:eastAsia="Calibri" w:hAnsi="Calibri"/>
        </w:rPr>
        <w:t xml:space="preserve"> of the paper (Sec. VI-B).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</w:rPr>
        <w:t xml:space="preserve">3.3 Rates: a straight line through logarithms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Each activity closes a fixed fraction of its remaining gap per BU, so the gap decays exponentially. Within one campaign, regress the logarithm of the gap on cost; minus the slope is the rate:</w:t>
      </w:r>
    </w:p>
    <w:p>
      <w:pPr>
        <w:spacing w:after="120" w:before="80"/>
        <w:jc w:val="center"/>
      </w:pPr>
      <w:r>
        <w:rPr>
          <w:rFonts w:ascii="Cambria Math" w:cs="Cambria Math" w:eastAsia="Cambria Math" w:hAnsi="Cambria Math"/>
          <w:sz w:val="23"/>
          <w:szCs w:val="23"/>
        </w:rPr>
        <w:t xml:space="preserve">ln(1 − K) = ln(1 − K</w:t>
      </w:r>
      <w:r>
        <w:rPr>
          <w:rFonts w:ascii="Cambria Math" w:cs="Cambria Math" w:eastAsia="Cambria Math" w:hAnsi="Cambria Math"/>
          <w:sz w:val="23"/>
          <w:szCs w:val="23"/>
          <w:vertAlign w:val="subscript"/>
        </w:rPr>
        <w:t xml:space="preserve">0</w:t>
      </w:r>
      <w:r>
        <w:rPr>
          <w:rFonts w:ascii="Cambria Math" w:cs="Cambria Math" w:eastAsia="Cambria Math" w:hAnsi="Cambria Math"/>
          <w:sz w:val="23"/>
          <w:szCs w:val="23"/>
        </w:rPr>
        <w:t xml:space="preserve">) − r</w:t>
      </w:r>
      <w:r>
        <w:rPr>
          <w:rFonts w:ascii="Cambria Math" w:cs="Cambria Math" w:eastAsia="Cambria Math" w:hAnsi="Cambria Math"/>
          <w:sz w:val="23"/>
          <w:szCs w:val="23"/>
          <w:vertAlign w:val="subscript"/>
        </w:rPr>
        <w:t xml:space="preserve">E</w:t>
      </w:r>
      <w:r>
        <w:rPr>
          <w:rFonts w:ascii="Cambria Math" w:cs="Cambria Math" w:eastAsia="Cambria Math" w:hAnsi="Cambria Math"/>
          <w:sz w:val="23"/>
          <w:szCs w:val="23"/>
        </w:rPr>
        <w:t xml:space="preserve"> c        (separate-effects tests)</w:t>
      </w:r>
    </w:p>
    <w:p>
      <w:pPr>
        <w:spacing w:after="120" w:before="80"/>
        <w:jc w:val="center"/>
      </w:pPr>
      <w:r>
        <w:rPr>
          <w:rFonts w:ascii="Cambria Math" w:cs="Cambria Math" w:eastAsia="Cambria Math" w:hAnsi="Cambria Math"/>
          <w:sz w:val="23"/>
          <w:szCs w:val="23"/>
        </w:rPr>
        <w:t xml:space="preserve">ln(K̄ − K) = ln(K̄ − K</w:t>
      </w:r>
      <w:r>
        <w:rPr>
          <w:rFonts w:ascii="Cambria Math" w:cs="Cambria Math" w:eastAsia="Cambria Math" w:hAnsi="Cambria Math"/>
          <w:sz w:val="23"/>
          <w:szCs w:val="23"/>
          <w:vertAlign w:val="subscript"/>
        </w:rPr>
        <w:t xml:space="preserve">0</w:t>
      </w:r>
      <w:r>
        <w:rPr>
          <w:rFonts w:ascii="Cambria Math" w:cs="Cambria Math" w:eastAsia="Cambria Math" w:hAnsi="Cambria Math"/>
          <w:sz w:val="23"/>
          <w:szCs w:val="23"/>
        </w:rPr>
        <w:t xml:space="preserve">) − r</w:t>
      </w:r>
      <w:r>
        <w:rPr>
          <w:rFonts w:ascii="Cambria Math" w:cs="Cambria Math" w:eastAsia="Cambria Math" w:hAnsi="Cambria Math"/>
          <w:sz w:val="23"/>
          <w:szCs w:val="23"/>
          <w:vertAlign w:val="subscript"/>
        </w:rPr>
        <w:t xml:space="preserve">S</w:t>
      </w:r>
      <w:r>
        <w:rPr>
          <w:rFonts w:ascii="Cambria Math" w:cs="Cambria Math" w:eastAsia="Cambria Math" w:hAnsi="Cambria Math"/>
          <w:sz w:val="23"/>
          <w:szCs w:val="23"/>
        </w:rPr>
        <w:t xml:space="preserve"> c        (simulation, K̄ at the campaign's M)</w:t>
      </w:r>
    </w:p>
    <w:p>
      <w:pPr>
        <w:spacing w:after="120" w:before="80"/>
        <w:jc w:val="center"/>
      </w:pPr>
      <w:r>
        <w:rPr>
          <w:rFonts w:ascii="Cambria Math" w:cs="Cambria Math" w:eastAsia="Cambria Math" w:hAnsi="Cambria Math"/>
          <w:sz w:val="23"/>
          <w:szCs w:val="23"/>
        </w:rPr>
        <w:t xml:space="preserve">ln(M̄ − M) = ln(M̄ − M</w:t>
      </w:r>
      <w:r>
        <w:rPr>
          <w:rFonts w:ascii="Cambria Math" w:cs="Cambria Math" w:eastAsia="Cambria Math" w:hAnsi="Cambria Math"/>
          <w:sz w:val="23"/>
          <w:szCs w:val="23"/>
          <w:vertAlign w:val="subscript"/>
        </w:rPr>
        <w:t xml:space="preserve">0</w:t>
      </w:r>
      <w:r>
        <w:rPr>
          <w:rFonts w:ascii="Cambria Math" w:cs="Cambria Math" w:eastAsia="Cambria Math" w:hAnsi="Cambria Math"/>
          <w:sz w:val="23"/>
          <w:szCs w:val="23"/>
        </w:rPr>
        <w:t xml:space="preserve">) − r</w:t>
      </w:r>
      <w:r>
        <w:rPr>
          <w:rFonts w:ascii="Cambria Math" w:cs="Cambria Math" w:eastAsia="Cambria Math" w:hAnsi="Cambria Math"/>
          <w:sz w:val="23"/>
          <w:szCs w:val="23"/>
          <w:vertAlign w:val="subscript"/>
        </w:rPr>
        <w:t xml:space="preserve">T</w:t>
      </w:r>
      <w:r>
        <w:rPr>
          <w:rFonts w:ascii="Cambria Math" w:cs="Cambria Math" w:eastAsia="Cambria Math" w:hAnsi="Cambria Math"/>
          <w:sz w:val="23"/>
          <w:szCs w:val="23"/>
        </w:rPr>
        <w:t xml:space="preserve"> c        (integrated tests, M̄ at the campaign's K)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400"/>
        <w:gridCol w:w="1200"/>
        <w:gridCol w:w="1626"/>
      </w:tblGrid>
      <w:tr>
        <w:trPr>
          <w:tblHeader/>
        </w:trPr>
        <w:tc>
          <w:tcPr>
            <w:tcW w:type="dxa" w:w="2800"/>
            <w:shd w:fill="DCE4E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Campaign</w:t>
            </w:r>
          </w:p>
        </w:tc>
        <w:tc>
          <w:tcPr>
            <w:tcW w:type="dxa" w:w="3400"/>
            <w:shd w:fill="DCE4E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Data</w:t>
            </w:r>
          </w:p>
        </w:tc>
        <w:tc>
          <w:tcPr>
            <w:tcW w:type="dxa" w:w="1200"/>
            <w:shd w:fill="DCE4E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Slope</w:t>
            </w:r>
          </w:p>
        </w:tc>
        <w:tc>
          <w:tcPr>
            <w:tcW w:type="dxa" w:w="1626"/>
            <w:shd w:fill="DCE4E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Rate</w:t>
            </w:r>
          </w:p>
        </w:tc>
      </w:tr>
      <w:tr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Engine E-1 (E)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 = 0…4; K = .30, .37, .43, .48, .53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−0.099</w:t>
            </w:r>
          </w:p>
        </w:tc>
        <w:tc>
          <w:tcPr>
            <w:tcW w:type="dxa" w:w="16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  <w:vertAlign w:val="subscript"/>
              </w:rPr>
              <w:t xml:space="preserve">E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= 0.10</w:t>
            </w:r>
          </w:p>
        </w:tc>
      </w:tr>
      <w:tr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CFD (S), K̄ = 0.464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 = 0…3; K = .20, .27, .32, .36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−0.309</w:t>
            </w:r>
          </w:p>
        </w:tc>
        <w:tc>
          <w:tcPr>
            <w:tcW w:type="dxa" w:w="16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  <w:vertAlign w:val="subscript"/>
              </w:rPr>
              <w:t xml:space="preserve">S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= 0.30</w:t>
            </w:r>
          </w:p>
        </w:tc>
      </w:tr>
      <w:tr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Ground tests (T), K = 0.50, M̄ = 0.574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 = 0…3; M = .10, .20, .28, .34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−0.236</w:t>
            </w:r>
          </w:p>
        </w:tc>
        <w:tc>
          <w:tcPr>
            <w:tcW w:type="dxa" w:w="16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  <w:vertAlign w:val="subscript"/>
              </w:rPr>
              <w:t xml:space="preserve">T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= 0.24</w:t>
            </w:r>
          </w:p>
        </w:tc>
      </w:tr>
    </w:tbl>
    <w:p>
      <w:pPr>
        <w:pStyle w:val="Heading2"/>
        <w:spacing w:after="100" w:before="220"/>
      </w:pPr>
      <w:r>
        <w:rPr>
          <w:rFonts w:ascii="Calibri" w:cs="Calibri" w:eastAsia="Calibri" w:hAnsi="Calibri"/>
        </w:rPr>
        <w:t xml:space="preserve">3.4 Ceilings: regress the plateaus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A plateau is the level at which an activity's marginal rate has fallen below about 10% of its initial value (Table 6, step 5). Regress the simulation plateaus on the demonstrated M of each campaign, and the integrated-test plateaus on the K at which they were run:</w:t>
      </w:r>
    </w:p>
    <w:p>
      <w:pPr>
        <w:spacing w:after="120" w:before="80"/>
        <w:jc w:val="center"/>
      </w:pPr>
      <w:r>
        <w:rPr>
          <w:rFonts w:ascii="Cambria Math" w:cs="Cambria Math" w:eastAsia="Cambria Math" w:hAnsi="Cambria Math"/>
          <w:sz w:val="23"/>
          <w:szCs w:val="23"/>
        </w:rPr>
        <w:t xml:space="preserve">K̄(M) = k</w:t>
      </w:r>
      <w:r>
        <w:rPr>
          <w:rFonts w:ascii="Cambria Math" w:cs="Cambria Math" w:eastAsia="Cambria Math" w:hAnsi="Cambria Math"/>
          <w:sz w:val="23"/>
          <w:szCs w:val="23"/>
          <w:vertAlign w:val="subscript"/>
        </w:rPr>
        <w:t xml:space="preserve">b</w:t>
      </w:r>
      <w:r>
        <w:rPr>
          <w:rFonts w:ascii="Cambria Math" w:cs="Cambria Math" w:eastAsia="Cambria Math" w:hAnsi="Cambria Math"/>
          <w:sz w:val="23"/>
          <w:szCs w:val="23"/>
        </w:rPr>
        <w:t xml:space="preserve"> + k</w:t>
      </w:r>
      <w:r>
        <w:rPr>
          <w:rFonts w:ascii="Cambria Math" w:cs="Cambria Math" w:eastAsia="Cambria Math" w:hAnsi="Cambria Math"/>
          <w:sz w:val="23"/>
          <w:szCs w:val="23"/>
          <w:vertAlign w:val="subscript"/>
        </w:rPr>
        <w:t xml:space="preserve">l</w:t>
      </w:r>
      <w:r>
        <w:rPr>
          <w:rFonts w:ascii="Cambria Math" w:cs="Cambria Math" w:eastAsia="Cambria Math" w:hAnsi="Cambria Math"/>
          <w:sz w:val="23"/>
          <w:szCs w:val="23"/>
        </w:rPr>
        <w:t xml:space="preserve"> M,        M̄(K) = m</w:t>
      </w:r>
      <w:r>
        <w:rPr>
          <w:rFonts w:ascii="Cambria Math" w:cs="Cambria Math" w:eastAsia="Cambria Math" w:hAnsi="Cambria Math"/>
          <w:sz w:val="23"/>
          <w:szCs w:val="23"/>
          <w:vertAlign w:val="subscript"/>
        </w:rPr>
        <w:t xml:space="preserve">b</w:t>
      </w:r>
      <w:r>
        <w:rPr>
          <w:rFonts w:ascii="Cambria Math" w:cs="Cambria Math" w:eastAsia="Cambria Math" w:hAnsi="Cambria Math"/>
          <w:sz w:val="23"/>
          <w:szCs w:val="23"/>
        </w:rPr>
        <w:t xml:space="preserve"> + m</w:t>
      </w:r>
      <w:r>
        <w:rPr>
          <w:rFonts w:ascii="Cambria Math" w:cs="Cambria Math" w:eastAsia="Cambria Math" w:hAnsi="Cambria Math"/>
          <w:sz w:val="23"/>
          <w:szCs w:val="23"/>
          <w:vertAlign w:val="subscript"/>
        </w:rPr>
        <w:t xml:space="preserve">l</w:t>
      </w:r>
      <w:r>
        <w:rPr>
          <w:rFonts w:ascii="Cambria Math" w:cs="Cambria Math" w:eastAsia="Cambria Math" w:hAnsi="Cambria Math"/>
          <w:sz w:val="23"/>
          <w:szCs w:val="23"/>
        </w:rPr>
        <w:t xml:space="preserve"> K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Org X: simulation plateaus K = 0.47, 0.57, 0.71, 0.82 at M = 0.10, 0.30, 0.50, 0.70 give </w:t>
      </w:r>
      <w:r>
        <w:rPr>
          <w:rFonts w:ascii="Calibri" w:cs="Calibri" w:eastAsia="Calibri" w:hAnsi="Calibri"/>
          <w:b/>
          <w:bCs/>
        </w:rPr>
        <w:t xml:space="preserve">K̄ = 0.40 + 0.60 M</w:t>
      </w:r>
      <w:r>
        <w:rPr>
          <w:rFonts w:ascii="Calibri" w:cs="Calibri" w:eastAsia="Calibri" w:hAnsi="Calibri"/>
        </w:rPr>
        <w:t xml:space="preserve">; test plateaus M = 0.36, 0.53, 0.67, 0.84 at K = 0.30, 0.45, 0.60, 0.75 give </w:t>
      </w:r>
      <w:r>
        <w:rPr>
          <w:rFonts w:ascii="Calibri" w:cs="Calibri" w:eastAsia="Calibri" w:hAnsi="Calibri"/>
          <w:b/>
          <w:bCs/>
        </w:rPr>
        <w:t xml:space="preserve">M̄ = 0.05 + 1.05 K</w:t>
      </w:r>
      <w:r>
        <w:rPr>
          <w:rFonts w:ascii="Calibri" w:cs="Calibri" w:eastAsia="Calibri" w:hAnsi="Calibri"/>
        </w:rPr>
        <w:t xml:space="preserve">.</w:t>
      </w:r>
    </w:p>
    <w:p>
      <w:pPr>
        <w:spacing w:after="60" w:before="120"/>
        <w:jc w:val="center"/>
      </w:pPr>
      <w:r>
        <w:drawing>
          <wp:inline distT="0" distB="0" distL="0" distR="0">
            <wp:extent cx="5715000" cy="1428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cs="Calibri" w:eastAsia="Calibri" w:hAnsi="Calibri"/>
          <w:i/>
          <w:iCs/>
          <w:sz w:val="18"/>
          <w:szCs w:val="18"/>
        </w:rPr>
        <w:t xml:space="preserve">Figure S2. Fits of the rates and ceilings for Org X.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</w:rPr>
        <w:t xml:space="preserve">3.5 The parameter card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200"/>
        <w:gridCol w:w="2200"/>
        <w:gridCol w:w="2326"/>
      </w:tblGrid>
      <w:tr>
        <w:trPr>
          <w:tblHeader/>
        </w:trPr>
        <w:tc>
          <w:tcPr>
            <w:tcW w:type="dxa" w:w="2300"/>
            <w:shd w:fill="DCE4E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Coefficient</w:t>
            </w:r>
          </w:p>
        </w:tc>
        <w:tc>
          <w:tcPr>
            <w:tcW w:type="dxa" w:w="2200"/>
            <w:shd w:fill="DCE4E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Org X</w:t>
            </w:r>
          </w:p>
        </w:tc>
        <w:tc>
          <w:tcPr>
            <w:tcW w:type="dxa" w:w="2200"/>
            <w:shd w:fill="DCE4E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Paper base</w:t>
            </w:r>
          </w:p>
        </w:tc>
        <w:tc>
          <w:tcPr>
            <w:tcW w:type="dxa" w:w="2326"/>
            <w:shd w:fill="DCE4E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Source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k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  <w:vertAlign w:val="subscript"/>
              </w:rPr>
              <w:t xml:space="preserve">b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, k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  <w:vertAlign w:val="subscript"/>
              </w:rPr>
              <w:t xml:space="preserve">l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0.40, 0.60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0.40, 0.60</w:t>
            </w:r>
          </w:p>
        </w:tc>
        <w:tc>
          <w:tcPr>
            <w:tcW w:type="dxa" w:w="23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CFD plateaus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  <w:vertAlign w:val="subscript"/>
              </w:rPr>
              <w:t xml:space="preserve">b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, m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  <w:vertAlign w:val="subscript"/>
              </w:rPr>
              <w:t xml:space="preserve">l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0.05, 1.05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0.05, 1.05</w:t>
            </w:r>
          </w:p>
        </w:tc>
        <w:tc>
          <w:tcPr>
            <w:tcW w:type="dxa" w:w="23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test plateaus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  <w:vertAlign w:val="subscript"/>
              </w:rPr>
              <w:t xml:space="preserve">S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; r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  <w:vertAlign w:val="subscript"/>
              </w:rPr>
              <w:t xml:space="preserve">E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; r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  <w:vertAlign w:val="subscript"/>
              </w:rPr>
              <w:t xml:space="preserve">T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0.30; 0.10; 0.24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0.30; 0.10; 0.22</w:t>
            </w:r>
          </w:p>
        </w:tc>
        <w:tc>
          <w:tcPr>
            <w:tcW w:type="dxa" w:w="23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campaign rates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λ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  <w:vertAlign w:val="subscript"/>
              </w:rPr>
              <w:t xml:space="preserve">T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1.5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0.40</w:t>
            </w:r>
          </w:p>
        </w:tc>
        <w:tc>
          <w:tcPr>
            <w:tcW w:type="dxa" w:w="23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Rocket R + FAA prior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  <w:vertAlign w:val="subscript"/>
              </w:rPr>
              <w:t xml:space="preserve">T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0.035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0.04</w:t>
            </w:r>
          </w:p>
        </w:tc>
        <w:tc>
          <w:tcPr>
            <w:tcW w:type="dxa" w:w="23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Rocket R increments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  <w:vertAlign w:val="subscript"/>
              </w:rPr>
              <w:t xml:space="preserve">E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, λ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  <w:vertAlign w:val="subscript"/>
              </w:rPr>
              <w:t xml:space="preserve">E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0.05, 0.05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0.05, 0.05</w:t>
            </w:r>
          </w:p>
        </w:tc>
        <w:tc>
          <w:tcPr>
            <w:tcW w:type="dxa" w:w="23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prior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δ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  <w:vertAlign w:val="subscript"/>
              </w:rPr>
              <w:t xml:space="preserve">K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, δ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  <w:vertAlign w:val="subscript"/>
              </w:rPr>
              <w:t xml:space="preserve">M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, ρ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0.06, 0.15, 2 BU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0.06, 0.15, 2 BU</w:t>
            </w:r>
          </w:p>
        </w:tc>
        <w:tc>
          <w:tcPr>
            <w:tcW w:type="dxa" w:w="23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prior</w:t>
            </w:r>
          </w:p>
        </w:tc>
      </w:tr>
    </w:tbl>
    <w:p>
      <w:pPr>
        <w:pStyle w:val="Heading1"/>
        <w:spacing w:after="140" w:before="280"/>
      </w:pPr>
      <w:r>
        <w:rPr>
          <w:rFonts w:ascii="Calibri" w:cs="Calibri" w:eastAsia="Calibri" w:hAnsi="Calibri"/>
        </w:rPr>
        <w:t xml:space="preserve">4. Applying the procedure to a new project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</w:rPr>
        <w:t xml:space="preserve">4.1 Define the problem (Table 6, step 1)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Project N (fictional): qualify a new upper-stage engine. Claim C1: combustion is stable across the operating envelope. First review: (K, M) = (0.20, 0.10). Target region: K ≥ K</w:t>
      </w:r>
      <w:r>
        <w:rPr>
          <w:rFonts w:ascii="Calibri" w:cs="Calibri" w:eastAsia="Calibri" w:hAnsi="Calibri"/>
          <w:vertAlign w:val="subscript"/>
        </w:rPr>
        <w:t xml:space="preserve">req</w:t>
      </w:r>
      <w:r>
        <w:rPr>
          <w:rFonts w:ascii="Calibri" w:cs="Calibri" w:eastAsia="Calibri" w:hAnsi="Calibri"/>
        </w:rPr>
        <w:t xml:space="preserve"> = 0.75 and M ≥ M</w:t>
      </w:r>
      <w:r>
        <w:rPr>
          <w:rFonts w:ascii="Calibri" w:cs="Calibri" w:eastAsia="Calibri" w:hAnsi="Calibri"/>
          <w:vertAlign w:val="subscript"/>
        </w:rPr>
        <w:t xml:space="preserve">req</w:t>
      </w:r>
      <w:r>
        <w:rPr>
          <w:rFonts w:ascii="Calibri" w:cs="Calibri" w:eastAsia="Calibri" w:hAnsi="Calibri"/>
        </w:rPr>
        <w:t xml:space="preserve"> = 0.80. Budget: 30 BU. Exposure limit set by Org X: λ</w:t>
      </w:r>
      <w:r>
        <w:rPr>
          <w:rFonts w:ascii="Calibri" w:cs="Calibri" w:eastAsia="Calibri" w:hAnsi="Calibri"/>
          <w:vertAlign w:val="subscript"/>
        </w:rPr>
        <w:t xml:space="preserve">T</w:t>
      </w:r>
      <w:r>
        <w:rPr>
          <w:rFonts w:ascii="Calibri" w:cs="Calibri" w:eastAsia="Calibri" w:hAnsi="Calibri"/>
        </w:rPr>
        <w:t xml:space="preserve">(1 − K)</w:t>
      </w:r>
      <w:r>
        <w:rPr>
          <w:rFonts w:ascii="Calibri" w:cs="Calibri" w:eastAsia="Calibri" w:hAnsi="Calibri"/>
          <w:vertAlign w:val="superscript"/>
        </w:rPr>
        <w:t xml:space="preserve">2</w:t>
      </w:r>
      <w:r>
        <w:rPr>
          <w:rFonts w:ascii="Calibri" w:cs="Calibri" w:eastAsia="Calibri" w:hAnsi="Calibri"/>
        </w:rPr>
        <w:t xml:space="preserve"> ≤ h</w:t>
      </w:r>
      <w:r>
        <w:rPr>
          <w:rFonts w:ascii="Calibri" w:cs="Calibri" w:eastAsia="Calibri" w:hAnsi="Calibri"/>
          <w:vertAlign w:val="subscript"/>
        </w:rPr>
        <w:t xml:space="preserve">max</w:t>
      </w:r>
      <w:r>
        <w:rPr>
          <w:rFonts w:ascii="Calibri" w:cs="Calibri" w:eastAsia="Calibri" w:hAnsi="Calibri"/>
        </w:rPr>
        <w:t xml:space="preserve"> = 0.05 per BU, about a 10% chance of losing a 2-BU integrated test.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</w:rPr>
        <w:t xml:space="preserve">4.2 The test threshold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An integrated test is worth running only when knowledge supports the target maturity (headroom) and the test hazard is within the exposure limit:</w:t>
      </w:r>
    </w:p>
    <w:p>
      <w:pPr>
        <w:spacing w:after="120" w:before="80"/>
        <w:jc w:val="center"/>
      </w:pPr>
      <w:r>
        <w:rPr>
          <w:rFonts w:ascii="Cambria Math" w:cs="Cambria Math" w:eastAsia="Cambria Math" w:hAnsi="Cambria Math"/>
          <w:sz w:val="23"/>
          <w:szCs w:val="23"/>
        </w:rPr>
        <w:t xml:space="preserve">K</w:t>
      </w:r>
      <w:r>
        <w:rPr>
          <w:rFonts w:ascii="Cambria Math" w:cs="Cambria Math" w:eastAsia="Cambria Math" w:hAnsi="Cambria Math"/>
          <w:sz w:val="23"/>
          <w:szCs w:val="23"/>
          <w:vertAlign w:val="subscript"/>
        </w:rPr>
        <w:t xml:space="preserve">need</w:t>
      </w:r>
      <w:r>
        <w:rPr>
          <w:rFonts w:ascii="Cambria Math" w:cs="Cambria Math" w:eastAsia="Cambria Math" w:hAnsi="Cambria Math"/>
          <w:sz w:val="23"/>
          <w:szCs w:val="23"/>
        </w:rPr>
        <w:t xml:space="preserve"> = (M</w:t>
      </w:r>
      <w:r>
        <w:rPr>
          <w:rFonts w:ascii="Cambria Math" w:cs="Cambria Math" w:eastAsia="Cambria Math" w:hAnsi="Cambria Math"/>
          <w:sz w:val="23"/>
          <w:szCs w:val="23"/>
          <w:vertAlign w:val="subscript"/>
        </w:rPr>
        <w:t xml:space="preserve">req</w:t>
      </w:r>
      <w:r>
        <w:rPr>
          <w:rFonts w:ascii="Cambria Math" w:cs="Cambria Math" w:eastAsia="Cambria Math" w:hAnsi="Cambria Math"/>
          <w:sz w:val="23"/>
          <w:szCs w:val="23"/>
        </w:rPr>
        <w:t xml:space="preserve"> − m</w:t>
      </w:r>
      <w:r>
        <w:rPr>
          <w:rFonts w:ascii="Cambria Math" w:cs="Cambria Math" w:eastAsia="Cambria Math" w:hAnsi="Cambria Math"/>
          <w:sz w:val="23"/>
          <w:szCs w:val="23"/>
          <w:vertAlign w:val="subscript"/>
        </w:rPr>
        <w:t xml:space="preserve">b</w:t>
      </w:r>
      <w:r>
        <w:rPr>
          <w:rFonts w:ascii="Cambria Math" w:cs="Cambria Math" w:eastAsia="Cambria Math" w:hAnsi="Cambria Math"/>
          <w:sz w:val="23"/>
          <w:szCs w:val="23"/>
        </w:rPr>
        <w:t xml:space="preserve">) / m</w:t>
      </w:r>
      <w:r>
        <w:rPr>
          <w:rFonts w:ascii="Cambria Math" w:cs="Cambria Math" w:eastAsia="Cambria Math" w:hAnsi="Cambria Math"/>
          <w:sz w:val="23"/>
          <w:szCs w:val="23"/>
          <w:vertAlign w:val="subscript"/>
        </w:rPr>
        <w:t xml:space="preserve">l</w:t>
      </w:r>
      <w:r>
        <w:rPr>
          <w:rFonts w:ascii="Cambria Math" w:cs="Cambria Math" w:eastAsia="Cambria Math" w:hAnsi="Cambria Math"/>
          <w:sz w:val="23"/>
          <w:szCs w:val="23"/>
        </w:rPr>
        <w:t xml:space="preserve">,        K</w:t>
      </w:r>
      <w:r>
        <w:rPr>
          <w:rFonts w:ascii="Cambria Math" w:cs="Cambria Math" w:eastAsia="Cambria Math" w:hAnsi="Cambria Math"/>
          <w:sz w:val="23"/>
          <w:szCs w:val="23"/>
          <w:vertAlign w:val="subscript"/>
        </w:rPr>
        <w:t xml:space="preserve">haz</w:t>
      </w:r>
      <w:r>
        <w:rPr>
          <w:rFonts w:ascii="Cambria Math" w:cs="Cambria Math" w:eastAsia="Cambria Math" w:hAnsi="Cambria Math"/>
          <w:sz w:val="23"/>
          <w:szCs w:val="23"/>
        </w:rPr>
        <w:t xml:space="preserve"> = 1 − (h</w:t>
      </w:r>
      <w:r>
        <w:rPr>
          <w:rFonts w:ascii="Cambria Math" w:cs="Cambria Math" w:eastAsia="Cambria Math" w:hAnsi="Cambria Math"/>
          <w:sz w:val="23"/>
          <w:szCs w:val="23"/>
          <w:vertAlign w:val="subscript"/>
        </w:rPr>
        <w:t xml:space="preserve">max</w:t>
      </w:r>
      <w:r>
        <w:rPr>
          <w:rFonts w:ascii="Cambria Math" w:cs="Cambria Math" w:eastAsia="Cambria Math" w:hAnsi="Cambria Math"/>
          <w:sz w:val="23"/>
          <w:szCs w:val="23"/>
        </w:rPr>
        <w:t xml:space="preserve">/λ</w:t>
      </w:r>
      <w:r>
        <w:rPr>
          <w:rFonts w:ascii="Cambria Math" w:cs="Cambria Math" w:eastAsia="Cambria Math" w:hAnsi="Cambria Math"/>
          <w:sz w:val="23"/>
          <w:szCs w:val="23"/>
          <w:vertAlign w:val="subscript"/>
        </w:rPr>
        <w:t xml:space="preserve">T</w:t>
      </w:r>
      <w:r>
        <w:rPr>
          <w:rFonts w:ascii="Cambria Math" w:cs="Cambria Math" w:eastAsia="Cambria Math" w:hAnsi="Cambria Math"/>
          <w:sz w:val="23"/>
          <w:szCs w:val="23"/>
        </w:rPr>
        <w:t xml:space="preserve">)</w:t>
      </w:r>
      <w:r>
        <w:rPr>
          <w:rFonts w:ascii="Cambria Math" w:cs="Cambria Math" w:eastAsia="Cambria Math" w:hAnsi="Cambria Math"/>
          <w:sz w:val="23"/>
          <w:szCs w:val="23"/>
          <w:vertAlign w:val="superscript"/>
        </w:rPr>
        <w:t xml:space="preserve">1/2</w:t>
      </w:r>
      <w:r>
        <w:rPr>
          <w:rFonts w:ascii="Cambria Math" w:cs="Cambria Math" w:eastAsia="Cambria Math" w:hAnsi="Cambria Math"/>
          <w:sz w:val="23"/>
          <w:szCs w:val="23"/>
        </w:rPr>
        <w:t xml:space="preserve">,        K</w:t>
      </w:r>
      <w:r>
        <w:rPr>
          <w:rFonts w:ascii="Cambria Math" w:cs="Cambria Math" w:eastAsia="Cambria Math" w:hAnsi="Cambria Math"/>
          <w:sz w:val="23"/>
          <w:szCs w:val="23"/>
          <w:vertAlign w:val="subscript"/>
        </w:rPr>
        <w:t xml:space="preserve">test</w:t>
      </w:r>
      <w:r>
        <w:rPr>
          <w:rFonts w:ascii="Cambria Math" w:cs="Cambria Math" w:eastAsia="Cambria Math" w:hAnsi="Cambria Math"/>
          <w:sz w:val="23"/>
          <w:szCs w:val="23"/>
        </w:rPr>
        <w:t xml:space="preserve"> = max(K</w:t>
      </w:r>
      <w:r>
        <w:rPr>
          <w:rFonts w:ascii="Cambria Math" w:cs="Cambria Math" w:eastAsia="Cambria Math" w:hAnsi="Cambria Math"/>
          <w:sz w:val="23"/>
          <w:szCs w:val="23"/>
          <w:vertAlign w:val="subscript"/>
        </w:rPr>
        <w:t xml:space="preserve">need</w:t>
      </w:r>
      <w:r>
        <w:rPr>
          <w:rFonts w:ascii="Cambria Math" w:cs="Cambria Math" w:eastAsia="Cambria Math" w:hAnsi="Cambria Math"/>
          <w:sz w:val="23"/>
          <w:szCs w:val="23"/>
        </w:rPr>
        <w:t xml:space="preserve">, K</w:t>
      </w:r>
      <w:r>
        <w:rPr>
          <w:rFonts w:ascii="Cambria Math" w:cs="Cambria Math" w:eastAsia="Cambria Math" w:hAnsi="Cambria Math"/>
          <w:sz w:val="23"/>
          <w:szCs w:val="23"/>
          <w:vertAlign w:val="subscript"/>
        </w:rPr>
        <w:t xml:space="preserve">haz</w:t>
      </w:r>
      <w:r>
        <w:rPr>
          <w:rFonts w:ascii="Cambria Math" w:cs="Cambria Math" w:eastAsia="Cambria Math" w:hAnsi="Cambria Math"/>
          <w:sz w:val="23"/>
          <w:szCs w:val="23"/>
        </w:rPr>
        <w:t xml:space="preserve">)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Org X: K</w:t>
      </w:r>
      <w:r>
        <w:rPr>
          <w:rFonts w:ascii="Calibri" w:cs="Calibri" w:eastAsia="Calibri" w:hAnsi="Calibri"/>
          <w:vertAlign w:val="subscript"/>
        </w:rPr>
        <w:t xml:space="preserve">need</w:t>
      </w:r>
      <w:r>
        <w:rPr>
          <w:rFonts w:ascii="Calibri" w:cs="Calibri" w:eastAsia="Calibri" w:hAnsi="Calibri"/>
        </w:rPr>
        <w:t xml:space="preserve"> = (0.80 − 0.05)/1.05 = </w:t>
      </w:r>
      <w:r>
        <w:rPr>
          <w:rFonts w:ascii="Calibri" w:cs="Calibri" w:eastAsia="Calibri" w:hAnsi="Calibri"/>
          <w:b/>
          <w:bCs/>
        </w:rPr>
        <w:t xml:space="preserve">0.714</w:t>
      </w:r>
      <w:r>
        <w:rPr>
          <w:rFonts w:ascii="Calibri" w:cs="Calibri" w:eastAsia="Calibri" w:hAnsi="Calibri"/>
        </w:rPr>
        <w:t xml:space="preserve">; K</w:t>
      </w:r>
      <w:r>
        <w:rPr>
          <w:rFonts w:ascii="Calibri" w:cs="Calibri" w:eastAsia="Calibri" w:hAnsi="Calibri"/>
          <w:vertAlign w:val="subscript"/>
        </w:rPr>
        <w:t xml:space="preserve">haz</w:t>
      </w:r>
      <w:r>
        <w:rPr>
          <w:rFonts w:ascii="Calibri" w:cs="Calibri" w:eastAsia="Calibri" w:hAnsi="Calibri"/>
        </w:rPr>
        <w:t xml:space="preserve"> = 1 − √(0.05/1.5) = </w:t>
      </w:r>
      <w:r>
        <w:rPr>
          <w:rFonts w:ascii="Calibri" w:cs="Calibri" w:eastAsia="Calibri" w:hAnsi="Calibri"/>
          <w:b/>
          <w:bCs/>
        </w:rPr>
        <w:t xml:space="preserve">0.817</w:t>
      </w:r>
      <w:r>
        <w:rPr>
          <w:rFonts w:ascii="Calibri" w:cs="Calibri" w:eastAsia="Calibri" w:hAnsi="Calibri"/>
        </w:rPr>
        <w:t xml:space="preserve">; so K</w:t>
      </w:r>
      <w:r>
        <w:rPr>
          <w:rFonts w:ascii="Calibri" w:cs="Calibri" w:eastAsia="Calibri" w:hAnsi="Calibri"/>
          <w:vertAlign w:val="subscript"/>
        </w:rPr>
        <w:t xml:space="preserve">test</w:t>
      </w:r>
      <w:r>
        <w:rPr>
          <w:rFonts w:ascii="Calibri" w:cs="Calibri" w:eastAsia="Calibri" w:hAnsi="Calibri"/>
        </w:rPr>
        <w:t xml:space="preserve"> = 0.817 and the exposure limit, not the headroom, decides. In the paper's base case (λ</w:t>
      </w:r>
      <w:r>
        <w:rPr>
          <w:rFonts w:ascii="Calibri" w:cs="Calibri" w:eastAsia="Calibri" w:hAnsi="Calibri"/>
          <w:vertAlign w:val="subscript"/>
        </w:rPr>
        <w:t xml:space="preserve">T</w:t>
      </w:r>
      <w:r>
        <w:rPr>
          <w:rFonts w:ascii="Calibri" w:cs="Calibri" w:eastAsia="Calibri" w:hAnsi="Calibri"/>
        </w:rPr>
        <w:t xml:space="preserve"> = 0.40), K</w:t>
      </w:r>
      <w:r>
        <w:rPr>
          <w:rFonts w:ascii="Calibri" w:cs="Calibri" w:eastAsia="Calibri" w:hAnsi="Calibri"/>
          <w:vertAlign w:val="subscript"/>
        </w:rPr>
        <w:t xml:space="preserve">haz</w:t>
      </w:r>
      <w:r>
        <w:rPr>
          <w:rFonts w:ascii="Calibri" w:cs="Calibri" w:eastAsia="Calibri" w:hAnsi="Calibri"/>
        </w:rPr>
        <w:t xml:space="preserve"> = 0.65 and headroom decides.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When K</w:t>
      </w:r>
      <w:r>
        <w:rPr>
          <w:rFonts w:ascii="Calibri" w:cs="Calibri" w:eastAsia="Calibri" w:hAnsi="Calibri"/>
          <w:vertAlign w:val="subscript"/>
        </w:rPr>
        <w:t xml:space="preserve">haz</w:t>
      </w:r>
      <w:r>
        <w:rPr>
          <w:rFonts w:ascii="Calibri" w:cs="Calibri" w:eastAsia="Calibri" w:hAnsi="Calibri"/>
        </w:rPr>
        <w:t xml:space="preserve"> &gt; K</w:t>
      </w:r>
      <w:r>
        <w:rPr>
          <w:rFonts w:ascii="Calibri" w:cs="Calibri" w:eastAsia="Calibri" w:hAnsi="Calibri"/>
          <w:vertAlign w:val="subscript"/>
        </w:rPr>
        <w:t xml:space="preserve">need</w:t>
      </w:r>
      <w:r>
        <w:rPr>
          <w:rFonts w:ascii="Calibri" w:cs="Calibri" w:eastAsia="Calibri" w:hAnsi="Calibri"/>
        </w:rPr>
        <w:t xml:space="preserve">, step 3b of Table 6 leaves three options: reduce exposure (configuration or envelope), re-approve the limit, or keep building knowledge until K ≥ K</w:t>
      </w:r>
      <w:r>
        <w:rPr>
          <w:rFonts w:ascii="Calibri" w:cs="Calibri" w:eastAsia="Calibri" w:hAnsi="Calibri"/>
          <w:vertAlign w:val="subscript"/>
        </w:rPr>
        <w:t xml:space="preserve">test</w:t>
      </w:r>
      <w:r>
        <w:rPr>
          <w:rFonts w:ascii="Calibri" w:cs="Calibri" w:eastAsia="Calibri" w:hAnsi="Calibri"/>
        </w:rPr>
        <w:t xml:space="preserve">. Org X chooses the third. The paper's simulations use the second (the test proceeds once no knowledge deficit remains); Section 4.6 shows how to weigh the two.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shd w:fill="DCE4E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K at the integrated test</w:t>
            </w:r>
          </w:p>
        </w:tc>
        <w:tc>
          <w:tcPr>
            <w:tcW w:type="dxa" w:w="4513"/>
            <w:shd w:fill="DCE4E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Chance of losing a 2-BU test</w:t>
            </w:r>
          </w:p>
        </w:tc>
      </w:tr>
      <w:tr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0.20 (today)</w:t>
            </w:r>
          </w:p>
        </w:tc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85%</w:t>
            </w:r>
          </w:p>
        </w:tc>
      </w:tr>
      <w:tr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0.50</w:t>
            </w:r>
          </w:p>
        </w:tc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53%</w:t>
            </w:r>
          </w:p>
        </w:tc>
      </w:tr>
      <w:tr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0.714 (K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  <w:vertAlign w:val="subscript"/>
              </w:rPr>
              <w:t xml:space="preserve">need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)</w:t>
            </w:r>
          </w:p>
        </w:tc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22%</w:t>
            </w:r>
          </w:p>
        </w:tc>
      </w:tr>
      <w:tr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0.817 (K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  <w:vertAlign w:val="subscript"/>
              </w:rPr>
              <w:t xml:space="preserve">haz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)</w:t>
            </w:r>
          </w:p>
        </w:tc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10%</w:t>
            </w:r>
          </w:p>
        </w:tc>
      </w:tr>
    </w:tbl>
    <w:p>
      <w:pPr>
        <w:pStyle w:val="Heading2"/>
        <w:spacing w:after="100" w:before="220"/>
      </w:pPr>
      <w:r>
        <w:rPr>
          <w:rFonts w:ascii="Calibri" w:cs="Calibri" w:eastAsia="Calibri" w:hAnsi="Calibri"/>
        </w:rPr>
        <w:t xml:space="preserve">4.3 The decision at each review (Table 6, steps 3–4)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</w:rPr>
        <w:t xml:space="preserve">If M &lt; M</w:t>
      </w:r>
      <w:r>
        <w:rPr>
          <w:rFonts w:ascii="Calibri" w:cs="Calibri" w:eastAsia="Calibri" w:hAnsi="Calibri"/>
          <w:vertAlign w:val="subscript"/>
        </w:rPr>
        <w:t xml:space="preserve">req</w:t>
      </w:r>
      <w:r>
        <w:rPr>
          <w:rFonts w:ascii="Calibri" w:cs="Calibri" w:eastAsia="Calibri" w:hAnsi="Calibri"/>
        </w:rPr>
        <w:t xml:space="preserve"> and K ≥ K</w:t>
      </w:r>
      <w:r>
        <w:rPr>
          <w:rFonts w:ascii="Calibri" w:cs="Calibri" w:eastAsia="Calibri" w:hAnsi="Calibri"/>
          <w:vertAlign w:val="subscript"/>
        </w:rPr>
        <w:t xml:space="preserve">test</w:t>
      </w:r>
      <w:r>
        <w:rPr>
          <w:rFonts w:ascii="Calibri" w:cs="Calibri" w:eastAsia="Calibri" w:hAnsi="Calibri"/>
        </w:rPr>
        <w:t xml:space="preserve">: run the </w:t>
      </w:r>
      <w:r>
        <w:rPr>
          <w:rFonts w:ascii="Calibri" w:cs="Calibri" w:eastAsia="Calibri" w:hAnsi="Calibri"/>
          <w:b/>
          <w:bCs/>
        </w:rPr>
        <w:t xml:space="preserve">integrated test</w:t>
      </w:r>
      <w:r>
        <w:rPr>
          <w:rFonts w:ascii="Calibri" w:cs="Calibri" w:eastAsia="Calibri" w:hAnsi="Calibri"/>
        </w:rPr>
        <w:t xml:space="preserve"> T (step 3).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</w:rPr>
        <w:t xml:space="preserve">Otherwise (K &lt; K</w:t>
      </w:r>
      <w:r>
        <w:rPr>
          <w:rFonts w:ascii="Calibri" w:cs="Calibri" w:eastAsia="Calibri" w:hAnsi="Calibri"/>
          <w:vertAlign w:val="subscript"/>
        </w:rPr>
        <w:t xml:space="preserve">req</w:t>
      </w:r>
      <w:r>
        <w:rPr>
          <w:rFonts w:ascii="Calibri" w:cs="Calibri" w:eastAsia="Calibri" w:hAnsi="Calibri"/>
        </w:rPr>
        <w:t xml:space="preserve">, K &lt; K</w:t>
      </w:r>
      <w:r>
        <w:rPr>
          <w:rFonts w:ascii="Calibri" w:cs="Calibri" w:eastAsia="Calibri" w:hAnsi="Calibri"/>
          <w:vertAlign w:val="subscript"/>
        </w:rPr>
        <w:t xml:space="preserve">need</w:t>
      </w:r>
      <w:r>
        <w:rPr>
          <w:rFonts w:ascii="Calibri" w:cs="Calibri" w:eastAsia="Calibri" w:hAnsi="Calibri"/>
        </w:rPr>
        <w:t xml:space="preserve">, or the hazard is above the limit, step 3b): run the activity with the largest </w:t>
      </w:r>
      <w:r>
        <w:rPr>
          <w:rFonts w:ascii="Calibri" w:cs="Calibri" w:eastAsia="Calibri" w:hAnsi="Calibri"/>
          <w:b/>
          <w:bCs/>
        </w:rPr>
        <w:t xml:space="preserve">net knowledge rate</w:t>
      </w:r>
      <w:r>
        <w:rPr>
          <w:rFonts w:ascii="Calibri" w:cs="Calibri" w:eastAsia="Calibri" w:hAnsi="Calibri"/>
        </w:rPr>
        <w:t xml:space="preserve"> (step 4):</w:t>
      </w:r>
    </w:p>
    <w:p>
      <w:pPr>
        <w:spacing w:after="120" w:before="80"/>
        <w:jc w:val="center"/>
      </w:pPr>
      <w:r>
        <w:rPr>
          <w:rFonts w:ascii="Cambria Math" w:cs="Cambria Math" w:eastAsia="Cambria Math" w:hAnsi="Cambria Math"/>
          <w:sz w:val="23"/>
          <w:szCs w:val="23"/>
        </w:rPr>
        <w:t xml:space="preserve">net</w:t>
      </w:r>
      <w:r>
        <w:rPr>
          <w:rFonts w:ascii="Cambria Math" w:cs="Cambria Math" w:eastAsia="Cambria Math" w:hAnsi="Cambria Math"/>
          <w:sz w:val="23"/>
          <w:szCs w:val="23"/>
          <w:vertAlign w:val="subscript"/>
        </w:rPr>
        <w:t xml:space="preserve">a</w:t>
      </w:r>
      <w:r>
        <w:rPr>
          <w:rFonts w:ascii="Cambria Math" w:cs="Cambria Math" w:eastAsia="Cambria Math" w:hAnsi="Cambria Math"/>
          <w:sz w:val="23"/>
          <w:szCs w:val="23"/>
        </w:rPr>
        <w:t xml:space="preserve"> = F</w:t>
      </w:r>
      <w:r>
        <w:rPr>
          <w:rFonts w:ascii="Cambria Math" w:cs="Cambria Math" w:eastAsia="Cambria Math" w:hAnsi="Cambria Math"/>
          <w:sz w:val="23"/>
          <w:szCs w:val="23"/>
          <w:vertAlign w:val="subscript"/>
        </w:rPr>
        <w:t xml:space="preserve">a</w:t>
      </w:r>
      <w:r>
        <w:rPr>
          <w:rFonts w:ascii="Cambria Math" w:cs="Cambria Math" w:eastAsia="Cambria Math" w:hAnsi="Cambria Math"/>
          <w:sz w:val="23"/>
          <w:szCs w:val="23"/>
        </w:rPr>
        <w:t xml:space="preserve">(K, M) − λ</w:t>
      </w:r>
      <w:r>
        <w:rPr>
          <w:rFonts w:ascii="Cambria Math" w:cs="Cambria Math" w:eastAsia="Cambria Math" w:hAnsi="Cambria Math"/>
          <w:sz w:val="23"/>
          <w:szCs w:val="23"/>
          <w:vertAlign w:val="subscript"/>
        </w:rPr>
        <w:t xml:space="preserve">a</w:t>
      </w:r>
      <w:r>
        <w:rPr>
          <w:rFonts w:ascii="Cambria Math" w:cs="Cambria Math" w:eastAsia="Cambria Math" w:hAnsi="Cambria Math"/>
          <w:sz w:val="23"/>
          <w:szCs w:val="23"/>
        </w:rPr>
        <w:t xml:space="preserve">(1 − K)</w:t>
      </w:r>
      <w:r>
        <w:rPr>
          <w:rFonts w:ascii="Cambria Math" w:cs="Cambria Math" w:eastAsia="Cambria Math" w:hAnsi="Cambria Math"/>
          <w:sz w:val="23"/>
          <w:szCs w:val="23"/>
          <w:vertAlign w:val="superscript"/>
        </w:rPr>
        <w:t xml:space="preserve">2</w:t>
      </w:r>
      <w:r>
        <w:rPr>
          <w:rFonts w:ascii="Cambria Math" w:cs="Cambria Math" w:eastAsia="Cambria Math" w:hAnsi="Cambria Math"/>
          <w:sz w:val="23"/>
          <w:szCs w:val="23"/>
        </w:rPr>
        <w:t xml:space="preserve"> δ</w:t>
      </w:r>
      <w:r>
        <w:rPr>
          <w:rFonts w:ascii="Cambria Math" w:cs="Cambria Math" w:eastAsia="Cambria Math" w:hAnsi="Cambria Math"/>
          <w:sz w:val="23"/>
          <w:szCs w:val="23"/>
          <w:vertAlign w:val="subscript"/>
        </w:rPr>
        <w:t xml:space="preserve">K</w:t>
      </w:r>
      <w:r>
        <w:rPr>
          <w:rFonts w:ascii="Cambria Math" w:cs="Cambria Math" w:eastAsia="Cambria Math" w:hAnsi="Cambria Math"/>
          <w:sz w:val="23"/>
          <w:szCs w:val="23"/>
        </w:rPr>
        <w:t xml:space="preserve">,    with F</w:t>
      </w:r>
      <w:r>
        <w:rPr>
          <w:rFonts w:ascii="Cambria Math" w:cs="Cambria Math" w:eastAsia="Cambria Math" w:hAnsi="Cambria Math"/>
          <w:sz w:val="23"/>
          <w:szCs w:val="23"/>
          <w:vertAlign w:val="subscript"/>
        </w:rPr>
        <w:t xml:space="preserve">S</w:t>
      </w:r>
      <w:r>
        <w:rPr>
          <w:rFonts w:ascii="Cambria Math" w:cs="Cambria Math" w:eastAsia="Cambria Math" w:hAnsi="Cambria Math"/>
          <w:sz w:val="23"/>
          <w:szCs w:val="23"/>
        </w:rPr>
        <w:t xml:space="preserve"> = r</w:t>
      </w:r>
      <w:r>
        <w:rPr>
          <w:rFonts w:ascii="Cambria Math" w:cs="Cambria Math" w:eastAsia="Cambria Math" w:hAnsi="Cambria Math"/>
          <w:sz w:val="23"/>
          <w:szCs w:val="23"/>
          <w:vertAlign w:val="subscript"/>
        </w:rPr>
        <w:t xml:space="preserve">S</w:t>
      </w:r>
      <w:r>
        <w:rPr>
          <w:rFonts w:ascii="Cambria Math" w:cs="Cambria Math" w:eastAsia="Cambria Math" w:hAnsi="Cambria Math"/>
          <w:sz w:val="23"/>
          <w:szCs w:val="23"/>
        </w:rPr>
        <w:t xml:space="preserve">[K̄(M) − K]</w:t>
      </w:r>
      <w:r>
        <w:rPr>
          <w:rFonts w:ascii="Cambria Math" w:cs="Cambria Math" w:eastAsia="Cambria Math" w:hAnsi="Cambria Math"/>
          <w:sz w:val="23"/>
          <w:szCs w:val="23"/>
          <w:vertAlign w:val="subscript"/>
        </w:rPr>
        <w:t xml:space="preserve">+</w:t>
      </w:r>
      <w:r>
        <w:rPr>
          <w:rFonts w:ascii="Cambria Math" w:cs="Cambria Math" w:eastAsia="Cambria Math" w:hAnsi="Cambria Math"/>
          <w:sz w:val="23"/>
          <w:szCs w:val="23"/>
        </w:rPr>
        <w:t xml:space="preserve">,  F</w:t>
      </w:r>
      <w:r>
        <w:rPr>
          <w:rFonts w:ascii="Cambria Math" w:cs="Cambria Math" w:eastAsia="Cambria Math" w:hAnsi="Cambria Math"/>
          <w:sz w:val="23"/>
          <w:szCs w:val="23"/>
          <w:vertAlign w:val="subscript"/>
        </w:rPr>
        <w:t xml:space="preserve">E</w:t>
      </w:r>
      <w:r>
        <w:rPr>
          <w:rFonts w:ascii="Cambria Math" w:cs="Cambria Math" w:eastAsia="Cambria Math" w:hAnsi="Cambria Math"/>
          <w:sz w:val="23"/>
          <w:szCs w:val="23"/>
        </w:rPr>
        <w:t xml:space="preserve"> = r</w:t>
      </w:r>
      <w:r>
        <w:rPr>
          <w:rFonts w:ascii="Cambria Math" w:cs="Cambria Math" w:eastAsia="Cambria Math" w:hAnsi="Cambria Math"/>
          <w:sz w:val="23"/>
          <w:szCs w:val="23"/>
          <w:vertAlign w:val="subscript"/>
        </w:rPr>
        <w:t xml:space="preserve">E</w:t>
      </w:r>
      <w:r>
        <w:rPr>
          <w:rFonts w:ascii="Cambria Math" w:cs="Cambria Math" w:eastAsia="Cambria Math" w:hAnsi="Cambria Math"/>
          <w:sz w:val="23"/>
          <w:szCs w:val="23"/>
        </w:rPr>
        <w:t xml:space="preserve">(1 − K),  F</w:t>
      </w:r>
      <w:r>
        <w:rPr>
          <w:rFonts w:ascii="Cambria Math" w:cs="Cambria Math" w:eastAsia="Cambria Math" w:hAnsi="Cambria Math"/>
          <w:sz w:val="23"/>
          <w:szCs w:val="23"/>
          <w:vertAlign w:val="subscript"/>
        </w:rPr>
        <w:t xml:space="preserve">T</w:t>
      </w:r>
      <w:r>
        <w:rPr>
          <w:rFonts w:ascii="Cambria Math" w:cs="Cambria Math" w:eastAsia="Cambria Math" w:hAnsi="Cambria Math"/>
          <w:sz w:val="23"/>
          <w:szCs w:val="23"/>
        </w:rPr>
        <w:t xml:space="preserve"> = e</w:t>
      </w:r>
      <w:r>
        <w:rPr>
          <w:rFonts w:ascii="Cambria Math" w:cs="Cambria Math" w:eastAsia="Cambria Math" w:hAnsi="Cambria Math"/>
          <w:sz w:val="23"/>
          <w:szCs w:val="23"/>
          <w:vertAlign w:val="subscript"/>
        </w:rPr>
        <w:t xml:space="preserve">T</w:t>
      </w:r>
      <w:r>
        <w:rPr>
          <w:rFonts w:ascii="Cambria Math" w:cs="Cambria Math" w:eastAsia="Cambria Math" w:hAnsi="Cambria Math"/>
          <w:sz w:val="23"/>
          <w:szCs w:val="23"/>
        </w:rPr>
        <w:t xml:space="preserve">(1 − K)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</w:rPr>
        <w:t xml:space="preserve">Screen the chosen activity against cost, schedule and exposure (step 6); if it fails, take the next best.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single" w:color="1D5B8F" w:sz="18"/>
              <w:bottom w:val="none"/>
              <w:right w:val="none"/>
            </w:tcBorders>
            <w:shd w:fill="EEF3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D5B8F"/>
              </w:rPr>
              <w:t xml:space="preserve">Worked example: first decision at (0.20, 0.10)</w:t>
            </w:r>
          </w:p>
          <w:p>
            <w:pPr>
              <w:spacing w:after="120" w:line="276"/>
            </w:pPr>
            <w:r>
              <w:rPr>
                <w:rFonts w:ascii="Calibri" w:cs="Calibri" w:eastAsia="Calibri" w:hAnsi="Calibri"/>
              </w:rPr>
              <w:t xml:space="preserve">K̄(0.10) = 0.40 + 0.60 × 0.10 = 0.46;   K = 0.20 &lt; K</w:t>
            </w:r>
            <w:r>
              <w:rPr>
                <w:rFonts w:ascii="Calibri" w:cs="Calibri" w:eastAsia="Calibri" w:hAnsi="Calibri"/>
                <w:vertAlign w:val="subscript"/>
              </w:rPr>
              <w:t xml:space="preserve">test</w:t>
            </w:r>
            <w:r>
              <w:rPr>
                <w:rFonts w:ascii="Calibri" w:cs="Calibri" w:eastAsia="Calibri" w:hAnsi="Calibri"/>
              </w:rPr>
              <w:t xml:space="preserve"> → step 4.</w:t>
            </w:r>
          </w:p>
          <w:p>
            <w:pPr>
              <w:spacing w:after="120" w:line="276"/>
            </w:pPr>
            <w:r>
              <w:rPr>
                <w:rFonts w:ascii="Calibri" w:cs="Calibri" w:eastAsia="Calibri" w:hAnsi="Calibri"/>
              </w:rPr>
              <w:t xml:space="preserve">S: 0.30 × (0.46 − 0.20) = 0.0780;   hazard 0 → net </w:t>
            </w:r>
            <w:r>
              <w:rPr>
                <w:rFonts w:ascii="Calibri" w:cs="Calibri" w:eastAsia="Calibri" w:hAnsi="Calibri"/>
                <w:b/>
                <w:bCs/>
              </w:rPr>
              <w:t xml:space="preserve">0.0780</w:t>
            </w:r>
            <w:r>
              <w:rPr>
                <w:rFonts w:ascii="Calibri" w:cs="Calibri" w:eastAsia="Calibri" w:hAnsi="Calibri"/>
              </w:rPr>
              <w:t xml:space="preserve">.</w:t>
            </w:r>
          </w:p>
          <w:p>
            <w:pPr>
              <w:spacing w:after="120" w:line="276"/>
            </w:pPr>
            <w:r>
              <w:rPr>
                <w:rFonts w:ascii="Calibri" w:cs="Calibri" w:eastAsia="Calibri" w:hAnsi="Calibri"/>
              </w:rPr>
              <w:t xml:space="preserve">E: 0.10 × (1 − 0.20) = 0.080;   hazard 0.05 × 0.64 = 0.032;   loss 0.032 × 0.06 = 0.0019 → net </w:t>
            </w:r>
            <w:r>
              <w:rPr>
                <w:rFonts w:ascii="Calibri" w:cs="Calibri" w:eastAsia="Calibri" w:hAnsi="Calibri"/>
                <w:b/>
                <w:bCs/>
              </w:rPr>
              <w:t xml:space="preserve">0.0781</w:t>
            </w:r>
            <w:r>
              <w:rPr>
                <w:rFonts w:ascii="Calibri" w:cs="Calibri" w:eastAsia="Calibri" w:hAnsi="Calibri"/>
              </w:rPr>
              <w:t xml:space="preserve">.</w:t>
            </w:r>
          </w:p>
          <w:p>
            <w:pPr>
              <w:spacing w:after="120" w:line="276"/>
            </w:pPr>
            <w:r>
              <w:rPr>
                <w:rFonts w:ascii="Calibri" w:cs="Calibri" w:eastAsia="Calibri" w:hAnsi="Calibri"/>
              </w:rPr>
              <w:t xml:space="preserve">T: 0.035 × 0.80 = 0.028;   hazard 1.5 × 0.64 = 0.96;   loss 0.0576 → net </w:t>
            </w:r>
            <w:r>
              <w:rPr>
                <w:rFonts w:ascii="Calibri" w:cs="Calibri" w:eastAsia="Calibri" w:hAnsi="Calibri"/>
                <w:b/>
                <w:bCs/>
              </w:rPr>
              <w:t xml:space="preserve">−0.030</w:t>
            </w:r>
            <w:r>
              <w:rPr>
                <w:rFonts w:ascii="Calibri" w:cs="Calibri" w:eastAsia="Calibri" w:hAnsi="Calibri"/>
              </w:rPr>
              <w:t xml:space="preserve">.</w:t>
            </w:r>
          </w:p>
          <w:p>
            <w:pPr>
              <w:spacing w:after="120" w:line="276"/>
            </w:pPr>
            <w:r>
              <w:rPr>
                <w:rFonts w:ascii="Calibri" w:cs="Calibri" w:eastAsia="Calibri" w:hAnsi="Calibri"/>
              </w:rPr>
              <w:t xml:space="preserve">Decision: </w:t>
            </w:r>
            <w:r>
              <w:rPr>
                <w:rFonts w:ascii="Calibri" w:cs="Calibri" w:eastAsia="Calibri" w:hAnsi="Calibri"/>
                <w:b/>
                <w:bCs/>
              </w:rPr>
              <w:t xml:space="preserve">E</w:t>
            </w:r>
            <w:r>
              <w:rPr>
                <w:rFonts w:ascii="Calibri" w:cs="Calibri" w:eastAsia="Calibri" w:hAnsi="Calibri"/>
              </w:rPr>
              <w:t xml:space="preserve"> (separate-effects tests), practically tied with S. The exact derivative D</w:t>
            </w:r>
            <w:r>
              <w:rPr>
                <w:rFonts w:ascii="Calibri" w:cs="Calibri" w:eastAsia="Calibri" w:hAnsi="Calibri"/>
                <w:vertAlign w:val="subscript"/>
              </w:rPr>
              <w:t xml:space="preserve">a</w:t>
            </w:r>
            <w:r>
              <w:rPr>
                <w:rFonts w:ascii="Calibri" w:cs="Calibri" w:eastAsia="Calibri" w:hAnsi="Calibri"/>
              </w:rPr>
              <w:t xml:space="preserve"> of the paper (Eq. (13a)), computed by value iteration, gives +0.98, +0.94 and −2.47 BU saved per BU for S, E and T: the same ranking of T and the same near-tie of S and E.</w:t>
            </w:r>
          </w:p>
        </w:tc>
      </w:tr>
    </w:tbl>
    <w:p>
      <w:pPr>
        <w:pStyle w:val="Heading2"/>
        <w:spacing w:after="100" w:before="220"/>
      </w:pPr>
      <w:r>
        <w:rPr>
          <w:rFonts w:ascii="Calibri" w:cs="Calibri" w:eastAsia="Calibri" w:hAnsi="Calibri"/>
        </w:rPr>
        <w:t xml:space="preserve">4.4 The review log of Project N (expected path)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00"/>
        <w:gridCol w:w="800"/>
        <w:gridCol w:w="900"/>
        <w:gridCol w:w="900"/>
        <w:gridCol w:w="900"/>
        <w:gridCol w:w="900"/>
        <w:gridCol w:w="1000"/>
        <w:gridCol w:w="1926"/>
      </w:tblGrid>
      <w:tr>
        <w:trPr>
          <w:tblHeader/>
        </w:trPr>
        <w:tc>
          <w:tcPr>
            <w:tcW w:type="dxa" w:w="900"/>
            <w:shd w:fill="DCE4E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Cost (BU)</w:t>
            </w:r>
          </w:p>
        </w:tc>
        <w:tc>
          <w:tcPr>
            <w:tcW w:type="dxa" w:w="800"/>
            <w:shd w:fill="DCE4E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K</w:t>
            </w:r>
          </w:p>
        </w:tc>
        <w:tc>
          <w:tcPr>
            <w:tcW w:type="dxa" w:w="800"/>
            <w:shd w:fill="DCE4E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M</w:t>
            </w:r>
          </w:p>
        </w:tc>
        <w:tc>
          <w:tcPr>
            <w:tcW w:type="dxa" w:w="900"/>
            <w:shd w:fill="DCE4E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K̄(M)</w:t>
            </w:r>
          </w:p>
        </w:tc>
        <w:tc>
          <w:tcPr>
            <w:tcW w:type="dxa" w:w="900"/>
            <w:shd w:fill="DCE4E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net S</w:t>
            </w:r>
          </w:p>
        </w:tc>
        <w:tc>
          <w:tcPr>
            <w:tcW w:type="dxa" w:w="900"/>
            <w:shd w:fill="DCE4E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net E</w:t>
            </w:r>
          </w:p>
        </w:tc>
        <w:tc>
          <w:tcPr>
            <w:tcW w:type="dxa" w:w="900"/>
            <w:shd w:fill="DCE4E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net T</w:t>
            </w:r>
          </w:p>
        </w:tc>
        <w:tc>
          <w:tcPr>
            <w:tcW w:type="dxa" w:w="1000"/>
            <w:shd w:fill="DCE4E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hazard T</w:t>
            </w:r>
          </w:p>
        </w:tc>
        <w:tc>
          <w:tcPr>
            <w:tcW w:type="dxa" w:w="1926"/>
            <w:shd w:fill="DCE4E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Decision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0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.200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.100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.460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.078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.078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−.030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.96</w:t>
            </w:r>
          </w:p>
        </w:tc>
        <w:tc>
          <w:tcPr>
            <w:tcW w:type="dxa" w:w="19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.465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.156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.494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.009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.053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−.007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.43</w:t>
            </w:r>
          </w:p>
        </w:tc>
        <w:tc>
          <w:tcPr>
            <w:tcW w:type="dxa" w:w="19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8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.642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.244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.546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.000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.035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.001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.19</w:t>
            </w:r>
          </w:p>
        </w:tc>
        <w:tc>
          <w:tcPr>
            <w:tcW w:type="dxa" w:w="19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12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.760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.343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.606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.000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.024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.003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.086</w:t>
            </w:r>
          </w:p>
        </w:tc>
        <w:tc>
          <w:tcPr>
            <w:tcW w:type="dxa" w:w="19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 (3b)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14.8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.819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.414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.648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.049</w:t>
            </w:r>
          </w:p>
        </w:tc>
        <w:tc>
          <w:tcPr>
            <w:tcW w:type="dxa" w:w="19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T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(step 3)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20.4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.85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.80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19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target</w:t>
            </w:r>
          </w:p>
        </w:tc>
      </w:tr>
    </w:tbl>
    <w:p>
      <w:pPr>
        <w:spacing w:after="120" w:line="276"/>
      </w:pPr>
      <w:r>
        <w:rPr>
          <w:rFonts w:ascii="Calibri" w:cs="Calibri" w:eastAsia="Calibri" w:hAnsi="Calibri"/>
        </w:rPr>
        <w:t xml:space="preserve">Simulation saturates near 5 BU (K reaches K̄(M)); K passes K</w:t>
      </w:r>
      <w:r>
        <w:rPr>
          <w:rFonts w:ascii="Calibri" w:cs="Calibri" w:eastAsia="Calibri" w:hAnsi="Calibri"/>
          <w:vertAlign w:val="subscript"/>
        </w:rPr>
        <w:t xml:space="preserve">need</w:t>
      </w:r>
      <w:r>
        <w:rPr>
          <w:rFonts w:ascii="Calibri" w:cs="Calibri" w:eastAsia="Calibri" w:hAnsi="Calibri"/>
        </w:rPr>
        <w:t xml:space="preserve"> near 10 BU, but the hazard is still above the limit, so separate-effects testing continues; at 14.8 BU both conditions hold and integrated testing begins. Without shocks the procedure reaches the target at 20.4 BU; the optimum of the paper's dynamic program needs 20.2 BU.</w:t>
      </w:r>
    </w:p>
    <w:p>
      <w:pPr>
        <w:spacing w:after="60" w:before="120"/>
        <w:jc w:val="center"/>
      </w:pPr>
      <w:r>
        <w:drawing>
          <wp:inline distT="0" distB="0" distL="0" distR="0">
            <wp:extent cx="3619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cs="Calibri" w:eastAsia="Calibri" w:hAnsi="Calibri"/>
          <w:i/>
          <w:iCs/>
          <w:sz w:val="18"/>
          <w:szCs w:val="18"/>
        </w:rPr>
        <w:t xml:space="preserve">Figure S3. KMC curve of Project N: procedure (colored) and optimum (grey).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</w:rPr>
        <w:t xml:space="preserve">4.5 When a shock happens (Table 6, step 5)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Re-assess after every material result. In one simulated realization, a discrepancy during the first hot-fire series at 16.0 BU lowered K from 0.83 to 0.77 and M from 0.54 to 0.39, with 2 BU of rework. K was again below K</w:t>
      </w:r>
      <w:r>
        <w:rPr>
          <w:rFonts w:ascii="Calibri" w:cs="Calibri" w:eastAsia="Calibri" w:hAnsi="Calibri"/>
          <w:vertAlign w:val="subscript"/>
        </w:rPr>
        <w:t xml:space="preserve">test</w:t>
      </w:r>
      <w:r>
        <w:rPr>
          <w:rFonts w:ascii="Calibri" w:cs="Calibri" w:eastAsia="Calibri" w:hAnsi="Calibri"/>
        </w:rPr>
        <w:t xml:space="preserve">, so the procedure returned to separate-effects tests until K ≥ 0.817 (20.7 BU) and then completed the integrated tests at 25.9 BU, within budget. The procedure needs no memory: it reads the new state and asks the same two questions.</w:t>
      </w:r>
    </w:p>
    <w:p>
      <w:pPr>
        <w:spacing w:after="60" w:before="120"/>
        <w:jc w:val="center"/>
      </w:pPr>
      <w:r>
        <w:drawing>
          <wp:inline distT="0" distB="0" distL="0" distR="0">
            <wp:extent cx="5334000" cy="2457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5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cs="Calibri" w:eastAsia="Calibri" w:hAnsi="Calibri"/>
          <w:i/>
          <w:iCs/>
          <w:sz w:val="18"/>
          <w:szCs w:val="18"/>
        </w:rPr>
        <w:t xml:space="preserve">Figure S4. One realization with a shock, rework and re-plan.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</w:rPr>
        <w:t xml:space="preserve">4.6 Choosing the exposure limit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600"/>
        <w:gridCol w:w="1800"/>
        <w:gridCol w:w="1800"/>
        <w:gridCol w:w="1926"/>
      </w:tblGrid>
      <w:tr>
        <w:trPr>
          <w:tblHeader/>
        </w:trPr>
        <w:tc>
          <w:tcPr>
            <w:tcW w:type="dxa" w:w="1900"/>
            <w:shd w:fill="DCE4E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h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  <w:vertAlign w:val="subscript"/>
              </w:rPr>
              <w:t xml:space="preserve">max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 (per BU)</w:t>
            </w:r>
          </w:p>
        </w:tc>
        <w:tc>
          <w:tcPr>
            <w:tcW w:type="dxa" w:w="1600"/>
            <w:shd w:fill="DCE4E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K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  <w:vertAlign w:val="subscript"/>
              </w:rPr>
              <w:t xml:space="preserve">haz</w:t>
            </w:r>
          </w:p>
        </w:tc>
        <w:tc>
          <w:tcPr>
            <w:tcW w:type="dxa" w:w="1800"/>
            <w:shd w:fill="DCE4E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Mean cost (BU)</w:t>
            </w:r>
          </w:p>
        </w:tc>
        <w:tc>
          <w:tcPr>
            <w:tcW w:type="dxa" w:w="1800"/>
            <w:shd w:fill="DCE4E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P90 cost (BU)</w:t>
            </w:r>
          </w:p>
        </w:tc>
        <w:tc>
          <w:tcPr>
            <w:tcW w:type="dxa" w:w="1926"/>
            <w:shd w:fill="DCE4E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Shocks per run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0.03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0.859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23.1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27.9</w:t>
            </w:r>
          </w:p>
        </w:tc>
        <w:tc>
          <w:tcPr>
            <w:tcW w:type="dxa" w:w="19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0.28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0.05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0.817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22.3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26.4</w:t>
            </w:r>
          </w:p>
        </w:tc>
        <w:tc>
          <w:tcPr>
            <w:tcW w:type="dxa" w:w="19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0.39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0.07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0.784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22.6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28.5</w:t>
            </w:r>
          </w:p>
        </w:tc>
        <w:tc>
          <w:tcPr>
            <w:tcW w:type="dxa" w:w="19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0.55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0.10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0.742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24.1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32.5</w:t>
            </w:r>
          </w:p>
        </w:tc>
        <w:tc>
          <w:tcPr>
            <w:tcW w:type="dxa" w:w="19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0.90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optimum (DP)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≈0.81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22.2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26.2</w:t>
            </w:r>
          </w:p>
        </w:tc>
        <w:tc>
          <w:tcPr>
            <w:tcW w:type="dxa" w:w="19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0.40</w:t>
            </w:r>
          </w:p>
        </w:tc>
      </w:tr>
    </w:tbl>
    <w:p>
      <w:pPr>
        <w:spacing w:after="120" w:line="276"/>
      </w:pPr>
      <w:r>
        <w:rPr>
          <w:rFonts w:ascii="Calibri" w:cs="Calibri" w:eastAsia="Calibri" w:hAnsi="Calibri"/>
        </w:rPr>
        <w:t xml:space="preserve">1000 Monte Carlo runs per row. A limit that is too strict pays for knowledge the test does not need; a loose limit buys shocks and a long tail. For Org X, 0.05 per BU is within 0.4% of the optimum, and the budget of 30 BU is exceeded in about 1 run in 20. Logics that test early (test-first, the naive slope rule) never reach the target with this hazard. The answer depends on the organization: across the 300 parameter sets of the paper (Sec. V-D), waiting for K</w:t>
      </w:r>
      <w:r>
        <w:rPr>
          <w:rFonts w:ascii="Calibri" w:cs="Calibri" w:eastAsia="Calibri" w:hAnsi="Calibri"/>
          <w:vertAlign w:val="subscript"/>
        </w:rPr>
        <w:t xml:space="preserve">test</w:t>
      </w:r>
      <w:r>
        <w:rPr>
          <w:rFonts w:ascii="Calibri" w:cs="Calibri" w:eastAsia="Calibri" w:hAnsi="Calibri"/>
        </w:rPr>
        <w:t xml:space="preserve"> raised the median excess cost over the optimum from 1.4% to 1.6%, while with the launch-data hazard of Sec. VI-B it lowered it from 1.5% to 0.7%. Run this sweep with your own card before fixing h</w:t>
      </w:r>
      <w:r>
        <w:rPr>
          <w:rFonts w:ascii="Calibri" w:cs="Calibri" w:eastAsia="Calibri" w:hAnsi="Calibri"/>
          <w:vertAlign w:val="subscript"/>
        </w:rPr>
        <w:t xml:space="preserve">max</w:t>
      </w:r>
      <w:r>
        <w:rPr>
          <w:rFonts w:ascii="Calibri" w:cs="Calibri" w:eastAsia="Calibri" w:hAnsi="Calibri"/>
        </w:rPr>
        <w:t xml:space="preserve">.</w:t>
      </w:r>
    </w:p>
    <w:p>
      <w:pPr>
        <w:pStyle w:val="Heading1"/>
        <w:spacing w:after="140" w:before="280"/>
      </w:pPr>
      <w:r>
        <w:rPr>
          <w:rFonts w:ascii="Calibri" w:cs="Calibri" w:eastAsia="Calibri" w:hAnsi="Calibri"/>
        </w:rPr>
        <w:t xml:space="preserve">5. Learning from the project (Table 11, steps 5–6)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After the project, add its records to the log and update the coefficients; the old posterior becomes the new prior. For the test hazard, the integrated testing of Project N accumulated an exposure E = Σ (1 − K)</w:t>
      </w:r>
      <w:r>
        <w:rPr>
          <w:rFonts w:ascii="Calibri" w:cs="Calibri" w:eastAsia="Calibri" w:hAnsi="Calibri"/>
          <w:vertAlign w:val="superscript"/>
        </w:rPr>
        <w:t xml:space="preserve">2</w:t>
      </w:r>
      <w:r>
        <w:rPr>
          <w:rFonts w:ascii="Calibri" w:cs="Calibri" w:eastAsia="Calibri" w:hAnsi="Calibri"/>
        </w:rPr>
        <w:t xml:space="preserve"> Δc = 0.187 over 6.6 BU with one shock. With a Poisson likelihood P(1 | λ) = λE e</w:t>
      </w:r>
      <w:r>
        <w:rPr>
          <w:rFonts w:ascii="Calibri" w:cs="Calibri" w:eastAsia="Calibri" w:hAnsi="Calibri"/>
          <w:vertAlign w:val="superscript"/>
        </w:rPr>
        <w:t xml:space="preserve">−λE</w:t>
      </w:r>
      <w:r>
        <w:rPr>
          <w:rFonts w:ascii="Calibri" w:cs="Calibri" w:eastAsia="Calibri" w:hAnsi="Calibri"/>
        </w:rPr>
        <w:t xml:space="preserve">, the posterior median moves from 1.48 to </w:t>
      </w:r>
      <w:r>
        <w:rPr>
          <w:rFonts w:ascii="Calibri" w:cs="Calibri" w:eastAsia="Calibri" w:hAnsi="Calibri"/>
          <w:b/>
          <w:bCs/>
        </w:rPr>
        <w:t xml:space="preserve">1.62</w:t>
      </w:r>
      <w:r>
        <w:rPr>
          <w:rFonts w:ascii="Calibri" w:cs="Calibri" w:eastAsia="Calibri" w:hAnsi="Calibri"/>
        </w:rPr>
        <w:t xml:space="preserve"> per BU (90%: 0.89–2.89), and the next project's exposure threshold becomes K</w:t>
      </w:r>
      <w:r>
        <w:rPr>
          <w:rFonts w:ascii="Calibri" w:cs="Calibri" w:eastAsia="Calibri" w:hAnsi="Calibri"/>
          <w:vertAlign w:val="subscript"/>
        </w:rPr>
        <w:t xml:space="preserve">haz</w:t>
      </w:r>
      <w:r>
        <w:rPr>
          <w:rFonts w:ascii="Calibri" w:cs="Calibri" w:eastAsia="Calibri" w:hAnsi="Calibri"/>
        </w:rPr>
        <w:t xml:space="preserve"> = 1 − √(0.05/1.62) = 0.824.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Track the coefficients across projects and process changes as organizational indicators: a test hazard above the industry value (0.90) points to more ground and rig testing before flight; a low simulation ceiling with no test data (k</w:t>
      </w:r>
      <w:r>
        <w:rPr>
          <w:rFonts w:ascii="Calibri" w:cs="Calibri" w:eastAsia="Calibri" w:hAnsi="Calibri"/>
          <w:vertAlign w:val="subscript"/>
        </w:rPr>
        <w:t xml:space="preserve">b</w:t>
      </w:r>
      <w:r>
        <w:rPr>
          <w:rFonts w:ascii="Calibri" w:cs="Calibri" w:eastAsia="Calibri" w:hAnsi="Calibri"/>
        </w:rPr>
        <w:t xml:space="preserve">) points to validation-data campaigns; a low knowledge gain per test (e</w:t>
      </w:r>
      <w:r>
        <w:rPr>
          <w:rFonts w:ascii="Calibri" w:cs="Calibri" w:eastAsia="Calibri" w:hAnsi="Calibri"/>
          <w:vertAlign w:val="subscript"/>
        </w:rPr>
        <w:t xml:space="preserve">T</w:t>
      </w:r>
      <w:r>
        <w:rPr>
          <w:rFonts w:ascii="Calibri" w:cs="Calibri" w:eastAsia="Calibri" w:hAnsi="Calibri"/>
        </w:rPr>
        <w:t xml:space="preserve">) points to better instrumentation.</w:t>
      </w:r>
    </w:p>
    <w:p>
      <w:pPr>
        <w:pStyle w:val="Heading1"/>
        <w:spacing w:after="140" w:before="280"/>
      </w:pPr>
      <w:r>
        <w:rPr>
          <w:rFonts w:ascii="Calibri" w:cs="Calibri" w:eastAsia="Calibri" w:hAnsi="Calibri"/>
        </w:rPr>
        <w:t xml:space="preserve">6. One-page checklist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Calibri" w:cs="Calibri" w:eastAsia="Calibri" w:hAnsi="Calibri"/>
        </w:rPr>
        <w:t xml:space="preserve">Log cost, activity, K, M and shocks at every review, per claim.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Calibri" w:cs="Calibri" w:eastAsia="Calibri" w:hAnsi="Calibri"/>
        </w:rPr>
        <w:t xml:space="preserve">Fit λ</w:t>
      </w:r>
      <w:r>
        <w:rPr>
          <w:rFonts w:ascii="Calibri" w:cs="Calibri" w:eastAsia="Calibri" w:hAnsi="Calibri"/>
          <w:vertAlign w:val="subscript"/>
        </w:rPr>
        <w:t xml:space="preserve">T</w:t>
      </w:r>
      <w:r>
        <w:rPr>
          <w:rFonts w:ascii="Calibri" w:cs="Calibri" w:eastAsia="Calibri" w:hAnsi="Calibri"/>
        </w:rPr>
        <w:t xml:space="preserve"> by likelihood on past integrated tests; combine with the public prior.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Calibri" w:cs="Calibri" w:eastAsia="Calibri" w:hAnsi="Calibri"/>
        </w:rPr>
        <w:t xml:space="preserve">Fit the rates with log-linear regressions and the ceilings with regressions on plateaus.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Calibri" w:cs="Calibri" w:eastAsia="Calibri" w:hAnsi="Calibri"/>
        </w:rPr>
        <w:t xml:space="preserve">Keep the paper's base values for coefficients without records.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Calibri" w:cs="Calibri" w:eastAsia="Calibri" w:hAnsi="Calibri"/>
        </w:rPr>
        <w:t xml:space="preserve">Define the claim, target region, budget and exposure limit h</w:t>
      </w:r>
      <w:r>
        <w:rPr>
          <w:rFonts w:ascii="Calibri" w:cs="Calibri" w:eastAsia="Calibri" w:hAnsi="Calibri"/>
          <w:vertAlign w:val="subscript"/>
        </w:rPr>
        <w:t xml:space="preserve">max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Calibri" w:cs="Calibri" w:eastAsia="Calibri" w:hAnsi="Calibri"/>
        </w:rPr>
        <w:t xml:space="preserve">Compute K</w:t>
      </w:r>
      <w:r>
        <w:rPr>
          <w:rFonts w:ascii="Calibri" w:cs="Calibri" w:eastAsia="Calibri" w:hAnsi="Calibri"/>
          <w:vertAlign w:val="subscript"/>
        </w:rPr>
        <w:t xml:space="preserve">need</w:t>
      </w:r>
      <w:r>
        <w:rPr>
          <w:rFonts w:ascii="Calibri" w:cs="Calibri" w:eastAsia="Calibri" w:hAnsi="Calibri"/>
        </w:rPr>
        <w:t xml:space="preserve">, K</w:t>
      </w:r>
      <w:r>
        <w:rPr>
          <w:rFonts w:ascii="Calibri" w:cs="Calibri" w:eastAsia="Calibri" w:hAnsi="Calibri"/>
          <w:vertAlign w:val="subscript"/>
        </w:rPr>
        <w:t xml:space="preserve">haz</w:t>
      </w:r>
      <w:r>
        <w:rPr>
          <w:rFonts w:ascii="Calibri" w:cs="Calibri" w:eastAsia="Calibri" w:hAnsi="Calibri"/>
        </w:rPr>
        <w:t xml:space="preserve"> and K</w:t>
      </w:r>
      <w:r>
        <w:rPr>
          <w:rFonts w:ascii="Calibri" w:cs="Calibri" w:eastAsia="Calibri" w:hAnsi="Calibri"/>
          <w:vertAlign w:val="subscript"/>
        </w:rPr>
        <w:t xml:space="preserve">test</w:t>
      </w:r>
      <w:r>
        <w:rPr>
          <w:rFonts w:ascii="Calibri" w:cs="Calibri" w:eastAsia="Calibri" w:hAnsi="Calibri"/>
        </w:rPr>
        <w:t xml:space="preserve"> = max(K</w:t>
      </w:r>
      <w:r>
        <w:rPr>
          <w:rFonts w:ascii="Calibri" w:cs="Calibri" w:eastAsia="Calibri" w:hAnsi="Calibri"/>
          <w:vertAlign w:val="subscript"/>
        </w:rPr>
        <w:t xml:space="preserve">need</w:t>
      </w:r>
      <w:r>
        <w:rPr>
          <w:rFonts w:ascii="Calibri" w:cs="Calibri" w:eastAsia="Calibri" w:hAnsi="Calibri"/>
        </w:rPr>
        <w:t xml:space="preserve">, K</w:t>
      </w:r>
      <w:r>
        <w:rPr>
          <w:rFonts w:ascii="Calibri" w:cs="Calibri" w:eastAsia="Calibri" w:hAnsi="Calibri"/>
          <w:vertAlign w:val="subscript"/>
        </w:rPr>
        <w:t xml:space="preserve">haz</w:t>
      </w:r>
      <w:r>
        <w:rPr>
          <w:rFonts w:ascii="Calibri" w:cs="Calibri" w:eastAsia="Calibri" w:hAnsi="Calibri"/>
        </w:rPr>
        <w:t xml:space="preserve">).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Calibri" w:cs="Calibri" w:eastAsia="Calibri" w:hAnsi="Calibri"/>
        </w:rPr>
        <w:t xml:space="preserve">At each review: if M &lt; M</w:t>
      </w:r>
      <w:r>
        <w:rPr>
          <w:rFonts w:ascii="Calibri" w:cs="Calibri" w:eastAsia="Calibri" w:hAnsi="Calibri"/>
          <w:vertAlign w:val="subscript"/>
        </w:rPr>
        <w:t xml:space="preserve">req</w:t>
      </w:r>
      <w:r>
        <w:rPr>
          <w:rFonts w:ascii="Calibri" w:cs="Calibri" w:eastAsia="Calibri" w:hAnsi="Calibri"/>
        </w:rPr>
        <w:t xml:space="preserve"> and K ≥ K</w:t>
      </w:r>
      <w:r>
        <w:rPr>
          <w:rFonts w:ascii="Calibri" w:cs="Calibri" w:eastAsia="Calibri" w:hAnsi="Calibri"/>
          <w:vertAlign w:val="subscript"/>
        </w:rPr>
        <w:t xml:space="preserve">test</w:t>
      </w:r>
      <w:r>
        <w:rPr>
          <w:rFonts w:ascii="Calibri" w:cs="Calibri" w:eastAsia="Calibri" w:hAnsi="Calibri"/>
        </w:rPr>
        <w:t xml:space="preserve">, integrated test; otherwise the activity with the largest net knowledge rate.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Calibri" w:cs="Calibri" w:eastAsia="Calibri" w:hAnsi="Calibri"/>
        </w:rPr>
        <w:t xml:space="preserve">Screen the activity against cost, schedule and exposure.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Calibri" w:cs="Calibri" w:eastAsia="Calibri" w:hAnsi="Calibri"/>
        </w:rPr>
        <w:t xml:space="preserve">Re-assess after every result, shock or saturation; repeat.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Calibri" w:cs="Calibri" w:eastAsia="Calibri" w:hAnsi="Calibri"/>
        </w:rPr>
        <w:t xml:space="preserve">After the project, update the posteriors and track the coefficients.</w:t>
      </w:r>
    </w:p>
    <w:p>
      <w:pPr>
        <w:pStyle w:val="Heading1"/>
        <w:spacing w:after="140" w:before="280"/>
      </w:pPr>
      <w:r>
        <w:rPr>
          <w:rFonts w:ascii="Calibri" w:cs="Calibri" w:eastAsia="Calibri" w:hAnsi="Calibri"/>
        </w:rPr>
        <w:t xml:space="preserve">7. Optional checks with the code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The procedure above needs only the spreadsheet. The Python package archived with the paper adds three checks: the optimal policy and the exact derivative D</w:t>
      </w:r>
      <w:r>
        <w:rPr>
          <w:rFonts w:ascii="Calibri" w:cs="Calibri" w:eastAsia="Calibri" w:hAnsi="Calibri"/>
          <w:vertAlign w:val="subscript"/>
        </w:rPr>
        <w:t xml:space="preserve">a</w:t>
      </w:r>
      <w:r>
        <w:rPr>
          <w:rFonts w:ascii="Calibri" w:cs="Calibri" w:eastAsia="Calibri" w:hAnsi="Calibri"/>
        </w:rPr>
        <w:t xml:space="preserve"> (solve_dp), a Monte Carlo of the plan (simulate), and a sweep of the exposure limit. Replace the dictionary P in kmc_model.py with the organization's parameter card, set TARGET and X0, and call policy_procedure(K, M, hist, p, tgt, haz_max, wait_haz=True) at each review (wait_haz=False reproduces the paper, where step 3b re-approves the limit). The scripts that reproduce this guide (tutorial/calib.py, apply.py, update.py, figs.py) are included.</w:t>
      </w:r>
    </w:p>
    <w:p>
      <w:pPr>
        <w:spacing w:after="60" w:before="120"/>
        <w:jc w:val="center"/>
      </w:pPr>
      <w:r>
        <w:drawing>
          <wp:inline distT="0" distB="0" distL="0" distR="0">
            <wp:extent cx="3143250" cy="44005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0" cy="440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cs="Calibri" w:eastAsia="Calibri" w:hAnsi="Calibri"/>
          <w:i/>
          <w:iCs/>
          <w:sz w:val="18"/>
          <w:szCs w:val="18"/>
        </w:rPr>
        <w:t xml:space="preserve">Figure S5. The procedure inside the calibration loop (paper, Fig. 8).</w:t>
      </w:r>
    </w:p>
    <w:sectPr>
      <w:footerReference w:type="default" r:id="rId7"/>
      <w:pgSz w:w="11906" w:h="16838" w:orient="portrait"/>
      <w:pgMar w:top="1300" w:right="1440" w:bottom="13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7A8290"/>
        <w:sz w:val="16"/>
        <w:szCs w:val="16"/>
      </w:rPr>
      <w:t xml:space="preserve">KMC — Supplementary Material S1 — page </w:t>
    </w:r>
    <w:r>
      <w:rPr>
        <w:rFonts w:ascii="Calibri" w:cs="Calibri" w:eastAsia="Calibri" w:hAnsi="Calibri"/>
        <w:color w:val="7A829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Calibri" w:cs="Calibri" w:eastAsia="Calibri" w:hAnsi="Calibri"/>
      <w:b/>
      <w:bCs/>
      <w:color w:val="1F2A37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Calibri" w:cs="Calibri" w:eastAsia="Calibri" w:hAnsi="Calibri"/>
      <w:b/>
      <w:bCs/>
      <w:color w:val="1D5B8F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d6f712ce3e63d3aec1a8a12c0a5252448edcf7ec.png"/><Relationship Id="rId9" Type="http://schemas.openxmlformats.org/officeDocument/2006/relationships/image" Target="media/ce28e4b162d315b7c88cb7df9451a8d61166d02d.png"/><Relationship Id="rId10" Type="http://schemas.openxmlformats.org/officeDocument/2006/relationships/image" Target="media/c7624e365c5b0bf3077e3dffc6c2d9aafeebda4f.png"/><Relationship Id="rId11" Type="http://schemas.openxmlformats.org/officeDocument/2006/relationships/image" Target="media/d24a8cf0839b3f1bad4b098dda52f47e3267b1c6.png"/><Relationship Id="rId12" Type="http://schemas.openxmlformats.org/officeDocument/2006/relationships/image" Target="media/fe5afc607e99d132ae10cebd9e69b3c6257045be.pn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Pedro K. de Albuquerque</dc:creator>
  <cp:lastModifiedBy>Pedro K. de Albuquerque</cp:lastModifiedBy>
  <cp:revision>1</cp:revision>
  <dcterms:created xsi:type="dcterms:W3CDTF">2026-10-19T19:27:16.838Z</dcterms:created>
  <dcterms:modified xsi:type="dcterms:W3CDTF">2026-10-19T19:27:16.845Z</dcterms:modified>
  <dc:title>KMC Supplementary Material S1: Application Guide</dc:title>
  <dc:subject/>
  <cp:keywords/>
  <dc:description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