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8A6A4F"/>
          <w:sz w:val="22"/>
          <w:szCs w:val="22"/>
        </w:rPr>
        <w:t xml:space="preserve">Supplementary Material S1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Applying Knowledge–Maturity Coevolution: a step-by-step guide with a worked example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This guide shows how to apply the method of the paper to a real development claim, from an organization's past records to the decision at each review. It uses the paper's notation and step numbers (Table 6, headroom procedure; Table 11, calibration protocol; Fig. 8, flowchart). Every number in the worked example was computed with the paper's code; the organization ("Org X"), its projects and records are </w:t>
      </w:r>
      <w:r>
        <w:rPr>
          <w:rFonts w:ascii="Calibri" w:cs="Calibri" w:eastAsia="Calibri" w:hAnsi="Calibri"/>
          <w:b/>
          <w:bCs/>
        </w:rPr>
        <w:t xml:space="preserve">fictional</w:t>
      </w:r>
      <w:r>
        <w:rPr>
          <w:rFonts w:ascii="Calibri" w:cs="Calibri" w:eastAsia="Calibri" w:hAnsi="Calibri"/>
        </w:rPr>
        <w:t xml:space="preserve"> and serve only to illustrate the arithmetic.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1D5B8F" w:sz="18"/>
              <w:bottom w:val="none"/>
              <w:right w:val="none"/>
            </w:tcBorders>
            <w:shd w:fill="EEF3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5B8F"/>
              </w:rPr>
              <w:t xml:space="preserve">What you need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• An assessment log for one or more past programs (cost, activity class, K, M, shocks), or at least the outcome history of past integrated tests.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• A review board that scores K and M for each claim at each review (Section 1).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• A spreadsheet. The companion workbook KMC_Worksheet.xlsx implements Sections 3–5; the Python code (kmc_model.py) is needed only for the optional checks of Section 7.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700"/>
        <w:gridCol w:w="2700"/>
        <w:gridCol w:w="2026"/>
      </w:tblGrid>
      <w:tr>
        <w:trPr>
          <w:tblHeader/>
        </w:trPr>
        <w:tc>
          <w:tcPr>
            <w:tcW w:type="dxa" w:w="6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37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you do</w:t>
            </w:r>
          </w:p>
        </w:tc>
        <w:tc>
          <w:tcPr>
            <w:tcW w:type="dxa" w:w="27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Where in the paper</w:t>
            </w:r>
          </w:p>
        </w:tc>
        <w:tc>
          <w:tcPr>
            <w:tcW w:type="dxa" w:w="20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This guide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Define the claim, the target region, budget and exposure limit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III-C, Table 6 step 1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4.1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Score K and M at every review; keep the log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III-H, IV-A; Tables 4, 11-1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1–2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Calibrate the coefficients from records + public priors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 11, steps 2–4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3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Compute the test threshold 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test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= max(K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need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haz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Eq. (17b), Table 6 steps 3/3b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4.2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 each review, choose the next activity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 6, steps 0 and 3–5; Fig. 8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4.3–4.5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After the project, update the coefficients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 11, steps 5–6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5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1. Scoring K and M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Both quantities are scored </w:t>
      </w:r>
      <w:r>
        <w:rPr>
          <w:rFonts w:ascii="Calibri" w:cs="Calibri" w:eastAsia="Calibri" w:hAnsi="Calibri"/>
          <w:b/>
          <w:bCs/>
        </w:rPr>
        <w:t xml:space="preserve">per claim</w:t>
      </w:r>
      <w:r>
        <w:rPr>
          <w:rFonts w:ascii="Calibri" w:cs="Calibri" w:eastAsia="Calibri" w:hAnsi="Calibri"/>
        </w:rPr>
        <w:t xml:space="preserve"> (for example, "combustion is stable across the operating envelope"), never averaged across subsystems.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1.1 Validated knowledge K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K = 1 − U / U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0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 is the width of the validated prediction uncertainty for the intended-use quantity (for example, the area validation metric of the model against the most representative data, or the width of a credibility-weighted prediction interval), and U</w:t>
      </w:r>
      <w:r>
        <w:rPr>
          <w:rFonts w:ascii="Calibri" w:cs="Calibri" w:eastAsia="Calibri" w:hAnsi="Calibri"/>
          <w:vertAlign w:val="subscript"/>
        </w:rPr>
        <w:t xml:space="preserve">0</w:t>
      </w:r>
      <w:r>
        <w:rPr>
          <w:rFonts w:ascii="Calibri" w:cs="Calibri" w:eastAsia="Calibri" w:hAnsi="Calibri"/>
        </w:rPr>
        <w:t xml:space="preserve"> its value at the start of the program. If the initial model predicts the stability margin within ±40% and today's validated model within ±10%, then K = 1 − 10/40 = 0.75.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When no quantitative uncertainty is available yet, use the rubric of Table 4: score each K criterion 0–4, take the lowest mandatory criterion (never the average), and map 0, 1, 2, 3, 4 to K ≈ 0, 0.25, 0.5, 0.75, 1 as a first coding. Record the coding convention and keep it fixed within a program; the decision rule of Section 4 is insensitive to monotone recoding (paper, Sec. IV-D), but the calibrated coefficients are not.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1.2 Evidence-backed maturity M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M = Σ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v</w:t>
      </w:r>
      <w:r>
        <w:rPr>
          <w:rFonts w:ascii="Cambria Math" w:cs="Cambria Math" w:eastAsia="Cambria Math" w:hAnsi="Cambria Math"/>
          <w:sz w:val="23"/>
          <w:szCs w:val="23"/>
        </w:rPr>
        <w:t xml:space="preserve"> w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v</w:t>
      </w:r>
      <w:r>
        <w:rPr>
          <w:rFonts w:ascii="Cambria Math" w:cs="Cambria Math" w:eastAsia="Cambria Math" w:hAnsi="Cambria Math"/>
          <w:sz w:val="23"/>
          <w:szCs w:val="23"/>
        </w:rPr>
        <w:t xml:space="preserve"> s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v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List the test points v of the required demonstration envelope with weights w</w:t>
      </w:r>
      <w:r>
        <w:rPr>
          <w:rFonts w:ascii="Calibri" w:cs="Calibri" w:eastAsia="Calibri" w:hAnsi="Calibri"/>
          <w:vertAlign w:val="subscript"/>
        </w:rPr>
        <w:t xml:space="preserve">v</w:t>
      </w:r>
      <w:r>
        <w:rPr>
          <w:rFonts w:ascii="Calibri" w:cs="Calibri" w:eastAsia="Calibri" w:hAnsi="Calibri"/>
        </w:rPr>
        <w:t xml:space="preserve"> that sum to one (by risk or by envelope area), and set s</w:t>
      </w:r>
      <w:r>
        <w:rPr>
          <w:rFonts w:ascii="Calibri" w:cs="Calibri" w:eastAsia="Calibri" w:hAnsi="Calibri"/>
          <w:vertAlign w:val="subscript"/>
        </w:rPr>
        <w:t xml:space="preserve">v</w:t>
      </w:r>
      <w:r>
        <w:rPr>
          <w:rFonts w:ascii="Calibri" w:cs="Calibri" w:eastAsia="Calibri" w:hAnsi="Calibri"/>
        </w:rPr>
        <w:t xml:space="preserve"> = 1 where the acceptance criteria have been met under representative and repeatable conditions, 0 otherwise. Example: 20 equally weighted points, 8 passed: M = 0.40. Missing evidence is "not assessed", never zero.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1.3 Cost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Cumulative cost c is measured in one budget unit (BU) for the whole program, for example one integrated flight or one month of the test campaign. Only differences of c matter.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2. The assessment log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Record one line per review and per claim. Five columns are indispensable: cumulative cost, activity class performed since the last review (S simulation/analysis, E separate-effects test, T integrated test), K, M, and any shock (discrepancy) with its rework cost.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00"/>
        <w:gridCol w:w="1300"/>
        <w:gridCol w:w="1000"/>
        <w:gridCol w:w="800"/>
        <w:gridCol w:w="800"/>
        <w:gridCol w:w="2726"/>
      </w:tblGrid>
      <w:tr>
        <w:trPr>
          <w:tblHeader/>
        </w:trPr>
        <w:tc>
          <w:tcPr>
            <w:tcW w:type="dxa" w:w="11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13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Project</w:t>
            </w:r>
          </w:p>
        </w:tc>
        <w:tc>
          <w:tcPr>
            <w:tcW w:type="dxa" w:w="13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Cum. cost (BU)</w:t>
            </w:r>
          </w:p>
        </w:tc>
        <w:tc>
          <w:tcPr>
            <w:tcW w:type="dxa" w:w="10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Activity</w:t>
            </w:r>
          </w:p>
        </w:tc>
        <w:tc>
          <w:tcPr>
            <w:tcW w:type="dxa" w:w="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</w:t>
            </w:r>
          </w:p>
        </w:tc>
        <w:tc>
          <w:tcPr>
            <w:tcW w:type="dxa" w:w="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7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Event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2014-06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Rocket 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baseline review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2014-11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Rocket 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0.16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flight 1 lost (shock)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2019-03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Engine E-1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0.37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0.12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2021-08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CFD-2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0.57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0.30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simulation plateau</w:t>
            </w:r>
          </w:p>
        </w:tc>
      </w:tr>
    </w:tbl>
    <w:p>
      <w:pPr>
        <w:spacing w:after="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3. Calibrating the coefficients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model has thirteen coefficients (paper, Eqs. (8)–(10) and Table 5). Calibrate first those that drive the plan most: the test hazard λ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, the two ceilings and the main rates. Keep the paper's base values as priors for the others until records exist.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526"/>
        <w:gridCol w:w="2000"/>
      </w:tblGrid>
      <w:tr>
        <w:trPr>
          <w:tblHeader/>
        </w:trPr>
        <w:tc>
          <w:tcPr>
            <w:tcW w:type="dxa" w:w="17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Coefficient</w:t>
            </w:r>
          </w:p>
        </w:tc>
        <w:tc>
          <w:tcPr>
            <w:tcW w:type="dxa" w:w="2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Meaning</w:t>
            </w:r>
          </w:p>
        </w:tc>
        <w:tc>
          <w:tcPr>
            <w:tcW w:type="dxa" w:w="25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Record needed</w:t>
            </w:r>
          </w:p>
        </w:tc>
        <w:tc>
          <w:tcPr>
            <w:tcW w:type="dxa" w:w="20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Method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λ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integrated-test shock hazard per BU, × (1 − K)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perscript"/>
              </w:rPr>
              <w:t xml:space="preserve">2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outcomes of past integrated tests and K before each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likelihood + public prior (3.1)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knowledge gained per BU of integrated testing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 before consecutive tests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least squares (3.2)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main rates of S, E, T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 or M versus cost within a campaign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log-linear fit (3.3)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; 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ceilings K̄(M) and M̄(K)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plateaus of S and T campaigns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linear regression (3.4)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λ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δ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δ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ρ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secondary credit, small-test hazard, shock size, rework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base values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3.1 Test hazard λ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: likelihood and prior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For integrated test n with cost c</w:t>
      </w:r>
      <w:r>
        <w:rPr>
          <w:rFonts w:ascii="Calibri" w:cs="Calibri" w:eastAsia="Calibri" w:hAnsi="Calibri"/>
          <w:vertAlign w:val="subscript"/>
        </w:rPr>
        <w:t xml:space="preserve">f</w:t>
      </w:r>
      <w:r>
        <w:rPr>
          <w:rFonts w:ascii="Calibri" w:cs="Calibri" w:eastAsia="Calibri" w:hAnsi="Calibri"/>
        </w:rPr>
        <w:t xml:space="preserve"> and assessed knowledge K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, the probability of a discrepancy is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p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</w:t>
      </w:r>
      <w:r>
        <w:rPr>
          <w:rFonts w:ascii="Cambria Math" w:cs="Cambria Math" w:eastAsia="Cambria Math" w:hAnsi="Cambria Math"/>
          <w:sz w:val="23"/>
          <w:szCs w:val="23"/>
        </w:rPr>
        <w:t xml:space="preserve">(λ) = 1 − exp[ −λ (1 −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</w:t>
      </w:r>
      <w:r>
        <w:rPr>
          <w:rFonts w:ascii="Cambria Math" w:cs="Cambria Math" w:eastAsia="Cambria Math" w:hAnsi="Cambria Math"/>
          <w:sz w:val="23"/>
          <w:szCs w:val="23"/>
        </w:rPr>
        <w:t xml:space="preserve">)</w:t>
      </w:r>
      <w:r>
        <w:rPr>
          <w:rFonts w:ascii="Cambria Math" w:cs="Cambria Math" w:eastAsia="Cambria Math" w:hAnsi="Cambria Math"/>
          <w:sz w:val="23"/>
          <w:szCs w:val="23"/>
          <w:vertAlign w:val="superscript"/>
        </w:rPr>
        <w:t xml:space="preserve">2</w:t>
      </w:r>
      <w:r>
        <w:rPr>
          <w:rFonts w:ascii="Cambria Math" w:cs="Cambria Math" w:eastAsia="Cambria Math" w:hAnsi="Cambria Math"/>
          <w:sz w:val="23"/>
          <w:szCs w:val="23"/>
        </w:rPr>
        <w:t xml:space="preserve"> c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f</w:t>
      </w:r>
      <w:r>
        <w:rPr>
          <w:rFonts w:ascii="Cambria Math" w:cs="Cambria Math" w:eastAsia="Cambria Math" w:hAnsi="Cambria Math"/>
          <w:sz w:val="23"/>
          <w:szCs w:val="23"/>
        </w:rPr>
        <w:t xml:space="preserve"> ]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and the likelihood of the observed history (failures F, successes S) is L(λ) = Π</w:t>
      </w:r>
      <w:r>
        <w:rPr>
          <w:rFonts w:ascii="Calibri" w:cs="Calibri" w:eastAsia="Calibri" w:hAnsi="Calibri"/>
          <w:vertAlign w:val="subscript"/>
        </w:rPr>
        <w:t xml:space="preserve">n∈F</w:t>
      </w:r>
      <w:r>
        <w:rPr>
          <w:rFonts w:ascii="Calibri" w:cs="Calibri" w:eastAsia="Calibri" w:hAnsi="Calibri"/>
        </w:rPr>
        <w:t xml:space="preserve"> p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 · Π</w:t>
      </w:r>
      <w:r>
        <w:rPr>
          <w:rFonts w:ascii="Calibri" w:cs="Calibri" w:eastAsia="Calibri" w:hAnsi="Calibri"/>
          <w:vertAlign w:val="subscript"/>
        </w:rPr>
        <w:t xml:space="preserve">n∈S</w:t>
      </w:r>
      <w:r>
        <w:rPr>
          <w:rFonts w:ascii="Calibri" w:cs="Calibri" w:eastAsia="Calibri" w:hAnsi="Calibri"/>
        </w:rPr>
        <w:t xml:space="preserve"> (1 − p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). Maximize ln L over λ with a one-dimensional search (the workbook does it on a grid). Because a few tests give a wide estimate, combine L with a public prior, for example ln λ ~ Normal(ln 0.90, 0.5</w:t>
      </w:r>
      <w:r>
        <w:rPr>
          <w:rFonts w:ascii="Calibri" w:cs="Calibri" w:eastAsia="Calibri" w:hAnsi="Calibri"/>
          <w:vertAlign w:val="superscript"/>
        </w:rPr>
        <w:t xml:space="preserve">2</w:t>
      </w:r>
      <w:r>
        <w:rPr>
          <w:rFonts w:ascii="Calibri" w:cs="Calibri" w:eastAsia="Calibri" w:hAnsi="Calibri"/>
        </w:rPr>
        <w:t xml:space="preserve">) from the FAA first-flight data of the paper (Sec. VI-B), and use the posterior median.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1D5B8F" w:sz="18"/>
              <w:bottom w:val="none"/>
              <w:right w:val="none"/>
            </w:tcBorders>
            <w:shd w:fill="EEF3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5B8F"/>
              </w:rPr>
              <w:t xml:space="preserve">Worked example: Rocket R (8 launches, 2014–2024, first success on flight 8, c</w:t>
            </w:r>
            <w:r>
              <w:rPr>
                <w:rFonts w:ascii="Calibri" w:cs="Calibri" w:eastAsia="Calibri" w:hAnsi="Calibri"/>
                <w:b/>
                <w:bCs/>
                <w:color w:val="1D5B8F"/>
                <w:vertAlign w:val="subscript"/>
              </w:rPr>
              <w:t xml:space="preserve">f</w:t>
            </w:r>
            <w:r>
              <w:rPr>
                <w:rFonts w:ascii="Calibri" w:cs="Calibri" w:eastAsia="Calibri" w:hAnsi="Calibri"/>
                <w:b/>
                <w:bCs/>
                <w:color w:val="1D5B8F"/>
              </w:rPr>
              <w:t xml:space="preserve"> = 2 BU)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K before flights 1–8: 0.10, 0.16, 0.21, 0.27, 0.32, 0.37, 0.42, 0.47; outcomes: seven failures, then success.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Data only: λ̂</w:t>
            </w:r>
            <w:r>
              <w:rPr>
                <w:rFonts w:ascii="Calibri" w:cs="Calibri" w:eastAsia="Calibri" w:hAnsi="Calibri"/>
                <w:vertAlign w:val="subscript"/>
              </w:rPr>
              <w:t xml:space="preserve">T</w:t>
            </w:r>
            <w:r>
              <w:rPr>
                <w:rFonts w:ascii="Calibri" w:cs="Calibri" w:eastAsia="Calibri" w:hAnsi="Calibri"/>
              </w:rPr>
              <w:t xml:space="preserve"> = </w:t>
            </w:r>
            <w:r>
              <w:rPr>
                <w:rFonts w:ascii="Calibri" w:cs="Calibri" w:eastAsia="Calibri" w:hAnsi="Calibri"/>
                <w:b/>
                <w:bCs/>
              </w:rPr>
              <w:t xml:space="preserve">2.55</w:t>
            </w:r>
            <w:r>
              <w:rPr>
                <w:rFonts w:ascii="Calibri" w:cs="Calibri" w:eastAsia="Calibri" w:hAnsi="Calibri"/>
              </w:rPr>
              <w:t xml:space="preserve"> per BU (flight 1: 1 − exp(−2.55 × 0.90</w:t>
            </w:r>
            <w:r>
              <w:rPr>
                <w:rFonts w:ascii="Calibri" w:cs="Calibri" w:eastAsia="Calibri" w:hAnsi="Calibri"/>
                <w:vertAlign w:val="superscript"/>
              </w:rPr>
              <w:t xml:space="preserve">2</w:t>
            </w:r>
            <w:r>
              <w:rPr>
                <w:rFonts w:ascii="Calibri" w:cs="Calibri" w:eastAsia="Calibri" w:hAnsi="Calibri"/>
              </w:rPr>
              <w:t xml:space="preserve"> × 2) = 0.98).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With the FAA prior: posterior median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1.48</w:t>
            </w:r>
            <w:r>
              <w:rPr>
                <w:rFonts w:ascii="Calibri" w:cs="Calibri" w:eastAsia="Calibri" w:hAnsi="Calibri"/>
              </w:rPr>
              <w:t xml:space="preserve"> per BU, 90% interval 0.80–2.68. Org X uses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λ</w:t>
            </w:r>
            <w:r>
              <w:rPr>
                <w:rFonts w:ascii="Calibri" w:cs="Calibri" w:eastAsia="Calibri" w:hAnsi="Calibri"/>
                <w:b/>
                <w:bCs/>
                <w:vertAlign w:val="subscript"/>
              </w:rPr>
              <w:t xml:space="preserve">T</w:t>
            </w:r>
            <w:r>
              <w:rPr>
                <w:rFonts w:ascii="Calibri" w:cs="Calibri" w:eastAsia="Calibri" w:hAnsi="Calibri"/>
                <w:b/>
                <w:bCs/>
              </w:rPr>
              <w:t xml:space="preserve"> = 1.5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4572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Figure S1. Rocket R: failure probability per flight from the data alone (dashed) and from the posterior median (bars).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3.2 Knowledge per integrated test e</w:t>
      </w:r>
      <w:r>
        <w:rPr>
          <w:rFonts w:ascii="Calibri" w:cs="Calibri" w:eastAsia="Calibri" w:hAnsi="Calibri"/>
          <w:vertAlign w:val="subscript"/>
        </w:rPr>
        <w:t xml:space="preserve">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With ΔK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 the increase of K between consecutive tests and x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 = (1 − K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) c</w:t>
      </w:r>
      <w:r>
        <w:rPr>
          <w:rFonts w:ascii="Calibri" w:cs="Calibri" w:eastAsia="Calibri" w:hAnsi="Calibri"/>
          <w:vertAlign w:val="subscript"/>
        </w:rPr>
        <w:t xml:space="preserve">f</w:t>
      </w:r>
      <w:r>
        <w:rPr>
          <w:rFonts w:ascii="Calibri" w:cs="Calibri" w:eastAsia="Calibri" w:hAnsi="Calibri"/>
        </w:rPr>
        <w:t xml:space="preserve">, fit ΔK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 = e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 x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 through the origin: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ê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</w:t>
      </w:r>
      <w:r>
        <w:rPr>
          <w:rFonts w:ascii="Cambria Math" w:cs="Cambria Math" w:eastAsia="Cambria Math" w:hAnsi="Cambria Math"/>
          <w:sz w:val="23"/>
          <w:szCs w:val="23"/>
        </w:rPr>
        <w:t xml:space="preserve"> = Σ ΔK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</w:t>
      </w:r>
      <w:r>
        <w:rPr>
          <w:rFonts w:ascii="Cambria Math" w:cs="Cambria Math" w:eastAsia="Cambria Math" w:hAnsi="Cambria Math"/>
          <w:sz w:val="23"/>
          <w:szCs w:val="23"/>
        </w:rPr>
        <w:t xml:space="preserve"> x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</w:t>
      </w:r>
      <w:r>
        <w:rPr>
          <w:rFonts w:ascii="Cambria Math" w:cs="Cambria Math" w:eastAsia="Cambria Math" w:hAnsi="Cambria Math"/>
          <w:sz w:val="23"/>
          <w:szCs w:val="23"/>
        </w:rPr>
        <w:t xml:space="preserve"> / Σ x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</w:t>
      </w:r>
      <w:r>
        <w:rPr>
          <w:rFonts w:ascii="Cambria Math" w:cs="Cambria Math" w:eastAsia="Cambria Math" w:hAnsi="Cambria Math"/>
          <w:sz w:val="23"/>
          <w:szCs w:val="23"/>
          <w:vertAlign w:val="superscript"/>
        </w:rPr>
        <w:t xml:space="preserve">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Rocket R: ΔK = 0.06, 0.05, 0.06, 0.05, 0.05, 0.05, 0.05 and x = 1.80 … 1.16 give </w:t>
      </w:r>
      <w:r>
        <w:rPr>
          <w:rFonts w:ascii="Calibri" w:cs="Calibri" w:eastAsia="Calibri" w:hAnsi="Calibri"/>
          <w:b/>
          <w:bCs/>
        </w:rPr>
        <w:t xml:space="preserve">e</w:t>
      </w:r>
      <w:r>
        <w:rPr>
          <w:rFonts w:ascii="Calibri" w:cs="Calibri" w:eastAsia="Calibri" w:hAnsi="Calibri"/>
          <w:b/>
          <w:bCs/>
          <w:vertAlign w:val="subscript"/>
        </w:rPr>
        <w:t xml:space="preserve">T</w:t>
      </w:r>
      <w:r>
        <w:rPr>
          <w:rFonts w:ascii="Calibri" w:cs="Calibri" w:eastAsia="Calibri" w:hAnsi="Calibri"/>
          <w:b/>
          <w:bCs/>
        </w:rPr>
        <w:t xml:space="preserve"> = 0.035</w:t>
      </w:r>
      <w:r>
        <w:rPr>
          <w:rFonts w:ascii="Calibri" w:cs="Calibri" w:eastAsia="Calibri" w:hAnsi="Calibri"/>
        </w:rPr>
        <w:t xml:space="preserve"> per BU. If the increments shrink faster than (1 − K), use the power form g(1 − K)</w:t>
      </w:r>
      <w:r>
        <w:rPr>
          <w:rFonts w:ascii="Calibri" w:cs="Calibri" w:eastAsia="Calibri" w:hAnsi="Calibri"/>
          <w:vertAlign w:val="superscript"/>
        </w:rPr>
        <w:t xml:space="preserve">q</w:t>
      </w:r>
      <w:r>
        <w:rPr>
          <w:rFonts w:ascii="Calibri" w:cs="Calibri" w:eastAsia="Calibri" w:hAnsi="Calibri"/>
        </w:rPr>
        <w:t xml:space="preserve"> of the paper (Sec. VI-B).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3.3 Rates: a straight line through logarithms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Each activity closes a fixed fraction of its remaining gap per BU, so the gap decays exponentially. Within one campaign, regress the logarithm of the gap on cost; minus the slope is the rate: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ln(1 − K) = ln(1 −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0</w:t>
      </w:r>
      <w:r>
        <w:rPr>
          <w:rFonts w:ascii="Cambria Math" w:cs="Cambria Math" w:eastAsia="Cambria Math" w:hAnsi="Cambria Math"/>
          <w:sz w:val="23"/>
          <w:szCs w:val="23"/>
        </w:rPr>
        <w:t xml:space="preserve">) − r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E</w:t>
      </w:r>
      <w:r>
        <w:rPr>
          <w:rFonts w:ascii="Cambria Math" w:cs="Cambria Math" w:eastAsia="Cambria Math" w:hAnsi="Cambria Math"/>
          <w:sz w:val="23"/>
          <w:szCs w:val="23"/>
        </w:rPr>
        <w:t xml:space="preserve"> c        (separate-effects tests)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ln(K̄ − K) = ln(K̄ −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0</w:t>
      </w:r>
      <w:r>
        <w:rPr>
          <w:rFonts w:ascii="Cambria Math" w:cs="Cambria Math" w:eastAsia="Cambria Math" w:hAnsi="Cambria Math"/>
          <w:sz w:val="23"/>
          <w:szCs w:val="23"/>
        </w:rPr>
        <w:t xml:space="preserve">) − r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S</w:t>
      </w:r>
      <w:r>
        <w:rPr>
          <w:rFonts w:ascii="Cambria Math" w:cs="Cambria Math" w:eastAsia="Cambria Math" w:hAnsi="Cambria Math"/>
          <w:sz w:val="23"/>
          <w:szCs w:val="23"/>
        </w:rPr>
        <w:t xml:space="preserve"> c        (simulation, K̄ at the campaign's M)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ln(M̄ − M) = ln(M̄ − 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0</w:t>
      </w:r>
      <w:r>
        <w:rPr>
          <w:rFonts w:ascii="Cambria Math" w:cs="Cambria Math" w:eastAsia="Cambria Math" w:hAnsi="Cambria Math"/>
          <w:sz w:val="23"/>
          <w:szCs w:val="23"/>
        </w:rPr>
        <w:t xml:space="preserve">) − r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</w:t>
      </w:r>
      <w:r>
        <w:rPr>
          <w:rFonts w:ascii="Cambria Math" w:cs="Cambria Math" w:eastAsia="Cambria Math" w:hAnsi="Cambria Math"/>
          <w:sz w:val="23"/>
          <w:szCs w:val="23"/>
        </w:rPr>
        <w:t xml:space="preserve"> c        (integrated tests, M̄ at the campaign's 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1200"/>
        <w:gridCol w:w="1626"/>
      </w:tblGrid>
      <w:tr>
        <w:trPr>
          <w:tblHeader/>
        </w:trPr>
        <w:tc>
          <w:tcPr>
            <w:tcW w:type="dxa" w:w="2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Campaign</w:t>
            </w:r>
          </w:p>
        </w:tc>
        <w:tc>
          <w:tcPr>
            <w:tcW w:type="dxa" w:w="34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12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Slope</w:t>
            </w:r>
          </w:p>
        </w:tc>
        <w:tc>
          <w:tcPr>
            <w:tcW w:type="dxa" w:w="16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Rate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Engine E-1 (E)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= 0…4; K = .30, .37, .43, .48, .53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−0.099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= 0.10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CFD (S), K̄ = 0.464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= 0…3; K = .20, .27, .32, .36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−0.309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= 0.30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Ground tests (T), K = 0.50, M̄ = 0.574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= 0…3; M = .10, .20, .28, .34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−0.236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= 0.24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3.4 Ceilings: regress the plateaus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plateau is the level at which an activity's marginal rate has fallen below about 10% of its initial value (Table 6, step 2). Regress the simulation plateaus on the demonstrated M of each campaign, and the integrated-test plateaus on the K at which they were run: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K̄(M) =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b</w:t>
      </w:r>
      <w:r>
        <w:rPr>
          <w:rFonts w:ascii="Cambria Math" w:cs="Cambria Math" w:eastAsia="Cambria Math" w:hAnsi="Cambria Math"/>
          <w:sz w:val="23"/>
          <w:szCs w:val="23"/>
        </w:rPr>
        <w:t xml:space="preserve"> +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l</w:t>
      </w:r>
      <w:r>
        <w:rPr>
          <w:rFonts w:ascii="Cambria Math" w:cs="Cambria Math" w:eastAsia="Cambria Math" w:hAnsi="Cambria Math"/>
          <w:sz w:val="23"/>
          <w:szCs w:val="23"/>
        </w:rPr>
        <w:t xml:space="preserve"> M,        M̄(K) = 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b</w:t>
      </w:r>
      <w:r>
        <w:rPr>
          <w:rFonts w:ascii="Cambria Math" w:cs="Cambria Math" w:eastAsia="Cambria Math" w:hAnsi="Cambria Math"/>
          <w:sz w:val="23"/>
          <w:szCs w:val="23"/>
        </w:rPr>
        <w:t xml:space="preserve"> + 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l</w:t>
      </w:r>
      <w:r>
        <w:rPr>
          <w:rFonts w:ascii="Cambria Math" w:cs="Cambria Math" w:eastAsia="Cambria Math" w:hAnsi="Cambria Math"/>
          <w:sz w:val="23"/>
          <w:szCs w:val="23"/>
        </w:rPr>
        <w:t xml:space="preserve"> K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Org X: simulation plateaus K = 0.47, 0.57, 0.71, 0.82 at M = 0.10, 0.30, 0.50, 0.70 give </w:t>
      </w:r>
      <w:r>
        <w:rPr>
          <w:rFonts w:ascii="Calibri" w:cs="Calibri" w:eastAsia="Calibri" w:hAnsi="Calibri"/>
          <w:b/>
          <w:bCs/>
        </w:rPr>
        <w:t xml:space="preserve">K̄ = 0.40 + 0.60 M</w:t>
      </w:r>
      <w:r>
        <w:rPr>
          <w:rFonts w:ascii="Calibri" w:cs="Calibri" w:eastAsia="Calibri" w:hAnsi="Calibri"/>
        </w:rPr>
        <w:t xml:space="preserve">; test plateaus M = 0.36, 0.53, 0.67, 0.84 at K = 0.30, 0.45, 0.60, 0.75 give </w:t>
      </w:r>
      <w:r>
        <w:rPr>
          <w:rFonts w:ascii="Calibri" w:cs="Calibri" w:eastAsia="Calibri" w:hAnsi="Calibri"/>
          <w:b/>
          <w:bCs/>
        </w:rPr>
        <w:t xml:space="preserve">M̄ = 0.05 + 1.05 K</w:t>
      </w:r>
      <w:r>
        <w:rPr>
          <w:rFonts w:ascii="Calibri" w:cs="Calibri" w:eastAsia="Calibri" w:hAnsi="Calibri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Figure S2. Fits of the rates and ceilings for Org X.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3.5 The parameter card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00"/>
        <w:gridCol w:w="2200"/>
        <w:gridCol w:w="2326"/>
      </w:tblGrid>
      <w:tr>
        <w:trPr>
          <w:tblHeader/>
        </w:trPr>
        <w:tc>
          <w:tcPr>
            <w:tcW w:type="dxa" w:w="23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Coefficient</w:t>
            </w:r>
          </w:p>
        </w:tc>
        <w:tc>
          <w:tcPr>
            <w:tcW w:type="dxa" w:w="22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Org X</w:t>
            </w:r>
          </w:p>
        </w:tc>
        <w:tc>
          <w:tcPr>
            <w:tcW w:type="dxa" w:w="22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Paper base</w:t>
            </w:r>
          </w:p>
        </w:tc>
        <w:tc>
          <w:tcPr>
            <w:tcW w:type="dxa" w:w="23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0.40, 0.60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0.40, 0.60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CFD plateaus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0.05, 1.05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0.05, 1.05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 plateaus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; 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; 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0.30; 0.10; 0.24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0.30; 0.10; 0.22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campaign rates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λ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Rocket R + FAA prior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0.035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0.04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Rocket R increments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λ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0.05, 0.05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0.05, 0.05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δ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δ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ρ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0.06, 0.15, 2 BU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0.06, 0.15, 2 BU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prior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4. Applying the procedure to a new project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4.1 Define the problem (Table 6, step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Project N (fictional): qualify a new upper-stage engine. Claim C1: combustion is stable across the operating envelope. First review: (K, M) = (0.20, 0.10). Target region: K ≥ K</w:t>
      </w:r>
      <w:r>
        <w:rPr>
          <w:rFonts w:ascii="Calibri" w:cs="Calibri" w:eastAsia="Calibri" w:hAnsi="Calibri"/>
          <w:vertAlign w:val="subscript"/>
        </w:rPr>
        <w:t xml:space="preserve">req</w:t>
      </w:r>
      <w:r>
        <w:rPr>
          <w:rFonts w:ascii="Calibri" w:cs="Calibri" w:eastAsia="Calibri" w:hAnsi="Calibri"/>
        </w:rPr>
        <w:t xml:space="preserve"> = 0.75 and M ≥ M</w:t>
      </w:r>
      <w:r>
        <w:rPr>
          <w:rFonts w:ascii="Calibri" w:cs="Calibri" w:eastAsia="Calibri" w:hAnsi="Calibri"/>
          <w:vertAlign w:val="subscript"/>
        </w:rPr>
        <w:t xml:space="preserve">req</w:t>
      </w:r>
      <w:r>
        <w:rPr>
          <w:rFonts w:ascii="Calibri" w:cs="Calibri" w:eastAsia="Calibri" w:hAnsi="Calibri"/>
        </w:rPr>
        <w:t xml:space="preserve"> = 0.80. Budget: 30 BU. Exposure limit set by Org X: λ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(1 − K)</w:t>
      </w:r>
      <w:r>
        <w:rPr>
          <w:rFonts w:ascii="Calibri" w:cs="Calibri" w:eastAsia="Calibri" w:hAnsi="Calibri"/>
          <w:vertAlign w:val="superscript"/>
        </w:rPr>
        <w:t xml:space="preserve">2</w:t>
      </w:r>
      <w:r>
        <w:rPr>
          <w:rFonts w:ascii="Calibri" w:cs="Calibri" w:eastAsia="Calibri" w:hAnsi="Calibri"/>
        </w:rPr>
        <w:t xml:space="preserve"> ≤ h</w:t>
      </w:r>
      <w:r>
        <w:rPr>
          <w:rFonts w:ascii="Calibri" w:cs="Calibri" w:eastAsia="Calibri" w:hAnsi="Calibri"/>
          <w:vertAlign w:val="subscript"/>
        </w:rPr>
        <w:t xml:space="preserve">max</w:t>
      </w:r>
      <w:r>
        <w:rPr>
          <w:rFonts w:ascii="Calibri" w:cs="Calibri" w:eastAsia="Calibri" w:hAnsi="Calibri"/>
        </w:rPr>
        <w:t xml:space="preserve"> = 0.05 per BU, about a 10% chance of losing a 2-BU integrated test.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4.2 The test threshold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An integrated test is worth running only when knowledge supports the target maturity (headroom) and the test hazard is within the exposure limit: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need</w:t>
      </w:r>
      <w:r>
        <w:rPr>
          <w:rFonts w:ascii="Cambria Math" w:cs="Cambria Math" w:eastAsia="Cambria Math" w:hAnsi="Cambria Math"/>
          <w:sz w:val="23"/>
          <w:szCs w:val="23"/>
        </w:rPr>
        <w:t xml:space="preserve"> = (M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req</w:t>
      </w:r>
      <w:r>
        <w:rPr>
          <w:rFonts w:ascii="Cambria Math" w:cs="Cambria Math" w:eastAsia="Cambria Math" w:hAnsi="Cambria Math"/>
          <w:sz w:val="23"/>
          <w:szCs w:val="23"/>
        </w:rPr>
        <w:t xml:space="preserve"> − 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b</w:t>
      </w:r>
      <w:r>
        <w:rPr>
          <w:rFonts w:ascii="Cambria Math" w:cs="Cambria Math" w:eastAsia="Cambria Math" w:hAnsi="Cambria Math"/>
          <w:sz w:val="23"/>
          <w:szCs w:val="23"/>
        </w:rPr>
        <w:t xml:space="preserve">) / 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l</w:t>
      </w:r>
      <w:r>
        <w:rPr>
          <w:rFonts w:ascii="Cambria Math" w:cs="Cambria Math" w:eastAsia="Cambria Math" w:hAnsi="Cambria Math"/>
          <w:sz w:val="23"/>
          <w:szCs w:val="23"/>
        </w:rPr>
        <w:t xml:space="preserve">,       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haz</w:t>
      </w:r>
      <w:r>
        <w:rPr>
          <w:rFonts w:ascii="Cambria Math" w:cs="Cambria Math" w:eastAsia="Cambria Math" w:hAnsi="Cambria Math"/>
          <w:sz w:val="23"/>
          <w:szCs w:val="23"/>
        </w:rPr>
        <w:t xml:space="preserve"> = 1 − (h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max</w:t>
      </w:r>
      <w:r>
        <w:rPr>
          <w:rFonts w:ascii="Cambria Math" w:cs="Cambria Math" w:eastAsia="Cambria Math" w:hAnsi="Cambria Math"/>
          <w:sz w:val="23"/>
          <w:szCs w:val="23"/>
        </w:rPr>
        <w:t xml:space="preserve">/λ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</w:t>
      </w:r>
      <w:r>
        <w:rPr>
          <w:rFonts w:ascii="Cambria Math" w:cs="Cambria Math" w:eastAsia="Cambria Math" w:hAnsi="Cambria Math"/>
          <w:sz w:val="23"/>
          <w:szCs w:val="23"/>
        </w:rPr>
        <w:t xml:space="preserve">)</w:t>
      </w:r>
      <w:r>
        <w:rPr>
          <w:rFonts w:ascii="Cambria Math" w:cs="Cambria Math" w:eastAsia="Cambria Math" w:hAnsi="Cambria Math"/>
          <w:sz w:val="23"/>
          <w:szCs w:val="23"/>
          <w:vertAlign w:val="superscript"/>
        </w:rPr>
        <w:t xml:space="preserve">1/2</w:t>
      </w:r>
      <w:r>
        <w:rPr>
          <w:rFonts w:ascii="Cambria Math" w:cs="Cambria Math" w:eastAsia="Cambria Math" w:hAnsi="Cambria Math"/>
          <w:sz w:val="23"/>
          <w:szCs w:val="23"/>
        </w:rPr>
        <w:t xml:space="preserve">,       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test</w:t>
      </w:r>
      <w:r>
        <w:rPr>
          <w:rFonts w:ascii="Cambria Math" w:cs="Cambria Math" w:eastAsia="Cambria Math" w:hAnsi="Cambria Math"/>
          <w:sz w:val="23"/>
          <w:szCs w:val="23"/>
        </w:rPr>
        <w:t xml:space="preserve"> = max(K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need</w:t>
      </w:r>
      <w:r>
        <w:rPr>
          <w:rFonts w:ascii="Cambria Math" w:cs="Cambria Math" w:eastAsia="Cambria Math" w:hAnsi="Cambria Math"/>
          <w:sz w:val="23"/>
          <w:szCs w:val="23"/>
        </w:rPr>
        <w:t xml:space="preserve">,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haz</w:t>
      </w:r>
      <w:r>
        <w:rPr>
          <w:rFonts w:ascii="Cambria Math" w:cs="Cambria Math" w:eastAsia="Cambria Math" w:hAnsi="Cambria Math"/>
          <w:sz w:val="23"/>
          <w:szCs w:val="23"/>
        </w:rPr>
        <w:t xml:space="preserve">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Org X: 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 = (0.80 − 0.05)/1.05 = </w:t>
      </w:r>
      <w:r>
        <w:rPr>
          <w:rFonts w:ascii="Calibri" w:cs="Calibri" w:eastAsia="Calibri" w:hAnsi="Calibri"/>
          <w:b/>
          <w:bCs/>
        </w:rPr>
        <w:t xml:space="preserve">0.714</w:t>
      </w:r>
      <w:r>
        <w:rPr>
          <w:rFonts w:ascii="Calibri" w:cs="Calibri" w:eastAsia="Calibri" w:hAnsi="Calibri"/>
        </w:rPr>
        <w:t xml:space="preserve">;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 = 1 − √(0.05/1.5) = </w:t>
      </w:r>
      <w:r>
        <w:rPr>
          <w:rFonts w:ascii="Calibri" w:cs="Calibri" w:eastAsia="Calibri" w:hAnsi="Calibri"/>
          <w:b/>
          <w:bCs/>
        </w:rPr>
        <w:t xml:space="preserve">0.817</w:t>
      </w:r>
      <w:r>
        <w:rPr>
          <w:rFonts w:ascii="Calibri" w:cs="Calibri" w:eastAsia="Calibri" w:hAnsi="Calibri"/>
        </w:rPr>
        <w:t xml:space="preserve">; so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 = 0.817 and the exposure limit, not the headroom, decides. In the paper's base case (λ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 = 0.40),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 = 0.65 and headroom decides.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When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 &gt; 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, step 3b of Table 6 leaves three options: reduce exposure (configuration or envelope), re-approve the limit, or keep building knowledge until K ≥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. Org X chooses the third. The paper's simulations use the second (the test proceeds once no knowledge deficit remains); Section 4.6 shows how to weigh the two.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 at the integrated test</w:t>
            </w:r>
          </w:p>
        </w:tc>
        <w:tc>
          <w:tcPr>
            <w:tcW w:type="dxa" w:w="4513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Chance of losing a 2-BU test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0.20 (today)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85%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0.50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53%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0.714 (K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need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22%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0.817 (K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haz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4.3 The decision at each review (Table 6, steps 0 and 3–4)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First screen every candidate activity against cost, schedule and exposure (step 0); the steps below choose only among the admissible ones.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If M &lt; M</w:t>
      </w:r>
      <w:r>
        <w:rPr>
          <w:rFonts w:ascii="Calibri" w:cs="Calibri" w:eastAsia="Calibri" w:hAnsi="Calibri"/>
          <w:vertAlign w:val="subscript"/>
        </w:rPr>
        <w:t xml:space="preserve">req</w:t>
      </w:r>
      <w:r>
        <w:rPr>
          <w:rFonts w:ascii="Calibri" w:cs="Calibri" w:eastAsia="Calibri" w:hAnsi="Calibri"/>
        </w:rPr>
        <w:t xml:space="preserve"> and K ≥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: run the </w:t>
      </w:r>
      <w:r>
        <w:rPr>
          <w:rFonts w:ascii="Calibri" w:cs="Calibri" w:eastAsia="Calibri" w:hAnsi="Calibri"/>
          <w:b/>
          <w:bCs/>
        </w:rPr>
        <w:t xml:space="preserve">integrated test</w:t>
      </w:r>
      <w:r>
        <w:rPr>
          <w:rFonts w:ascii="Calibri" w:cs="Calibri" w:eastAsia="Calibri" w:hAnsi="Calibri"/>
        </w:rPr>
        <w:t xml:space="preserve"> T (step 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Otherwise (K &lt; K</w:t>
      </w:r>
      <w:r>
        <w:rPr>
          <w:rFonts w:ascii="Calibri" w:cs="Calibri" w:eastAsia="Calibri" w:hAnsi="Calibri"/>
          <w:vertAlign w:val="subscript"/>
        </w:rPr>
        <w:t xml:space="preserve">req</w:t>
      </w:r>
      <w:r>
        <w:rPr>
          <w:rFonts w:ascii="Calibri" w:cs="Calibri" w:eastAsia="Calibri" w:hAnsi="Calibri"/>
        </w:rPr>
        <w:t xml:space="preserve">, K &lt; 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, or the hazard is above the limit, step 3b): run the activity with the largest </w:t>
      </w:r>
      <w:r>
        <w:rPr>
          <w:rFonts w:ascii="Calibri" w:cs="Calibri" w:eastAsia="Calibri" w:hAnsi="Calibri"/>
          <w:b/>
          <w:bCs/>
        </w:rPr>
        <w:t xml:space="preserve">net knowledge rate</w:t>
      </w:r>
      <w:r>
        <w:rPr>
          <w:rFonts w:ascii="Calibri" w:cs="Calibri" w:eastAsia="Calibri" w:hAnsi="Calibri"/>
        </w:rPr>
        <w:t xml:space="preserve"> (step 4):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net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a</w:t>
      </w:r>
      <w:r>
        <w:rPr>
          <w:rFonts w:ascii="Cambria Math" w:cs="Cambria Math" w:eastAsia="Cambria Math" w:hAnsi="Cambria Math"/>
          <w:sz w:val="23"/>
          <w:szCs w:val="23"/>
        </w:rPr>
        <w:t xml:space="preserve"> = F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a</w:t>
      </w:r>
      <w:r>
        <w:rPr>
          <w:rFonts w:ascii="Cambria Math" w:cs="Cambria Math" w:eastAsia="Cambria Math" w:hAnsi="Cambria Math"/>
          <w:sz w:val="23"/>
          <w:szCs w:val="23"/>
        </w:rPr>
        <w:t xml:space="preserve">(K, M) − λ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a</w:t>
      </w:r>
      <w:r>
        <w:rPr>
          <w:rFonts w:ascii="Cambria Math" w:cs="Cambria Math" w:eastAsia="Cambria Math" w:hAnsi="Cambria Math"/>
          <w:sz w:val="23"/>
          <w:szCs w:val="23"/>
        </w:rPr>
        <w:t xml:space="preserve">(1 − K)</w:t>
      </w:r>
      <w:r>
        <w:rPr>
          <w:rFonts w:ascii="Cambria Math" w:cs="Cambria Math" w:eastAsia="Cambria Math" w:hAnsi="Cambria Math"/>
          <w:sz w:val="23"/>
          <w:szCs w:val="23"/>
          <w:vertAlign w:val="superscript"/>
        </w:rPr>
        <w:t xml:space="preserve">2</w:t>
      </w:r>
      <w:r>
        <w:rPr>
          <w:rFonts w:ascii="Cambria Math" w:cs="Cambria Math" w:eastAsia="Cambria Math" w:hAnsi="Cambria Math"/>
          <w:sz w:val="23"/>
          <w:szCs w:val="23"/>
        </w:rPr>
        <w:t xml:space="preserve"> δ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sz w:val="23"/>
          <w:szCs w:val="23"/>
        </w:rPr>
        <w:t xml:space="preserve">,    with F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S</w:t>
      </w:r>
      <w:r>
        <w:rPr>
          <w:rFonts w:ascii="Cambria Math" w:cs="Cambria Math" w:eastAsia="Cambria Math" w:hAnsi="Cambria Math"/>
          <w:sz w:val="23"/>
          <w:szCs w:val="23"/>
        </w:rPr>
        <w:t xml:space="preserve"> = r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S</w:t>
      </w:r>
      <w:r>
        <w:rPr>
          <w:rFonts w:ascii="Cambria Math" w:cs="Cambria Math" w:eastAsia="Cambria Math" w:hAnsi="Cambria Math"/>
          <w:sz w:val="23"/>
          <w:szCs w:val="23"/>
        </w:rPr>
        <w:t xml:space="preserve">[K̄(M) − K]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+</w:t>
      </w:r>
      <w:r>
        <w:rPr>
          <w:rFonts w:ascii="Cambria Math" w:cs="Cambria Math" w:eastAsia="Cambria Math" w:hAnsi="Cambria Math"/>
          <w:sz w:val="23"/>
          <w:szCs w:val="23"/>
        </w:rPr>
        <w:t xml:space="preserve">,  F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E</w:t>
      </w:r>
      <w:r>
        <w:rPr>
          <w:rFonts w:ascii="Cambria Math" w:cs="Cambria Math" w:eastAsia="Cambria Math" w:hAnsi="Cambria Math"/>
          <w:sz w:val="23"/>
          <w:szCs w:val="23"/>
        </w:rPr>
        <w:t xml:space="preserve"> = r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E</w:t>
      </w:r>
      <w:r>
        <w:rPr>
          <w:rFonts w:ascii="Cambria Math" w:cs="Cambria Math" w:eastAsia="Cambria Math" w:hAnsi="Cambria Math"/>
          <w:sz w:val="23"/>
          <w:szCs w:val="23"/>
        </w:rPr>
        <w:t xml:space="preserve">(1 − K),  F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</w:t>
      </w:r>
      <w:r>
        <w:rPr>
          <w:rFonts w:ascii="Cambria Math" w:cs="Cambria Math" w:eastAsia="Cambria Math" w:hAnsi="Cambria Math"/>
          <w:sz w:val="23"/>
          <w:szCs w:val="23"/>
        </w:rPr>
        <w:t xml:space="preserve"> = e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</w:t>
      </w:r>
      <w:r>
        <w:rPr>
          <w:rFonts w:ascii="Cambria Math" w:cs="Cambria Math" w:eastAsia="Cambria Math" w:hAnsi="Cambria Math"/>
          <w:sz w:val="23"/>
          <w:szCs w:val="23"/>
        </w:rPr>
        <w:t xml:space="preserve">(1 − 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1D5B8F" w:sz="18"/>
              <w:bottom w:val="none"/>
              <w:right w:val="none"/>
            </w:tcBorders>
            <w:shd w:fill="EEF3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5B8F"/>
              </w:rPr>
              <w:t xml:space="preserve">Worked example: first decision at (0.20, 0.10)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K̄(0.10) = 0.40 + 0.60 × 0.10 = 0.46;   K = 0.20 &lt; K</w:t>
            </w:r>
            <w:r>
              <w:rPr>
                <w:rFonts w:ascii="Calibri" w:cs="Calibri" w:eastAsia="Calibri" w:hAnsi="Calibri"/>
                <w:vertAlign w:val="subscript"/>
              </w:rPr>
              <w:t xml:space="preserve">test</w:t>
            </w:r>
            <w:r>
              <w:rPr>
                <w:rFonts w:ascii="Calibri" w:cs="Calibri" w:eastAsia="Calibri" w:hAnsi="Calibri"/>
              </w:rPr>
              <w:t xml:space="preserve"> → step 4.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S: 0.30 × (0.46 − 0.20) = 0.0780;   hazard 0 → net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0.0780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E: 0.10 × (1 − 0.20) = 0.080;   hazard 0.05 × 0.64 = 0.032;   loss 0.032 × 0.06 = 0.0019 → net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0.0781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T: 0.035 × 0.80 = 0.028;   hazard 1.5 × 0.64 = 0.96;   loss 0.0576 → net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−0.030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Decision: </w:t>
            </w:r>
            <w:r>
              <w:rPr>
                <w:rFonts w:ascii="Calibri" w:cs="Calibri" w:eastAsia="Calibri" w:hAnsi="Calibri"/>
                <w:b/>
                <w:bCs/>
              </w:rPr>
              <w:t xml:space="preserve">E</w:t>
            </w:r>
            <w:r>
              <w:rPr>
                <w:rFonts w:ascii="Calibri" w:cs="Calibri" w:eastAsia="Calibri" w:hAnsi="Calibri"/>
              </w:rPr>
              <w:t xml:space="preserve"> (separate-effects tests), practically tied with S. The exact derivative D</w:t>
            </w:r>
            <w:r>
              <w:rPr>
                <w:rFonts w:ascii="Calibri" w:cs="Calibri" w:eastAsia="Calibri" w:hAnsi="Calibri"/>
                <w:vertAlign w:val="subscript"/>
              </w:rPr>
              <w:t xml:space="preserve">a</w:t>
            </w:r>
            <w:r>
              <w:rPr>
                <w:rFonts w:ascii="Calibri" w:cs="Calibri" w:eastAsia="Calibri" w:hAnsi="Calibri"/>
              </w:rPr>
              <w:t xml:space="preserve"> of the paper (Eq. (13a)), computed by value iteration, gives +0.98, +0.94 and −2.47 BU saved per BU for S, E and T: the same ranking of T and the same near-tie of S and E.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4.4 The review log of Project N (expected path)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00"/>
        <w:gridCol w:w="800"/>
        <w:gridCol w:w="900"/>
        <w:gridCol w:w="900"/>
        <w:gridCol w:w="900"/>
        <w:gridCol w:w="900"/>
        <w:gridCol w:w="1000"/>
        <w:gridCol w:w="1926"/>
      </w:tblGrid>
      <w:tr>
        <w:trPr>
          <w:tblHeader/>
        </w:trPr>
        <w:tc>
          <w:tcPr>
            <w:tcW w:type="dxa" w:w="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Cost (BU)</w:t>
            </w:r>
          </w:p>
        </w:tc>
        <w:tc>
          <w:tcPr>
            <w:tcW w:type="dxa" w:w="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</w:t>
            </w:r>
          </w:p>
        </w:tc>
        <w:tc>
          <w:tcPr>
            <w:tcW w:type="dxa" w:w="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K̄(M)</w:t>
            </w:r>
          </w:p>
        </w:tc>
        <w:tc>
          <w:tcPr>
            <w:tcW w:type="dxa" w:w="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net S</w:t>
            </w:r>
          </w:p>
        </w:tc>
        <w:tc>
          <w:tcPr>
            <w:tcW w:type="dxa" w:w="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net E</w:t>
            </w:r>
          </w:p>
        </w:tc>
        <w:tc>
          <w:tcPr>
            <w:tcW w:type="dxa" w:w="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net T</w:t>
            </w:r>
          </w:p>
        </w:tc>
        <w:tc>
          <w:tcPr>
            <w:tcW w:type="dxa" w:w="10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hazard T</w:t>
            </w:r>
          </w:p>
        </w:tc>
        <w:tc>
          <w:tcPr>
            <w:tcW w:type="dxa" w:w="19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Decision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.200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.100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.460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.078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.078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−.030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.96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.465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.156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.494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.009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.053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−.007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.43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.642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.244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.546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.000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.035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.001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.19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.760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.343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.606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.000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.024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.003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.086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 (3b)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14.8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.819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.414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.648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.049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(step 3)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20.4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.85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.80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target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</w:rPr>
        <w:t xml:space="preserve">Simulation saturates near 5 BU (K reaches K̄(M)); K passes 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 near 10 BU, but the hazard is still above the limit, so separate-effects testing continues; at 14.8 BU both conditions hold and integrated testing begins. Without shocks the procedure reaches the target at 20.4 BU; the optimum of the paper's dynamic program needs 20.2 BU.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Figure S3. KMC curve of Project N: procedure (colored) and optimum (grey).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4.5 When a shock happens (Table 6, step 5)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Re-assess after every material result. In one simulated realization, a discrepancy during the first hot-fire series at 16.0 BU lowered K from 0.83 to 0.77 and M from 0.54 to 0.39, with 2 BU of rework. K was again below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, so the procedure returned to separate-effects tests until K ≥ 0.817 (20.7 BU) and then completed the integrated tests at 25.9 BU, within budget. The procedure needs no memory: it reads the new state and asks the same two questions.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Figure S4. One realization with a shock, rework and re-plan.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4.6 Choosing the exposure limit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600"/>
        <w:gridCol w:w="1800"/>
        <w:gridCol w:w="1800"/>
        <w:gridCol w:w="1926"/>
      </w:tblGrid>
      <w:tr>
        <w:trPr>
          <w:tblHeader/>
        </w:trPr>
        <w:tc>
          <w:tcPr>
            <w:tcW w:type="dxa" w:w="1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  <w:vertAlign w:val="subscript"/>
              </w:rPr>
              <w:t xml:space="preserve">max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 (per BU)</w:t>
            </w:r>
          </w:p>
        </w:tc>
        <w:tc>
          <w:tcPr>
            <w:tcW w:type="dxa" w:w="16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  <w:vertAlign w:val="subscript"/>
              </w:rPr>
              <w:t xml:space="preserve">haz</w:t>
            </w:r>
          </w:p>
        </w:tc>
        <w:tc>
          <w:tcPr>
            <w:tcW w:type="dxa" w:w="1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Mean cost (BU)</w:t>
            </w:r>
          </w:p>
        </w:tc>
        <w:tc>
          <w:tcPr>
            <w:tcW w:type="dxa" w:w="1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P90 cost (BU)</w:t>
            </w:r>
          </w:p>
        </w:tc>
        <w:tc>
          <w:tcPr>
            <w:tcW w:type="dxa" w:w="19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Shocks per run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0.859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23.1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27.9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0.28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0.05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0.817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22.3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26.4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0.39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0.784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28.5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0.55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0.742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24.1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32.5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0.90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optimum (DP)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≈0.81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26.2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</w:rPr>
        <w:t xml:space="preserve">1000 Monte Carlo runs per row. A limit that is too strict pays for knowledge the test does not need; a loose limit buys shocks and a long tail. For Org X, 0.05 per BU is within 0.4% of the optimum, and the budget of 30 BU is exceeded in about 1 run in 20. Logics that test early (test-first, the naive slope rule) never reach the target with this hazard. The answer depends on the organization: across the 300 parameter sets of the paper (Sec. V-D), waiting for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 raised the median excess cost over the optimum from 1.4% to 1.6%, while with the launch-data hazard of Sec. VI-B it lowered it from 1.5% to 0.7%. Run this sweep with your own card before fixing h</w:t>
      </w:r>
      <w:r>
        <w:rPr>
          <w:rFonts w:ascii="Calibri" w:cs="Calibri" w:eastAsia="Calibri" w:hAnsi="Calibri"/>
          <w:vertAlign w:val="subscript"/>
        </w:rPr>
        <w:t xml:space="preserve">max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5. Learning from the project (Table 11, steps 5–6)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After the project, add its records to the log and update the coefficients; the old posterior becomes the new prior. For the test hazard, the integrated testing of Project N accumulated an exposure E = Σ (1 − K)</w:t>
      </w:r>
      <w:r>
        <w:rPr>
          <w:rFonts w:ascii="Calibri" w:cs="Calibri" w:eastAsia="Calibri" w:hAnsi="Calibri"/>
          <w:vertAlign w:val="superscript"/>
        </w:rPr>
        <w:t xml:space="preserve">2</w:t>
      </w:r>
      <w:r>
        <w:rPr>
          <w:rFonts w:ascii="Calibri" w:cs="Calibri" w:eastAsia="Calibri" w:hAnsi="Calibri"/>
        </w:rPr>
        <w:t xml:space="preserve"> Δc = 0.187 over 6.6 BU with one shock. With a Poisson likelihood P(1 | λ) = λE e</w:t>
      </w:r>
      <w:r>
        <w:rPr>
          <w:rFonts w:ascii="Calibri" w:cs="Calibri" w:eastAsia="Calibri" w:hAnsi="Calibri"/>
          <w:vertAlign w:val="superscript"/>
        </w:rPr>
        <w:t xml:space="preserve">−λE</w:t>
      </w:r>
      <w:r>
        <w:rPr>
          <w:rFonts w:ascii="Calibri" w:cs="Calibri" w:eastAsia="Calibri" w:hAnsi="Calibri"/>
        </w:rPr>
        <w:t xml:space="preserve">, the posterior median moves from 1.48 to </w:t>
      </w:r>
      <w:r>
        <w:rPr>
          <w:rFonts w:ascii="Calibri" w:cs="Calibri" w:eastAsia="Calibri" w:hAnsi="Calibri"/>
          <w:b/>
          <w:bCs/>
        </w:rPr>
        <w:t xml:space="preserve">1.62</w:t>
      </w:r>
      <w:r>
        <w:rPr>
          <w:rFonts w:ascii="Calibri" w:cs="Calibri" w:eastAsia="Calibri" w:hAnsi="Calibri"/>
        </w:rPr>
        <w:t xml:space="preserve"> per BU (90%: 0.89–2.89), and the next project's exposure threshold becomes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 = 1 − √(0.05/1.62) = 0.824.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Track the coefficients across projects and process changes as organizational indicators: a test hazard above the industry value (0.90) points to more ground and rig testing before flight; a low simulation ceiling with no test data (k</w:t>
      </w:r>
      <w:r>
        <w:rPr>
          <w:rFonts w:ascii="Calibri" w:cs="Calibri" w:eastAsia="Calibri" w:hAnsi="Calibri"/>
          <w:vertAlign w:val="subscript"/>
        </w:rPr>
        <w:t xml:space="preserve">b</w:t>
      </w:r>
      <w:r>
        <w:rPr>
          <w:rFonts w:ascii="Calibri" w:cs="Calibri" w:eastAsia="Calibri" w:hAnsi="Calibri"/>
        </w:rPr>
        <w:t xml:space="preserve">) points to validation-data campaigns; a low knowledge gain per test (e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) points to better instrumentation.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6. One-page checklist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Log cost, activity, K, M and shocks at every review, per claim.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Fit λ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 by likelihood on past integrated tests; combine with the public prior.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Fit the rates with log-linear regressions and the ceilings with regressions on plateaus.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Keep the paper's base values for coefficients without records.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Define the claim, target region, budget and exposure limit h</w:t>
      </w:r>
      <w:r>
        <w:rPr>
          <w:rFonts w:ascii="Calibri" w:cs="Calibri" w:eastAsia="Calibri" w:hAnsi="Calibri"/>
          <w:vertAlign w:val="subscript"/>
        </w:rPr>
        <w:t xml:space="preserve">max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Compute 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,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 and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 = max(K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,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At each review: if M &lt; M</w:t>
      </w:r>
      <w:r>
        <w:rPr>
          <w:rFonts w:ascii="Calibri" w:cs="Calibri" w:eastAsia="Calibri" w:hAnsi="Calibri"/>
          <w:vertAlign w:val="subscript"/>
        </w:rPr>
        <w:t xml:space="preserve">req</w:t>
      </w:r>
      <w:r>
        <w:rPr>
          <w:rFonts w:ascii="Calibri" w:cs="Calibri" w:eastAsia="Calibri" w:hAnsi="Calibri"/>
        </w:rPr>
        <w:t xml:space="preserve"> and K ≥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, integrated test; otherwise the activity with the largest net knowledge rate.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Screen the activity against cost, schedule and exposure.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Re-assess after every result, shock or saturation; repeat.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After the project, update the posteriors and track the coefficients.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7. Optional checks with the code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procedure above needs only the spreadsheet. The Python package archived with the paper adds three checks: the optimal policy and the exact derivative D</w:t>
      </w:r>
      <w:r>
        <w:rPr>
          <w:rFonts w:ascii="Calibri" w:cs="Calibri" w:eastAsia="Calibri" w:hAnsi="Calibri"/>
          <w:vertAlign w:val="subscript"/>
        </w:rPr>
        <w:t xml:space="preserve">a</w:t>
      </w:r>
      <w:r>
        <w:rPr>
          <w:rFonts w:ascii="Calibri" w:cs="Calibri" w:eastAsia="Calibri" w:hAnsi="Calibri"/>
        </w:rPr>
        <w:t xml:space="preserve"> (solve_dp), a Monte Carlo of the plan (simulate), and a sweep of the exposure limit. Replace the dictionary P in kmc_model.py with the organization's parameter card, set TARGET and X0, and call policy_procedure(K, M, hist, p, tgt, haz_max, wait_haz=True) at each review (wait_haz=False reproduces the paper, where step 3b re-approves the limit). The scripts that reproduce this guide (tutorial/calib.py, apply.py, update.py, figs.py) are included.</w:t>
      </w:r>
    </w:p>
    <w:p>
      <w:pPr>
        <w:spacing w:after="60" w:before="120"/>
        <w:jc w:val="center"/>
      </w:pPr>
      <w:r>
        <w:drawing>
          <wp:inline distT="0" distB="0" distL="0" distR="0">
            <wp:extent cx="314325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Figure S5. The procedure inside the calibration loop (paper, Fig. 8).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290"/>
        <w:sz w:val="16"/>
        <w:szCs w:val="16"/>
      </w:rPr>
      <w:t xml:space="preserve">KMC — Supplementary Material S1 — page </w:t>
    </w:r>
    <w:r>
      <w:rPr>
        <w:rFonts w:ascii="Calibri" w:cs="Calibri" w:eastAsia="Calibri" w:hAnsi="Calibri"/>
        <w:color w:val="7A82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2A3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1D5B8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6f712ce3e63d3aec1a8a12c0a5252448edcf7ec.png"/><Relationship Id="rId9" Type="http://schemas.openxmlformats.org/officeDocument/2006/relationships/image" Target="media/ce28e4b162d315b7c88cb7df9451a8d61166d02d.png"/><Relationship Id="rId10" Type="http://schemas.openxmlformats.org/officeDocument/2006/relationships/image" Target="media/c7624e365c5b0bf3077e3dffc6c2d9aafeebda4f.png"/><Relationship Id="rId11" Type="http://schemas.openxmlformats.org/officeDocument/2006/relationships/image" Target="media/d24a8cf0839b3f1bad4b098dda52f47e3267b1c6.png"/><Relationship Id="rId12" Type="http://schemas.openxmlformats.org/officeDocument/2006/relationships/image" Target="media/8b662e8589cba14394215922dc36d46585dfd29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K. de Albuquerque</dc:creator>
  <cp:lastModifiedBy>Pedro K. de Albuquerque</cp:lastModifiedBy>
  <cp:revision>1</cp:revision>
  <dcterms:created xsi:type="dcterms:W3CDTF">2026-10-22T11:05:42.532Z</dcterms:created>
  <dcterms:modified xsi:type="dcterms:W3CDTF">2026-10-22T11:05:42.533Z</dcterms:modified>
  <dc:title>KMC Supplementary Material S1: Application Guide</dc:title>
  <dc:subject/>
  <cp:keywords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