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Matematico</w:t>
      </w:r>
      <w:r>
        <w:t xml:space="preserve"> </w:t>
      </w:r>
      <w:r>
        <w:t xml:space="preserve">CBR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N.</w:t>
      </w:r>
      <w:r>
        <w:t xml:space="preserve"> </w:t>
      </w:r>
      <w:r>
        <w:t xml:space="preserve">de</w:t>
      </w:r>
      <w:r>
        <w:t xml:space="preserve"> </w:t>
      </w:r>
      <w:r>
        <w:t xml:space="preserve">Lima,</w:t>
      </w:r>
      <w:r>
        <w:t xml:space="preserve"> </w:t>
      </w:r>
      <w:r>
        <w:t xml:space="preserve">Dieter</w:t>
      </w:r>
      <w:r>
        <w:t xml:space="preserve"> </w:t>
      </w:r>
      <w:r>
        <w:t xml:space="preserve">B.</w:t>
      </w:r>
      <w:r>
        <w:t xml:space="preserve"> </w:t>
      </w:r>
      <w:r>
        <w:t xml:space="preserve">Goldmeyer</w:t>
      </w:r>
    </w:p>
    <w:p>
      <w:pPr>
        <w:pStyle w:val="Date"/>
      </w:pP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Este documento contém uma definição do modelo matemático que suporta a calculadora de custos e benefícios de inciativas em SST.</w:t>
      </w:r>
    </w:p>
    <w:p>
      <w:pPr>
        <w:pStyle w:val="Heading2"/>
      </w:pPr>
      <w:bookmarkStart w:id="21" w:name="cbr---razao-beneficio-custo"/>
      <w:bookmarkEnd w:id="21"/>
      <w:r>
        <w:t xml:space="preserve">CBR - Razão Benefício-Custo</w:t>
      </w:r>
    </w:p>
    <w:p>
      <w:pPr>
        <w:pStyle w:val="FirstParagraph"/>
      </w:pPr>
      <w:r>
        <w:t xml:space="preserve">A razão benefício-custo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corresponde à razão do somatório dos custos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representa o índice de custos 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os benefícios a valor presente.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J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2" w:name="fluxo-de-caixa-em-valor-presente"/>
      <w:bookmarkEnd w:id="22"/>
      <w:r>
        <w:t xml:space="preserve">Fluxo de Caixa em Valor Presente</w:t>
      </w:r>
    </w:p>
    <w:p>
      <w:pPr>
        <w:pStyle w:val="FirstParagraph"/>
      </w:pPr>
      <w:r>
        <w:t xml:space="preserve">Os fluxos de caixa devem ser ajustados a valor presente utilizando-se uma taxa de atratividade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definida pelo usuário do modelo. Tal taxa será utilizada para trazer os valores de fluxo de caixa a valor presente.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θ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</m:sup>
              </m:sSup>
            </m:den>
          </m:f>
        </m:oMath>
      </m:oMathPara>
    </w:p>
    <w:p>
      <w:pPr>
        <w:pStyle w:val="Heading3"/>
      </w:pPr>
      <w:bookmarkStart w:id="23" w:name="calculo-dos-beneficios"/>
      <w:bookmarkEnd w:id="23"/>
      <w:r>
        <w:t xml:space="preserve">Calculo dos Benefícios</w:t>
      </w:r>
    </w:p>
    <w:p>
      <w:pPr>
        <w:pStyle w:val="FirstParagraph"/>
      </w:pPr>
      <w:r>
        <w:t xml:space="preserve">Em todos os casos, o benefício será calculado a partir da diferença em valores monetários de uma variável financeira sem a iniciativa em SST e com a iniciativa em SST. Exemplificando, o benefício gerado pela redução de absenteísmo</w:t>
      </w:r>
      <w:r>
        <w:t xml:space="preserve"> </w:t>
      </w:r>
      <m:oMath>
        <m:sSub>
          <m:e>
            <m:r>
              <m:t>B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será calculado a partir da seguinte equação.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c</m:t>
              </m:r>
              <m:r>
                <m:t>i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s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Exemplificando, se uma empresa, sem uma iniciativa em SST terá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reais em desepesas com absenteísmo, e com esta iniciativa terá</w:t>
      </w:r>
      <w:r>
        <w:t xml:space="preserve"> </w:t>
      </w:r>
      <m:oMath>
        <m:r>
          <m:t>15000</m:t>
        </m:r>
      </m:oMath>
      <w:r>
        <w:t xml:space="preserve">, o benefício oriúndo desta inciativa, apenas relacionado a absenteísmo será: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c</m:t>
              </m:r>
              <m:r>
                <m:t>i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s</m:t>
              </m:r>
              <m:r>
                <m:t>i</m:t>
              </m:r>
            </m:sub>
          </m:sSub>
          <m:r>
            <m:t>=</m:t>
          </m:r>
          <m:r>
            <m:t>(</m:t>
          </m:r>
          <m:r>
            <m:t>−</m:t>
          </m:r>
          <m:r>
            <m:t>15000</m:t>
          </m:r>
          <m:r>
            <m:t>)</m:t>
          </m:r>
          <m:r>
            <m:t>−</m:t>
          </m:r>
          <m:r>
            <m:t>(</m:t>
          </m:r>
          <m:r>
            <m:t>−</m:t>
          </m:r>
          <m:r>
            <m:t>20000</m:t>
          </m:r>
          <m:r>
            <m:t>)</m:t>
          </m:r>
          <m:r>
            <m:t>=</m:t>
          </m:r>
          <m:r>
            <m:t>5000</m:t>
          </m:r>
        </m:oMath>
      </m:oMathPara>
    </w:p>
    <w:p>
      <w:pPr>
        <w:pStyle w:val="Heading4"/>
      </w:pPr>
      <w:bookmarkStart w:id="24" w:name="despesas-com-absenteismo"/>
      <w:bookmarkEnd w:id="24"/>
      <w:r>
        <w:t xml:space="preserve">Despesas com Absenteísmo</w:t>
      </w:r>
    </w:p>
    <w:p>
      <w:pPr>
        <w:pStyle w:val="FirstParagraph"/>
      </w:pPr>
      <w:r>
        <w:t xml:space="preserve">As despesas com Absenteísmo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serão calculadas com base no número de dias de absenteísmo por problemas relacionados à SST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, no número de horas trabalhadas por dia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 no custo em mão de obra médio horário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4"/>
      </w:pPr>
      <w:bookmarkStart w:id="25" w:name="despesas-com-turnover"/>
      <w:bookmarkEnd w:id="25"/>
      <w:r>
        <w:t xml:space="preserve">Despesas com Turnover</w:t>
      </w:r>
    </w:p>
    <w:p>
      <w:pPr>
        <w:pStyle w:val="FirstParagraph"/>
      </w:pPr>
      <w:r>
        <w:t xml:space="preserve">As despesas com Turnover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u</m:t>
            </m:r>
            <m:r>
              <m:t>r</m:t>
            </m:r>
          </m:sub>
        </m:sSub>
      </m:oMath>
      <w:r>
        <w:t xml:space="preserve"> </w:t>
      </w:r>
      <w:r>
        <w:t xml:space="preserve">serão calculadas com base no número de funcionários afastados por problemas relacionados à SST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no custo médio de substituição dos funcionários</w:t>
      </w:r>
      <m:oMath>
        <m:sSub>
          <m:e>
            <m:r>
              <m:t>c</m:t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Heading4"/>
      </w:pPr>
      <w:bookmarkStart w:id="26" w:name="fap-rat-e-sat"/>
      <w:bookmarkEnd w:id="26"/>
      <w:r>
        <w:t xml:space="preserve">FAP, RAT e SAT</w:t>
      </w:r>
    </w:p>
    <w:p>
      <w:pPr>
        <w:pStyle w:val="FirstParagraph"/>
      </w:pPr>
      <w:r>
        <w:t xml:space="preserve">As despesas com seguro acidentário do trabalho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serão calculadas de acordo com as estimativas do</w:t>
      </w:r>
      <w:r>
        <w:t xml:space="preserve"> </w:t>
      </w:r>
      <m:oMath>
        <m:r>
          <m:t>F</m:t>
        </m:r>
        <m:r>
          <m:t>A</m:t>
        </m:r>
        <m:r>
          <m:t>P</m:t>
        </m:r>
      </m:oMath>
      <w:r>
        <w:t xml:space="preserve"> </w:t>
      </w:r>
      <w:r>
        <w:t xml:space="preserve">(</w:t>
      </w:r>
      <m:oMath>
        <m:r>
          <m:t>0</m:t>
        </m:r>
        <m:r>
          <m:t>,</m:t>
        </m:r>
        <m:r>
          <m:t>05</m:t>
        </m:r>
      </m:oMath>
      <w:r>
        <w:t xml:space="preserve">) e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  <m:r>
                <m:t>a</m:t>
              </m:r>
              <m:r>
                <m:t>d</m:t>
              </m:r>
              <m:r>
                <m:t>o</m:t>
              </m:r>
            </m:sub>
          </m:sSub>
          <m:r>
            <m:t>=</m:t>
          </m:r>
          <m:r>
            <m:t>(</m:t>
          </m:r>
          <m:r>
            <m:t>F</m:t>
          </m:r>
          <m:r>
            <m:t>A</m:t>
          </m:r>
          <m:r>
            <m:t>P</m:t>
          </m:r>
          <m:r>
            <m:t>*</m:t>
          </m:r>
          <m:r>
            <m:t>R</m:t>
          </m:r>
          <m:r>
            <m:t>A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O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varia entre 1 e 3, de acordo com o cnae da empresa em questão.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T</m:t>
          </m:r>
          <m:r>
            <m:t>∈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</m:oMath>
      </m:oMathPara>
    </w:p>
    <w:p>
      <w:pPr>
        <w:pStyle w:val="FirstParagraph"/>
      </w:pPr>
      <w:r>
        <w:t xml:space="preserve">O FAP, por sua vez, é calculado de acordo com os percentis de gravidade</w:t>
      </w:r>
      <w:r>
        <w:t xml:space="preserve"> </w:t>
      </w:r>
      <m:oMath>
        <m:sSub>
          <m:e>
            <m:r>
              <m:t>p</m:t>
            </m:r>
          </m:e>
          <m:sub>
            <m:r>
              <m:t>g</m:t>
            </m:r>
          </m:sub>
        </m:sSub>
      </m:oMath>
      <w:r>
        <w:t xml:space="preserve">, frequência</w:t>
      </w:r>
      <w:r>
        <w:t xml:space="preserve"> </w:t>
      </w:r>
      <m:oMath>
        <m:sSub>
          <m:e>
            <m:r>
              <m:t>p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 custo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(</m:t>
          </m:r>
          <m:r>
            <m:t>0</m:t>
          </m:r>
          <m:r>
            <m:t>,</m:t>
          </m:r>
          <m:r>
            <m:t>5</m:t>
          </m:r>
          <m:r>
            <m:t>*</m:t>
          </m:r>
          <m:sSub>
            <m:e>
              <m:r>
                <m:t>p</m:t>
              </m:r>
            </m:e>
            <m:sub>
              <m:r>
                <m:t>g</m:t>
              </m:r>
            </m:sub>
          </m:sSub>
          <m:r>
            <m:t>+</m:t>
          </m:r>
          <m:r>
            <m:t>0</m:t>
          </m:r>
          <m:r>
            <m:t>,</m:t>
          </m:r>
          <m:r>
            <m:t>35</m:t>
          </m:r>
          <m:r>
            <m:t>*</m:t>
          </m:r>
          <m:sSub>
            <m:e>
              <m:r>
                <m:t>p</m:t>
              </m:r>
            </m:e>
            <m:sub>
              <m:r>
                <m:t>f</m:t>
              </m:r>
            </m:sub>
          </m:sSub>
          <m:r>
            <m:t>+</m:t>
          </m:r>
          <m:r>
            <m:t>0</m:t>
          </m:r>
          <m:r>
            <m:t>,</m:t>
          </m:r>
          <m:r>
            <m:t>15</m:t>
          </m:r>
          <m:r>
            <m:t>*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)</m:t>
          </m:r>
          <m:r>
            <m:t>0</m:t>
          </m:r>
          <m:r>
            <m:t>,</m:t>
          </m:r>
          <m:r>
            <m:t>02</m:t>
          </m:r>
        </m:oMath>
      </m:oMathPara>
    </w:p>
    <w:p>
      <w:pPr>
        <w:pStyle w:val="Heading3"/>
      </w:pPr>
      <w:bookmarkStart w:id="27" w:name="variaveis-intermediarias"/>
      <w:bookmarkEnd w:id="27"/>
      <w:r>
        <w:t xml:space="preserve">Variáveis Intermediárias</w:t>
      </w:r>
    </w:p>
    <w:p>
      <w:pPr>
        <w:pStyle w:val="Heading4"/>
      </w:pPr>
      <w:bookmarkStart w:id="28" w:name="dias-de-absenteismo"/>
      <w:bookmarkEnd w:id="28"/>
      <w:r>
        <w:t xml:space="preserve">Dias de Absenteísmo</w:t>
      </w:r>
    </w:p>
    <w:p>
      <w:pPr>
        <w:pStyle w:val="FirstParagraph"/>
      </w:pPr>
      <w:r>
        <w:t xml:space="preserve">Os dias de absenteísmo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serão estimados de acordo com a probabilidade de absenteísmo</w:t>
      </w:r>
      <w:r>
        <w:t xml:space="preserve"> </w:t>
      </w:r>
      <m:oMath>
        <m:sSub>
          <m:e>
            <m:r>
              <m:t>ρ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, número de funcionários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 número de dias úteis do ano</w:t>
      </w:r>
      <w:r>
        <w:t xml:space="preserve"> </w:t>
      </w:r>
      <m:oMath>
        <m:r>
          <m:t>d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ρ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*</m:t>
          </m:r>
          <m:r>
            <m:t>f</m:t>
          </m:r>
          <m:r>
            <m:t>*</m:t>
          </m:r>
          <m:r>
            <m:t>d</m:t>
          </m:r>
        </m:oMath>
      </m:oMathPara>
    </w:p>
    <w:p>
      <w:pPr>
        <w:pStyle w:val="Heading4"/>
      </w:pPr>
      <w:bookmarkStart w:id="29" w:name="numero-de-afastamentos"/>
      <w:bookmarkEnd w:id="29"/>
      <w:r>
        <w:t xml:space="preserve">Número de Afastamentos</w:t>
      </w:r>
    </w:p>
    <w:p>
      <w:pPr>
        <w:pStyle w:val="FirstParagraph"/>
      </w:pPr>
      <w:r>
        <w:t xml:space="preserve">O número de afastamentos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será estimado de acordo com a probabilidade de afastamento</w:t>
      </w:r>
      <w:r>
        <w:t xml:space="preserve"> </w:t>
      </w:r>
      <m:oMath>
        <m:sSub>
          <m:e>
            <m:r>
              <m:t>ρ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número de funcionários</w:t>
      </w:r>
      <w:r>
        <w:t xml:space="preserve"> </w:t>
      </w:r>
      <m:oMath>
        <m:r>
          <m:t>f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sSub>
            <m:e>
              <m:r>
                <m:t>ρ</m:t>
              </m:r>
            </m:e>
            <m:sub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Heading3"/>
      </w:pPr>
      <w:bookmarkStart w:id="30" w:name="custos"/>
      <w:bookmarkEnd w:id="30"/>
      <w:r>
        <w:t xml:space="preserve">Custos</w:t>
      </w:r>
    </w:p>
    <w:p>
      <w:pPr>
        <w:pStyle w:val="Heading4"/>
      </w:pPr>
      <w:bookmarkStart w:id="31" w:name="custos-de-implementacao"/>
      <w:bookmarkEnd w:id="31"/>
      <w:r>
        <w:t xml:space="preserve">Custos de Implementação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dfc3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CBR</dc:title>
  <dc:creator>Pedro N. de Lima, Dieter B. Goldmeyer</dc:creator>
  <dcterms:created xsi:type="dcterms:W3CDTF">2017-06-05T21:13:06Z</dcterms:created>
  <dcterms:modified xsi:type="dcterms:W3CDTF">2017-06-05T21:13:06Z</dcterms:modified>
</cp:coreProperties>
</file>