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E72" w:rsidRDefault="001207D1" w:rsidP="008F160A">
      <w:pPr>
        <w:pStyle w:val="Newparagraph"/>
        <w:jc w:val="center"/>
        <w:rPr>
          <w:b/>
          <w:lang w:val="pt-BR"/>
        </w:rPr>
      </w:pPr>
      <w:bookmarkStart w:id="0" w:name="_Toc347931668"/>
      <w:bookmarkStart w:id="1" w:name="_Toc397099205"/>
      <w:bookmarkStart w:id="2" w:name="_Toc398480825"/>
      <w:bookmarkStart w:id="3" w:name="_Toc403750667"/>
      <w:r w:rsidRPr="001207D1">
        <w:rPr>
          <w:b/>
          <w:lang w:val="pt-BR"/>
        </w:rPr>
        <w:t>Avaliação de Decisões Estratégicas sob Incerteza Profunda na Indústria da Manufatura Aditiva</w:t>
      </w:r>
      <w:r w:rsidR="0073639A">
        <w:rPr>
          <w:b/>
          <w:lang w:val="pt-BR"/>
        </w:rPr>
        <w:t xml:space="preserve"> -</w:t>
      </w:r>
      <w:r w:rsidRPr="001207D1">
        <w:rPr>
          <w:b/>
          <w:lang w:val="pt-BR"/>
        </w:rPr>
        <w:t xml:space="preserve"> Uma Análise a partir do método Robust Decision Making (RDM)</w:t>
      </w:r>
    </w:p>
    <w:p w:rsidR="00EC58DA" w:rsidRPr="001207D1" w:rsidRDefault="001207D1" w:rsidP="00F86D61">
      <w:pPr>
        <w:pStyle w:val="Newparagraph"/>
        <w:jc w:val="center"/>
        <w:rPr>
          <w:b/>
          <w:lang w:val="en-US"/>
        </w:rPr>
      </w:pPr>
      <w:r w:rsidRPr="001207D1">
        <w:rPr>
          <w:b/>
          <w:lang w:val="en-US"/>
        </w:rPr>
        <w:t>Strategic Decision Making in the 3D Printing Industry – A Robust Decision Making (RDM) Analysis</w:t>
      </w:r>
    </w:p>
    <w:p w:rsidR="006877BB" w:rsidRPr="008A05A3" w:rsidRDefault="0048537D" w:rsidP="008A05A3">
      <w:pPr>
        <w:jc w:val="center"/>
        <w:rPr>
          <w:i/>
        </w:rPr>
      </w:pPr>
      <w:r w:rsidRPr="008A05A3">
        <w:rPr>
          <w:i/>
        </w:rPr>
        <w:t>Pedro Nascimento de Lima</w:t>
      </w:r>
    </w:p>
    <w:p w:rsidR="0048537D" w:rsidRDefault="009046B9" w:rsidP="008A05A3">
      <w:pPr>
        <w:jc w:val="center"/>
        <w:rPr>
          <w:i/>
        </w:rPr>
      </w:pPr>
      <w:r>
        <w:rPr>
          <w:i/>
        </w:rPr>
        <w:t>Daniel Pacheco Lacerda</w:t>
      </w:r>
    </w:p>
    <w:p w:rsidR="009046B9" w:rsidRPr="00B34C64" w:rsidRDefault="009046B9" w:rsidP="008A05A3">
      <w:pPr>
        <w:jc w:val="center"/>
        <w:rPr>
          <w:i/>
        </w:rPr>
      </w:pPr>
      <w:r w:rsidRPr="00B34C64">
        <w:rPr>
          <w:i/>
        </w:rPr>
        <w:t>Maria Isabel Wolf Motta Morandi</w:t>
      </w:r>
    </w:p>
    <w:p w:rsidR="0075149F" w:rsidRPr="00F86D61" w:rsidRDefault="009046B9" w:rsidP="00F86D61">
      <w:pPr>
        <w:jc w:val="center"/>
        <w:rPr>
          <w:i/>
        </w:rPr>
      </w:pPr>
      <w:r w:rsidRPr="009046B9">
        <w:rPr>
          <w:i/>
        </w:rPr>
        <w:t>GMAP | UNISINOS – Grupo de P</w:t>
      </w:r>
      <w:r>
        <w:rPr>
          <w:i/>
        </w:rPr>
        <w:t xml:space="preserve">esquisa em Modelagem para Aprendizagem, UNISINOS – Universidade do Vale do Rio dos Sinos, 93022-750 Av. </w:t>
      </w:r>
      <w:proofErr w:type="spellStart"/>
      <w:r>
        <w:rPr>
          <w:i/>
        </w:rPr>
        <w:t>Unisinos</w:t>
      </w:r>
      <w:proofErr w:type="spellEnd"/>
      <w:r>
        <w:rPr>
          <w:i/>
        </w:rPr>
        <w:t>, 750, São Leopoldo, RS</w:t>
      </w:r>
    </w:p>
    <w:p w:rsidR="00357EAF" w:rsidRPr="00BD5910" w:rsidRDefault="0048537D" w:rsidP="00BD5910">
      <w:pPr>
        <w:rPr>
          <w:i/>
        </w:rPr>
      </w:pPr>
      <w:r>
        <w:rPr>
          <w:b/>
        </w:rPr>
        <w:t>Resumo</w:t>
      </w:r>
      <w:r w:rsidRPr="0043027E">
        <w:rPr>
          <w:b/>
        </w:rPr>
        <w:t>:</w:t>
      </w:r>
      <w:r>
        <w:t xml:space="preserve"> </w:t>
      </w:r>
      <w:r w:rsidR="00980D39">
        <w:t xml:space="preserve"> </w:t>
      </w:r>
      <w:r w:rsidR="00BD5910" w:rsidRPr="00BD5910">
        <w:rPr>
          <w:i/>
        </w:rPr>
        <w:t xml:space="preserve">A avaliação de decisões estratégicas em condições de profunda incerteza é um desafio significativo para as organizações. Tais condições de incerteza frequentemente ocorrem em mercados nascentes, onde há alta incerteza relacionada ao processo de difusão de um novo produto. Na Indústria da Manufatura Aditiva, enquanto alguns especialistas estimam que a indústria pode chegar a faturar 21 bilhões de dólares em 2020, outros estimam que este mercado pode valer até 550 bilhões até 2025. Esta pesquisa emprega a simulação computacional de dinâmica de sistemas utilizando o método Robust Decision Making (RDM) para avaliar decisões estratégicas de fabricantes de sistemas de impressão 3D profissional. </w:t>
      </w:r>
      <w:r w:rsidR="00BD5910">
        <w:rPr>
          <w:i/>
        </w:rPr>
        <w:t>A</w:t>
      </w:r>
      <w:r w:rsidR="00BD5910" w:rsidRPr="00BD5910">
        <w:rPr>
          <w:i/>
        </w:rPr>
        <w:t xml:space="preserve"> robustez d</w:t>
      </w:r>
      <w:r w:rsidR="00BD5910">
        <w:rPr>
          <w:i/>
        </w:rPr>
        <w:t>e 54</w:t>
      </w:r>
      <w:r w:rsidR="00BD5910" w:rsidRPr="00BD5910">
        <w:rPr>
          <w:i/>
        </w:rPr>
        <w:t xml:space="preserve"> estratégias avaliadas é </w:t>
      </w:r>
      <w:r w:rsidR="00BD5910">
        <w:rPr>
          <w:i/>
        </w:rPr>
        <w:t>avaliada</w:t>
      </w:r>
      <w:r w:rsidR="00BD5910" w:rsidRPr="00BD5910">
        <w:rPr>
          <w:i/>
        </w:rPr>
        <w:t>, e as vulnerabilidades da estratégia mais robusta localizada são examinadas utilizando técnicas estatísticas. Os resultados da simulação sugerem que fabricantes de sistemas de impressão 3D profissional deveriam perseguir uma estratégia de dominação do mercado agressiva, com um modelo de Pesquisa e Desenvolvimento e proteção intelectual fechado. Finalmente, o trabalho discute implicações gerenciais e teóricas relacionadas à avaliação de decisões estratégicas em condições de incerteza profunda.</w:t>
      </w:r>
    </w:p>
    <w:p w:rsidR="008A05A3" w:rsidRPr="005F3D11" w:rsidRDefault="00DD5902" w:rsidP="00F86D61">
      <w:r w:rsidRPr="0043027E">
        <w:rPr>
          <w:b/>
        </w:rPr>
        <w:t>Palavras-chave:</w:t>
      </w:r>
      <w:r>
        <w:t xml:space="preserve"> </w:t>
      </w:r>
      <w:r w:rsidR="00BD5910" w:rsidRPr="00BD5910">
        <w:t>Avaliação de Decisões Estratégicas. Difusão de Novos Produtos. Manufatura Aditiva. Robust Decision Making.</w:t>
      </w:r>
    </w:p>
    <w:bookmarkEnd w:id="0"/>
    <w:bookmarkEnd w:id="1"/>
    <w:bookmarkEnd w:id="2"/>
    <w:bookmarkEnd w:id="3"/>
    <w:p w:rsidR="00CF2481" w:rsidRDefault="008F3E13" w:rsidP="00205E33">
      <w:pPr>
        <w:pStyle w:val="Ttulo1"/>
      </w:pPr>
      <w:r>
        <w:t>INTRODUÇÃO</w:t>
      </w:r>
    </w:p>
    <w:p w:rsidR="00BD5910" w:rsidRDefault="00BD5910" w:rsidP="007C1AB5">
      <w:r>
        <w:t xml:space="preserve">Uma decisão, em sua forma mais simples, pode ser considerada uma ação instantânea, uma escolha feita entre duas ou mais alternativas por um grupo ou indivíduo. </w:t>
      </w:r>
      <w:r>
        <w:fldChar w:fldCharType="begin" w:fldLock="1"/>
      </w:r>
      <w:r w:rsidR="00024DAB">
        <w:instrText>ADDIN CSL_CITATION { "citationItems" : [ { "id" : "ITEM-1", "itemData" : { "DOI" : "10.1108/09596111111129977", "ISBN" : "9780077645069", "ISSN" : "0959-6119", "PMID" : "121463", "author" : [ { "dropping-particle" : "", "family" : "Wilson", "given" : "David", "non-dropping-particle" : "", "parse-names" : false, "suffix" : "" } ], "container-title" : "Wiley Encyclopedia of Management", "id" : "ITEM-1", "issued" : { "date-parts" : [ [ "2015" ] ] }, "page" : "12:1-4", "title" : "Strategic Decision Making", "type" : "chapter" }, "uris" : [ "http://www.mendeley.com/documents/?uuid=29815124-a06b-42f1-9a0a-c76cb644504c" ] } ], "mendeley" : { "formattedCitation" : "(Wilson, 2015)", "plainTextFormattedCitation" : "(Wilson, 2015)", "previouslyFormattedCitation" : "(Wilson, 2015)" }, "properties" : {  }, "schema" : "https://github.com/citation-style-language/schema/raw/master/csl-citation.json" }</w:instrText>
      </w:r>
      <w:r>
        <w:fldChar w:fldCharType="separate"/>
      </w:r>
      <w:r w:rsidR="00B34C64" w:rsidRPr="00B34C64">
        <w:rPr>
          <w:noProof/>
        </w:rPr>
        <w:t>(Wilson, 2015)</w:t>
      </w:r>
      <w:r>
        <w:fldChar w:fldCharType="end"/>
      </w:r>
      <w:r>
        <w:t xml:space="preserve">. Uma decisão representa um comprometimento de recursos que não é reversível, exceto por uma </w:t>
      </w:r>
      <w:r>
        <w:lastRenderedPageBreak/>
        <w:t xml:space="preserve">outra decisão futura. </w:t>
      </w:r>
      <w:r>
        <w:fldChar w:fldCharType="begin" w:fldLock="1"/>
      </w:r>
      <w:r w:rsidR="00024DAB">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Elton, &amp; Gupta, 1973)", "plainTextFormattedCitation" : "(Rosenhead, Elton, &amp; Gupta, 1973)", "previouslyFormattedCitation" : "(Rosenhead, Elton, &amp; Gupta, 1973)" }, "properties" : {  }, "schema" : "https://github.com/citation-style-language/schema/raw/master/csl-citation.json" }</w:instrText>
      </w:r>
      <w:r>
        <w:fldChar w:fldCharType="separate"/>
      </w:r>
      <w:r w:rsidR="00B34C64" w:rsidRPr="00B34C64">
        <w:rPr>
          <w:noProof/>
        </w:rPr>
        <w:t>(Rosenhead, Elton, &amp; Gupta, 1973)</w:t>
      </w:r>
      <w:r>
        <w:fldChar w:fldCharType="end"/>
      </w:r>
      <w:r>
        <w:t xml:space="preserve">. </w:t>
      </w:r>
      <w:r w:rsidRPr="00937337">
        <w:t>A</w:t>
      </w:r>
      <w:r>
        <w:t>s Decisões Estratégicas</w:t>
      </w:r>
      <w:r w:rsidRPr="00937337">
        <w:t xml:space="preserve"> </w:t>
      </w:r>
      <w:r>
        <w:t>(</w:t>
      </w:r>
      <w:proofErr w:type="spellStart"/>
      <w:r w:rsidRPr="00B7483F">
        <w:rPr>
          <w:i/>
        </w:rPr>
        <w:t>Strategic</w:t>
      </w:r>
      <w:proofErr w:type="spellEnd"/>
      <w:r w:rsidRPr="00937337">
        <w:rPr>
          <w:i/>
        </w:rPr>
        <w:t xml:space="preserve"> Decision Making</w:t>
      </w:r>
      <w:r>
        <w:rPr>
          <w:i/>
        </w:rPr>
        <w:t xml:space="preserve"> – SDM</w:t>
      </w:r>
      <w:r>
        <w:t>) podem ser consideradas</w:t>
      </w:r>
      <w:r w:rsidRPr="00937337">
        <w:t xml:space="preserve"> </w:t>
      </w:r>
      <w:r>
        <w:t xml:space="preserve">como um aspecto central da estratégia de uma empresa, pois moldam o seu futuro. </w:t>
      </w:r>
      <w:r>
        <w:fldChar w:fldCharType="begin" w:fldLock="1"/>
      </w:r>
      <w:r w:rsidR="00024DAB">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"uris" : [ "http://www.mendeley.com/documents/?uuid=e313b4e0-a8ae-45d6-984f-b15be022f698" ] }, { "id" : "ITEM-2", "itemData" : { "DOI" : "10.1108/09596111111129977", "ISBN" : "9780077645069", "ISSN" : "0959-6119", "PMID" : "121463", "author" : [ { "dropping-particle" : "", "family" : "Wilson", "given" : "David", "non-dropping-particle" : "", "parse-names" : false, "suffix" : "" } ], "container-title" : "Wiley Encyclopedia of Management", "id" : "ITEM-2", "issued" : { "date-parts" : [ [ "2015" ] ] }, "page" : "12:1-4", "title" : "Strategic Decision Making", "type" : "chapter" }, "uris" : [ "http://www.mendeley.com/documents/?uuid=29815124-a06b-42f1-9a0a-c76cb644504c" ] } ], "mendeley" : { "formattedCitation" : "(Eisenhardt &amp; Zbaracki, 1992; Wilson, 2015)", "plainTextFormattedCitation" : "(Eisenhardt &amp; Zbaracki, 1992; Wilson, 2015)", "previouslyFormattedCitation" : "(Eisenhardt &amp; Zbaracki, 1992; Wilson, 2015)" }, "properties" : {  }, "schema" : "https://github.com/citation-style-language/schema/raw/master/csl-citation.json" }</w:instrText>
      </w:r>
      <w:r>
        <w:fldChar w:fldCharType="separate"/>
      </w:r>
      <w:r w:rsidR="00B34C64" w:rsidRPr="00B34C64">
        <w:rPr>
          <w:noProof/>
        </w:rPr>
        <w:t>(Eisenhardt &amp; Zbaracki, 1992; Wilson, 2015)</w:t>
      </w:r>
      <w:r>
        <w:fldChar w:fldCharType="end"/>
      </w:r>
      <w:r>
        <w:t xml:space="preserve">. </w:t>
      </w:r>
      <w:proofErr w:type="spellStart"/>
      <w:r>
        <w:t>Mintzberg</w:t>
      </w:r>
      <w:proofErr w:type="spellEnd"/>
      <w:r>
        <w:t xml:space="preserve">, </w:t>
      </w:r>
      <w:proofErr w:type="spellStart"/>
      <w:r>
        <w:t>Raisinghani</w:t>
      </w:r>
      <w:proofErr w:type="spellEnd"/>
      <w:r>
        <w:t xml:space="preserve"> e </w:t>
      </w:r>
      <w:proofErr w:type="spellStart"/>
      <w:r>
        <w:t>Theoret</w:t>
      </w:r>
      <w:proofErr w:type="spellEnd"/>
      <w:r>
        <w:t xml:space="preserve"> </w:t>
      </w:r>
      <w:r>
        <w:fldChar w:fldCharType="begin" w:fldLock="1"/>
      </w:r>
      <w:r>
        <w:instrText>ADDIN CSL_CITATION { "citationItems" : [ { "id" : "ITEM-1", "itemData" : { "DOI" : "10.2307/2392045", "ISSN" : "00018392", "author" : [ { "dropping-particle" : "", "family" : "Mintzberg", "given" : "Henry", "non-dropping-particle" : "", "parse-names" : false, "suffix" : "" }, { "dropping-particle" : "", "family" : "Raisinghani", "given" : "Duru", "non-dropping-particle" : "", "parse-names" : false, "suffix" : "" }, { "dropping-particle" : "", "family" : "Theoret", "given" : "Andre", "non-dropping-particle" : "", "parse-names" : false, "suffix" : "" } ], "container-title" : "Administrative Science Quarterly", "id" : "ITEM-1", "issue" : "2", "issued" : { "date-parts" : [ [ "1976", "6" ] ] }, "page" : "246", "title" : "The Structure of \"Unstructured\" Decision Processes", "type" : "article-journal", "volume" : "21" }, "locator" : "246", "suppress-author" : 1, "uris" : [ "http://www.mendeley.com/documents/?uuid=b69a9a03-ae74-49ec-9f1f-28fb719734b3" ] } ], "mendeley" : { "formattedCitation" : "(1976, p. 246)", "plainTextFormattedCitation" : "(1976, p. 246)", "previouslyFormattedCitation" : "(1976, p. 246)" }, "properties" : {  }, "schema" : "https://github.com/citation-style-language/schema/raw/master/csl-citation.json" }</w:instrText>
      </w:r>
      <w:r>
        <w:fldChar w:fldCharType="separate"/>
      </w:r>
      <w:r w:rsidRPr="00664E7C">
        <w:rPr>
          <w:noProof/>
        </w:rPr>
        <w:t>(1976, p. 246)</w:t>
      </w:r>
      <w:r>
        <w:fldChar w:fldCharType="end"/>
      </w:r>
      <w:r>
        <w:t xml:space="preserve">, caracterizam as decisões estratégicas como importantes em termos das ações realizadas, recursos comprometidos ou pelos precedentes que define. </w:t>
      </w:r>
      <w:proofErr w:type="spellStart"/>
      <w:r>
        <w:t>Eisenhardt</w:t>
      </w:r>
      <w:proofErr w:type="spellEnd"/>
      <w:r>
        <w:t xml:space="preserve"> e </w:t>
      </w:r>
      <w:proofErr w:type="spellStart"/>
      <w:r>
        <w:t>Zbaracki</w:t>
      </w:r>
      <w:proofErr w:type="spellEnd"/>
      <w:r>
        <w:t xml:space="preserve"> </w:t>
      </w:r>
      <w:r>
        <w:fldChar w:fldCharType="begin" w:fldLock="1"/>
      </w:r>
      <w:r>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"locator" : "17", "suppress-author" : 1, "uris" : [ "http://www.mendeley.com/documents/?uuid=e313b4e0-a8ae-45d6-984f-b15be022f698" ] } ], "mendeley" : { "formattedCitation" : "(1992, p. 17)", "plainTextFormattedCitation" : "(1992, p. 17)", "previouslyFormattedCitation" : "(1992, p. 17)" }, "properties" : {  }, "schema" : "https://github.com/citation-style-language/schema/raw/master/csl-citation.json" }</w:instrText>
      </w:r>
      <w:r>
        <w:fldChar w:fldCharType="separate"/>
      </w:r>
      <w:r w:rsidRPr="00664E7C">
        <w:rPr>
          <w:noProof/>
        </w:rPr>
        <w:t>(1992, p. 17)</w:t>
      </w:r>
      <w:r>
        <w:fldChar w:fldCharType="end"/>
      </w:r>
      <w:r>
        <w:t xml:space="preserve"> adicionam que decisões estratégicas são infrequentes, tomadas pelos líderes de uma organização, que  afetam criticamente a saúde da organização e sua sobrevivência.</w:t>
      </w:r>
    </w:p>
    <w:p w:rsidR="00BD5910" w:rsidRDefault="00BD5910" w:rsidP="007C1AB5">
      <w:r>
        <w:t xml:space="preserve">Um fator crítico e controverso em relação ao uso de processos formais para suporte à avaliação de decisões estratégicas é a incerteza. </w:t>
      </w:r>
      <w:r w:rsidR="004624C2">
        <w:rPr>
          <w:spacing w:val="-4"/>
        </w:rPr>
        <w:t>O</w:t>
      </w:r>
      <w:r>
        <w:rPr>
          <w:spacing w:val="-4"/>
        </w:rPr>
        <w:t xml:space="preserve"> risco denota a parte calculável e controlável de tudo que é desconhecido. A parcela do que não é conhecido e que não é controlável é a incerteza </w:t>
      </w:r>
      <w:r>
        <w:rPr>
          <w:spacing w:val="-4"/>
        </w:rPr>
        <w:fldChar w:fldCharType="begin" w:fldLock="1"/>
      </w:r>
      <w:r w:rsidR="00024DAB">
        <w:rPr>
          <w:spacing w:val="-4"/>
        </w:rPr>
        <w:instrText>ADDIN CSL_CITATION { "citationItems" : [ { "id" : "ITEM-1", "itemData" : { "DOI" : "10.1017/CBO9781107415324.004", "ISSN" : "1098-6596", "PMID" : "140", "abstract" : "A timeless classic of economic theory that remains fascinating and pertinent today, this is Frank Knight's famous explanation of why perfect competition cannot eliminate profits, the important differences between \"risk\" and \"uncertainty,\" and the vital role of the entrepreneur in profitmaking. Based on Knight's PhD dissertation, this 1921 work, balancing theory with fact to come to stunning insights, is a distinct pleasure to read. FRANK H. KNIGHT (1885-1972) is considered by some the greatest American scholar of economics of the 20th century. An economics professor at the University of Chicago from 1927 until 1955, he was one of the founders of the Chicago school of economics, which influenced Milton Friedman and George Stigler.", "author" : [ { "dropping-particle" : "", "family" : "Knight", "given" : "Frank H.", "non-dropping-particle" : "", "parse-names" : false, "suffix" : "" } ], "id" : "ITEM-1", "issued" : { "date-parts" : [ [ "1921" ] ] }, "number-of-pages" : "1-30", "title" : "Risk, Uncertainty and Profit", "type" : "book", "volume" : "XXXI" }, "uris" : [ "http://www.mendeley.com/documents/?uuid=9a813bee-8b9c-4a63-9022-28b6b9ae8791" ] } ], "mendeley" : { "formattedCitation" : "(Knight, 1921)", "plainTextFormattedCitation" : "(Knight, 1921)", "previouslyFormattedCitation" : "(Knight, 1921)" }, "properties" : {  }, "schema" : "https://github.com/citation-style-language/schema/raw/master/csl-citation.json" }</w:instrText>
      </w:r>
      <w:r>
        <w:rPr>
          <w:spacing w:val="-4"/>
        </w:rPr>
        <w:fldChar w:fldCharType="separate"/>
      </w:r>
      <w:r w:rsidR="00B34C64" w:rsidRPr="00B34C64">
        <w:rPr>
          <w:noProof/>
          <w:spacing w:val="-4"/>
        </w:rPr>
        <w:t>(Knight, 1921)</w:t>
      </w:r>
      <w:r>
        <w:rPr>
          <w:spacing w:val="-4"/>
        </w:rPr>
        <w:fldChar w:fldCharType="end"/>
      </w:r>
      <w:r>
        <w:rPr>
          <w:spacing w:val="-4"/>
        </w:rPr>
        <w:t>.</w:t>
      </w:r>
      <w:r>
        <w:t xml:space="preserve"> Enquanto os defensores do planejamento formal indicam que tais processos sejam mais importantes ainda em situações de incerteza </w:t>
      </w:r>
      <w:r>
        <w:fldChar w:fldCharType="begin" w:fldLock="1"/>
      </w:r>
      <w:r w:rsidR="00024DAB">
        <w:instrText>ADDIN CSL_CITATION { "citationItems" : [ { "id" : "ITEM-1", "itemData" : { "DOI" : "10.1002/smj.4250030303", "ISSN" : "01432095", "author" : [ { "dropping-particle" : "", "family" : "Armstrong", "given" : "J Scott", "non-dropping-particle" : "", "parse-names" : false, "suffix" : "" } ], "container-title" : "Strategic Management Journal", "id" : "ITEM-1", "issue" : "3", "issued" : { "date-parts" : [ [ "1982", "7" ] ] }, "page" : "197-211", "title" : "The value of formal planning for strategic decisions: Review of empirical research", "type" : "article-journal", "volume" : "3" }, "uris" : [ "http://www.mendeley.com/documents/?uuid=c78f9a1b-6336-4295-9baf-fdc0b1639f95" ] } ], "mendeley" : { "formattedCitation" : "(Armstrong, 1982)", "plainTextFormattedCitation" : "(Armstrong, 1982)", "previouslyFormattedCitation" : "(Armstrong, 1982)" }, "properties" : {  }, "schema" : "https://github.com/citation-style-language/schema/raw/master/csl-citation.json" }</w:instrText>
      </w:r>
      <w:r>
        <w:fldChar w:fldCharType="separate"/>
      </w:r>
      <w:r w:rsidR="00B34C64" w:rsidRPr="00B34C64">
        <w:rPr>
          <w:noProof/>
        </w:rPr>
        <w:t>(Armstrong, 1982)</w:t>
      </w:r>
      <w:r>
        <w:fldChar w:fldCharType="end"/>
      </w:r>
      <w:r>
        <w:t xml:space="preserve">, e haja evidências empíricas que suportem esta proposição </w:t>
      </w:r>
      <w:r>
        <w:fldChar w:fldCharType="begin" w:fldLock="1"/>
      </w:r>
      <w:r w:rsidR="00024DAB">
        <w:instrText>ADDIN CSL_CITATION { "citationItems" : [ { "id" : "ITEM-1", "itemData" : { "DOI" : "10.2307/256784", "ISBN" : "0001-4273", "ISSN" : "00014273", "PMID" : "5", "abstract" : "This study examined whether strategic decision-making processes are related to decision effectiveness, using a longitudinal field study design. We studied 52 decisions in 24 companies to determine if procedural rationality and political behavior influence decision success, controlling for the favorability of the environment and decision implementation. Our results indicate that decision-making processes are indeed related to decision success. Results are discussed in terms of the importance of strategic choice in organizations.", "author" : [ { "dropping-particle" : "", "family" : "Dean", "given" : "James W.", "non-dropping-particle" : "", "parse-names" : false, "suffix" : "" }, { "dropping-particle" : "", "family" : "Sharfman", "given" : "Mark P.", "non-dropping-particle" : "", "parse-names" : false, "suffix" : "" } ], "container-title" : "Academy of Management Journal", "id" : "ITEM-1", "issue" : "2", "issued" : { "date-parts" : [ [ "1996" ] ] }, "page" : "368-396", "title" : "Does decision process matter? A study of strategic decision-making effectiveness", "type" : "article-journal", "volume" : "39" }, "uris" : [ "http://www.mendeley.com/documents/?uuid=f1edcbfa-1305-4bc7-8f5b-232e2364e7fc" ] } ], "mendeley" : { "formattedCitation" : "(Dean &amp; Sharfman, 1996)", "plainTextFormattedCitation" : "(Dean &amp; Sharfman, 1996)", "previouslyFormattedCitation" : "(Dean &amp; Sharfman, 1996)" }, "properties" : {  }, "schema" : "https://github.com/citation-style-language/schema/raw/master/csl-citation.json" }</w:instrText>
      </w:r>
      <w:r>
        <w:fldChar w:fldCharType="separate"/>
      </w:r>
      <w:r w:rsidR="00B34C64" w:rsidRPr="00B34C64">
        <w:rPr>
          <w:noProof/>
        </w:rPr>
        <w:t>(Dean &amp; Sharfman, 1996)</w:t>
      </w:r>
      <w:r>
        <w:fldChar w:fldCharType="end"/>
      </w:r>
      <w:r>
        <w:t xml:space="preserve">, há também argumentos contrários. </w:t>
      </w:r>
      <w:proofErr w:type="spellStart"/>
      <w:r>
        <w:t>Hough</w:t>
      </w:r>
      <w:proofErr w:type="spellEnd"/>
      <w:r>
        <w:t xml:space="preserve"> e White </w:t>
      </w:r>
      <w:r>
        <w:fldChar w:fldCharType="begin" w:fldLock="1"/>
      </w:r>
      <w:r>
        <w:instrText>ADDIN CSL_CITATION { "citationItems" : [ { "id" : "ITEM-1", "itemData" : { "DOI" : "10.1002/smj.303", "ISBN" : "0143-2095", "ISSN" : "01432095", "PMID" : "9515884", "abstract" : "Several approaches have been used to explore environmental dynamism as a contingent predictor of the relationship between rational-comprehensive strategic decision-making and firm-level performance. At the decision level of analysis, however, small sample sizes, low statistical power, and statistical dependence have plagued the research. Through the use of a simulated decision-making environment and multilevel analysis, this study examined 400 decisions from 54 executive teams. Consistent with much of the existing firm-level research, the results indicated that environmental dynamism may moderate the relationship between rational-comprehensive decision making and decision quality. Surprisingly, the form of the relationship differed from much of the firm-level research.", "author" : [ { "dropping-particle" : "", "family" : "Hough", "given" : "Jill R.", "non-dropping-particle" : "", "parse-names" : false, "suffix" : "" }, { "dropping-particle" : "", "family" : "White", "given" : "Margaret A.", "non-dropping-particle" : "", "parse-names" : false, "suffix" : "" } ], "container-title" : "Strategic Management Journal", "id" : "ITEM-1", "issue" : "5", "issued" : { "date-parts" : [ [ "2003" ] ] }, "page" : "481-489", "title" : "Environmental dynamism and strategic decision-making rationality: An examination at the decision level", "type" : "article-journal", "volume" : "24" }, "suppress-author" : 1, "uris" : [ "http://www.mendeley.com/documents/?uuid=4ad34691-6c0b-4eea-b04d-b124c33dc84c" ] } ], "mendeley" : { "formattedCitation" : "(2003)", "plainTextFormattedCitation" : "(2003)", "previouslyFormattedCitation" : "(2003)" }, "properties" : {  }, "schema" : "https://github.com/citation-style-language/schema/raw/master/csl-citation.json" }</w:instrText>
      </w:r>
      <w:r>
        <w:fldChar w:fldCharType="separate"/>
      </w:r>
      <w:r w:rsidRPr="00764B97">
        <w:rPr>
          <w:noProof/>
        </w:rPr>
        <w:t>(2003)</w:t>
      </w:r>
      <w:r>
        <w:fldChar w:fldCharType="end"/>
      </w:r>
      <w:r>
        <w:t xml:space="preserve"> encontraram evidências controversas no nível da decisão, de modo que o “dinamismo do ambiente” foi apontado como um fator que limitou a utilidade dos processos racionais de decisão.</w:t>
      </w:r>
    </w:p>
    <w:p w:rsidR="00BD5910" w:rsidRDefault="008F3E13" w:rsidP="00BD5910">
      <w:r>
        <w:t>Este</w:t>
      </w:r>
      <w:r w:rsidR="00BD5910">
        <w:t xml:space="preserve"> trabalho focaliza-se sobre decisões estratégicas que suportam a difusão de novos produtos. Por difusão de “novo produto”, este trabalho se refere à difusão de novas classes genéricas de produtos, e não a lançamentos de novas marcas ou modelos de produtos antigos. </w:t>
      </w:r>
      <w:r w:rsidR="00BD5910">
        <w:fldChar w:fldCharType="begin" w:fldLock="1"/>
      </w:r>
      <w:r w:rsidR="00024DAB">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"uris" : [ "http://www.mendeley.com/documents/?uuid=ba3ae769-23ac-41bf-b506-68e895a98dd3" ] } ], "mendeley" : { "formattedCitation" : "(Bass, 1969)", "plainTextFormattedCitation" : "(Bass, 1969)", "previouslyFormattedCitation" : "(Bass, 1969)" }, "properties" : {  }, "schema" : "https://github.com/citation-style-language/schema/raw/master/csl-citation.json" }</w:instrText>
      </w:r>
      <w:r w:rsidR="00BD5910">
        <w:fldChar w:fldCharType="separate"/>
      </w:r>
      <w:r w:rsidR="00B34C64" w:rsidRPr="00B34C64">
        <w:rPr>
          <w:noProof/>
        </w:rPr>
        <w:t>(Bass, 1969)</w:t>
      </w:r>
      <w:r w:rsidR="00BD5910">
        <w:fldChar w:fldCharType="end"/>
      </w:r>
      <w:r w:rsidR="00BD5910">
        <w:t>. Como contexto de aplicação, este trabalho lança sua atenção à indústria da manufatura aditiva, especificamente às impressoras 3D profissionais.</w:t>
      </w:r>
    </w:p>
    <w:p w:rsidR="00BD5910" w:rsidRDefault="00BD5910" w:rsidP="00BD5910">
      <w:r>
        <w:t xml:space="preserve"> O crescimento acentuado da indústria da manufatura aditiva é um fenômeno altamente relevante, em especial no âmbito da Engenharia de Produção. A indústria que cresceu a uma taxa anual de 26,2% ao ano </w:t>
      </w:r>
      <w:r>
        <w:fldChar w:fldCharType="begin" w:fldLock="1"/>
      </w:r>
      <w:r w:rsidR="00024DAB">
        <w:instrText>ADDIN CSL_CITATION { "citationItems" : [ { "id" : "ITEM-1", "itemData" : { "ISBN" : "0991333225", "author" : [ { "dropping-particle" : "", "family" : "Caffrey", "given" : "Tim", "non-dropping-particle" : "", "parse-names" : false, "suffix" : "" }, { "dropping-particle" : "", "family" : "Wohlers", "given" : "Terry", "non-dropping-particle" : "", "parse-names" : false, "suffix" : "" }, { "dropping-particle" : "", "family" : "Campbell", "given" : "R.I.", "non-dropping-particle" : "", "parse-names" : false, "suffix" : "" } ], "id" : "ITEM-1", "issued" : { "date-parts" : [ [ "2016" ] ] }, "number-of-pages" : "1-10", "publisher-place" : "Fort Collins, Colorado", "title" : "Executive summary of the Wohlers Report 2016", "type" : "report" }, "uris" : [ "http://www.mendeley.com/documents/?uuid=3a3134c1-3459-48e9-bf59-475b8f56ddc1" ] } ], "mendeley" : { "formattedCitation" : "(Caffrey, Wohlers, &amp; Campbell, 2016)", "plainTextFormattedCitation" : "(Caffrey, Wohlers, &amp; Campbell, 2016)", "previouslyFormattedCitation" : "(Caffrey, Wohlers, &amp; Campbell, 2016)" }, "properties" : {  }, "schema" : "https://github.com/citation-style-language/schema/raw/master/csl-citation.json" }</w:instrText>
      </w:r>
      <w:r>
        <w:fldChar w:fldCharType="separate"/>
      </w:r>
      <w:r w:rsidR="00B34C64" w:rsidRPr="00B34C64">
        <w:rPr>
          <w:noProof/>
        </w:rPr>
        <w:t>(Caffrey, Wohlers, &amp; Campbell, 2016)</w:t>
      </w:r>
      <w:r>
        <w:fldChar w:fldCharType="end"/>
      </w:r>
      <w:r>
        <w:t xml:space="preserve"> nos últimos 27 anos tem o potencial de reconfigurar cadeias de suprimentos </w:t>
      </w:r>
      <w:r>
        <w:fldChar w:fldCharType="begin" w:fldLock="1"/>
      </w:r>
      <w:r w:rsidR="00024DAB">
        <w:instrText>ADDIN CSL_CITATION { "citationItems" : [ { "id" : "ITEM-1", "itemData" : { "ISSN" : "21526877", "abstract" : "This article explores the development and application of additive manufacturing as well as initiatives in the United States and other countries to advance it. It also examines the technology's effect on firm and industry production activities, as well as the potential implications for U.S. manufacturing competitiveness focused in three industries. It concludes that the most significant factors affecting the potential of additive manufacturing to contribute to U.S. competitiveness are developing standards, improving the selection and affordability of materials, and increasing the accuracy and reliability of equipment and processes. [ABSTRACT FROM AUTHOR]", "author" : [ { "dropping-particle" : "", "family" : "Ford", "given" : "Sharon L N", "non-dropping-particle" : "", "parse-names" : false, "suffix" : "" } ], "container-title" : "Journal of International Commerce &amp; Economics", "id" : "ITEM-1", "issued" : { "date-parts" : [ [ "2014", "9" ] ] }, "page" : "1-35", "publisher" : "U.S. International Trade Commission, Office of Industries", "title" : "Additive Manufacturing Technology: Potential Implications for U.S. Manufacturing Competitiveness.", "type" : "article-journal" }, "uris" : [ "http://www.mendeley.com/documents/?uuid=c180b1ac-409d-48ea-a514-e3d1717e0190" ] } ], "mendeley" : { "formattedCitation" : "(Ford, 2014)", "plainTextFormattedCitation" : "(Ford, 2014)", "previouslyFormattedCitation" : "(Ford, 2014)" }, "properties" : {  }, "schema" : "https://github.com/citation-style-language/schema/raw/master/csl-citation.json" }</w:instrText>
      </w:r>
      <w:r>
        <w:fldChar w:fldCharType="separate"/>
      </w:r>
      <w:r w:rsidR="00B34C64" w:rsidRPr="00B34C64">
        <w:rPr>
          <w:noProof/>
        </w:rPr>
        <w:t>(Ford, 2014)</w:t>
      </w:r>
      <w:r>
        <w:fldChar w:fldCharType="end"/>
      </w:r>
      <w:r>
        <w:t xml:space="preserve">, reduzir o tempo de desenvolvimento de produtos </w:t>
      </w:r>
      <w:r>
        <w:fldChar w:fldCharType="begin" w:fldLock="1"/>
      </w:r>
      <w:r w:rsidR="00024DAB">
        <w:instrText>ADDIN CSL_CITATION { "citationItems" : [ { "id" : "ITEM-1", "itemData" : { "ISSN" : "00076813", "abstract" : "Abstract: This article examines the characteristics and applications of 3-D printing and compares it with mass customization and other manufacturing processes. 3-D printing enables small quantities of customized goods to be produced at relatively low costs. While currently used primarily to manufacture prototypes and mockups, a number of promising applications exist in the production of replacement parts, dental crowns, and artificial limbs, as well as in bridge manufacturing. 3-D printing has been compared to such disruptive technologies as digital books and music downloads that enable consumers to order their selections online, allow firms to profitably serve small market segments, and enable companies to operate with little or no unsold finished goods inventory. Some experts have also argued that 3-D printing will significantly reduce the advantages of producing small lot sizes in low-wage countries via reduced need for factory workers. [Copyright &amp;y&amp; Elsevier]", "author" : [ { "dropping-particle" : "", "family" : "Berman", "given" : "Barry", "non-dropping-particle" : "", "parse-names" : false, "suffix" : "" } ], "container-title" : "Business Horizons", "id" : "ITEM-1", "issue" : "2", "issued" : { "date-parts" : [ [ "2012", "3" ] ] }, "page" : "155-162", "title" : "3-D printing: The new industrial revolution.", "type" : "article-journal", "volume" : "55" }, "uris" : [ "http://www.mendeley.com/documents/?uuid=6b180b16-5d4b-4a9d-89bb-cf33848555f8" ] } ], "mendeley" : { "formattedCitation" : "(Berman, 2012)", "plainTextFormattedCitation" : "(Berman, 2012)", "previouslyFormattedCitation" : "(Berman, 2012)" }, "properties" : {  }, "schema" : "https://github.com/citation-style-language/schema/raw/master/csl-citation.json" }</w:instrText>
      </w:r>
      <w:r>
        <w:fldChar w:fldCharType="separate"/>
      </w:r>
      <w:r w:rsidR="00B34C64" w:rsidRPr="00B34C64">
        <w:rPr>
          <w:noProof/>
        </w:rPr>
        <w:t>(Berman, 2012)</w:t>
      </w:r>
      <w:r>
        <w:fldChar w:fldCharType="end"/>
      </w:r>
      <w:r>
        <w:t xml:space="preserve"> e permitir a manufatura de componentes de alta complexidade </w:t>
      </w:r>
      <w:r>
        <w:fldChar w:fldCharType="begin" w:fldLock="1"/>
      </w:r>
      <w:r w:rsidR="00024DAB">
        <w:instrText>ADDIN CSL_CITATION { "citationItems" : [ { "id" : "ITEM-1", "itemData" : { "DOI" : "10.1080/00207543.2015.1115909", "ISBN" : "0020-7543", "ISSN" : "0020-7543", "abstract" : "The rapid prototyping has been developed from the 1980s to produce models and prototypes until the technologies evolution today. Nowadays, these technologies have other names such as 3D printing or additive manufacturing, and so forth, but they all have the same origins from rapid prototyping. The design and manufacturing process stood the same until new requirements such as a better integration on production line, a largest series of manufacturing or the reduce weight of products due to heavy costs of machines and materials. The ability to produce complex geometries allows proposing of design and manufacturing solutions in the industrial field in order to be ever more effective. The additive manufacturing (AM) technology develops rapidly with news solutions and markets which sometimes need to demonstrate their reliability. The community needs to survey some evolutions such as the new exchange format, the faster 3D printing systems, the advanced numerical simulation or the emergence of new use. This review is addressed to persons who wish have a global view on the AM and improve their understanding. We propose to review the different AM technologies and the new trends to get a global overview through the engineering and manufacturing process. This article describes the engineering and manufacturing cycle with the 3D model management and the most recent technologies from the evolution of additive manufacturing. Finally, the use of AM resulted in new trends that are exposed below with the description of some new economic activities.", "author" : [ { "dropping-particle" : "", "family" : "Gardan", "given" : "Julien", "non-dropping-particle" : "", "parse-names" : false, "suffix" : "" } ], "container-title" : "International Journal of Production Research", "id" : "ITEM-1", "issue" : "August", "issued" : { "date-parts" : [ [ "2015" ] ] }, "page" : "1-15", "title" : "Additive manufacturing technologies: state of the art and trends", "type" : "article-journal", "volume" : "7543" }, "uris" : [ "http://www.mendeley.com/documents/?uuid=71b2ee31-8466-4565-bb5f-ca6e48983988" ] } ], "mendeley" : { "formattedCitation" : "(Gardan, 2015)", "plainTextFormattedCitation" : "(Gardan, 2015)", "previouslyFormattedCitation" : "(Gardan, 2015)" }, "properties" : {  }, "schema" : "https://github.com/citation-style-language/schema/raw/master/csl-citation.json" }</w:instrText>
      </w:r>
      <w:r>
        <w:fldChar w:fldCharType="separate"/>
      </w:r>
      <w:r w:rsidR="00B34C64" w:rsidRPr="00B34C64">
        <w:rPr>
          <w:noProof/>
        </w:rPr>
        <w:t>(Gardan, 2015)</w:t>
      </w:r>
      <w:r>
        <w:fldChar w:fldCharType="end"/>
      </w:r>
      <w:r>
        <w:t>. Ao considerar as potencialidades desta nova classe de sistemas de fabricação, os players fabricantes de sistemas de impressão 3D, em princípio, não teriam motivos para preocuparem-se com os prospectos de crescimento de sua demanda.</w:t>
      </w:r>
    </w:p>
    <w:p w:rsidR="00BD5910" w:rsidRDefault="00BD5910" w:rsidP="00BD5910">
      <w:r>
        <w:t xml:space="preserve">Não obstante, sob o ponto de vista dos fabricantes de sistemas de impressão 3D, o ambiente competitivo desta indústria é altamente incerto e desafiador. </w:t>
      </w:r>
      <w:r w:rsidR="008F3E13">
        <w:t xml:space="preserve">A incerteza nesta </w:t>
      </w:r>
      <w:r w:rsidR="008F3E13">
        <w:lastRenderedPageBreak/>
        <w:t>indústria é</w:t>
      </w:r>
      <w:r>
        <w:t xml:space="preserve"> evidenciad</w:t>
      </w:r>
      <w:r w:rsidR="008F3E13">
        <w:t>a</w:t>
      </w:r>
      <w:r>
        <w:t xml:space="preserve"> </w:t>
      </w:r>
      <w:r w:rsidR="008F3E13">
        <w:t>pela</w:t>
      </w:r>
      <w:r>
        <w:t xml:space="preserve"> diferença de estimativas que especialistas de mercado realizam a respeito do impacto desta indústria. Enquanto algumas estimativas apontam que a indústria pode gerar de 230 bilhões a 550 bilhões por ano em 2025 </w:t>
      </w:r>
      <w:r>
        <w:fldChar w:fldCharType="begin" w:fldLock="1"/>
      </w:r>
      <w:r w:rsidR="00024DAB">
        <w:instrText>ADDIN CSL_CITATION { "citationItems" : [ { "id" : "ITEM-1", "itemData" : { "DOI" : "10.1016/J.ENG.2017.05.015", "ISBN" : "4861665337", "ISSN" : "24058963", "abstract" : "The relentless parade of new technologies is unfolding on many fronts. Almost every advance is billed as a breakthrough, and the list of \u201cnext big things\u201d grows ever longer. Not every emerging technology will alter the business or social landscape\u2014but some truly do have the potential to disrupt the status quo, alter the way people live and work, and rearrange value pools. It is therefore critical that business and policy leaders understand which technologies will matter to them and prepare accordingly.", "author" : [ { "dropping-particle" : "", "family" : "McKinsey Global Institute", "given" : "", "non-dropping-particle" : "", "parse-names" : false, "suffix" : "" } ], "container-title" : "McKinsey Global Insitute", "id" : "ITEM-1", "issue" : "May", "issued" : { "date-parts" : [ [ "2013" ] ] }, "page" : "163", "title" : "Disruptive technologies: Advances that will transform life, business, and the global economy", "type" : "article-journal" }, "locator" : "110", "uris" : [ "http://www.mendeley.com/documents/?uuid=8398f412-7849-48cd-ad57-338688d3c322" ] } ], "mendeley" : { "formattedCitation" : "(McKinsey Global Institute, 2013, p. 110)", "plainTextFormattedCitation" : "(McKinsey Global Institute, 2013, p. 110)", "previouslyFormattedCitation" : "(McKinsey Global Institute, 2013, p. 110)" }, "properties" : {  }, "schema" : "https://github.com/citation-style-language/schema/raw/master/csl-citation.json" }</w:instrText>
      </w:r>
      <w:r>
        <w:fldChar w:fldCharType="separate"/>
      </w:r>
      <w:r w:rsidR="00B34C64" w:rsidRPr="00B34C64">
        <w:rPr>
          <w:noProof/>
        </w:rPr>
        <w:t>(McKinsey Global Institute, 2013, p. 110)</w:t>
      </w:r>
      <w:r>
        <w:fldChar w:fldCharType="end"/>
      </w:r>
      <w:r>
        <w:t xml:space="preserve">, outras estimativas conservadoras sugerem que o mercado pode chegar a 21 bilhões em 2020 </w:t>
      </w:r>
      <w:r>
        <w:fldChar w:fldCharType="begin" w:fldLock="1"/>
      </w:r>
      <w:r w:rsidR="00024DAB">
        <w:instrText>ADDIN CSL_CITATION { "citationItems" : [ { "id" : "ITEM-1", "itemData" : { "DOI" : "10.1016/S0733-8619(03)00096-3", "ISBN" : "1359-7345", "ISSN" : "07338619", "PMID" : "24239943", "URL" : "http://wohlersassociates.com/press71.html", "accessed" : { "date-parts" : [ [ "2017", "12", "12" ] ] }, "author" : [ { "dropping-particle" : "", "family" : "Wohlers Associates", "given" : "", "non-dropping-particle" : "", "parse-names" : false, "suffix" : "" } ], "id" : "ITEM-1", "issued" : { "date-parts" : [ [ "2016" ] ] }, "title" : "Wohlers Report 2016 Published: Additive Manufacturing Industry Surpassed 5.1 Billion", "type" : "webpage" }, "uris" : [ "http://www.mendeley.com/documents/?uuid=75636ff8-35ed-4a9c-9347-3a46e111cc7d" ] } ], "mendeley" : { "formattedCitation" : "(Wohlers Associates, 2016)", "plainTextFormattedCitation" : "(Wohlers Associates, 2016)", "previouslyFormattedCitation" : "(Wohlers Associates, 2016)" }, "properties" : {  }, "schema" : "https://github.com/citation-style-language/schema/raw/master/csl-citation.json" }</w:instrText>
      </w:r>
      <w:r>
        <w:fldChar w:fldCharType="separate"/>
      </w:r>
      <w:r w:rsidR="00B34C64" w:rsidRPr="00B34C64">
        <w:rPr>
          <w:noProof/>
        </w:rPr>
        <w:t>(Wohlers Associates, 2016)</w:t>
      </w:r>
      <w:r>
        <w:fldChar w:fldCharType="end"/>
      </w:r>
      <w:r>
        <w:t xml:space="preserve">. </w:t>
      </w:r>
    </w:p>
    <w:p w:rsidR="00BD5910" w:rsidRPr="004624C2" w:rsidRDefault="00BD5910" w:rsidP="004624C2">
      <w:pPr>
        <w:rPr>
          <w:spacing w:val="-4"/>
        </w:rPr>
      </w:pPr>
      <w:r>
        <w:t xml:space="preserve">Diante das implicações da incerteza para a avaliação de decisões estratégicas, diversos acadêmicos procuraram argumentar pela adoção do critério de robustez para a tomada de decisões estratégicas </w:t>
      </w:r>
      <w:r>
        <w:fldChar w:fldCharType="begin" w:fldLock="1"/>
      </w:r>
      <w:r w:rsidR="00024DAB">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et al., 1973)", "plainTextFormattedCitation" : "(Rosenhead et al., 1973)", "previouslyFormattedCitation" : "(Rosenhead et al., 1973)" }, "properties" : {  }, "schema" : "https://github.com/citation-style-language/schema/raw/master/csl-citation.json" }</w:instrText>
      </w:r>
      <w:r>
        <w:fldChar w:fldCharType="separate"/>
      </w:r>
      <w:r w:rsidR="00B34C64" w:rsidRPr="00B34C64">
        <w:rPr>
          <w:noProof/>
        </w:rPr>
        <w:t>(Rosenhead et al., 1973)</w:t>
      </w:r>
      <w:r>
        <w:fldChar w:fldCharType="end"/>
      </w:r>
      <w:r>
        <w:t xml:space="preserve">, pela flexibilidade das decisões estratégicas </w:t>
      </w:r>
      <w:r>
        <w:fldChar w:fldCharType="begin" w:fldLock="1"/>
      </w:r>
      <w:r w:rsidR="00024DAB">
        <w:instrText>ADDIN CSL_CITATION { "citationItems" : [ { "id" : "ITEM-1", "itemData" : { "DOI" : "Article", "ISBN" : "10795545", "ISSN" : "10795545", "abstract" : "In a highly uncertain and changing environment, managers need to have the strategic flexibility to respond to problems speedily. Strategic flexibility is the organization's capability to identify major changes in the external environment, quickly commit resources to new courses of action in response to those changes, and recognize and act promptly when it is time to halt or reverse existing resource commitments. This strategic flexibility requires managers to find the right balance between committing the resources necessary to carry out a decision and avoiding investment of good money in bad projects. This article seeks to help managers understand the importance of and difficulties in developing strategic flexibility. The challenge in doing this results from the substantial uncertainties inherent in making these strategic decisions as well as from psychological and organizational biases that affect the attention, assessments, and actions of decision-makers in ways that prevent them from recognizing problems and acting in a timely fashion. Being careful and rational is important but not sufficient if managers are to recognize when resource commitments should be halted or reversed and act quickly. We show that managers may become unconsciously trapped in a vicious cycle of insensitivity, self-serving interpretation, and inaction. We recommend six practical steps for avoiding such problems. We stress that managers and organizations should be prepared and proactive to overcome the biases, to avoid becoming trapped in the vicious cycle of rigidity, and to cope effectively with the uncertainties of a dynamic environment. [ABSTRACT FROM AUTHOR]", "author" : [ { "dropping-particle" : "", "family" : "Shimizu", "given" : "Katsuhiko", "non-dropping-particle" : "", "parse-names" : false, "suffix" : "" }, { "dropping-particle" : "", "family" : "Hitt", "given" : "Michael A.", "non-dropping-particle" : "", "parse-names" : false, "suffix" : "" } ], "container-title" : "Academy of Management Executive", "id" : "ITEM-1", "issue" : "4", "issued" : { "date-parts" : [ [ "2004" ] ] }, "page" : "44-59", "title" : "Strategic flexibility: Organizational preparedness to reverse ineffective strategic decisions.", "type" : "article-journal", "volume" : "18" }, "uris" : [ "http://www.mendeley.com/documents/?uuid=29ae4fb2-7f37-40ba-9378-124311f10838" ] } ], "mendeley" : { "formattedCitation" : "(Shimizu &amp; Hitt, 2004)", "plainTextFormattedCitation" : "(Shimizu &amp; Hitt, 2004)", "previouslyFormattedCitation" : "(Shimizu &amp; Hitt, 2004)" }, "properties" : {  }, "schema" : "https://github.com/citation-style-language/schema/raw/master/csl-citation.json" }</w:instrText>
      </w:r>
      <w:r>
        <w:fldChar w:fldCharType="separate"/>
      </w:r>
      <w:r w:rsidR="00B34C64" w:rsidRPr="00B34C64">
        <w:rPr>
          <w:noProof/>
        </w:rPr>
        <w:t>(Shimizu &amp; Hitt, 2004)</w:t>
      </w:r>
      <w:r>
        <w:fldChar w:fldCharType="end"/>
      </w:r>
      <w:r>
        <w:t xml:space="preserve">, ou por “estratégias não-preditivas” </w:t>
      </w:r>
      <w:r>
        <w:fldChar w:fldCharType="begin" w:fldLock="1"/>
      </w:r>
      <w:r w:rsidR="00024DAB">
        <w:instrText>ADDIN CSL_CITATION { "citationItems" : [ { "id" : "ITEM-1", "itemData" : { "DOI" : "10.1002/smj.555", "ISBN" : "1097-0266", "ISSN" : "0143-2095", "PMID" : "31767271", "abstract" : "Two prescriptions dominate the topic of what firms should do next in uncertain situations: planning approaches and adaptive approaches. These differ primarily on the appropriate role of prediction in the decision process. Prediction is a central issue in strategy making owing to the presumption that what can be predicted can be controlled. In this paper we argue for the independence of prediction and control. This implies that the pursuit of successful outcomes can occur through control-oriented approaches that may essentially be non-predictive. We further develop and highlight control-oriented approaches with particular emphasis on the question of what organizations should do next. We also explore how these approaches may impact the costs and risks of firm strategies as well as the firm\u2019s continual efforts to innovate", "author" : [ { "dropping-particle" : "", "family" : "Wiltbank", "given" : "Robert", "non-dropping-particle" : "", "parse-names" : false, "suffix" : "" }, { "dropping-particle" : "", "family" : "Dew", "given" : "Nicholas", "non-dropping-particle" : "", "parse-names" : false, "suffix" : "" }, { "dropping-particle" : "", "family" : "Read", "given" : "Stuart", "non-dropping-particle" : "", "parse-names" : false, "suffix" : "" }, { "dropping-particle" : "", "family" : "Sarasvathy", "given" : "Saras D.", "non-dropping-particle" : "", "parse-names" : false, "suffix" : "" } ], "container-title" : "Strategic Management Journal", "id" : "ITEM-1", "issue" : "10", "issued" : { "date-parts" : [ [ "2006", "10" ] ] }, "page" : "981-998", "title" : "What to do next? The case for non-predictive strategy", "type" : "article-journal", "volume" : "27" }, "uris" : [ "http://www.mendeley.com/documents/?uuid=c44fa77a-c7df-492b-ba37-d36be8061650" ] } ], "mendeley" : { "formattedCitation" : "(Wiltbank, Dew, Read, &amp; Sarasvathy, 2006)", "plainTextFormattedCitation" : "(Wiltbank, Dew, Read, &amp; Sarasvathy, 2006)", "previouslyFormattedCitation" : "(Wiltbank, Dew, Read, &amp; Sarasvathy, 2006)" }, "properties" : {  }, "schema" : "https://github.com/citation-style-language/schema/raw/master/csl-citation.json" }</w:instrText>
      </w:r>
      <w:r>
        <w:fldChar w:fldCharType="separate"/>
      </w:r>
      <w:r w:rsidR="00B34C64" w:rsidRPr="00B34C64">
        <w:rPr>
          <w:noProof/>
        </w:rPr>
        <w:t>(Wiltbank, Dew, Read, &amp; Sarasvathy, 2006)</w:t>
      </w:r>
      <w:r>
        <w:fldChar w:fldCharType="end"/>
      </w:r>
      <w:r>
        <w:t>.</w:t>
      </w:r>
      <w:r w:rsidR="004624C2">
        <w:rPr>
          <w:spacing w:val="-4"/>
        </w:rPr>
        <w:t xml:space="preserve"> </w:t>
      </w:r>
      <w:r>
        <w:rPr>
          <w:rFonts w:cs="Arial"/>
        </w:rPr>
        <w:t xml:space="preserve">O </w:t>
      </w:r>
      <w:r w:rsidR="004624C2">
        <w:rPr>
          <w:rFonts w:cs="Arial"/>
        </w:rPr>
        <w:t xml:space="preserve">método </w:t>
      </w:r>
      <w:r w:rsidR="004624C2" w:rsidRPr="004624C2">
        <w:rPr>
          <w:rFonts w:cs="Arial"/>
          <w:i/>
        </w:rPr>
        <w:t>Robust Decision Making</w:t>
      </w:r>
      <w:r w:rsidR="004624C2">
        <w:rPr>
          <w:rFonts w:cs="Arial"/>
        </w:rPr>
        <w:t xml:space="preserve"> </w:t>
      </w:r>
      <w:r>
        <w:rPr>
          <w:rFonts w:cs="Arial"/>
        </w:rPr>
        <w:t>foi concebido com</w:t>
      </w:r>
      <w:r w:rsidR="004624C2">
        <w:rPr>
          <w:rFonts w:cs="Arial"/>
        </w:rPr>
        <w:t xml:space="preserve"> o propósito de suportar a avaliação de decisões em condições de incerteza.</w:t>
      </w:r>
      <w:r>
        <w:rPr>
          <w:rFonts w:cs="Arial"/>
        </w:rPr>
        <w:t xml:space="preserve"> </w:t>
      </w:r>
      <w:r>
        <w:rPr>
          <w:rFonts w:cs="Arial"/>
        </w:rPr>
        <w:fldChar w:fldCharType="begin" w:fldLock="1"/>
      </w:r>
      <w:r w:rsidR="00024DAB">
        <w:rPr>
          <w:rFonts w:cs="Arial"/>
        </w:rP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"locator" : "527", "uris" : [ "http://www.mendeley.com/documents/?uuid=4a76305e-bf08-4fcd-b85b-18bd106f7fb5" ] } ], "mendeley" : { "formattedCitation" : "(Lempert, Groves, Popper, &amp; Bankes, 2006, p. 527)", "plainTextFormattedCitation" : "(Lempert, Groves, Popper, &amp; Bankes, 2006, p. 527)", "previouslyFormattedCitation" : "(Lempert, Groves, Popper, &amp; Bankes, 2006, p. 527)" }, "properties" : {  }, "schema" : "https://github.com/citation-style-language/schema/raw/master/csl-citation.json" }</w:instrText>
      </w:r>
      <w:r>
        <w:rPr>
          <w:rFonts w:cs="Arial"/>
        </w:rPr>
        <w:fldChar w:fldCharType="separate"/>
      </w:r>
      <w:r w:rsidR="00B34C64" w:rsidRPr="00B34C64">
        <w:rPr>
          <w:rFonts w:cs="Arial"/>
          <w:noProof/>
        </w:rPr>
        <w:t>(Lempert, Groves, Popper, &amp; Bankes, 2006, p. 527)</w:t>
      </w:r>
      <w:r>
        <w:rPr>
          <w:rFonts w:cs="Arial"/>
        </w:rPr>
        <w:fldChar w:fldCharType="end"/>
      </w:r>
      <w:r>
        <w:rPr>
          <w:rFonts w:cs="Arial"/>
        </w:rPr>
        <w:t>. No entanto, não se encontra na literatura relativa à avaliação de decisões estratégicas relacionadas à difusão de novos produtos menção ao RDM. Neste sentido, este trabalho contribui por explorar esta abordagem no contexto da avaliação de decisões estratégicas relacionadas à difusão de novos produtos, visando a superação das limitações das abordagens mencionadas anteriormente.</w:t>
      </w:r>
    </w:p>
    <w:p w:rsidR="00BD5910" w:rsidRDefault="00BD5910" w:rsidP="00BD5910">
      <w:r>
        <w:t>Considerando a decisão estratégica como o objeto de pesquisa, a consideração apropriada da incerteza como importante para o sucesso da decisão, e a incerteza observada no contexto da difusão de impressoras 3D, propõe-se a questão de pesquisa: “Que estratégias que suportam a difusão de novos produtos na indústria da manufatura aditiva são mais robustas, e em que condições estas estratégias robustas falham?”.</w:t>
      </w:r>
    </w:p>
    <w:p w:rsidR="009F078A" w:rsidRDefault="00BD5910" w:rsidP="008F3E13">
      <w:r>
        <w:t>O objetivo deste trabalho é a</w:t>
      </w:r>
      <w:r w:rsidRPr="00E715F6">
        <w:t>valiar a robustez de decisões estratégicas que suportam a difusão de produtos</w:t>
      </w:r>
      <w:r>
        <w:t xml:space="preserve"> na indústria da manufatura aditiva</w:t>
      </w:r>
      <w:r w:rsidR="008F3E13">
        <w:t>.</w:t>
      </w:r>
      <w:r w:rsidRPr="00DA267D">
        <w:t xml:space="preserve"> </w:t>
      </w:r>
      <w:r w:rsidR="008F3E13">
        <w:t xml:space="preserve"> </w:t>
      </w:r>
      <w:r w:rsidR="000B72F4">
        <w:t>Definido este objetivo, a seção seguinte resgata o background conceitual necessário para a condução do trabalho</w:t>
      </w:r>
      <w:r w:rsidR="00326AF6">
        <w:t>. Em seguida, decisões metodológicas são delineadas, definindo como método de pesquisa um estudo de caso único incorporado. Após isso, resultados são apresentados e implicações resultantes são discutidas. Finalmente, as contribuições e lim</w:t>
      </w:r>
      <w:r w:rsidR="00C35074">
        <w:t>itações do artigo são expostas.</w:t>
      </w:r>
    </w:p>
    <w:p w:rsidR="00C35074" w:rsidRDefault="00C35074" w:rsidP="007C1AB5"/>
    <w:p w:rsidR="009F078A" w:rsidRPr="00F0672C" w:rsidRDefault="00B34C64" w:rsidP="009F078A">
      <w:pPr>
        <w:pStyle w:val="Ttulo1"/>
      </w:pPr>
      <w:r>
        <w:lastRenderedPageBreak/>
        <w:t>FUNDAMENTAÇÃO TEÓRICA</w:t>
      </w:r>
    </w:p>
    <w:p w:rsidR="004A01B7" w:rsidRDefault="004A01B7" w:rsidP="004A01B7">
      <w:pPr>
        <w:pStyle w:val="Ttulo2"/>
      </w:pPr>
      <w:r w:rsidRPr="004A01B7">
        <w:t>Avaliação de Decisões Estratégias</w:t>
      </w:r>
      <w:r w:rsidR="00EE5B10">
        <w:t xml:space="preserve"> sob Incerteza Profunda</w:t>
      </w:r>
    </w:p>
    <w:p w:rsidR="004A01B7" w:rsidRDefault="004A01B7" w:rsidP="004A01B7">
      <w:proofErr w:type="spellStart"/>
      <w:r>
        <w:t>Mintzberg</w:t>
      </w:r>
      <w:proofErr w:type="spellEnd"/>
      <w:r>
        <w:t xml:space="preserve">, </w:t>
      </w:r>
      <w:proofErr w:type="spellStart"/>
      <w:r>
        <w:t>Raisinghani</w:t>
      </w:r>
      <w:proofErr w:type="spellEnd"/>
      <w:r>
        <w:t xml:space="preserve"> e </w:t>
      </w:r>
      <w:proofErr w:type="spellStart"/>
      <w:r>
        <w:t>Theoret</w:t>
      </w:r>
      <w:proofErr w:type="spellEnd"/>
      <w:r>
        <w:t xml:space="preserve"> </w:t>
      </w:r>
      <w:r>
        <w:fldChar w:fldCharType="begin" w:fldLock="1"/>
      </w:r>
      <w:r>
        <w:instrText>ADDIN CSL_CITATION { "citationItems" : [ { "id" : "ITEM-1", "itemData" : { "DOI" : "10.2307/2392045", "ISSN" : "00018392", "author" : [ { "dropping-particle" : "", "family" : "Mintzberg", "given" : "Henry", "non-dropping-particle" : "", "parse-names" : false, "suffix" : "" }, { "dropping-particle" : "", "family" : "Raisinghani", "given" : "Duru", "non-dropping-particle" : "", "parse-names" : false, "suffix" : "" }, { "dropping-particle" : "", "family" : "Theoret", "given" : "Andre", "non-dropping-particle" : "", "parse-names" : false, "suffix" : "" } ], "container-title" : "Administrative Science Quarterly", "id" : "ITEM-1", "issue" : "2", "issued" : { "date-parts" : [ [ "1976", "6" ] ] }, "page" : "246", "title" : "The Structure of \"Unstructured\" Decision Processes", "type" : "article-journal", "volume" : "21" }, "locator" : "246", "suppress-author" : 1, "uris" : [ "http://www.mendeley.com/documents/?uuid=b69a9a03-ae74-49ec-9f1f-28fb719734b3" ] } ], "mendeley" : { "formattedCitation" : "(1976, p. 246)", "plainTextFormattedCitation" : "(1976, p. 246)", "previouslyFormattedCitation" : "(1976, p. 246)" }, "properties" : {  }, "schema" : "https://github.com/citation-style-language/schema/raw/master/csl-citation.json" }</w:instrText>
      </w:r>
      <w:r>
        <w:fldChar w:fldCharType="separate"/>
      </w:r>
      <w:r w:rsidRPr="00664E7C">
        <w:rPr>
          <w:noProof/>
        </w:rPr>
        <w:t>(1976, p. 246)</w:t>
      </w:r>
      <w:r>
        <w:fldChar w:fldCharType="end"/>
      </w:r>
      <w:r>
        <w:t xml:space="preserve">, caracterizaram decisões estratégicas como importantes em termos das ações realizadas, recursos comprometidos ou de seus precedentes. </w:t>
      </w:r>
      <w:proofErr w:type="spellStart"/>
      <w:r>
        <w:t>Eisenhardt</w:t>
      </w:r>
      <w:proofErr w:type="spellEnd"/>
      <w:r>
        <w:t xml:space="preserve"> e </w:t>
      </w:r>
      <w:proofErr w:type="spellStart"/>
      <w:r>
        <w:t>Zbaracki</w:t>
      </w:r>
      <w:proofErr w:type="spellEnd"/>
      <w:r>
        <w:t xml:space="preserve"> </w:t>
      </w:r>
      <w:r>
        <w:fldChar w:fldCharType="begin" w:fldLock="1"/>
      </w:r>
      <w:r>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"locator" : "17", "suppress-author" : 1, "uris" : [ "http://www.mendeley.com/documents/?uuid=e313b4e0-a8ae-45d6-984f-b15be022f698" ] } ], "mendeley" : { "formattedCitation" : "(1992, p. 17)", "plainTextFormattedCitation" : "(1992, p. 17)", "previouslyFormattedCitation" : "(1992, p. 17)" }, "properties" : {  }, "schema" : "https://github.com/citation-style-language/schema/raw/master/csl-citation.json" }</w:instrText>
      </w:r>
      <w:r>
        <w:fldChar w:fldCharType="separate"/>
      </w:r>
      <w:r w:rsidRPr="00664E7C">
        <w:rPr>
          <w:noProof/>
        </w:rPr>
        <w:t>(1992, p. 17)</w:t>
      </w:r>
      <w:r>
        <w:fldChar w:fldCharType="end"/>
      </w:r>
      <w:r>
        <w:t xml:space="preserve"> adicionam que decisões estratégicas são decisões infrequentes, tomadas pelos líderes de uma organização, que  afetam criticamente a saúde da organização e sua sobrevivência.</w:t>
      </w:r>
    </w:p>
    <w:p w:rsidR="008F3E13" w:rsidRPr="006715CC" w:rsidRDefault="00EE5B10" w:rsidP="006715CC">
      <w:pPr>
        <w:rPr>
          <w:spacing w:val="-4"/>
        </w:rPr>
      </w:pPr>
      <w:r>
        <w:rPr>
          <w:spacing w:val="-4"/>
        </w:rPr>
        <w:t xml:space="preserve">Considerar a incerteza de modo inapropriado na avaliação de decisões estratégicas pode ter resultados indesejáveis para as empresas. </w:t>
      </w:r>
      <w:r>
        <w:rPr>
          <w:spacing w:val="-4"/>
        </w:rPr>
        <w:fldChar w:fldCharType="begin" w:fldLock="1"/>
      </w:r>
      <w:r w:rsidR="00024DAB">
        <w:rPr>
          <w:spacing w:val="-4"/>
        </w:rPr>
        <w:instrText>ADDIN CSL_CITATION { "citationItems" : [ { "id" : "ITEM-1", "itemData" : { "author" : [ { "dropping-particle" : "", "family" : "Wack", "given" : "Pierre", "non-dropping-particle" : "", "parse-names" : false, "suffix" : "" } ], "container-title" : "Harvard Business Review", "id" : "ITEM-1", "issue" : "85516", "issued" : { "date-parts" : [ [ "1985" ] ] }, "title" : "Scenarios: Uncharted Waters Ahead", "type" : "article-journal" }, "uris" : [ "http://www.mendeley.com/documents/?uuid=ce00b288-8dc3-4ab0-9326-7364fef01252" ] }, { "id" : "ITEM-2", "itemData" : { "author" : [ { "dropping-particle" : "", "family" : "Schoemaker", "given" : "P J", "non-dropping-particle" : "", "parse-names" : false, "suffix" : "" } ], "container-title" : "Sloan management review", "id" : "ITEM-2", "issue" : "2", "issued" : { "date-parts" : [ [ "1995" ] ] }, "page" : "25", "title" : "Scenario planning: a tool for strategic thinking", "type" : "article-journal", "volume" : "36" }, "uris" : [ "http://www.mendeley.com/documents/?uuid=25ac4895-745e-462d-b4f3-234a77dd1e7d" ] } ], "mendeley" : { "formattedCitation" : "(Schoemaker, 1995; Wack, 1985)", "plainTextFormattedCitation" : "(Schoemaker, 1995; Wack, 1985)", "previouslyFormattedCitation" : "(Schoemaker, 1995; Wack, 1985)" }, "properties" : {  }, "schema" : "https://github.com/citation-style-language/schema/raw/master/csl-citation.json" }</w:instrText>
      </w:r>
      <w:r>
        <w:rPr>
          <w:spacing w:val="-4"/>
        </w:rPr>
        <w:fldChar w:fldCharType="separate"/>
      </w:r>
      <w:r w:rsidR="00B34C64" w:rsidRPr="00B34C64">
        <w:rPr>
          <w:noProof/>
          <w:spacing w:val="-4"/>
        </w:rPr>
        <w:t>(Schoemaker, 1995; Wack, 1985)</w:t>
      </w:r>
      <w:r>
        <w:rPr>
          <w:spacing w:val="-4"/>
        </w:rPr>
        <w:fldChar w:fldCharType="end"/>
      </w:r>
      <w:r>
        <w:rPr>
          <w:spacing w:val="-4"/>
        </w:rPr>
        <w:t xml:space="preserve">. Ainda assim, é possível observar que empresas e governos subestimam o impacto de incertezas em momentos de crise ou transição. </w:t>
      </w:r>
      <w:r w:rsidR="00985796">
        <w:rPr>
          <w:spacing w:val="-4"/>
        </w:rPr>
        <w:t xml:space="preserve"> </w:t>
      </w:r>
      <w:r>
        <w:t xml:space="preserve">A tomada de decisão em situações de incerteza profunda (conhecida como </w:t>
      </w:r>
      <w:r w:rsidRPr="00BC5B27">
        <w:rPr>
          <w:i/>
        </w:rPr>
        <w:t xml:space="preserve">Decision Making </w:t>
      </w:r>
      <w:proofErr w:type="spellStart"/>
      <w:r w:rsidRPr="00BC5B27">
        <w:rPr>
          <w:i/>
        </w:rPr>
        <w:t>Under</w:t>
      </w:r>
      <w:proofErr w:type="spellEnd"/>
      <w:r w:rsidRPr="00BC5B27">
        <w:rPr>
          <w:i/>
        </w:rPr>
        <w:t xml:space="preserve"> </w:t>
      </w:r>
      <w:r>
        <w:rPr>
          <w:i/>
        </w:rPr>
        <w:t xml:space="preserve">Deep </w:t>
      </w:r>
      <w:r w:rsidRPr="00BC5B27">
        <w:rPr>
          <w:i/>
        </w:rPr>
        <w:t>Uncertainty</w:t>
      </w:r>
      <w:r>
        <w:t xml:space="preserve">) é um tipo particular de problemas complexos (ou, </w:t>
      </w:r>
      <w:proofErr w:type="spellStart"/>
      <w:r w:rsidRPr="00BC5B27">
        <w:rPr>
          <w:i/>
        </w:rPr>
        <w:t>wicked</w:t>
      </w:r>
      <w:proofErr w:type="spellEnd"/>
      <w:r w:rsidRPr="00BC5B27">
        <w:rPr>
          <w:i/>
        </w:rPr>
        <w:t xml:space="preserve"> </w:t>
      </w:r>
      <w:proofErr w:type="spellStart"/>
      <w:r w:rsidRPr="00BC5B27">
        <w:rPr>
          <w:i/>
        </w:rPr>
        <w:t>problems</w:t>
      </w:r>
      <w:proofErr w:type="spellEnd"/>
      <w:r>
        <w:t xml:space="preserve">). </w:t>
      </w:r>
      <w:r>
        <w:fldChar w:fldCharType="begin" w:fldLock="1"/>
      </w:r>
      <w:r w:rsidR="00B04F2F">
        <w:instrText>ADDIN CSL_CITATION { "citationItems" : [ { "id" : "ITEM-1", "itemData" : { "DOI" : "10.1061/(ASCE)WR.1943-5452.0000626", "ISBN" : "0733-9496", "ISSN" : "0733-9496", "abstract" : "In many planning problems, planners face major challenges in coping with uncertain and changing physical conditions, and rapid unpredictable socioeconomic development. How should society prepare itself for this confluence of uncertainty? Given the presence of irreducible uncertainties, there is no straightforward answer to this question. Effective decisions must be made under unavoidable uncertainty (Dessai et al. 2009; Lempert et al. 2003). In recent years, this has been labeled as decision making under deep uncertainty. Deep uncertainty means that the various parties to a decision do not know or cannot agree on the system and its boundaries; the outcomes of interest and their relative importance; the prior probability distribution for uncertain inputs to the system (Lempert et al. 2003; Walker et al. 2013); or decisions are made over time in dynamic interaction with the system and cannot be considered independently (Haasnoot et al. 2013a, b; Hallegatte et al. 2012). From a decision analytic point of view, this implies that there are a large number of plausible alternative models, alternative sets of weights to assign to the different outcomes of interest, different sets of inputs for the uncertain model parameters, and different (sequences of) candidate solutions (Kwakkel et al. 2010).", "author" : [ { "dropping-particle" : "", "family" : "Kwakkel", "given" : "J", "non-dropping-particle" : "", "parse-names" : false, "suffix" : "" }, { "dropping-particle" : "", "family" : "Walker", "given" : "W", "non-dropping-particle" : "", "parse-names" : false, "suffix" : "" }, { "dropping-particle" : "", "family" : "Haasnoot", "given" : "M", "non-dropping-particle" : "", "parse-names" : false, "suffix" : "" } ], "container-title" : "Journal of Water Resources Planning and Management", "id" : "ITEM-1", "issue" : "3", "issued" : { "date-parts" : [ [ "2016" ] ] }, "page" : "1816001", "title" : "Coping with the Wickedness of Public Policy Problems: Approaches for Decision Making under Deep Uncertainty", "type" : "article-journal", "volume" : "142" }, "uris" : [ "http://www.mendeley.com/documents/?uuid=8309efad-2edd-49f5-9383-c9f50a6bcc90" ] } ], "mendeley" : { "formattedCitation" : "(J. Kwakkel, Walker, &amp; Haasnoot, 2016)", "plainTextFormattedCitation" : "(J. Kwakkel, Walker, &amp; Haasnoot, 2016)", "previouslyFormattedCitation" : "(J. Kwakkel, Walker, &amp; Haasnoot, 2016)" }, "properties" : {  }, "schema" : "https://github.com/citation-style-language/schema/raw/master/csl-citation.json" }</w:instrText>
      </w:r>
      <w:r>
        <w:fldChar w:fldCharType="separate"/>
      </w:r>
      <w:r w:rsidR="00024DAB" w:rsidRPr="00024DAB">
        <w:rPr>
          <w:noProof/>
        </w:rPr>
        <w:t>(J. Kwakkel, Walker, &amp; Haasnoot, 2016)</w:t>
      </w:r>
      <w:r>
        <w:fldChar w:fldCharType="end"/>
      </w:r>
      <w:r>
        <w:t xml:space="preserve">. Uma situação de certeza completa aconteceria quando todos os aspectos de uma situação são conhecidos precisamente. Tal situação não ocorre na realidade, e apenas atua como o limite do espectro de incertezas. No outro extremo, está a ignorância completa. </w:t>
      </w:r>
      <w:r>
        <w:fldChar w:fldCharType="begin" w:fldLock="1"/>
      </w:r>
      <w:r w:rsidR="00692763">
        <w:instrText>ADDIN CSL_CITATION { "citationItems" : [ { "id" : "ITEM-1", "itemData" : { "DOI" : "10.1007/978-1-4419-1153-7_1140", "ISBN" : "978-1-4419-1153-7", "author" : [ { "dropping-particle" : "", "family" : "Walker", "given" : "Warren E", "non-dropping-particle" : "", "parse-names" : false, "suffix" : "" }, { "dropping-particle" : "", "family" : "Lempert", "given" : "Robert J.", "non-dropping-particle" : "", "parse-names" : false, "suffix" : "" }, { "dropping-particle" : "", "family" : "Kwakkel", "given" : "Jan H", "non-dropping-particle" : "", "parse-names" : false, "suffix" : "" } ], "container-title" : "Encyclopedia of Operations Research and Management Science", "editor" : [ { "dropping-particle" : "", "family" : "Gass", "given" : "Saul I", "non-dropping-particle" : "", "parse-names" : false, "suffix" : "" }, { "dropping-particle" : "", "family" : "Fu", "given" : "Michael C", "non-dropping-particle" : "", "parse-names" : false, "suffix" : "" } ], "id" : "ITEM-1", "issued" : { "date-parts" : [ [ "2013" ] ] }, "page" : "395-402", "publisher" : "Springer US", "publisher-place" : "Boston, MA", "title" : "Deep Uncertainty", "type" : "chapter" }, "uris" : [ "http://www.mendeley.com/documents/?uuid=3d1e1042-6d3c-47b1-8b19-fad4b3a09774" ] } ], "mendeley" : { "formattedCitation" : "(Walker, Lempert, &amp; Kwakkel, 2013)", "plainTextFormattedCitation" : "(Walker, Lempert, &amp; Kwakkel, 2013)", "previouslyFormattedCitation" : "(Walker, Lempert, &amp; Kwakkel, 2013)" }, "properties" : {  }, "schema" : "https://github.com/citation-style-language/schema/raw/master/csl-citation.json" }</w:instrText>
      </w:r>
      <w:r>
        <w:fldChar w:fldCharType="separate"/>
      </w:r>
      <w:r w:rsidR="001471E8" w:rsidRPr="001471E8">
        <w:rPr>
          <w:noProof/>
        </w:rPr>
        <w:t>(Walker, Lempert, &amp; Kwakkel, 2013)</w:t>
      </w:r>
      <w:r>
        <w:fldChar w:fldCharType="end"/>
      </w:r>
      <w:r>
        <w:t>.</w:t>
      </w:r>
    </w:p>
    <w:p w:rsidR="00EE5B10" w:rsidRPr="004A01B7" w:rsidRDefault="00EE5B10" w:rsidP="00EE5B10">
      <w:r>
        <w:t xml:space="preserve">O termo </w:t>
      </w:r>
      <w:r w:rsidRPr="00142309">
        <w:rPr>
          <w:i/>
        </w:rPr>
        <w:t xml:space="preserve">Deep Uncertainty </w:t>
      </w:r>
      <w:r>
        <w:t xml:space="preserve">refere-se aos níveis 4 e 5 destacados anteriormente </w:t>
      </w:r>
      <w:r>
        <w:fldChar w:fldCharType="begin" w:fldLock="1"/>
      </w:r>
      <w:r w:rsidR="00024DAB">
        <w:instrText>ADDIN CSL_CITATION { "citationItems" : [ { "id" : "ITEM-1", "itemData" : { "DOI" : "10.1007/978-1-4419-1153-7_1140", "ISBN" : "978-1-4419-1153-7", "author" : [ { "dropping-particle" : "", "family" : "Walker", "given" : "Warren E", "non-dropping-particle" : "", "parse-names" : false, "suffix" : "" }, { "dropping-particle" : "", "family" : "Lempert", "given" : "Robert J.", "non-dropping-particle" : "", "parse-names" : false, "suffix" : "" }, { "dropping-particle" : "", "family" : "Kwakkel", "given" : "Jan H", "non-dropping-particle" : "", "parse-names" : false, "suffix" : "" } ], "container-title" : "Encyclopedia of Operations Research and Management Science", "editor" : [ { "dropping-particle" : "", "family" : "Gass", "given" : "Saul I", "non-dropping-particle" : "", "parse-names" : false, "suffix" : "" }, { "dropping-particle" : "", "family" : "Fu", "given" : "Michael C", "non-dropping-particle" : "", "parse-names" : false, "suffix" : "" } ], "id" : "ITEM-1", "issued" : { "date-parts" : [ [ "2013" ] ] }, "page" : "395-402", "publisher" : "Springer US", "publisher-place" : "Boston, MA", "title" : "Deep Uncertainty", "type" : "chapter" }, "uris" : [ "http://www.mendeley.com/documents/?uuid=3d1e1042-6d3c-47b1-8b19-fad4b3a09774" ] } ], "mendeley" : { "formattedCitation" : "(Walker et al., 2013)", "plainTextFormattedCitation" : "(Walker et al., 2013)", "previouslyFormattedCitation" : "(Walker et al., 2013)" }, "properties" : {  }, "schema" : "https://github.com/citation-style-language/schema/raw/master/csl-citation.json" }</w:instrText>
      </w:r>
      <w:r>
        <w:fldChar w:fldCharType="separate"/>
      </w:r>
      <w:r w:rsidR="00B34C64" w:rsidRPr="00B34C64">
        <w:rPr>
          <w:noProof/>
        </w:rPr>
        <w:t>(Walker et al., 2013)</w:t>
      </w:r>
      <w:r>
        <w:fldChar w:fldCharType="end"/>
      </w:r>
      <w:r>
        <w:t xml:space="preserve">, e é definido como uma situação na qual analistas não sabem, ou </w:t>
      </w:r>
      <w:r w:rsidRPr="00142309">
        <w:rPr>
          <w:i/>
        </w:rPr>
        <w:t>stakeholders</w:t>
      </w:r>
      <w:r>
        <w:t xml:space="preserve"> não conseguem concordar sobre: i) os modelos que descrevem as relações entre as principais relações que irão moldar o futuro, </w:t>
      </w:r>
      <w:proofErr w:type="spellStart"/>
      <w:r>
        <w:t>ii</w:t>
      </w:r>
      <w:proofErr w:type="spellEnd"/>
      <w:r>
        <w:t xml:space="preserve">) as distribuições de probabilidade utilizadas para representar incertezas de variáveis chave e parâmetros destes modelos, e/ou </w:t>
      </w:r>
      <w:proofErr w:type="spellStart"/>
      <w:r>
        <w:t>iii</w:t>
      </w:r>
      <w:proofErr w:type="spellEnd"/>
      <w:r>
        <w:t xml:space="preserve">) como avaliar a utilidade (traduzido de </w:t>
      </w:r>
      <w:proofErr w:type="spellStart"/>
      <w:r w:rsidRPr="00BC5B27">
        <w:rPr>
          <w:i/>
        </w:rPr>
        <w:t>desirability</w:t>
      </w:r>
      <w:proofErr w:type="spellEnd"/>
      <w:r>
        <w:t xml:space="preserve">) </w:t>
      </w:r>
      <w:r w:rsidRPr="00142309">
        <w:t>de</w:t>
      </w:r>
      <w:r>
        <w:t xml:space="preserve"> diferentes </w:t>
      </w:r>
      <w:r w:rsidRPr="00142309">
        <w:rPr>
          <w:i/>
        </w:rPr>
        <w:t>outcomes</w:t>
      </w:r>
      <w:r>
        <w:t xml:space="preserve">.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"locator" : "xii", "uris" : [ "http://www.mendeley.com/documents/?uuid=fc7eef92-8664-499e-ab2a-e8053d5b7ae4" ] } ], "mendeley" : { "formattedCitation" : "(Lempert, Popper, &amp; Bankes, 2003, p. xii)", "plainTextFormattedCitation" : "(Lempert, Popper, &amp; Bankes, 2003, p. xii)", "previouslyFormattedCitation" : "(Lempert, Popper, &amp; Bankes, 2003, p. xii)" }, "properties" : {  }, "schema" : "https://github.com/citation-style-language/schema/raw/master/csl-citation.json" }</w:instrText>
      </w:r>
      <w:r>
        <w:fldChar w:fldCharType="separate"/>
      </w:r>
      <w:r w:rsidR="00B34C64" w:rsidRPr="00B34C64">
        <w:rPr>
          <w:noProof/>
        </w:rPr>
        <w:t>(Lempert, Popper, &amp; Bankes, 2003, p. xii)</w:t>
      </w:r>
      <w:r>
        <w:fldChar w:fldCharType="end"/>
      </w:r>
      <w:r>
        <w:t>.</w:t>
      </w:r>
    </w:p>
    <w:p w:rsidR="009F078A" w:rsidRDefault="00EE5B10" w:rsidP="009F078A">
      <w:pPr>
        <w:pStyle w:val="Ttulo2"/>
      </w:pPr>
      <w:r>
        <w:t>Modelos de Difusão de Novos Produtos</w:t>
      </w:r>
    </w:p>
    <w:p w:rsidR="00EE5B10" w:rsidRDefault="00EE5B10" w:rsidP="00EE5B10">
      <w:r>
        <w:t xml:space="preserve">Uma compreensão adequada da difusão de um novo produto tem importância relevante para a estratégia organizacional. A difusão de novos produtos que incluem inovações tecnológicas é um fenômeno altamente dinâmico e complexo, relacionando-se a decisões </w:t>
      </w:r>
      <w:r>
        <w:lastRenderedPageBreak/>
        <w:t xml:space="preserve">estratégicas de precificação, orçamentação de pesquisa e desenvolvimento e investimento em capacidade produtiva. </w:t>
      </w:r>
      <w:r>
        <w:fldChar w:fldCharType="begin" w:fldLock="1"/>
      </w:r>
      <w:r w:rsidR="00024DAB">
        <w:instrText>ADDIN CSL_CITATION { "citationItems" : [ { "id" : "ITEM-1", "itemData" : { "ISBN" : "08837066", "ISSN" : "08837066", "PMID" : "17073696", "abstract" : "The diffusion of innovations over time is a highly dynamic and complex problem. It is influenced by various factors like price, advertising, and product capabilities. Traditional models of innovation diffusion ignore the complexity underlying the process of diffusion. Their aim is normative decision support, but these models do not appropriately represent the structural fundamentals of the problem. The use of the system dynamics methodology allows the development of more complex models to investigate the process of innovation diffusion. These models can enhance insight in the problem structure and increase understanding of the complexity and the dynamics caused by the influencing elements. This article shows how the traditional innovation models can be extended to incorporate competition and to map the process of substitution among successive product generations. Several model simulations show the potential of using system dynamics as the modeling methodology in the field of new product diffusion models. \u00a9 1998 John Wiley &amp; Sons, Ltd. ABSTRACT FROM AUTHOR]; Copyright of System Dynamics Review (Wiley) is the property of John Wiley &amp; Sons,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"Maier", "given" : "Frank H", "non-dropping-particle" : "", "parse-names" : false, "suffix" : "" } ], "container-title" : "System Dynamics Review (Wiley)", "id" : "ITEM-1", "issue" : "4", "issued" : { "date-parts" : [ [ "1998" ] ] }, "page" : "285-308", "title" : "New product diffusion models in innovation management\u2014a system dynamics perspective", "type" : "article-journal", "volume" : "14" }, "uris" : [ "http://www.mendeley.com/documents/?uuid=1902dd1e-ff9f-45a3-b6af-ad9ff1de88a4" ] } ], "mendeley" : { "formattedCitation" : "(Maier, 1998)", "plainTextFormattedCitation" : "(Maier, 1998)", "previouslyFormattedCitation" : "(Maier, 1998)" }, "properties" : {  }, "schema" : "https://github.com/citation-style-language/schema/raw/master/csl-citation.json" }</w:instrText>
      </w:r>
      <w:r>
        <w:fldChar w:fldCharType="separate"/>
      </w:r>
      <w:r w:rsidR="00B34C64" w:rsidRPr="00B34C64">
        <w:rPr>
          <w:noProof/>
        </w:rPr>
        <w:t>(Maier, 1998)</w:t>
      </w:r>
      <w:r>
        <w:fldChar w:fldCharType="end"/>
      </w:r>
      <w:r>
        <w:t>.</w:t>
      </w:r>
    </w:p>
    <w:p w:rsidR="00985796" w:rsidRDefault="00EE5B10" w:rsidP="00EE5B10">
      <w:r>
        <w:t xml:space="preserve">O modelo de difusão de </w:t>
      </w:r>
      <w:proofErr w:type="spellStart"/>
      <w:r>
        <w:t>Bass</w:t>
      </w:r>
      <w:proofErr w:type="spellEnd"/>
      <w:r>
        <w:t xml:space="preserve"> </w:t>
      </w:r>
      <w:r>
        <w:fldChar w:fldCharType="begin" w:fldLock="1"/>
      </w:r>
      <w:r>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"suppress-author" : 1, "uris" : [ "http://www.mendeley.com/documents/?uuid=ba3ae769-23ac-41bf-b506-68e895a98dd3" ] } ], "mendeley" : { "formattedCitation" : "(1969)", "plainTextFormattedCitation" : "(1969)", "previouslyFormattedCitation" : "(1969)" }, "properties" : {  }, "schema" : "https://github.com/citation-style-language/schema/raw/master/csl-citation.json" }</w:instrText>
      </w:r>
      <w:r>
        <w:fldChar w:fldCharType="separate"/>
      </w:r>
      <w:r w:rsidRPr="008D7406">
        <w:rPr>
          <w:noProof/>
        </w:rPr>
        <w:t>(1969)</w:t>
      </w:r>
      <w:r>
        <w:fldChar w:fldCharType="end"/>
      </w:r>
      <w:r>
        <w:t xml:space="preserve"> representa a estrutura de crescimento da demanda de um novo produto representando dois grupos distintos de compradores potenciais. Um primeiro grupo de compradores, os “inovadores”, são aqueles que comprarão o novo produto independentemente do número de pessoas que já possui o produto atualmente. Este grupo de compradores é responsável pela difusão inicial do produto. Um segundo grupo de compradores, os “imitadores” são influenciados pelos compradores que já possuem um produto. </w:t>
      </w:r>
    </w:p>
    <w:p w:rsidR="00EE5B10" w:rsidRDefault="00EE5B10" w:rsidP="00EE5B10">
      <w:proofErr w:type="spellStart"/>
      <w:r w:rsidRPr="00D4146C">
        <w:t>Mahajan</w:t>
      </w:r>
      <w:proofErr w:type="spellEnd"/>
      <w:r w:rsidRPr="00D4146C">
        <w:t xml:space="preserve"> e Muller </w:t>
      </w:r>
      <w:r>
        <w:fldChar w:fldCharType="begin" w:fldLock="1"/>
      </w:r>
      <w:r w:rsidRPr="00D4146C">
        <w:instrText>ADDIN CSL_CITATION { "citationItems" : [ { "id" : "ITEM-1", "itemData" : { "DOI" : "10.1016/0040-1625(95)00225-1", "ISBN" : "0040-1625", "ISSN" : "00401625", "abstract" : "Based on the behavioral assumptions of diffusion theory, this article proposes an extension of the Bass diffusion model that simultaneously captures the substitution pattern for each successive generation of a durable technological innovation, and the diffusion pattern of the base technology. Normative guidelines based on the model suggest that a firm should either introduce a new generation as soon as it is available or delay its introduction to a much later date at the maturity stage of the preceding generation. The decision depends on a number of factors including the relative size of the market potentials, gross profit margins, the diffusion and substitution parameters, and the discount factor of the firm. This \"now or at maturity\" rule is thus an extension and generalization of the \"now or never\" rule of Wilson and Norton [25]. Empirical and normative implications of the proposed model are explored for four successive generations on IBM mainframe computers: first generation (vacuum tubes); second generation (transistors); 360 family (integrated circuits); and 370 family (silicon chips). The model describes the growth of these generations well. The application of normative guidelines suggests that IBM introduced the two successive generations of 360 and 370 families too late, i.e., their time to market should have been shorter. Limitations and further extensions of the model and the application are discussed.", "author" : [ { "dropping-particle" : "", "family" : "Mahajan", "given" : "Vijay", "non-dropping-particle" : "", "parse-names" : false, "suffix" : "" }, { "dropping-particle" : "", "family" : "Muller", "given" : "Eitan", "non-dropping-particle" : "", "parse-names" : false, "suffix" : "" } ], "container-title" : "Technological Forecasting and Social Change", "id" : "ITEM-1", "issue" : "2", "issued" : { "date-parts" : [ [ "1996" ] ] }, "page" : "109-132", "title" : "Timing, diffusion, and substitution of successive generations of technological innovations: The IBM mainframe case", "type" : "article-journal", "volume" : "51" }, "suppress-author" : 1, "uris" : [ "http://www.mendeley.com/documents/?uuid=342e3978-eca0-413e-a4b1-3e00ea5fb05d" ] } ], "mendeley" : { "formattedCitation" : "(1996)", "plainTextFormattedCitation" : "(1996)", "previouslyFormattedCitation" : "(1996)" }, "properties" : {  }, "schema" : "https://github.com/citation-style-language/schema/raw/master/csl-citation.json" }</w:instrText>
      </w:r>
      <w:r>
        <w:fldChar w:fldCharType="separate"/>
      </w:r>
      <w:r w:rsidRPr="00D4146C">
        <w:rPr>
          <w:noProof/>
        </w:rPr>
        <w:t>(1996)</w:t>
      </w:r>
      <w:r>
        <w:fldChar w:fldCharType="end"/>
      </w:r>
      <w:r w:rsidRPr="00D4146C">
        <w:t xml:space="preserve"> criticaram os modelos originais de </w:t>
      </w:r>
      <w:proofErr w:type="spellStart"/>
      <w:r w:rsidRPr="00D4146C">
        <w:t>Bass</w:t>
      </w:r>
      <w:proofErr w:type="spellEnd"/>
      <w:r w:rsidRPr="00D4146C">
        <w:t xml:space="preserve"> </w:t>
      </w:r>
      <w:r>
        <w:fldChar w:fldCharType="begin" w:fldLock="1"/>
      </w:r>
      <w:r w:rsidRPr="00D4146C">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"suppress-author" : 1, "uris" : [ "http://www.mendeley.com/documents/?uuid=ba3ae769-23ac-41bf-b506-68e895a98dd3" ] } ], "mendeley" : { "formattedCitation" : "(1969)", "plainTextFormattedCitation" : "(1969)", "previouslyFormattedCitation" : "(1969)" }, "properties" : {  }, "schema" : "https://github.com/citation-style-language/schema/raw/master/csl-citation.json" }</w:instrText>
      </w:r>
      <w:r>
        <w:fldChar w:fldCharType="separate"/>
      </w:r>
      <w:r w:rsidRPr="00D4146C">
        <w:rPr>
          <w:noProof/>
        </w:rPr>
        <w:t>(1969)</w:t>
      </w:r>
      <w:r>
        <w:fldChar w:fldCharType="end"/>
      </w:r>
      <w:r w:rsidRPr="00D4146C">
        <w:t xml:space="preserve">, por não capturar a sucessão de diferentes gerações de produtos. </w:t>
      </w:r>
      <w:r>
        <w:t xml:space="preserve">Deste modo, </w:t>
      </w:r>
      <w:proofErr w:type="spellStart"/>
      <w:r>
        <w:t>Mahajan</w:t>
      </w:r>
      <w:proofErr w:type="spellEnd"/>
      <w:r>
        <w:t xml:space="preserve"> e Muller </w:t>
      </w:r>
      <w:r>
        <w:fldChar w:fldCharType="begin" w:fldLock="1"/>
      </w:r>
      <w:r>
        <w:instrText>ADDIN CSL_CITATION { "citationItems" : [ { "id" : "ITEM-1", "itemData" : { "DOI" : "10.1016/0040-1625(95)00225-1", "ISBN" : "0040-1625", "ISSN" : "00401625", "abstract" : "Based on the behavioral assumptions of diffusion theory, this article proposes an extension of the Bass diffusion model that simultaneously captures the substitution pattern for each successive generation of a durable technological innovation, and the diffusion pattern of the base technology. Normative guidelines based on the model suggest that a firm should either introduce a new generation as soon as it is available or delay its introduction to a much later date at the maturity stage of the preceding generation. The decision depends on a number of factors including the relative size of the market potentials, gross profit margins, the diffusion and substitution parameters, and the discount factor of the firm. This \"now or at maturity\" rule is thus an extension and generalization of the \"now or never\" rule of Wilson and Norton [25]. Empirical and normative implications of the proposed model are explored for four successive generations on IBM mainframe computers: first generation (vacuum tubes); second generation (transistors); 360 family (integrated circuits); and 370 family (silicon chips). The model describes the growth of these generations well. The application of normative guidelines suggests that IBM introduced the two successive generations of 360 and 370 families too late, i.e., their time to market should have been shorter. Limitations and further extensions of the model and the application are discussed.", "author" : [ { "dropping-particle" : "", "family" : "Mahajan", "given" : "Vijay", "non-dropping-particle" : "", "parse-names" : false, "suffix" : "" }, { "dropping-particle" : "", "family" : "Muller", "given" : "Eitan", "non-dropping-particle" : "", "parse-names" : false, "suffix" : "" } ], "container-title" : "Technological Forecasting and Social Change", "id" : "ITEM-1", "issue" : "2", "issued" : { "date-parts" : [ [ "1996" ] ] }, "page" : "109-132", "title" : "Timing, diffusion, and substitution of successive generations of technological innovations: The IBM mainframe case", "type" : "article-journal", "volume" : "51" }, "suppress-author" : 1, "uris" : [ "http://www.mendeley.com/documents/?uuid=342e3978-eca0-413e-a4b1-3e00ea5fb05d" ] } ], "mendeley" : { "formattedCitation" : "(1996)", "plainTextFormattedCitation" : "(1996)", "previouslyFormattedCitation" : "(1996)" }, "properties" : {  }, "schema" : "https://github.com/citation-style-language/schema/raw/master/csl-citation.json" }</w:instrText>
      </w:r>
      <w:r>
        <w:fldChar w:fldCharType="separate"/>
      </w:r>
      <w:r w:rsidRPr="00D305D8">
        <w:rPr>
          <w:noProof/>
        </w:rPr>
        <w:t>(1996)</w:t>
      </w:r>
      <w:r>
        <w:fldChar w:fldCharType="end"/>
      </w:r>
      <w:r>
        <w:t xml:space="preserve"> procuraram avaliar como o timing de introdução de novos produtos pode impactar a adoção dos produtos existentes, utilizando como caso de aplicação os mainframes da IBM. Este modelo, no entanto, não representa a competição entre empresas, o que o torna limitado para o escopo deste trabalho.</w:t>
      </w:r>
    </w:p>
    <w:p w:rsidR="00EE5B10" w:rsidRDefault="00EE5B10" w:rsidP="00EE5B10">
      <w:r>
        <w:t xml:space="preserve">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contribui significativamente para com este trabalho por possuir uma série de características que o permitem representar a dinâmica competitiva de players em um mercado nascente. Em primeiro lugar, o modelo contempla uma estrutura de difusão de produto vinculada à uma curva de demanda e preço. Em segundo lugar, o modelo representa a competição de diversos players, levando em consideração </w:t>
      </w:r>
      <w:proofErr w:type="spellStart"/>
      <w:r>
        <w:t>delays</w:t>
      </w:r>
      <w:proofErr w:type="spellEnd"/>
      <w:r>
        <w:t xml:space="preserve"> inseridos nos processos de ajuste de capacidade e preço..</w:t>
      </w:r>
      <w:r>
        <w:fldChar w:fldCharType="begin" w:fldLock="1"/>
      </w:r>
      <w:r w:rsidR="00B04F2F">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"uris" : [ "http://www.mendeley.com/documents/?uuid=6caefebb-0cb1-43d0-9c7d-ca534a15d09b" ] } ], "mendeley" : { "formattedCitation" : "(J. D. Sterman et al., 2007)", "plainTextFormattedCitation" : "(J. D. Sterman et al., 2007)", "previouslyFormattedCitation" : "(J. D. Sterman et al., 2007)" }, "properties" : {  }, "schema" : "https://github.com/citation-style-language/schema/raw/master/csl-citation.json" }</w:instrText>
      </w:r>
      <w:r>
        <w:fldChar w:fldCharType="separate"/>
      </w:r>
      <w:r w:rsidR="00024DAB" w:rsidRPr="00024DAB">
        <w:rPr>
          <w:noProof/>
        </w:rPr>
        <w:t>(J. D. Sterman et al., 2007)</w:t>
      </w:r>
      <w:r>
        <w:fldChar w:fldCharType="end"/>
      </w:r>
      <w:r>
        <w:t>.</w:t>
      </w:r>
    </w:p>
    <w:p w:rsidR="00EE5B10" w:rsidRDefault="00EE5B10" w:rsidP="00EE5B10">
      <w:r>
        <w:t xml:space="preserve">O modelo não possui, no entanto, o critério de performance como fator para a definição do </w:t>
      </w:r>
      <w:proofErr w:type="spellStart"/>
      <w:r>
        <w:t>market</w:t>
      </w:r>
      <w:proofErr w:type="spellEnd"/>
      <w:r>
        <w:t xml:space="preserve"> </w:t>
      </w:r>
      <w:proofErr w:type="spellStart"/>
      <w:r>
        <w:t>share</w:t>
      </w:r>
      <w:proofErr w:type="spellEnd"/>
      <w:r>
        <w:t xml:space="preserve"> entre os players. No modelo original, o </w:t>
      </w:r>
      <w:proofErr w:type="spellStart"/>
      <w:r>
        <w:t>market</w:t>
      </w:r>
      <w:proofErr w:type="spellEnd"/>
      <w:r>
        <w:t xml:space="preserve"> </w:t>
      </w:r>
      <w:proofErr w:type="spellStart"/>
      <w:r>
        <w:t>share</w:t>
      </w:r>
      <w:proofErr w:type="spellEnd"/>
      <w:r>
        <w:t xml:space="preserve"> é dividido somente segundo o preço dos players e o tempo de entrega de seus produtos. Ainda assim, a estrutura modelada por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permite a inclusão de novos fatores. Finalmente, 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é exaustivamente documentado, e possui as informações necessárias para a replicação de seu modelo. Por estes motivos, 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foi selecionado como ponto de partida para este trabalho.</w:t>
      </w:r>
    </w:p>
    <w:p w:rsidR="001277A3" w:rsidRDefault="00EE5B10" w:rsidP="001277A3">
      <w:pPr>
        <w:pStyle w:val="Ttulo2"/>
      </w:pPr>
      <w:r>
        <w:t>RDM – Robust Decision Making</w:t>
      </w:r>
    </w:p>
    <w:p w:rsidR="00EE5B10" w:rsidRDefault="00EE5B10" w:rsidP="00EE5B10">
      <w:pPr>
        <w:ind w:firstLine="737"/>
      </w:pPr>
      <w:r w:rsidRPr="00B16A97">
        <w:t>O</w:t>
      </w:r>
      <w:r w:rsidRPr="003227C0">
        <w:t xml:space="preserve"> RDM (Robust Decision Maki</w:t>
      </w:r>
      <w:r>
        <w:t xml:space="preserve">ng) é uma abordagem quantitativa que busca endereçar o desafio de tomar decisões em condições de incerteza profunda (ou </w:t>
      </w:r>
      <w:r>
        <w:rPr>
          <w:i/>
        </w:rPr>
        <w:t xml:space="preserve">deep </w:t>
      </w:r>
      <w:r w:rsidRPr="009E12E9">
        <w:t>uncertainty</w:t>
      </w:r>
      <w:r>
        <w:t xml:space="preserve">). </w:t>
      </w:r>
      <w:r>
        <w:lastRenderedPageBreak/>
        <w:fldChar w:fldCharType="begin" w:fldLock="1"/>
      </w:r>
      <w:r w:rsidR="00024DAB">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"id" : "ITEM-2",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"ITEM-2",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2006, 2003)", "plainTextFormattedCitation" : "(Lempert et al., 2006, 2003)", "previouslyFormattedCitation" : "(Lempert et al., 2006, 2003)" }, "properties" : {  }, "schema" : "https://github.com/citation-style-language/schema/raw/master/csl-citation.json" }</w:instrText>
      </w:r>
      <w:r>
        <w:fldChar w:fldCharType="separate"/>
      </w:r>
      <w:r w:rsidR="00B34C64" w:rsidRPr="00B34C64">
        <w:rPr>
          <w:noProof/>
        </w:rPr>
        <w:t>(Lempert et al., 2006, 2003)</w:t>
      </w:r>
      <w:r>
        <w:fldChar w:fldCharType="end"/>
      </w:r>
      <w:r w:rsidRPr="00FC67DB">
        <w:t xml:space="preserve">. </w:t>
      </w:r>
      <w:r>
        <w:t>Embora possa ser de difícil implementação, o RDM opera sob um princípio simples. Ao invés de usar modelos computacionais e dados para descrever ou prever o futuro que mais provavelmente acontecerá, o RDM executa modelos computacionais para descobrir como estratégias se comportariam em centenas ou milhares de diferentes futuros plausíveis.</w:t>
      </w:r>
      <w:r>
        <w:fldChar w:fldCharType="begin" w:fldLock="1"/>
      </w:r>
      <w:r w:rsidR="00024DAB">
        <w:instrText>ADDIN CSL_CITATION { "citationItems" : [ { "id" : "ITEM-1", "itemData" : { "ISBN" : "RB-9701", "abstract" : "When policymakers and decisionmakers face a hard-to- predict, deeply uncertain future, they need more than traditional prediction-based decision analysis to help them choose among alternatives. Fortunately, there are new approaches, such as Robust Decision Making (RDM), that exploit increasingly capable computer tools and are well suited for such situations. RDM rests on a simple concept: Rather than using models and data to describe a best-estimate future, RDM runs models many hundreds to thousands of times to determine how plans perform in a range of plausible futures. Visualization and statistical analysis of the resulting database of runs then help decisionmakers dis- tinguish those future conditions in which their plans perform well from those in which their plans perform poorly, assist- ing them in making their plans more robust. This research highlight discusses how RDM works and illustrates its ben- efits through two example applications: helping a water management agency adaptively plan for climate change and determining whether federal terrorism insurance would cost or save taxpayers money.", "author" : [ { "dropping-particle" : "", "family" : "Rand", "given" : "", "non-dropping-particle" : "", "parse-names" : false, "suffix" : "" } ], "container-title" : "RAND Corporation Research Highlights", "id" : "ITEM-1", "issued" : { "date-parts" : [ [ "2013" ] ] }, "page" : "1-7", "title" : "Making Good Decisions Without Predictions", "type" : "article-journal" }, "uris" : [ "http://www.mendeley.com/documents/?uuid=5d54119c-5cfa-4ce1-a55e-6a4b16585f01" ] } ], "mendeley" : { "formattedCitation" : "(Rand, 2013)", "plainTextFormattedCitation" : "(Rand, 2013)", "previouslyFormattedCitation" : "(Rand, 2013)" }, "properties" : {  }, "schema" : "https://github.com/citation-style-language/schema/raw/master/csl-citation.json" }</w:instrText>
      </w:r>
      <w:r>
        <w:fldChar w:fldCharType="separate"/>
      </w:r>
      <w:r w:rsidR="00B34C64" w:rsidRPr="00B34C64">
        <w:rPr>
          <w:noProof/>
        </w:rPr>
        <w:t>(Rand, 2013)</w:t>
      </w:r>
      <w:r>
        <w:fldChar w:fldCharType="end"/>
      </w:r>
      <w:r>
        <w:t xml:space="preserve">. Em situações nas quais há uma quantidade extensa de possíveis estratégias, o RDM propõe-se como uma abordagem sistemática para explorar e encontrar aquelas que provavelmente serão robustas.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t>.</w:t>
      </w:r>
    </w:p>
    <w:p w:rsidR="00EE5B10" w:rsidRDefault="00EE5B10" w:rsidP="008F3E13">
      <w:pPr>
        <w:ind w:firstLine="737"/>
      </w:pPr>
      <w:r>
        <w:t xml:space="preserve">A abordagem do RDM é composta por quatro elementos principais.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O primeiro deles é a </w:t>
      </w:r>
      <w:r w:rsidRPr="00D41DEF">
        <w:rPr>
          <w:i/>
        </w:rPr>
        <w:t>consideração de um grande conjunto de cenários</w:t>
      </w:r>
      <w:r>
        <w:t xml:space="preserve">. Tal conjunto de cenários considera uma ampla gama de futuros plausíveis de modo a desafiar estratégias alternativas. Este aspecto é importante para absorver diferentes informações e expectativas que </w:t>
      </w:r>
      <w:r w:rsidRPr="006A2F1E">
        <w:rPr>
          <w:i/>
        </w:rPr>
        <w:t>stakeholders</w:t>
      </w:r>
      <w:r>
        <w:rPr>
          <w:i/>
        </w:rPr>
        <w:t xml:space="preserve"> </w:t>
      </w:r>
      <w:r>
        <w:t xml:space="preserve">possam ter sobre o que o futuro poderá ser.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w:t>
      </w:r>
    </w:p>
    <w:p w:rsidR="00EE5B10" w:rsidRPr="00AF0D6F" w:rsidRDefault="00EE5B10" w:rsidP="00EE5B10">
      <w:pPr>
        <w:ind w:firstLine="737"/>
      </w:pPr>
      <w:r>
        <w:t xml:space="preserve">O segundo elemento é a </w:t>
      </w:r>
      <w:r>
        <w:rPr>
          <w:i/>
        </w:rPr>
        <w:t>procura de estratégias robustas ao invés de “ótimas”</w:t>
      </w:r>
      <w:r>
        <w:t xml:space="preserve">.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A robustez é um critério usualmente utilizado intuitivamente por tomadores de decisão em situações reais de incerteza. Tomadores de decisão tendem a avaliar sua decisão como ruim (ou seja, expressam arrependimento) se o seu resultado é substancialmente pior do que o resultado da sua melhor escolha possível.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t xml:space="preserve">. </w:t>
      </w:r>
    </w:p>
    <w:p w:rsidR="00EE5B10" w:rsidRPr="006715CC" w:rsidRDefault="00EE5B10" w:rsidP="00EE5B10">
      <w:pPr>
        <w:ind w:firstLine="737"/>
      </w:pPr>
      <w:r>
        <w:t xml:space="preserve">O terceiro elemento é o </w:t>
      </w:r>
      <w:r w:rsidRPr="000A0076">
        <w:rPr>
          <w:i/>
        </w:rPr>
        <w:t>emprego de estratégias adaptativas</w:t>
      </w:r>
      <w:r>
        <w:t xml:space="preserve">, as quais evoluem ao longo do tempo, para atingir robustez.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O RDM parte da premissa de que um conjunto inicial de estratégias sob consideração não irá incluir todas as estratégias possíveis. Por este motivo, a identificação de cenários que evidenciam as vulnerabilidades das estratégias candidatas pode contribuir para a proposição de estratégias adaptativas (ou ainda, </w:t>
      </w:r>
      <w:proofErr w:type="spellStart"/>
      <w:r w:rsidRPr="00BC5B27">
        <w:rPr>
          <w:i/>
        </w:rPr>
        <w:t>hedging</w:t>
      </w:r>
      <w:proofErr w:type="spellEnd"/>
      <w:r w:rsidRPr="00BC5B27">
        <w:rPr>
          <w:i/>
        </w:rPr>
        <w:t xml:space="preserve"> </w:t>
      </w:r>
      <w:proofErr w:type="spellStart"/>
      <w:r w:rsidRPr="00BC5B27">
        <w:rPr>
          <w:i/>
        </w:rPr>
        <w:t>actions</w:t>
      </w:r>
      <w:proofErr w:type="spellEnd"/>
      <w:r>
        <w:t xml:space="preserve">), que expandam a análise considerando estratégias mais robustas.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rsidRPr="006715CC">
        <w:t>.</w:t>
      </w:r>
    </w:p>
    <w:p w:rsidR="00257166" w:rsidRPr="00A00EAC" w:rsidRDefault="00EE5B10" w:rsidP="007C571F">
      <w:r w:rsidRPr="00130703">
        <w:t xml:space="preserve">O quarto elemento é projetar a análise para a exploração interativa de diversos futuros plausíveis. </w:t>
      </w:r>
      <w:r w:rsidRPr="00130703">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rsidRPr="00130703">
        <w:fldChar w:fldCharType="separate"/>
      </w:r>
      <w:r w:rsidR="00B34C64" w:rsidRPr="00B34C64">
        <w:rPr>
          <w:noProof/>
        </w:rPr>
        <w:t>(Lempert et al., 2003)</w:t>
      </w:r>
      <w:r w:rsidRPr="00130703">
        <w:fldChar w:fldCharType="end"/>
      </w:r>
      <w:r w:rsidRPr="00130703">
        <w:t xml:space="preserve">. Considerando os elementos anteriores, a abordagem RDM propõe-se como interativa (à medida que propõe a deliberação por parte dos stakeholders utilizando os outputs de suas análises) e iterativa (à medida que requer a repetição dos passos do método em ciclos de identificação e avaliação da vulnerabilidade das estratégias). </w:t>
      </w:r>
      <w:r w:rsidRPr="00130703">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"id" : "ITEM-2",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"ITEM-2", "issued" : { "date-parts" : [ [ "2003" ] ] }, "number-of-pages" : "1-208", "title" : "Shaping the Next One Hundred Years: New Methods for Quantitative, Long-Term Policy Analysis", "type" : "book" }, "uris" : [ "http://www.mendeley.com/documents/?uuid=fc7eef92-8664-499e-ab2a-e8053d5b7ae4" ] }, { "id" : "ITEM-3",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"ITEM-3",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"(Groves, 2006; Lempert et al., 2006, 2003)", "plainTextFormattedCitation" : "(Groves, 2006; Lempert et al., 2006, 2003)", "previouslyFormattedCitation" : "(Groves, 2006; Lempert et al., 2006, 2003)" }, "properties" : {  }, "schema" : "https://github.com/citation-style-language/schema/raw/master/csl-citation.json" }</w:instrText>
      </w:r>
      <w:r w:rsidRPr="00130703">
        <w:fldChar w:fldCharType="separate"/>
      </w:r>
      <w:r w:rsidR="001471E8" w:rsidRPr="001471E8">
        <w:rPr>
          <w:noProof/>
        </w:rPr>
        <w:t>(Groves, 2006; Lempert et al., 2006, 2003)</w:t>
      </w:r>
      <w:r w:rsidRPr="00130703">
        <w:fldChar w:fldCharType="end"/>
      </w:r>
      <w:r w:rsidRPr="00130703">
        <w:t>.</w:t>
      </w:r>
      <w:bookmarkStart w:id="4" w:name="_Toc347931680"/>
      <w:bookmarkStart w:id="5" w:name="_Toc261858524"/>
    </w:p>
    <w:p w:rsidR="002B57EF" w:rsidRDefault="00B50AEB">
      <w:pPr>
        <w:pStyle w:val="Ttulo1"/>
      </w:pPr>
      <w:r>
        <w:lastRenderedPageBreak/>
        <w:t>PROCEDIMENTOS METODOLÓGICOS</w:t>
      </w:r>
    </w:p>
    <w:p w:rsidR="00B50AEB" w:rsidRDefault="00B50AEB" w:rsidP="00B50AEB">
      <w:r>
        <w:t xml:space="preserve">Pesquisas baseadas em modelos quantitativos na área de gestão de operações podem ser classificadas em pesquisas axiomáticas versus empíricas, e entre pesquisas descritivas versus normativas. </w:t>
      </w:r>
      <w:r>
        <w:fldChar w:fldCharType="begin" w:fldLock="1"/>
      </w:r>
      <w:r w:rsidR="00B04F2F">
        <w:instrText>ADDIN CSL_CITATION { "citationItems" : [ { "id" : "ITEM-1", "itemData" : { "DOI" : "10.1108/01443570210414338", "ISBN" : "01443577", "ISSN" : "0144-3577", "PMID" : "205", "abstract" : "Gives an overview of quantitative model-based research in operation management focusing on research methodology. Distinguishes between empirical and axiomatic research, and furthermore between descriptive and normative research. Presents guidelines for doing quantitative model-based research in operations management. In constructing arguments, builds on learning from operations management research from the past decades and on research from a selected number of other academic disciplines. Concludes that the methodology of quantitative model-driven empirical research offers a great opportunity for operation management researchers to further advance theory. ABSTRACT FROM AUTHOR]; Copyright of International Journal of Operations &amp; Production Management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"Fransoo", "given" : "Jan Will M. Bertrand Jan C.", "non-dropping-particle" : "", "parse-names" : false, "suffix" : "" }, { "dropping-particle" : "", "family" : "Bertrand", "given" : "J W", "non-dropping-particle" : "", "parse-names" : false, "suffix" : "" }, { "dropping-particle" : "", "family" : "Fransoo", "given" : "Jan Will M. Bertrand Jan C.", "non-dropping-particle" : "", "parse-names" : false, "suffix" : "" } ], "container-title" : "International Journal of Operations &amp; Production Management", "id" : "ITEM-1", "issue" : "2", "issued" : { "date-parts" : [ [ "2002" ] ] }, "number-of-pages" : "241", "title" : "Operations management research methodologies using quantitative modeling", "type" : "book", "volume" : "22" }, "uris" : [ "http://www.mendeley.com/documents/?uuid=1a9e3043-2199-4e2d-8dd5-cbf436aace0a" ] } ], "mendeley" : { "formattedCitation" : "(Fransoo, Bertrand, &amp; Fransoo, 2002)", "plainTextFormattedCitation" : "(Fransoo, Bertrand, &amp; Fransoo, 2002)", "previouslyFormattedCitation" : "(Fransoo, Bertrand, &amp; Fransoo, 2002)" }, "properties" : {  }, "schema" : "https://github.com/citation-style-language/schema/raw/master/csl-citation.json" }</w:instrText>
      </w:r>
      <w:r>
        <w:fldChar w:fldCharType="separate"/>
      </w:r>
      <w:r w:rsidR="00024DAB" w:rsidRPr="00024DAB">
        <w:rPr>
          <w:noProof/>
        </w:rPr>
        <w:t>(Fransoo, Bertrand, &amp; Fransoo, 2002)</w:t>
      </w:r>
      <w:r>
        <w:fldChar w:fldCharType="end"/>
      </w:r>
      <w:r>
        <w:t>. Este trabalho posiciona-se como uma pesquisa axiomática normativa. A pesquisa é axiomática, visto que produz conhecimento sobre o comportamento de certas variáveis do modelo baseado em pressupostos sobre o comportamento de outras variáveis do modelo. Além disso, a pesquisa é normativa, visto que seu interesse é comparar diversas estratégias para endereçar um problema específico.</w:t>
      </w:r>
      <w:r w:rsidRPr="006A463A">
        <w:t xml:space="preserve"> </w:t>
      </w:r>
      <w:r>
        <w:fldChar w:fldCharType="begin" w:fldLock="1"/>
      </w:r>
      <w:r w:rsidR="00B04F2F">
        <w:instrText>ADDIN CSL_CITATION { "citationItems" : [ { "id" : "ITEM-1", "itemData" : { "DOI" : "10.1108/01443570210414338", "ISBN" : "01443577", "ISSN" : "0144-3577", "PMID" : "205", "abstract" : "Gives an overview of quantitative model-based research in operation management focusing on research methodology. Distinguishes between empirical and axiomatic research, and furthermore between descriptive and normative research. Presents guidelines for doing quantitative model-based research in operations management. In constructing arguments, builds on learning from operations management research from the past decades and on research from a selected number of other academic disciplines. Concludes that the methodology of quantitative model-driven empirical research offers a great opportunity for operation management researchers to further advance theory. ABSTRACT FROM AUTHOR]; Copyright of International Journal of Operations &amp; Production Management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"Fransoo", "given" : "Jan Will M. Bertrand Jan C.", "non-dropping-particle" : "", "parse-names" : false, "suffix" : "" }, { "dropping-particle" : "", "family" : "Bertrand", "given" : "J W", "non-dropping-particle" : "", "parse-names" : false, "suffix" : "" }, { "dropping-particle" : "", "family" : "Fransoo", "given" : "Jan Will M. Bertrand Jan C.", "non-dropping-particle" : "", "parse-names" : false, "suffix" : "" } ], "container-title" : "International Journal of Operations &amp; Production Management", "id" : "ITEM-1", "issue" : "2", "issued" : { "date-parts" : [ [ "2002" ] ] }, "number-of-pages" : "241", "title" : "Operations management research methodologies using quantitative modeling", "type" : "book", "volume" : "22" }, "uris" : [ "http://www.mendeley.com/documents/?uuid=1a9e3043-2199-4e2d-8dd5-cbf436aace0a" ] } ], "mendeley" : { "formattedCitation" : "(Fransoo et al., 2002)", "plainTextFormattedCitation" : "(Fransoo et al., 2002)", "previouslyFormattedCitation" : "(Fransoo et al., 2002)" }, "properties" : {  }, "schema" : "https://github.com/citation-style-language/schema/raw/master/csl-citation.json" }</w:instrText>
      </w:r>
      <w:r>
        <w:fldChar w:fldCharType="separate"/>
      </w:r>
      <w:r w:rsidR="00024DAB" w:rsidRPr="00024DAB">
        <w:rPr>
          <w:noProof/>
        </w:rPr>
        <w:t>(Fransoo et al., 2002)</w:t>
      </w:r>
      <w:r>
        <w:fldChar w:fldCharType="end"/>
      </w:r>
      <w:r>
        <w:t>.</w:t>
      </w:r>
    </w:p>
    <w:p w:rsidR="00B50AEB" w:rsidRDefault="00B50AEB" w:rsidP="00B50AEB">
      <w:r>
        <w:t xml:space="preserve">A </w:t>
      </w:r>
      <w:r>
        <w:fldChar w:fldCharType="begin"/>
      </w:r>
      <w:r>
        <w:instrText xml:space="preserve"> REF _Ref481330158 \h </w:instrText>
      </w:r>
      <w:r>
        <w:fldChar w:fldCharType="separate"/>
      </w:r>
      <w:r w:rsidR="00A65D24">
        <w:t xml:space="preserve">Figura </w:t>
      </w:r>
      <w:r w:rsidR="00A65D24">
        <w:rPr>
          <w:noProof/>
        </w:rPr>
        <w:t>1</w:t>
      </w:r>
      <w:r>
        <w:fldChar w:fldCharType="end"/>
      </w:r>
      <w:r>
        <w:t xml:space="preserve"> apresenta as etapas do método de trabalho desta pesquisa. O método foi baseado nas etapas do método RDM, adaptando-o para as necessidades deste trabalho específico. A análise dos modelos para suporte a decisões estratégicas apresentada na seção 2.</w:t>
      </w:r>
      <w:r w:rsidR="00692763">
        <w:t>2</w:t>
      </w:r>
      <w:r>
        <w:t xml:space="preserve"> permitiu identificar e selecionar o modelo de </w:t>
      </w:r>
      <w:proofErr w:type="spellStart"/>
      <w:r>
        <w:t>Sterman</w:t>
      </w:r>
      <w:proofErr w:type="spellEnd"/>
      <w:r>
        <w:t xml:space="preserve"> et. al (2007) como ponto de partida para este trabalho. Este trabalho optou por utilizar a simulação de dinâmica de sistemas como paradigma de modelagem. A simulação de dinâmica de sistemas é propícia para a representação de fenômenos dinâmicos </w:t>
      </w:r>
      <w:r>
        <w:fldChar w:fldCharType="begin" w:fldLock="1"/>
      </w:r>
      <w:r w:rsidR="00B04F2F">
        <w:instrText>ADDIN CSL_CITATION { "citationItems" : [ { "id" : "ITEM-1", "itemData" : { "ISBN" : "9780072311358", "author" : [ { "dropping-particle" : "", "family" : "Sterman", "given" : "J", "non-dropping-particle" : "", "parse-names" : false, "suffix" : "" } ], "collection-title" : "McGraw-Hill Higher Education", "id" : "ITEM-1", "issued" : { "date-parts" : [ [ "2000" ] ] }, "publisher" : "Irwin/McGraw-Hill", "title" : "Business Dynamics: Systems Thinking and Modeling for a Complex World", "type" : "book" }, "uris" : [ "http://www.mendeley.com/documents/?uuid=88f28a50-f9a8-4e90-b3ac-7a4c7fa4c3cf" ] } ], "mendeley" : { "formattedCitation" : "(J. Sterman, 2000)", "plainTextFormattedCitation" : "(J. Sterman, 2000)", "previouslyFormattedCitation" : "(J. Sterman, 2000)" }, "properties" : {  }, "schema" : "https://github.com/citation-style-language/schema/raw/master/csl-citation.json" }</w:instrText>
      </w:r>
      <w:r>
        <w:fldChar w:fldCharType="separate"/>
      </w:r>
      <w:r w:rsidR="00024DAB" w:rsidRPr="00024DAB">
        <w:rPr>
          <w:noProof/>
        </w:rPr>
        <w:t>(J. Sterman, 2000)</w:t>
      </w:r>
      <w:r>
        <w:fldChar w:fldCharType="end"/>
      </w:r>
      <w:r>
        <w:t xml:space="preserve">, e foi reconhecida como técnica propícia para a modelagem de problemas de estratégia empresarial </w:t>
      </w:r>
      <w:r>
        <w:rPr>
          <w:rFonts w:cs="Arial"/>
          <w:color w:val="000000"/>
          <w:sz w:val="22"/>
          <w:szCs w:val="22"/>
        </w:rPr>
        <w:fldChar w:fldCharType="begin" w:fldLock="1"/>
      </w:r>
      <w:r w:rsidR="00B04F2F">
        <w:rPr>
          <w:rFonts w:cs="Arial"/>
          <w:color w:val="000000"/>
          <w:sz w:val="22"/>
          <w:szCs w:val="22"/>
        </w:rPr>
        <w:instrText>ADDIN CSL_CITATION { "citationItems" : [ { "id" : "ITEM-1", "itemData" : { "DOI" : "10.1002/smj.4250050303", "ISSN" : "01432095", "author" : [ { "dropping-particle" : "", "family" : "Morecroft", "given" : "John D. W.", "non-dropping-particle" : "", "parse-names" : false, "suffix" : "" } ], "container-title" : "Strategic Management Journal", "id" : "ITEM-1", "issue" : "3", "issued" : { "date-parts" : [ [ "1984", "7" ] ] }, "page" : "215-229", "title" : "Strategy support models", "type" : "article-journal", "volume" : "5" }, "uris" : [ "http://www.mendeley.com/documents/?uuid=a7c007c4-e134-4ac5-949e-b0ff2d0f23a7" ] } ], "mendeley" : { "formattedCitation" : "(Morecroft, 1984)", "plainTextFormattedCitation" : "(Morecroft, 1984)", "previouslyFormattedCitation" : "(Morecroft, 1984)" }, "properties" : {  }, "schema" : "https://github.com/citation-style-language/schema/raw/master/csl-citation.json" }</w:instrText>
      </w:r>
      <w:r>
        <w:rPr>
          <w:rFonts w:cs="Arial"/>
          <w:color w:val="000000"/>
          <w:sz w:val="22"/>
          <w:szCs w:val="22"/>
        </w:rPr>
        <w:fldChar w:fldCharType="separate"/>
      </w:r>
      <w:r w:rsidR="00024DAB" w:rsidRPr="00024DAB">
        <w:rPr>
          <w:rFonts w:cs="Arial"/>
          <w:noProof/>
          <w:color w:val="000000"/>
          <w:sz w:val="22"/>
          <w:szCs w:val="22"/>
        </w:rPr>
        <w:t>(Morecroft, 1984)</w:t>
      </w:r>
      <w:r>
        <w:rPr>
          <w:rFonts w:cs="Arial"/>
          <w:color w:val="000000"/>
          <w:sz w:val="22"/>
          <w:szCs w:val="22"/>
        </w:rPr>
        <w:fldChar w:fldCharType="end"/>
      </w:r>
      <w:r>
        <w:t xml:space="preserve">. </w:t>
      </w:r>
    </w:p>
    <w:p w:rsidR="007C571F" w:rsidRDefault="00B50AEB" w:rsidP="007C571F">
      <w:r>
        <w:t xml:space="preserve">A primeira etapa do trabalho consistiu em definir os elementos da estruturação do problema. </w:t>
      </w:r>
      <w:r w:rsidR="007C571F">
        <w:t xml:space="preserve">A etapa de estruturação do problema foi executada a partir do modelo de </w:t>
      </w:r>
      <w:proofErr w:type="spellStart"/>
      <w:r w:rsidR="007C571F">
        <w:t>Sterman</w:t>
      </w:r>
      <w:proofErr w:type="spellEnd"/>
      <w:r w:rsidR="007C571F">
        <w:t xml:space="preserve"> et al. (2007), dos modelos de difusão de produtos revisados na seção 2.2</w:t>
      </w:r>
      <w:r w:rsidR="00692763">
        <w:t xml:space="preserve">. </w:t>
      </w:r>
      <w:r w:rsidR="007C571F">
        <w:t xml:space="preserve">Em seguida, foi executada a formulação do modelo matemático. Nesta etapa, o modelo de </w:t>
      </w:r>
      <w:proofErr w:type="spellStart"/>
      <w:r w:rsidR="007C571F">
        <w:t>Sterman</w:t>
      </w:r>
      <w:proofErr w:type="spellEnd"/>
      <w:r w:rsidR="007C571F">
        <w:t xml:space="preserve"> et al. (2007) foi ampliado com o propósito de acomodar as modificações necessárias para a simulação no contexto da indústria da manufatura aditiva</w:t>
      </w:r>
      <w:r w:rsidR="00692763">
        <w:t xml:space="preserve">. O modelo foi simulado, visando testar cada uma das estratégias em um conjunto de cenários definidos a partir das incertezas presentes no modelo. Considerando estas definições realizadas, as incertezas consideradas (parâmetros cujos valores máximos e mínimos é diferente) foram obtidas a partir do procedimento de amostragem </w:t>
      </w:r>
      <w:r w:rsidR="00692763" w:rsidRPr="005A1BDD">
        <w:rPr>
          <w:i/>
        </w:rPr>
        <w:t>Latin Hypercube Sampling</w:t>
      </w:r>
      <w:r w:rsidR="00692763">
        <w:t xml:space="preserve">, assim como recomendado pela abordagem RDM. </w:t>
      </w:r>
      <w:r w:rsidR="00692763">
        <w:fldChar w:fldCharType="begin" w:fldLock="1"/>
      </w:r>
      <w:r w:rsidR="00692763">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"(Lempert et al., 2006)", "plainTextFormattedCitation" : "(Lempert et al., 2006)", "previouslyFormattedCitation" : "(Lempert et al., 2006)" }, "properties" : {  }, "schema" : "https://github.com/citation-style-language/schema/raw/master/csl-citation.json" }</w:instrText>
      </w:r>
      <w:r w:rsidR="00692763">
        <w:fldChar w:fldCharType="separate"/>
      </w:r>
      <w:r w:rsidR="00692763" w:rsidRPr="00024DAB">
        <w:rPr>
          <w:noProof/>
        </w:rPr>
        <w:t>(Lempert et al., 2006)</w:t>
      </w:r>
      <w:r w:rsidR="00692763">
        <w:fldChar w:fldCharType="end"/>
      </w:r>
      <w:r w:rsidR="00692763">
        <w:t>. Foi obtida uma amostra de 200 casos para a representação das incertezas, de modo que cada estratégia testada foi avaliada nas mesmas 200 condições iniciais.</w:t>
      </w:r>
    </w:p>
    <w:p w:rsidR="00FA6222" w:rsidRDefault="00FA6222" w:rsidP="00FA6222">
      <w:pPr>
        <w:pStyle w:val="Legenda"/>
      </w:pPr>
      <w:bookmarkStart w:id="6" w:name="_Ref481330158"/>
      <w:bookmarkStart w:id="7" w:name="_Toc505157889"/>
      <w:r>
        <w:lastRenderedPageBreak/>
        <w:t xml:space="preserve">Figura </w:t>
      </w:r>
      <w:fldSimple w:instr=" SEQ Figura \* ARABIC ">
        <w:r w:rsidR="00A65D24">
          <w:rPr>
            <w:noProof/>
          </w:rPr>
          <w:t>1</w:t>
        </w:r>
      </w:fldSimple>
      <w:bookmarkEnd w:id="6"/>
      <w:r>
        <w:t xml:space="preserve"> – Método de Trabalho – Visão Geral</w:t>
      </w:r>
      <w:bookmarkEnd w:id="7"/>
    </w:p>
    <w:p w:rsidR="00FA6222" w:rsidRDefault="00292872" w:rsidP="00FA6222">
      <w:pPr>
        <w:ind w:firstLine="0"/>
        <w:jc w:val="center"/>
      </w:pPr>
      <w:r>
        <w:rPr>
          <w:noProof/>
        </w:rPr>
        <w:drawing>
          <wp:inline distT="0" distB="0" distL="0" distR="0" wp14:anchorId="06EF6ABA">
            <wp:extent cx="5078095" cy="5047615"/>
            <wp:effectExtent l="0" t="0" r="825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8095" cy="5047615"/>
                    </a:xfrm>
                    <a:prstGeom prst="rect">
                      <a:avLst/>
                    </a:prstGeom>
                    <a:noFill/>
                  </pic:spPr>
                </pic:pic>
              </a:graphicData>
            </a:graphic>
          </wp:inline>
        </w:drawing>
      </w:r>
    </w:p>
    <w:p w:rsidR="00FA6222" w:rsidRDefault="00FA6222" w:rsidP="00FA6222">
      <w:pPr>
        <w:ind w:firstLine="0"/>
        <w:jc w:val="center"/>
      </w:pPr>
      <w:r>
        <w:t xml:space="preserve">Fonte: Elaborado pelo Autor a partir de Lempert et al. </w:t>
      </w:r>
      <w:r>
        <w:fldChar w:fldCharType="begin" w:fldLock="1"/>
      </w:r>
      <w: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"suppress-author" : 1, "uris" : [ "http://www.mendeley.com/documents/?uuid=4a76305e-bf08-4fcd-b85b-18bd106f7fb5" ] } ], "mendeley" : { "formattedCitation" : "(2006)", "plainTextFormattedCitation" : "(2006)", "previouslyFormattedCitation" : "(2006)" }, "properties" : {  }, "schema" : "https://github.com/citation-style-language/schema/raw/master/csl-citation.json" }</w:instrText>
      </w:r>
      <w:r>
        <w:fldChar w:fldCharType="separate"/>
      </w:r>
      <w:r w:rsidRPr="009E7FA6">
        <w:rPr>
          <w:noProof/>
        </w:rPr>
        <w:t>(2006)</w:t>
      </w:r>
      <w:r>
        <w:fldChar w:fldCharType="end"/>
      </w:r>
      <w:r>
        <w:t>.</w:t>
      </w:r>
    </w:p>
    <w:p w:rsidR="007C571F" w:rsidRDefault="00561740" w:rsidP="00FA6222">
      <w:r>
        <w:t xml:space="preserve">A próxima etapa da análise tratou-se da Descoberta de Cenários. O objetivo desta etapa foi identificar as condições nas quais uma determinada estratégia candidata falhará. </w:t>
      </w:r>
      <w:r>
        <w:fldChar w:fldCharType="begin" w:fldLock="1"/>
      </w:r>
      <w:r>
        <w:instrText>ADDIN CSL_CITATION { "citationItems" : [ { "id" : "ITEM-1", "itemData" : { "DOI" : "10.1016/j.techfore.2009.08.002", "ISBN" : "0040-1625", "ISSN" : "00401625", "abstract" : "Scenarios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 "author" : [ { "dropping-particle" : "", "family" : "Bryant", "given" : "Benjamin P.", "non-dropping-particle" : "", "parse-names" : false, "suffix" : "" }, { "dropping-particle" : "", "family" : "Lempert", "given" : "Robert J.", "non-dropping-particle" : "", "parse-names" : false, "suffix" : "" } ], "container-title" : "Technological Forecasting and Social Change", "id" : "ITEM-1", "issue" : "1", "issued" : { "date-parts" : [ [ "2010" ] ] }, "page" : "34-49", "publisher" : "Elsevier Inc.", "title" : "Thinking inside the box: A participatory, computer-assisted approach to scenario discovery", "type" : "article-journal", "volume" : "77" }, "uris" : [ "http://www.mendeley.com/documents/?uuid=79f47962-3d2f-4007-b2fb-17ac3c6b1afd" ] } ], "mendeley" : { "formattedCitation" : "(Bryant &amp; Lempert, 2010)", "plainTextFormattedCitation" : "(Bryant &amp; Lempert, 2010)", "previouslyFormattedCitation" : "(Bryant &amp; Lempert, 2010)" }, "properties" : {  }, "schema" : "https://github.com/citation-style-language/schema/raw/master/csl-citation.json" }</w:instrText>
      </w:r>
      <w:r>
        <w:fldChar w:fldCharType="separate"/>
      </w:r>
      <w:r w:rsidRPr="00024DAB">
        <w:rPr>
          <w:noProof/>
        </w:rPr>
        <w:t>(Bryant &amp; Lempert, 2010)</w:t>
      </w:r>
      <w:r>
        <w:fldChar w:fldCharType="end"/>
      </w:r>
      <w:r>
        <w:t xml:space="preserve">. O método RDM recomenda a utilização do algoritmo PRIM para a execução da análise de vulnerabilidades de uma determinada estratégia. </w:t>
      </w:r>
      <w:r>
        <w:fldChar w:fldCharType="begin" w:fldLock="1"/>
      </w:r>
      <w: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"id" : "ITEM-2", "itemData" : { "DOI" : "10.1016/j.techfore.2009.08.002", "ISBN" : "0040-1625", "ISSN" : "00401625", "abstract" : "Scenarios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 "author" : [ { "dropping-particle" : "", "family" : "Bryant", "given" : "Benjamin P.", "non-dropping-particle" : "", "parse-names" : false, "suffix" : "" }, { "dropping-particle" : "", "family" : "Lempert", "given" : "Robert J.", "non-dropping-particle" : "", "parse-names" : false, "suffix" : "" } ], "container-title" : "Technological Forecasting and Social Change", "id" : "ITEM-2", "issue" : "1", "issued" : { "date-parts" : [ [ "2010" ] ] }, "page" : "34-49", "publisher" : "Elsevier Inc.", "title" : "Thinking inside the box: A participatory, computer-assisted approach to scenario discovery", "type" : "article-journal", "volume" : "77" }, "uris" : [ "http://www.mendeley.com/documents/?uuid=79f47962-3d2f-4007-b2fb-17ac3c6b1afd" ] } ], "mendeley" : { "formattedCitation" : "(Bryant &amp; Lempert, 2010; Lempert et al., 2006)", "plainTextFormattedCitation" : "(Bryant &amp; Lempert, 2010; Lempert et al., 2006)", "previouslyFormattedCitation" : "(Bryant &amp; Lempert, 2010; Lempert et al., 2006)" }, "properties" : {  }, "schema" : "https://github.com/citation-style-language/schema/raw/master/csl-citation.json" }</w:instrText>
      </w:r>
      <w:r>
        <w:fldChar w:fldCharType="separate"/>
      </w:r>
      <w:r w:rsidRPr="00024DAB">
        <w:rPr>
          <w:noProof/>
        </w:rPr>
        <w:t>(Bryant &amp; Lempert, 2010; Lempert et al., 2006)</w:t>
      </w:r>
      <w:r>
        <w:fldChar w:fldCharType="end"/>
      </w:r>
      <w:r>
        <w:t xml:space="preserve">. Desta maneira, busca-se definir as condições nas quais uma dada estratégia tem maior chance de falhar. No entanto, o algoritmo PRIM possui características que limitam a validade de suas conclusões, se utilizado de modo independente. Como um algoritmo de otimização </w:t>
      </w:r>
      <w:proofErr w:type="spellStart"/>
      <w:r w:rsidRPr="00593DDE">
        <w:rPr>
          <w:i/>
        </w:rPr>
        <w:t>hill</w:t>
      </w:r>
      <w:proofErr w:type="spellEnd"/>
      <w:r w:rsidRPr="00593DDE">
        <w:rPr>
          <w:i/>
        </w:rPr>
        <w:t xml:space="preserve"> </w:t>
      </w:r>
      <w:proofErr w:type="spellStart"/>
      <w:r w:rsidRPr="00593DDE">
        <w:rPr>
          <w:i/>
        </w:rPr>
        <w:t>climbing</w:t>
      </w:r>
      <w:proofErr w:type="spellEnd"/>
      <w:r>
        <w:t xml:space="preserve">, o PRIM possui limitações que podem implicar em escolher incertezas que não são de fato significativas para determinar a variável de interesse. </w:t>
      </w:r>
      <w:r>
        <w:fldChar w:fldCharType="begin" w:fldLock="1"/>
      </w:r>
      <w:r>
        <w:instrText>ADDIN CSL_CITATION { "citationItems" : [ { "id" : "ITEM-1", "itemData" : { "DOI" : "10.1016/j.techfore.2016.06.014", "ISBN" : "9781890843298", "ISSN" : "00401625", "abstract" : "Scenario discovery is a model-based approach to scenario development under deep uncertainty. Scenario discovery relies on the use of statistical machine learning algorithms. The most frequently used algorithm is the Patient Rule Induction Method (PRIM). This algorithm identifies regions in an uncertain model input space that are highly predictive of model outcomes that are of interest. To identify these regions, PRIM uses a hill-climbing optimization procedure. This suggests that PRIM can suffer from the usual defects of hill climbing optimization algorithms, including local optima, plateaus, and ridges and valleys. In case of PRIM, these problems are even more pronounced when dealing with heterogeneously typed data. Drawing inspiration from machine learning research on random forests, we present an improved version of PRIM. This improved version is based on the idea of performing multiple PRIM analyses based on randomly selected features and combining these results using a bagging technique. The efficacy of the approach is demonstrated using three cases. Each of the cases has been published before and used PRIM. We compare the results found using PRIM with the results found using the improved version of PRIM. We find that the improved version is more robust to new data, can better cope with heterogeneously typed data, and is less prone to overfitting.", "author" : [ { "dropping-particle" : "", "family" : "Kwakkel", "given" : "J. H.", "non-dropping-particle" : "", "parse-names" : false, "suffix" : "" }, { "dropping-particle" : "", "family" : "Cunningham", "given" : "S. C.", "non-dropping-particle" : "", "parse-names" : false, "suffix" : "" } ], "container-title" : "Technological Forecasting and Social Change", "id" : "ITEM-1", "issued" : { "date-parts" : [ [ "2016" ] ] }, "page" : "124-134", "publisher" : "The Authors", "title" : "Improving scenario discovery by bagging random boxes", "type" : "article-journal", "volume" : "111" }, "uris" : [ "http://www.mendeley.com/documents/?uuid=169c6d25-0e75-43a0-927b-22efc64c6276" ] } ], "mendeley" : { "formattedCitation" : "(J. H. Kwakkel &amp; Cunningham, 2016)", "plainTextFormattedCitation" : "(J. H. Kwakkel &amp; Cunningham, 2016)", "previouslyFormattedCitation" : "(J. H. Kwakkel &amp; Cunningham, 2016)" }, "properties" : {  }, "schema" : "https://github.com/citation-style-language/schema/raw/master/csl-citation.json" }</w:instrText>
      </w:r>
      <w:r>
        <w:fldChar w:fldCharType="separate"/>
      </w:r>
      <w:r w:rsidRPr="00024DAB">
        <w:rPr>
          <w:noProof/>
        </w:rPr>
        <w:t>(J. H. Kwakkel &amp; Cunningham, 2016)</w:t>
      </w:r>
      <w:r>
        <w:fldChar w:fldCharType="end"/>
      </w:r>
      <w:r>
        <w:t>.</w:t>
      </w:r>
    </w:p>
    <w:p w:rsidR="00561740" w:rsidRDefault="00561740" w:rsidP="00561740">
      <w:r>
        <w:lastRenderedPageBreak/>
        <w:t xml:space="preserve">A Seleção de variáveis com técnicas de </w:t>
      </w:r>
      <w:proofErr w:type="spellStart"/>
      <w:r>
        <w:rPr>
          <w:i/>
        </w:rPr>
        <w:t>feature</w:t>
      </w:r>
      <w:proofErr w:type="spellEnd"/>
      <w:r>
        <w:rPr>
          <w:i/>
        </w:rPr>
        <w:t xml:space="preserve"> </w:t>
      </w:r>
      <w:proofErr w:type="spellStart"/>
      <w:r>
        <w:rPr>
          <w:i/>
        </w:rPr>
        <w:t>scoring</w:t>
      </w:r>
      <w:proofErr w:type="spellEnd"/>
      <w:r>
        <w:rPr>
          <w:i/>
        </w:rPr>
        <w:t xml:space="preserve"> </w:t>
      </w:r>
      <w:r>
        <w:t xml:space="preserve">é uma alternativa que utiliza </w:t>
      </w:r>
      <w:proofErr w:type="spellStart"/>
      <w:r w:rsidRPr="00955F36">
        <w:rPr>
          <w:i/>
        </w:rPr>
        <w:t>machine</w:t>
      </w:r>
      <w:proofErr w:type="spellEnd"/>
      <w:r w:rsidRPr="00955F36">
        <w:rPr>
          <w:i/>
        </w:rPr>
        <w:t xml:space="preserve"> </w:t>
      </w:r>
      <w:proofErr w:type="spellStart"/>
      <w:r w:rsidRPr="00955F36">
        <w:rPr>
          <w:i/>
        </w:rPr>
        <w:t>learning</w:t>
      </w:r>
      <w:proofErr w:type="spellEnd"/>
      <w:r>
        <w:t xml:space="preserve"> para obter informações sobre a influência relativa de diversos fatores de incerteza sobre um determinado resultado de interesse. </w:t>
      </w:r>
      <w:r>
        <w:fldChar w:fldCharType="begin" w:fldLock="1"/>
      </w:r>
      <w:r>
        <w:instrText>ADDIN CSL_CITATION { "citationItems" : [ { "id" : "ITEM-1", "itemData" : { "DOI" : "10.1016/j.envsoft.2017.06.054", "ISSN" : "13648152", "abstract" : "There is a growing interest in model-based decision support under deep uncertainty, reflected in a variety of approaches being put forward in the literature. A key idea shared among these is the use of models for exploratory rather than predictive purposes. Exploratory modeling aims at exploring the implications for decision making of the various presently irresolvable uncertainties. This is achieved by conducting series of computational experiments that cover how the various uncertainties might resolve. This paper presents an open source library supporting this. The Exploratory Modeling Workbench is implemented in Python. It is designed to (i) support the generation and execution of series of computational experiments; and (ii) support the visualization and analysis of the results from the computational experiments. The Exploratory Modeling Workbench enables users to easily perform exploratory modeling with existing models, identify the policy-relevant uncertainties, assess the efficacy of policy options, and iteratively improve candidate strategies.", "author" : [ { "dropping-particle" : "", "family" : "Kwakkel", "given" : "Jan H.", "non-dropping-particle" : "", "parse-names" : false, "suffix" : "" } ], "container-title" : "Environmental Modelling and Software", "id" : "ITEM-1", "issued" : { "date-parts" : [ [ "2017" ] ] }, "page" : "239-250", "publisher" : "Elsevier Ltd", "title" : "The Exploratory Modeling Workbench: An open source toolkit for exploratory modeling, scenario discovery, and (multi-objective) robust decision making", "type" : "article-journal", "volume" : "96" }, "uris" : [ "http://www.mendeley.com/documents/?uuid=9d651bd1-febd-4136-8b16-7e6745eab7bf" ] } ], "mendeley" : { "formattedCitation" : "(Jan H. Kwakkel, 2017)", "plainTextFormattedCitation" : "(Jan H. Kwakkel, 2017)", "previouslyFormattedCitation" : "(Jan H. Kwakkel, 2017)" }, "properties" : {  }, "schema" : "https://github.com/citation-style-language/schema/raw/master/csl-citation.json" }</w:instrText>
      </w:r>
      <w:r>
        <w:fldChar w:fldCharType="separate"/>
      </w:r>
      <w:r w:rsidRPr="00024DAB">
        <w:rPr>
          <w:noProof/>
        </w:rPr>
        <w:t>(Jan H. Kwakkel, 2017)</w:t>
      </w:r>
      <w:r>
        <w:fldChar w:fldCharType="end"/>
      </w:r>
      <w:r>
        <w:t>. Esta família de técnicas tem sido adotada recentemente em trabalhos que utilizam modelagem exploratória,</w:t>
      </w:r>
      <w:r w:rsidRPr="009E2F4C">
        <w:t xml:space="preserve"> </w:t>
      </w:r>
      <w:r>
        <w:fldChar w:fldCharType="begin" w:fldLock="1"/>
      </w:r>
      <w:r>
        <w:instrText>ADDIN CSL_CITATION { "citationItems" : [ { "id" : "ITEM-1", "itemData" : { "DOI" : "10.1016/j.envsoft.2017.06.054", "ISSN" : "13648152", "abstract" : "There is a growing interest in model-based decision support under deep uncertainty, reflected in a variety of approaches being put forward in the literature. A key idea shared among these is the use of models for exploratory rather than predictive purposes. Exploratory modeling aims at exploring the implications for decision making of the various presently irresolvable uncertainties. This is achieved by conducting series of computational experiments that cover how the various uncertainties might resolve. This paper presents an open source library supporting this. The Exploratory Modeling Workbench is implemented in Python. It is designed to (i) support the generation and execution of series of computational experiments; and (ii) support the visualization and analysis of the results from the computational experiments. The Exploratory Modeling Workbench enables users to easily perform exploratory modeling with existing models, identify the policy-relevant uncertainties, assess the efficacy of policy options, and iteratively improve candidate strategies.", "author" : [ { "dropping-particle" : "", "family" : "Kwakkel", "given" : "Jan H.", "non-dropping-particle" : "", "parse-names" : false, "suffix" : "" } ], "container-title" : "Environmental Modelling and Software", "id" : "ITEM-1", "issued" : { "date-parts" : [ [ "2017" ] ] }, "page" : "239-250", "publisher" : "Elsevier Ltd", "title" : "The Exploratory Modeling Workbench: An open source toolkit for exploratory modeling, scenario discovery, and (multi-objective) robust decision making", "type" : "article-journal", "volume" : "96" }, "uris" : [ "http://www.mendeley.com/documents/?uuid=9d651bd1-febd-4136-8b16-7e6745eab7bf" ] }, { "id" : "ITEM-2", "itemData" : { "DOI" : "10.1016/j.techfore.2016.06.014", "ISBN" : "9781890843298", "ISSN" : "00401625", "abstract" : "Scenario discovery is a model-based approach to scenario development under deep uncertainty. Scenario discovery relies on the use of statistical machine learning algorithms. The most frequently used algorithm is the Patient Rule Induction Method (PRIM). This algorithm identifies regions in an uncertain model input space that are highly predictive of model outcomes that are of interest. To identify these regions, PRIM uses a hill-climbing optimization procedure. This suggests that PRIM can suffer from the usual defects of hill climbing optimization algorithms, including local optima, plateaus, and ridges and valleys. In case of PRIM, these problems are even more pronounced when dealing with heterogeneously typed data. Drawing inspiration from machine learning research on random forests, we present an improved version of PRIM. This improved version is based on the idea of performing multiple PRIM analyses based on randomly selected features and combining these results using a bagging technique. The efficacy of the approach is demonstrated using three cases. Each of the cases has been published before and used PRIM. We compare the results found using PRIM with the results found using the improved version of PRIM. We find that the improved version is more robust to new data, can better cope with heterogeneously typed data, and is less prone to overfitting.", "author" : [ { "dropping-particle" : "", "family" : "Kwakkel", "given" : "J. H.", "non-dropping-particle" : "", "parse-names" : false, "suffix" : "" }, { "dropping-particle" : "", "family" : "Cunningham", "given" : "S. C.", "non-dropping-particle" : "", "parse-names" : false, "suffix" : "" } ], "container-title" : "Technological Forecasting and Social Change", "id" : "ITEM-2", "issued" : { "date-parts" : [ [ "2016" ] ] }, "page" : "124-134", "publisher" : "The Authors", "title" : "Improving scenario discovery by bagging random boxes", "type" : "article-journal", "volume" : "111" }, "uris" : [ "http://www.mendeley.com/documents/?uuid=169c6d25-0e75-43a0-927b-22efc64c6276" ] } ], "mendeley" : { "formattedCitation" : "(J. H. Kwakkel &amp; Cunningham, 2016; Jan H. Kwakkel, 2017)", "plainTextFormattedCitation" : "(J. H. Kwakkel &amp; Cunningham, 2016; Jan H. Kwakkel, 2017)", "previouslyFormattedCitation" : "(J. H. Kwakkel &amp; Cunningham, 2016; Jan H. Kwakkel, 2017)" }, "properties" : {  }, "schema" : "https://github.com/citation-style-language/schema/raw/master/csl-citation.json" }</w:instrText>
      </w:r>
      <w:r>
        <w:fldChar w:fldCharType="separate"/>
      </w:r>
      <w:r w:rsidRPr="00024DAB">
        <w:rPr>
          <w:noProof/>
        </w:rPr>
        <w:t>(J. H. Kwakkel &amp; Cunningham, 2016; Jan H. Kwakkel, 2017)</w:t>
      </w:r>
      <w:r>
        <w:fldChar w:fldCharType="end"/>
      </w:r>
      <w:r>
        <w:t xml:space="preserve"> e sustenta-se sobre as vantagens propiciadas pelos algoritmos de data mining. Por este motivo, este trabalho adotou estas técnicas</w:t>
      </w:r>
      <w:r w:rsidR="00692763">
        <w:t xml:space="preserve"> para selecionar variáveis relevantes para o modelo, implementadas por meio do algoritmo </w:t>
      </w:r>
      <w:proofErr w:type="spellStart"/>
      <w:r w:rsidR="00692763">
        <w:t>Boruta</w:t>
      </w:r>
      <w:proofErr w:type="spellEnd"/>
      <w:r>
        <w:t>.</w:t>
      </w:r>
      <w:r w:rsidR="00692763">
        <w:t xml:space="preserve"> </w:t>
      </w:r>
      <w:r w:rsidR="00692763">
        <w:fldChar w:fldCharType="begin" w:fldLock="1"/>
      </w:r>
      <w:r w:rsidR="00692763">
        <w:instrText>ADDIN CSL_CITATION { "citationItems" : [ { "id" : "ITEM-1", "itemData" : { "DOI" : "Vol. 36, Issue 11, Sep 2010", "ISBN" : "1548-7660", "ISSN" : "15487660", "abstract" : "This article describes a R package Boruta, implementing a novel feature selection algorithmfor finding all relevant variables. The algorithm is designed as a wrapper around a Random Forest classification algorithm. It iteratively removes the features which are proved by a statistical test to be less relevant than random probes. The Boruta package provides a convenient interface to the algorithm. The short description of the algorithm and examples of its application are presented.", "author" : [ { "dropping-particle" : "", "family" : "Kursa", "given" : "Miron B", "non-dropping-particle" : "", "parse-names" : false, "suffix" : "" }, { "dropping-particle" : "", "family" : "Rudnicki", "given" : "Witold R", "non-dropping-particle" : "", "parse-names" : false, "suffix" : "" } ], "container-title" : "Journal Of Statistical Software", "id" : "ITEM-1", "issue" : "11", "issued" : { "date-parts" : [ [ "2010" ] ] }, "page" : "1-13", "title" : "Feature Selection with the Boruta Package", "type" : "article-journal", "volume" : "36" }, "uris" : [ "http://www.mendeley.com/documents/?uuid=25ffa49e-2d78-42dd-9bde-73601ebb9930" ] } ], "mendeley" : { "formattedCitation" : "(Kursa &amp; Rudnicki, 2010)", "plainTextFormattedCitation" : "(Kursa &amp; Rudnicki, 2010)", "previouslyFormattedCitation" : "(Kursa &amp; Rudnicki, 2010)" }, "properties" : {  }, "schema" : "https://github.com/citation-style-language/schema/raw/master/csl-citation.json" }</w:instrText>
      </w:r>
      <w:r w:rsidR="00692763">
        <w:fldChar w:fldCharType="separate"/>
      </w:r>
      <w:r w:rsidR="00692763" w:rsidRPr="00692763">
        <w:rPr>
          <w:noProof/>
        </w:rPr>
        <w:t>(Kursa &amp; Rudnicki, 2010)</w:t>
      </w:r>
      <w:r w:rsidR="00692763">
        <w:fldChar w:fldCharType="end"/>
      </w:r>
      <w:r>
        <w:t>.</w:t>
      </w:r>
    </w:p>
    <w:p w:rsidR="00BC211B" w:rsidRDefault="00B50AEB" w:rsidP="00B50AEB">
      <w:r>
        <w:t xml:space="preserve">Uma vez identificadas as condições nas quais a estratégia falha, o trabalho foi finalizado com a análise de tradeoffs. Nesta análise, foi utilizado o cálculo do valor esperado por estratégia de acordo com a probabilidade de ocorrência dos cenários identificados na etapa anterior, gerando uma fronteira de estratégias potencialmente robustas. </w:t>
      </w:r>
      <w:r>
        <w:fldChar w:fldCharType="begin" w:fldLock="1"/>
      </w:r>
      <w:r w:rsidR="00B04F2F">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024DAB" w:rsidRPr="00024DAB">
        <w:rPr>
          <w:noProof/>
        </w:rPr>
        <w:t>(Lempert et al., 2003)</w:t>
      </w:r>
      <w:r>
        <w:fldChar w:fldCharType="end"/>
      </w:r>
      <w:r>
        <w:t>.</w:t>
      </w:r>
    </w:p>
    <w:p w:rsidR="00523116" w:rsidRDefault="00523116" w:rsidP="00523116">
      <w:pPr>
        <w:pStyle w:val="Ttulo1"/>
      </w:pPr>
      <w:r>
        <w:t>ANÁLISE RDM</w:t>
      </w:r>
    </w:p>
    <w:p w:rsidR="00523116" w:rsidRDefault="00145AD8" w:rsidP="00523116">
      <w:pPr>
        <w:pStyle w:val="Ttulo2"/>
      </w:pPr>
      <w:r>
        <w:t>Modelo de Dinâmica Competitiva</w:t>
      </w:r>
    </w:p>
    <w:p w:rsidR="00600AE6" w:rsidRDefault="00600AE6" w:rsidP="00600AE6">
      <w:r w:rsidRPr="00D606E2">
        <w:t xml:space="preserve">Como mencionando anteriormente, o modelo </w:t>
      </w:r>
      <w:r>
        <w:t xml:space="preserve">adotado por este trabalho foi baseado no modelo de dinâmica competitiva formulado por </w:t>
      </w:r>
      <w:proofErr w:type="spellStart"/>
      <w:r>
        <w:t>Sterman</w:t>
      </w:r>
      <w:proofErr w:type="spellEnd"/>
      <w:r>
        <w:t xml:space="preserve"> et al. (2007)</w:t>
      </w:r>
      <w:r w:rsidRPr="00D606E2">
        <w:t xml:space="preserve">, sendo realizadas alterações para viabilizar a representação dos elementos destacados na seção de estruturação do problema. Segue-se que a formulação do modelo geral é atribuída </w:t>
      </w:r>
      <w:r w:rsidR="00084053">
        <w:t>a</w:t>
      </w:r>
      <w:r w:rsidRPr="00D606E2">
        <w:t xml:space="preserve"> </w:t>
      </w:r>
      <w:proofErr w:type="spellStart"/>
      <w:r w:rsidRPr="00D606E2">
        <w:t>Sterman</w:t>
      </w:r>
      <w:proofErr w:type="spellEnd"/>
      <w:r w:rsidRPr="00D606E2">
        <w:t xml:space="preserve"> et al</w:t>
      </w:r>
      <w:r>
        <w:t>.</w:t>
      </w:r>
      <w:r w:rsidRPr="00D606E2">
        <w:t xml:space="preserve"> (2007), sendo as expansões geradas </w:t>
      </w:r>
      <w:r>
        <w:t>por esta pesquisa</w:t>
      </w:r>
      <w:r w:rsidRPr="00D606E2">
        <w:t xml:space="preserve"> especificamente destacadas </w:t>
      </w:r>
      <w:r>
        <w:t>na descrição do modelo</w:t>
      </w:r>
      <w:r w:rsidRPr="00D606E2">
        <w:t>.</w:t>
      </w:r>
      <w:r>
        <w:t xml:space="preserve"> </w:t>
      </w:r>
      <w:r w:rsidR="007B40A8">
        <w:t>Esta seção apresentará apenas as modificações realizadas em relação ao modelo original, ou que são essenciais para a compreensão do trabalho.</w:t>
      </w:r>
    </w:p>
    <w:p w:rsidR="00600AE6" w:rsidRPr="00D606E2" w:rsidRDefault="00600AE6" w:rsidP="00600AE6">
      <w:pPr>
        <w:pStyle w:val="Ttulo3"/>
      </w:pPr>
      <w:bookmarkStart w:id="8" w:name="_Toc505157964"/>
      <w:r w:rsidRPr="00D606E2">
        <w:t>A Firma</w:t>
      </w:r>
      <w:bookmarkEnd w:id="8"/>
    </w:p>
    <w:p w:rsidR="00600AE6" w:rsidRPr="00870FB0" w:rsidRDefault="00600AE6" w:rsidP="00600AE6">
      <w:r w:rsidRPr="00D606E2">
        <w:t xml:space="preserve">O lucro líquido a valor presente </w:t>
      </w:r>
      <m:oMath>
        <m:sSub>
          <m:sSubPr>
            <m:ctrlPr>
              <w:rPr>
                <w:rFonts w:ascii="Cambria Math" w:hAnsi="Cambria Math"/>
              </w:rPr>
            </m:ctrlPr>
          </m:sSubPr>
          <m:e>
            <m:r>
              <w:rPr>
                <w:rFonts w:ascii="Cambria Math" w:hAnsi="Cambria Math"/>
              </w:rPr>
              <m:t>π</m:t>
            </m:r>
          </m:e>
          <m:sub>
            <m:r>
              <w:rPr>
                <w:rFonts w:ascii="Cambria Math" w:hAnsi="Cambria Math"/>
              </w:rPr>
              <m:t>t,i</m:t>
            </m:r>
          </m:sub>
        </m:sSub>
      </m:oMath>
      <w:r w:rsidRPr="00D606E2">
        <w:t xml:space="preserve"> da firma </w:t>
      </w:r>
      <m:oMath>
        <m:r>
          <w:rPr>
            <w:rFonts w:ascii="Cambria Math" w:hAnsi="Cambria Math"/>
          </w:rPr>
          <m:t>i</m:t>
        </m:r>
      </m:oMath>
      <w:r w:rsidRPr="00D606E2">
        <w:t xml:space="preserve"> </w:t>
      </w:r>
      <w:r>
        <w:t xml:space="preserve">(VPL) </w:t>
      </w:r>
      <w:r w:rsidRPr="00D606E2">
        <w:t xml:space="preserve">é definido como um estoque calculado em função das receitas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D606E2">
        <w:t xml:space="preserve"> e custos fixos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f</m:t>
            </m:r>
          </m:sup>
        </m:sSubSup>
      </m:oMath>
      <w:r w:rsidRPr="00D606E2">
        <w:t xml:space="preserve"> e variáveis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v</m:t>
            </m:r>
          </m:sup>
        </m:sSubSup>
      </m:oMath>
      <w:r w:rsidRPr="00D606E2">
        <w:t xml:space="preserve"> da empresa, trazidos a valor presente por um fator </w:t>
      </w:r>
      <m:oMath>
        <m:r>
          <w:rPr>
            <w:rFonts w:ascii="Cambria Math" w:hAnsi="Cambria Math"/>
          </w:rPr>
          <m:t>ρ</m:t>
        </m:r>
      </m:oMath>
      <w:r w:rsidRPr="00D606E2">
        <w:t xml:space="preserve">. </w:t>
      </w:r>
      <w:r>
        <w:t xml:space="preserve">Além disto, leva-se em consideração que a empresa investirá uma fração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de sua receita em pesquisa e desenvolvimento. </w:t>
      </w:r>
      <w:r w:rsidRPr="00D606E2">
        <w:t xml:space="preserve">Desta maneira, o lucro líquido da empresa no tempo </w:t>
      </w:r>
      <m:oMath>
        <m:r>
          <w:rPr>
            <w:rFonts w:ascii="Cambria Math" w:hAnsi="Cambria Math"/>
          </w:rPr>
          <m:t>t</m:t>
        </m:r>
      </m:oMath>
      <w:r w:rsidRPr="00D606E2">
        <w:t xml:space="preserve"> s</w:t>
      </w:r>
      <w:r>
        <w:t>erá dado conforme esta equação:</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7F5500" w:rsidP="003175FC">
            <w:pPr>
              <w:pStyle w:val="Corpodetexto"/>
            </w:pPr>
            <m:oMathPara>
              <m:oMath>
                <m:sSub>
                  <m:sSubPr>
                    <m:ctrlPr>
                      <w:rPr>
                        <w:rFonts w:ascii="Cambria Math" w:hAnsi="Cambria Math"/>
                        <w:sz w:val="24"/>
                      </w:rPr>
                    </m:ctrlPr>
                  </m:sSubPr>
                  <m:e>
                    <m:r>
                      <w:rPr>
                        <w:rFonts w:ascii="Cambria Math" w:hAnsi="Cambria Math"/>
                        <w:sz w:val="24"/>
                      </w:rPr>
                      <m:t>π</m:t>
                    </m:r>
                  </m:e>
                  <m:sub>
                    <m:r>
                      <w:rPr>
                        <w:rFonts w:ascii="Cambria Math" w:hAnsi="Cambria Math"/>
                        <w:sz w:val="24"/>
                      </w:rPr>
                      <m:t>t</m:t>
                    </m:r>
                  </m:sub>
                </m:sSub>
                <m:r>
                  <m:rPr>
                    <m:sty m:val="p"/>
                  </m:rPr>
                  <w:rPr>
                    <w:rFonts w:ascii="Cambria Math" w:hAnsi="Cambria Math"/>
                    <w:sz w:val="24"/>
                  </w:rPr>
                  <m:t>=</m:t>
                </m:r>
                <m:nary>
                  <m:naryPr>
                    <m:limLoc m:val="subSup"/>
                    <m:ctrlPr>
                      <w:rPr>
                        <w:rFonts w:ascii="Cambria Math" w:hAnsi="Cambria Math"/>
                        <w:sz w:val="24"/>
                      </w:rPr>
                    </m:ctrlPr>
                  </m:naryPr>
                  <m:sub>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sub>
                  <m:sup>
                    <m:r>
                      <w:rPr>
                        <w:rFonts w:ascii="Cambria Math" w:hAnsi="Cambria Math"/>
                        <w:sz w:val="24"/>
                      </w:rPr>
                      <m:t>t</m:t>
                    </m:r>
                  </m:sup>
                  <m:e>
                    <m:r>
                      <m:rPr>
                        <m:sty m:val="p"/>
                      </m:rPr>
                      <w:rPr>
                        <w:rFonts w:ascii="Cambria Math" w:hAnsi="Cambria Math"/>
                        <w:sz w:val="24"/>
                      </w:rPr>
                      <m:t>[</m:t>
                    </m:r>
                  </m:e>
                </m:nary>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η</m:t>
                    </m:r>
                  </m:e>
                  <m:sub>
                    <m:r>
                      <w:rPr>
                        <w:rFonts w:ascii="Cambria Math" w:hAnsi="Cambria Math"/>
                        <w:sz w:val="24"/>
                      </w:rPr>
                      <m:t>i</m:t>
                    </m:r>
                  </m:sub>
                </m:sSub>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C</m:t>
                    </m:r>
                  </m:e>
                  <m:sub>
                    <m:r>
                      <w:rPr>
                        <w:rFonts w:ascii="Cambria Math" w:hAnsi="Cambria Math"/>
                        <w:sz w:val="24"/>
                      </w:rPr>
                      <m:t>i</m:t>
                    </m:r>
                  </m:sub>
                  <m:sup>
                    <m:r>
                      <w:rPr>
                        <w:rFonts w:ascii="Cambria Math" w:hAnsi="Cambria Math"/>
                        <w:sz w:val="24"/>
                      </w:rPr>
                      <m:t>f</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C</m:t>
                    </m:r>
                  </m:e>
                  <m:sub>
                    <m:r>
                      <w:rPr>
                        <w:rFonts w:ascii="Cambria Math" w:hAnsi="Cambria Math"/>
                        <w:sz w:val="24"/>
                      </w:rPr>
                      <m:t>i</m:t>
                    </m:r>
                  </m:sub>
                  <m:sup>
                    <m:r>
                      <w:rPr>
                        <w:rFonts w:ascii="Cambria Math" w:hAnsi="Cambria Math"/>
                        <w:sz w:val="24"/>
                      </w:rPr>
                      <m:t>v</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m:t>
                    </m:r>
                    <m:r>
                      <w:rPr>
                        <w:rFonts w:ascii="Cambria Math" w:hAnsi="Cambria Math"/>
                        <w:sz w:val="24"/>
                      </w:rPr>
                      <m:t>ρ</m:t>
                    </m:r>
                    <m:r>
                      <m:rPr>
                        <m:sty m:val="p"/>
                      </m:rPr>
                      <w:rPr>
                        <w:rFonts w:ascii="Cambria Math" w:hAnsi="Cambria Math"/>
                        <w:sz w:val="24"/>
                      </w:rPr>
                      <m:t>*</m:t>
                    </m:r>
                    <m:r>
                      <w:rPr>
                        <w:rFonts w:ascii="Cambria Math" w:hAnsi="Cambria Math"/>
                        <w:sz w:val="24"/>
                      </w:rPr>
                      <m:t>t</m:t>
                    </m:r>
                  </m:sup>
                </m:sSup>
              </m:oMath>
            </m:oMathPara>
          </w:p>
        </w:tc>
        <w:tc>
          <w:tcPr>
            <w:tcW w:w="643" w:type="dxa"/>
            <w:vAlign w:val="center"/>
          </w:tcPr>
          <w:p w:rsidR="00600AE6" w:rsidRDefault="00600AE6" w:rsidP="003175FC">
            <w:pPr>
              <w:ind w:firstLine="0"/>
              <w:jc w:val="right"/>
            </w:pPr>
            <w:r>
              <w:t>(</w:t>
            </w:r>
            <w:r w:rsidR="007B40A8">
              <w:t>1</w:t>
            </w:r>
            <w:r>
              <w:t>)</w:t>
            </w:r>
          </w:p>
        </w:tc>
      </w:tr>
    </w:tbl>
    <w:p w:rsidR="00600AE6" w:rsidRPr="00870FB0" w:rsidRDefault="00600AE6" w:rsidP="00600AE6">
      <w:r w:rsidRPr="00D606E2">
        <w:t xml:space="preserve">A receita da empresa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w:t>
      </w:r>
      <w:r w:rsidRPr="00D606E2">
        <w:t xml:space="preserve">é calculada a partir do número de produtos entregues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 xml:space="preserve"> pela empresa </w:t>
      </w:r>
      <m:oMath>
        <m:r>
          <w:rPr>
            <w:rFonts w:ascii="Cambria Math" w:hAnsi="Cambria Math"/>
          </w:rPr>
          <m:t>i</m:t>
        </m:r>
      </m:oMath>
      <w:r w:rsidRPr="00D606E2">
        <w:t xml:space="preserve"> e do preço médio de seus produtos vendidos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i</m:t>
                </m:r>
              </m:sub>
            </m:sSub>
          </m:e>
        </m:bar>
      </m:oMath>
      <w:r w:rsidRPr="00D606E2">
        <w:t xml:space="preserve">, que é obtido pela divisão do valor da carteira de vendas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606E2">
        <w:t xml:space="preserve"> e de seu backlog </w:t>
      </w:r>
      <m:oMath>
        <m:sSub>
          <m:sSubPr>
            <m:ctrlPr>
              <w:rPr>
                <w:rFonts w:ascii="Cambria Math" w:hAnsi="Cambria Math"/>
              </w:rPr>
            </m:ctrlPr>
          </m:sSubPr>
          <m:e>
            <m:r>
              <w:rPr>
                <w:rFonts w:ascii="Cambria Math" w:hAnsi="Cambria Math"/>
              </w:rPr>
              <m:t>B</m:t>
            </m:r>
          </m:e>
          <m:sub>
            <m:r>
              <w:rPr>
                <w:rFonts w:ascii="Cambria Math" w:hAnsi="Cambria Math"/>
              </w:rPr>
              <m:t>i</m:t>
            </m:r>
          </m:sub>
        </m:sSub>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7F5500" w:rsidP="003175FC">
            <w:pPr>
              <w:pStyle w:val="Corpodetexto"/>
            </w:pPr>
            <m:oMathPara>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r>
                  <m:rPr>
                    <m:sty m:val="p"/>
                  </m:rPr>
                  <w:rPr>
                    <w:rFonts w:ascii="Cambria Math" w:hAnsi="Cambria Math"/>
                    <w:sz w:val="24"/>
                  </w:rPr>
                  <m:t>*</m:t>
                </m:r>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e>
                </m:bar>
                <m:r>
                  <m:rPr>
                    <m:sty m:val="p"/>
                  </m:rPr>
                  <w:rPr>
                    <w:rFonts w:ascii="Cambria Math" w:hAnsi="Cambria Math"/>
                    <w:sz w:val="24"/>
                  </w:rPr>
                  <m:t> ;</m:t>
                </m:r>
                <m:bar>
                  <m:barPr>
                    <m:pos m:val="top"/>
                    <m:ctrlPr>
                      <w:rPr>
                        <w:rFonts w:ascii="Cambria Math" w:hAnsi="Cambria Math"/>
                        <w:sz w:val="24"/>
                      </w:rPr>
                    </m:ctrlPr>
                  </m:barPr>
                  <m:e>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e>
                </m:bar>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V</m:t>
                        </m:r>
                      </m:e>
                      <m:sub>
                        <m:r>
                          <w:rPr>
                            <w:rFonts w:ascii="Cambria Math" w:hAnsi="Cambria Math"/>
                            <w:sz w:val="24"/>
                          </w:rPr>
                          <m:t>i</m:t>
                        </m:r>
                      </m:sub>
                    </m:sSub>
                  </m:num>
                  <m:den>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den>
                </m:f>
              </m:oMath>
            </m:oMathPara>
          </w:p>
        </w:tc>
        <w:tc>
          <w:tcPr>
            <w:tcW w:w="643" w:type="dxa"/>
            <w:vAlign w:val="center"/>
          </w:tcPr>
          <w:p w:rsidR="00600AE6" w:rsidRDefault="00600AE6" w:rsidP="003175FC">
            <w:pPr>
              <w:ind w:firstLine="0"/>
              <w:jc w:val="right"/>
            </w:pPr>
            <w:r>
              <w:t>(</w:t>
            </w:r>
            <w:r w:rsidR="007B40A8">
              <w:t>2</w:t>
            </w:r>
            <w:r>
              <w:t>)</w:t>
            </w:r>
          </w:p>
        </w:tc>
      </w:tr>
    </w:tbl>
    <w:p w:rsidR="00600AE6" w:rsidRPr="00D606E2" w:rsidRDefault="00600AE6" w:rsidP="00600AE6">
      <w:pPr>
        <w:pStyle w:val="Ttulo3"/>
      </w:pPr>
      <w:bookmarkStart w:id="9" w:name="_Toc505157962"/>
      <w:r w:rsidRPr="00D606E2">
        <w:t>Difusão do Produto</w:t>
      </w:r>
      <w:bookmarkEnd w:id="9"/>
    </w:p>
    <w:p w:rsidR="00600AE6" w:rsidRPr="00336C5F" w:rsidRDefault="00600AE6" w:rsidP="00600AE6">
      <w:r w:rsidRPr="00D606E2">
        <w:t xml:space="preserve">O crescimento do número de clientes </w:t>
      </w:r>
      <m:oMath>
        <m:r>
          <w:rPr>
            <w:rFonts w:ascii="Cambria Math" w:hAnsi="Cambria Math"/>
          </w:rPr>
          <m:t>A</m:t>
        </m:r>
      </m:oMath>
      <w:r w:rsidRPr="00D606E2">
        <w:t xml:space="preserve"> que aderiram às impressoras 3D em um dado instante de tempo </w:t>
      </w:r>
      <m:oMath>
        <m:r>
          <w:rPr>
            <w:rFonts w:ascii="Cambria Math" w:hAnsi="Cambria Math"/>
          </w:rPr>
          <m:t>t</m:t>
        </m:r>
      </m:oMath>
      <w:r w:rsidRPr="00D606E2">
        <w:t xml:space="preserve"> é um estoque modelado por meio do modelo padrão de difusão</w:t>
      </w:r>
      <w:r>
        <w:t xml:space="preserve">. </w:t>
      </w:r>
      <w:r>
        <w:fldChar w:fldCharType="begin" w:fldLock="1"/>
      </w:r>
      <w:r>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"uris" : [ "http://www.mendeley.com/documents/?uuid=ba3ae769-23ac-41bf-b506-68e895a98dd3" ] } ], "mendeley" : { "formattedCitation" : "(Bass, 1969)", "plainTextFormattedCitation" : "(Bass, 1969)", "previouslyFormattedCitation" : "(Bass, 1969)" }, "properties" : {  }, "schema" : "https://github.com/citation-style-language/schema/raw/master/csl-citation.json" }</w:instrText>
      </w:r>
      <w:r>
        <w:fldChar w:fldCharType="separate"/>
      </w:r>
      <w:r w:rsidRPr="00024DAB">
        <w:rPr>
          <w:noProof/>
        </w:rPr>
        <w:t>(Bass, 1969)</w:t>
      </w:r>
      <w:r>
        <w:fldChar w:fldCharType="end"/>
      </w:r>
      <w:r>
        <w:t xml:space="preserve">. </w:t>
      </w:r>
      <w:r w:rsidRPr="00D606E2">
        <w:t xml:space="preserve">Neste modelo o crescimento da população de clientes que aderem à uma ideia é dependente do tamanho total da população </w:t>
      </w:r>
      <m:oMath>
        <m:r>
          <w:rPr>
            <w:rFonts w:ascii="Cambria Math" w:hAnsi="Cambria Math"/>
          </w:rPr>
          <m:t>POP</m:t>
        </m:r>
      </m:oMath>
      <w:r w:rsidRPr="00D606E2">
        <w:t xml:space="preserve">, do número de clientes que não adotaram </w:t>
      </w:r>
      <m:oMath>
        <m:r>
          <w:rPr>
            <w:rFonts w:ascii="Cambria Math" w:hAnsi="Cambria Math"/>
          </w:rPr>
          <m:t>N</m:t>
        </m:r>
      </m:oMath>
      <w:r w:rsidRPr="00D606E2">
        <w:t xml:space="preserve">, da fração de inovadores que adotam ao produto ano a ano independentemente de outros usuários </w:t>
      </w:r>
      <m:oMath>
        <m:r>
          <w:rPr>
            <w:rFonts w:ascii="Cambria Math" w:hAnsi="Cambria Math"/>
          </w:rPr>
          <m:t>α</m:t>
        </m:r>
      </m:oMath>
      <w:r w:rsidRPr="00D606E2">
        <w:t xml:space="preserve"> e do parâmetro </w:t>
      </w:r>
      <m:oMath>
        <m:r>
          <w:rPr>
            <w:rFonts w:ascii="Cambria Math" w:hAnsi="Cambria Math"/>
          </w:rPr>
          <m:t>β</m:t>
        </m:r>
      </m:oMath>
      <w:r w:rsidRPr="00D606E2">
        <w:t xml:space="preserve"> que mede a força da difusão do produto por boca-a-boca. A não-negatividade da equação é garantida obtendo-se o máximo entre a equação e zero.</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7F5500" w:rsidP="003175FC">
            <w:pPr>
              <w:pStyle w:val="Corpodetexto"/>
            </w:pPr>
            <m:oMathPara>
              <m:oMath>
                <m:sSub>
                  <m:sSubPr>
                    <m:ctrlPr>
                      <w:rPr>
                        <w:rFonts w:ascii="Cambria Math" w:hAnsi="Cambria Math"/>
                        <w:sz w:val="24"/>
                      </w:rPr>
                    </m:ctrlPr>
                  </m:sSubPr>
                  <m:e>
                    <m:r>
                      <w:rPr>
                        <w:rFonts w:ascii="Cambria Math" w:hAnsi="Cambria Math"/>
                        <w:sz w:val="24"/>
                      </w:rPr>
                      <m:t>A</m:t>
                    </m:r>
                  </m:e>
                  <m:sub>
                    <m: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sub>
                </m:sSub>
                <m:r>
                  <m:rPr>
                    <m:sty m:val="p"/>
                  </m:rPr>
                  <w:rPr>
                    <w:rFonts w:ascii="Cambria Math" w:hAnsi="Cambria Math"/>
                    <w:sz w:val="24"/>
                  </w:rPr>
                  <m:t>+</m:t>
                </m:r>
                <m:nary>
                  <m:naryPr>
                    <m:limLoc m:val="subSup"/>
                    <m:ctrlPr>
                      <w:rPr>
                        <w:rFonts w:ascii="Cambria Math" w:hAnsi="Cambria Math"/>
                        <w:sz w:val="24"/>
                      </w:rPr>
                    </m:ctrlPr>
                  </m:naryPr>
                  <m:sub>
                    <m:sSub>
                      <m:sSubPr>
                        <m:ctrlPr>
                          <w:rPr>
                            <w:rFonts w:ascii="Cambria Math" w:hAnsi="Cambria Math"/>
                            <w:sz w:val="24"/>
                          </w:rPr>
                        </m:ctrlPr>
                      </m:sSubPr>
                      <m:e>
                        <m:r>
                          <w:rPr>
                            <w:rFonts w:ascii="Cambria Math" w:hAnsi="Cambria Math"/>
                            <w:sz w:val="24"/>
                          </w:rPr>
                          <m:t>t</m:t>
                        </m:r>
                      </m:e>
                      <m:sub>
                        <m:r>
                          <m:rPr>
                            <m:sty m:val="p"/>
                          </m:rPr>
                          <w:rPr>
                            <w:rFonts w:ascii="Cambria Math" w:hAnsi="Cambria Math"/>
                            <w:sz w:val="24"/>
                          </w:rPr>
                          <m:t>0</m:t>
                        </m:r>
                      </m:sub>
                    </m:sSub>
                  </m:sub>
                  <m:sup>
                    <m:r>
                      <w:rPr>
                        <w:rFonts w:ascii="Cambria Math" w:hAnsi="Cambria Math"/>
                        <w:sz w:val="24"/>
                      </w:rPr>
                      <m:t>t</m:t>
                    </m:r>
                  </m:sup>
                  <m:e>
                    <m:r>
                      <w:rPr>
                        <w:rFonts w:ascii="Cambria Math" w:hAnsi="Cambria Math"/>
                        <w:sz w:val="24"/>
                      </w:rPr>
                      <m:t>MAX</m:t>
                    </m:r>
                  </m:e>
                </m:nary>
                <m:d>
                  <m:dPr>
                    <m:ctrlPr>
                      <w:rPr>
                        <w:rFonts w:ascii="Cambria Math" w:hAnsi="Cambria Math"/>
                        <w:sz w:val="24"/>
                      </w:rPr>
                    </m:ctrlPr>
                  </m:dPr>
                  <m:e>
                    <m:r>
                      <m:rPr>
                        <m:sty m:val="p"/>
                      </m:rPr>
                      <w:rPr>
                        <w:rFonts w:ascii="Cambria Math" w:hAnsi="Cambria Math"/>
                        <w:sz w:val="24"/>
                      </w:rPr>
                      <m:t>0,</m:t>
                    </m:r>
                    <m:r>
                      <w:rPr>
                        <w:rFonts w:ascii="Cambria Math" w:hAnsi="Cambria Math"/>
                        <w:sz w:val="24"/>
                      </w:rPr>
                      <m:t>N</m:t>
                    </m:r>
                    <m:d>
                      <m:dPr>
                        <m:ctrlPr>
                          <w:rPr>
                            <w:rFonts w:ascii="Cambria Math" w:hAnsi="Cambria Math"/>
                            <w:sz w:val="24"/>
                          </w:rPr>
                        </m:ctrlPr>
                      </m:dPr>
                      <m:e>
                        <m:r>
                          <w:rPr>
                            <w:rFonts w:ascii="Cambria Math" w:hAnsi="Cambria Math"/>
                            <w:sz w:val="24"/>
                          </w:rPr>
                          <m:t>α</m:t>
                        </m:r>
                        <m:r>
                          <m:rPr>
                            <m:sty m:val="p"/>
                          </m:rPr>
                          <w:rPr>
                            <w:rFonts w:ascii="Cambria Math" w:hAnsi="Cambria Math"/>
                            <w:sz w:val="24"/>
                          </w:rPr>
                          <m:t>+</m:t>
                        </m:r>
                        <m:r>
                          <w:rPr>
                            <w:rFonts w:ascii="Cambria Math" w:hAnsi="Cambria Math"/>
                            <w:sz w:val="24"/>
                          </w:rPr>
                          <m:t>β</m:t>
                        </m:r>
                        <m:f>
                          <m:fPr>
                            <m:ctrlPr>
                              <w:rPr>
                                <w:rFonts w:ascii="Cambria Math" w:hAnsi="Cambria Math"/>
                                <w:sz w:val="24"/>
                              </w:rPr>
                            </m:ctrlPr>
                          </m:fPr>
                          <m:num>
                            <m:r>
                              <w:rPr>
                                <w:rFonts w:ascii="Cambria Math" w:hAnsi="Cambria Math"/>
                                <w:sz w:val="24"/>
                              </w:rPr>
                              <m:t>A</m:t>
                            </m:r>
                          </m:num>
                          <m:den>
                            <m:r>
                              <w:rPr>
                                <w:rFonts w:ascii="Cambria Math" w:hAnsi="Cambria Math"/>
                                <w:sz w:val="24"/>
                              </w:rPr>
                              <m:t>POP</m:t>
                            </m:r>
                          </m:den>
                        </m:f>
                      </m:e>
                    </m:d>
                  </m:e>
                </m:d>
              </m:oMath>
            </m:oMathPara>
          </w:p>
        </w:tc>
        <w:tc>
          <w:tcPr>
            <w:tcW w:w="643" w:type="dxa"/>
            <w:vAlign w:val="center"/>
          </w:tcPr>
          <w:p w:rsidR="00600AE6" w:rsidRDefault="00600AE6" w:rsidP="003175FC">
            <w:pPr>
              <w:ind w:firstLine="0"/>
              <w:jc w:val="right"/>
            </w:pPr>
            <w:r>
              <w:t>(</w:t>
            </w:r>
            <w:r w:rsidR="007B40A8">
              <w:t>3</w:t>
            </w:r>
            <w:r>
              <w:t>)</w:t>
            </w:r>
          </w:p>
        </w:tc>
      </w:tr>
    </w:tbl>
    <w:p w:rsidR="00600AE6" w:rsidRPr="00870FB0" w:rsidRDefault="00600AE6" w:rsidP="00600AE6">
      <w:r w:rsidRPr="00D606E2">
        <w:t xml:space="preserve">O número de consumidores potenciais que ainda não aderiram à impressão 3D </w:t>
      </w:r>
      <m:oMath>
        <m:r>
          <w:rPr>
            <w:rFonts w:ascii="Cambria Math" w:hAnsi="Cambria Math"/>
          </w:rPr>
          <m:t>N</m:t>
        </m:r>
      </m:oMath>
      <w:r w:rsidRPr="00D606E2">
        <w:t xml:space="preserve"> é modelado como o máximo entre zero e a diferença entre o número de clientes que irá adotar o produto em algum momento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D606E2">
        <w:t xml:space="preserve"> e o número de clientes que adotou o produto </w:t>
      </w:r>
      <m:oMath>
        <m:r>
          <w:rPr>
            <w:rFonts w:ascii="Cambria Math" w:hAnsi="Cambria Math"/>
          </w:rPr>
          <m:t>A</m:t>
        </m:r>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600AE6" w:rsidP="003175FC">
            <w:pPr>
              <w:pStyle w:val="Corpodetexto"/>
            </w:pPr>
            <m:oMathPara>
              <m:oMath>
                <m:r>
                  <w:rPr>
                    <w:rFonts w:ascii="Cambria Math" w:hAnsi="Cambria Math"/>
                    <w:sz w:val="24"/>
                  </w:rPr>
                  <m:t>N</m:t>
                </m:r>
                <m:r>
                  <m:rPr>
                    <m:sty m:val="p"/>
                  </m:rPr>
                  <w:rPr>
                    <w:rFonts w:ascii="Cambria Math" w:hAnsi="Cambria Math"/>
                    <w:sz w:val="24"/>
                  </w:rPr>
                  <m:t>=</m:t>
                </m:r>
                <m:r>
                  <w:rPr>
                    <w:rFonts w:ascii="Cambria Math" w:hAnsi="Cambria Math"/>
                    <w:sz w:val="24"/>
                  </w:rPr>
                  <m:t>MAX</m:t>
                </m:r>
                <m:r>
                  <m:rPr>
                    <m:sty m:val="p"/>
                  </m:rPr>
                  <w:rPr>
                    <w:rFonts w:ascii="Cambria Math" w:hAnsi="Cambria Math"/>
                    <w:sz w:val="24"/>
                  </w:rPr>
                  <m:t>(0,</m:t>
                </m:r>
                <m:sSup>
                  <m:sSupPr>
                    <m:ctrlPr>
                      <w:rPr>
                        <w:rFonts w:ascii="Cambria Math" w:hAnsi="Cambria Math"/>
                        <w:sz w:val="24"/>
                      </w:rPr>
                    </m:ctrlPr>
                  </m:sSupPr>
                  <m:e>
                    <m:r>
                      <w:rPr>
                        <w:rFonts w:ascii="Cambria Math" w:hAnsi="Cambria Math"/>
                        <w:sz w:val="24"/>
                      </w:rPr>
                      <m:t>A</m:t>
                    </m:r>
                  </m:e>
                  <m:sup>
                    <m:r>
                      <m:rPr>
                        <m:sty m:val="p"/>
                      </m:rPr>
                      <w:rPr>
                        <w:rFonts w:ascii="Cambria Math" w:hAnsi="Cambria Math"/>
                        <w:sz w:val="24"/>
                      </w:rPr>
                      <m:t>*</m:t>
                    </m:r>
                  </m:sup>
                </m:sSup>
                <m:r>
                  <m:rPr>
                    <m:sty m:val="p"/>
                  </m:rPr>
                  <w:rPr>
                    <w:rFonts w:ascii="Cambria Math" w:hAnsi="Cambria Math"/>
                    <w:sz w:val="24"/>
                  </w:rPr>
                  <m:t>-</m:t>
                </m:r>
                <m:r>
                  <w:rPr>
                    <w:rFonts w:ascii="Cambria Math" w:hAnsi="Cambria Math"/>
                    <w:sz w:val="24"/>
                  </w:rPr>
                  <m:t>A)</m:t>
                </m:r>
              </m:oMath>
            </m:oMathPara>
          </w:p>
        </w:tc>
        <w:tc>
          <w:tcPr>
            <w:tcW w:w="643" w:type="dxa"/>
            <w:vAlign w:val="center"/>
          </w:tcPr>
          <w:p w:rsidR="00600AE6" w:rsidRDefault="00600AE6" w:rsidP="003175FC">
            <w:pPr>
              <w:ind w:firstLine="0"/>
              <w:jc w:val="right"/>
            </w:pPr>
            <w:r>
              <w:t>(</w:t>
            </w:r>
            <w:r w:rsidR="007B40A8">
              <w:t>4</w:t>
            </w:r>
            <w:r>
              <w:t>)</w:t>
            </w:r>
          </w:p>
        </w:tc>
      </w:tr>
    </w:tbl>
    <w:p w:rsidR="00600AE6" w:rsidRDefault="00600AE6" w:rsidP="00600AE6">
      <w:r w:rsidRPr="00D606E2">
        <w:t xml:space="preserve">O número de clientes que irá adotar o produto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D606E2">
        <w:t xml:space="preserve"> é calculado segundo uma curva de demanda linear, variando em função do menor preço encontrado no mercado </w:t>
      </w:r>
      <m:oMath>
        <m:sSup>
          <m:sSupPr>
            <m:ctrlPr>
              <w:rPr>
                <w:rFonts w:ascii="Cambria Math" w:hAnsi="Cambria Math"/>
              </w:rPr>
            </m:ctrlPr>
          </m:sSupPr>
          <m:e>
            <m:r>
              <w:rPr>
                <w:rFonts w:ascii="Cambria Math" w:hAnsi="Cambria Math"/>
              </w:rPr>
              <m:t>P</m:t>
            </m:r>
          </m:e>
          <m:sup>
            <m:r>
              <w:rPr>
                <w:rFonts w:ascii="Cambria Math" w:hAnsi="Cambria Math"/>
              </w:rPr>
              <m:t>min</m:t>
            </m:r>
          </m:sup>
        </m:sSup>
      </m:oMath>
      <w:r w:rsidRPr="00D606E2">
        <w:t xml:space="preserve">, e da inclinação da curva de demanda </w:t>
      </w:r>
      <m:oMath>
        <m:r>
          <w:rPr>
            <w:rFonts w:ascii="Cambria Math" w:hAnsi="Cambria Math"/>
          </w:rPr>
          <m:t>σ</m:t>
        </m:r>
      </m:oMath>
      <w:r w:rsidRPr="00D606E2">
        <w:t xml:space="preserve">, que corresponde à </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min</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r</m:t>
            </m:r>
          </m:sup>
        </m:sSup>
        <m:r>
          <w:rPr>
            <w:rFonts w:ascii="Cambria Math" w:hAnsi="Cambria Math"/>
          </w:rPr>
          <m:t>)</m:t>
        </m:r>
      </m:oMath>
      <w:r w:rsidRPr="00D606E2">
        <w:t xml:space="preserve">. Para a calibração da curva de preço e demanda, um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e uma demanda de referência </w:t>
      </w:r>
      <m:oMath>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são definidos e utilizados. Além disto, a demanda nunca será maior do que a população total </w:t>
      </w:r>
      <m:oMath>
        <m:r>
          <w:rPr>
            <w:rFonts w:ascii="Cambria Math" w:hAnsi="Cambria Math"/>
          </w:rPr>
          <m:t>POP</m:t>
        </m:r>
      </m:oMath>
      <w:r w:rsidRPr="00D606E2">
        <w:t xml:space="preserve">, nem menor do que </w:t>
      </w:r>
      <m:oMath>
        <m:r>
          <w:rPr>
            <w:rFonts w:ascii="Cambria Math" w:hAnsi="Cambria Math"/>
          </w:rPr>
          <m:t>0</m:t>
        </m:r>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7F5500" w:rsidP="003175FC">
            <w:pPr>
              <w:pStyle w:val="Corpodetexto"/>
            </w:pPr>
            <m:oMathPara>
              <m:oMath>
                <m:sSup>
                  <m:sSupPr>
                    <m:ctrlPr>
                      <w:rPr>
                        <w:rFonts w:ascii="Cambria Math" w:hAnsi="Cambria Math"/>
                        <w:sz w:val="24"/>
                      </w:rPr>
                    </m:ctrlPr>
                  </m:sSupPr>
                  <m:e>
                    <m:r>
                      <w:rPr>
                        <w:rFonts w:ascii="Cambria Math" w:hAnsi="Cambria Math"/>
                        <w:sz w:val="24"/>
                      </w:rPr>
                      <m:t>A</m:t>
                    </m:r>
                  </m:e>
                  <m:sup>
                    <m:r>
                      <m:rPr>
                        <m:sty m:val="p"/>
                      </m:rPr>
                      <w:rPr>
                        <w:rFonts w:ascii="Cambria Math" w:hAnsi="Cambria Math"/>
                        <w:sz w:val="24"/>
                      </w:rPr>
                      <m:t>*</m:t>
                    </m:r>
                  </m:sup>
                </m:sSup>
                <m:r>
                  <m:rPr>
                    <m:sty m:val="p"/>
                  </m:rPr>
                  <w:rPr>
                    <w:rFonts w:ascii="Cambria Math" w:hAnsi="Cambria Math"/>
                    <w:sz w:val="24"/>
                  </w:rPr>
                  <m:t>=</m:t>
                </m:r>
                <m:r>
                  <w:rPr>
                    <w:rFonts w:ascii="Cambria Math" w:hAnsi="Cambria Math"/>
                    <w:sz w:val="24"/>
                  </w:rPr>
                  <m:t>MIN</m:t>
                </m:r>
                <m:d>
                  <m:dPr>
                    <m:ctrlPr>
                      <w:rPr>
                        <w:rFonts w:ascii="Cambria Math" w:hAnsi="Cambria Math"/>
                        <w:sz w:val="24"/>
                      </w:rPr>
                    </m:ctrlPr>
                  </m:dPr>
                  <m:e>
                    <m:r>
                      <w:rPr>
                        <w:rFonts w:ascii="Cambria Math" w:hAnsi="Cambria Math"/>
                        <w:sz w:val="24"/>
                      </w:rPr>
                      <m:t>POP</m:t>
                    </m:r>
                    <m:r>
                      <m:rPr>
                        <m:sty m:val="p"/>
                      </m:rPr>
                      <w:rPr>
                        <w:rFonts w:ascii="Cambria Math" w:hAnsi="Cambria Math"/>
                        <w:sz w:val="24"/>
                      </w:rPr>
                      <m:t>,</m:t>
                    </m:r>
                    <m:r>
                      <w:rPr>
                        <w:rFonts w:ascii="Cambria Math" w:hAnsi="Cambria Math"/>
                        <w:sz w:val="24"/>
                      </w:rPr>
                      <m:t>PO</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r>
                      <m:rPr>
                        <m:sty m:val="p"/>
                      </m:rPr>
                      <w:rPr>
                        <w:rFonts w:ascii="Cambria Math" w:hAnsi="Cambria Math"/>
                        <w:sz w:val="24"/>
                      </w:rPr>
                      <m:t>*</m:t>
                    </m:r>
                    <m:r>
                      <w:rPr>
                        <w:rFonts w:ascii="Cambria Math" w:hAnsi="Cambria Math"/>
                        <w:sz w:val="24"/>
                      </w:rPr>
                      <m:t>MAX</m:t>
                    </m:r>
                    <m:d>
                      <m:dPr>
                        <m:ctrlPr>
                          <w:rPr>
                            <w:rFonts w:ascii="Cambria Math" w:hAnsi="Cambria Math"/>
                            <w:sz w:val="24"/>
                          </w:rPr>
                        </m:ctrlPr>
                      </m:dPr>
                      <m:e>
                        <m:r>
                          <m:rPr>
                            <m:sty m:val="p"/>
                          </m:rPr>
                          <w:rPr>
                            <w:rFonts w:ascii="Cambria Math" w:hAnsi="Cambria Math"/>
                            <w:sz w:val="24"/>
                          </w:rPr>
                          <m:t>0,1+</m:t>
                        </m:r>
                        <m:f>
                          <m:fPr>
                            <m:ctrlPr>
                              <w:rPr>
                                <w:rFonts w:ascii="Cambria Math" w:hAnsi="Cambria Math"/>
                                <w:sz w:val="24"/>
                              </w:rPr>
                            </m:ctrlPr>
                          </m:fPr>
                          <m:num>
                            <m:r>
                              <w:rPr>
                                <w:rFonts w:ascii="Cambria Math" w:hAnsi="Cambria Math"/>
                                <w:sz w:val="24"/>
                              </w:rPr>
                              <m:t>σ</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P</m:t>
                                </m:r>
                              </m:e>
                              <m:sup>
                                <m:r>
                                  <w:rPr>
                                    <w:rFonts w:ascii="Cambria Math" w:hAnsi="Cambria Math"/>
                                    <w:sz w:val="24"/>
                                  </w:rPr>
                                  <m:t>min</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r>
                              <m:rPr>
                                <m:sty m:val="p"/>
                              </m:rPr>
                              <w:rPr>
                                <w:rFonts w:ascii="Cambria Math" w:hAnsi="Cambria Math"/>
                                <w:sz w:val="24"/>
                              </w:rPr>
                              <m:t>)</m:t>
                            </m:r>
                          </m:num>
                          <m:den>
                            <m:r>
                              <w:rPr>
                                <w:rFonts w:ascii="Cambria Math" w:hAnsi="Cambria Math"/>
                                <w:sz w:val="24"/>
                              </w:rPr>
                              <m:t>PO</m:t>
                            </m:r>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den>
                        </m:f>
                      </m:e>
                    </m:d>
                  </m:e>
                </m:d>
              </m:oMath>
            </m:oMathPara>
          </w:p>
        </w:tc>
        <w:tc>
          <w:tcPr>
            <w:tcW w:w="643" w:type="dxa"/>
            <w:vAlign w:val="center"/>
          </w:tcPr>
          <w:p w:rsidR="00600AE6" w:rsidRDefault="00600AE6" w:rsidP="003175FC">
            <w:pPr>
              <w:ind w:firstLine="0"/>
              <w:jc w:val="right"/>
            </w:pPr>
            <w:r>
              <w:t>(</w:t>
            </w:r>
            <w:r w:rsidR="007B40A8">
              <w:t>5</w:t>
            </w:r>
            <w:r>
              <w:t>)</w:t>
            </w:r>
          </w:p>
        </w:tc>
      </w:tr>
    </w:tbl>
    <w:p w:rsidR="00600AE6" w:rsidRPr="00D606E2" w:rsidRDefault="00600AE6" w:rsidP="00600AE6">
      <w:pPr>
        <w:pStyle w:val="Ttulo3"/>
      </w:pPr>
      <w:bookmarkStart w:id="10" w:name="_Toc505157963"/>
      <w:r w:rsidRPr="00D606E2">
        <w:t xml:space="preserve">Market </w:t>
      </w:r>
      <w:proofErr w:type="spellStart"/>
      <w:r w:rsidRPr="00D606E2">
        <w:t>Share</w:t>
      </w:r>
      <w:bookmarkEnd w:id="10"/>
      <w:proofErr w:type="spellEnd"/>
    </w:p>
    <w:p w:rsidR="00600AE6" w:rsidRDefault="00600AE6" w:rsidP="00600AE6">
      <w:r w:rsidRPr="00D606E2">
        <w:t xml:space="preserve">Assim como no modelo de </w:t>
      </w:r>
      <w:proofErr w:type="spellStart"/>
      <w:r w:rsidRPr="00D606E2">
        <w:t>Sterman</w:t>
      </w:r>
      <w:proofErr w:type="spellEnd"/>
      <w:r w:rsidRPr="00D606E2">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C0E26">
        <w:rPr>
          <w:noProof/>
        </w:rPr>
        <w:t>(2007)</w:t>
      </w:r>
      <w:r>
        <w:fldChar w:fldCharType="end"/>
      </w:r>
      <w:r w:rsidRPr="00D606E2">
        <w:t xml:space="preserve">, a atratividade de cada player é calculada com base em um modelo </w:t>
      </w:r>
      <w:proofErr w:type="spellStart"/>
      <w:r w:rsidRPr="00E31418">
        <w:rPr>
          <w:i/>
        </w:rPr>
        <w:t>logit</w:t>
      </w:r>
      <w:proofErr w:type="spellEnd"/>
      <w:r w:rsidRPr="00D606E2">
        <w:t xml:space="preserve"> de decisão. Neste modelo, a atratividade de cada um dos players é calculada de acordo com um conjunto de critérios competitivos</w:t>
      </w:r>
      <w:r w:rsidR="00FB4901">
        <w:t>, incluindo a performance da impressora 3D</w:t>
      </w:r>
      <w:r w:rsidRPr="00D606E2">
        <w:t xml:space="preserve">. Originalmente, a atratividade de cada player modelada por </w:t>
      </w:r>
      <w:proofErr w:type="spellStart"/>
      <w:r w:rsidRPr="00D606E2">
        <w:t>Sterman</w:t>
      </w:r>
      <w:proofErr w:type="spellEnd"/>
      <w:r w:rsidRPr="00D606E2">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C0E26">
        <w:rPr>
          <w:noProof/>
        </w:rPr>
        <w:t>(2007)</w:t>
      </w:r>
      <w:r>
        <w:fldChar w:fldCharType="end"/>
      </w:r>
      <w:r w:rsidRPr="00D606E2">
        <w:t xml:space="preserve"> considerava apenas preço e tempo de entrega como critérios competitivos. </w:t>
      </w:r>
    </w:p>
    <w:p w:rsidR="00600AE6" w:rsidRPr="00870FB0" w:rsidRDefault="00FB4901" w:rsidP="001005E0">
      <w:r>
        <w:t>A</w:t>
      </w:r>
      <w:r w:rsidR="00600AE6" w:rsidRPr="00D606E2">
        <w:t xml:space="preserve"> atratividade dos players</w:t>
      </w:r>
      <w:r w:rsidR="00600AE6">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00AE6" w:rsidRPr="00D606E2">
        <w:t xml:space="preserve"> é modelada considerando os seus respectivos preços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600AE6" w:rsidRPr="00D606E2">
        <w:t xml:space="preserve"> e o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00600AE6" w:rsidRPr="00D606E2">
        <w:t xml:space="preserve">, o seu tempo de entrega </w:t>
      </w:r>
      <m:oMath>
        <m:sSub>
          <m:sSubPr>
            <m:ctrlPr>
              <w:rPr>
                <w:rFonts w:ascii="Cambria Math" w:hAnsi="Cambria Math"/>
              </w:rPr>
            </m:ctrlPr>
          </m:sSubPr>
          <m:e>
            <m:r>
              <w:rPr>
                <w:rFonts w:ascii="Cambria Math" w:hAnsi="Cambria Math"/>
              </w:rPr>
              <m:t>τ</m:t>
            </m:r>
          </m:e>
          <m:sub>
            <m:r>
              <w:rPr>
                <w:rFonts w:ascii="Cambria Math" w:hAnsi="Cambria Math"/>
              </w:rPr>
              <m:t>i</m:t>
            </m:r>
          </m:sub>
        </m:sSub>
      </m:oMath>
      <w:r w:rsidR="00600AE6" w:rsidRPr="00D606E2">
        <w:t xml:space="preserve"> e o tempo de entrega de referência</w:t>
      </w:r>
      <w:r w:rsidR="00600AE6">
        <w:t xml:space="preserve"> </w:t>
      </w:r>
      <m:oMath>
        <m:sSup>
          <m:sSupPr>
            <m:ctrlPr>
              <w:rPr>
                <w:rFonts w:ascii="Cambria Math" w:hAnsi="Cambria Math"/>
              </w:rPr>
            </m:ctrlPr>
          </m:sSupPr>
          <m:e>
            <m:r>
              <w:rPr>
                <w:rFonts w:ascii="Cambria Math" w:hAnsi="Cambria Math"/>
              </w:rPr>
              <m:t>τ</m:t>
            </m:r>
          </m:e>
          <m:sup>
            <m:r>
              <w:rPr>
                <w:rFonts w:ascii="Cambria Math" w:hAnsi="Cambria Math"/>
              </w:rPr>
              <m:t>r</m:t>
            </m:r>
          </m:sup>
        </m:sSup>
      </m:oMath>
      <w:r w:rsidR="00600AE6" w:rsidRPr="00D606E2">
        <w:t xml:space="preserve">, e a sua performance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00AE6" w:rsidRPr="00D606E2">
        <w:t xml:space="preserve"> e uma performance de referência </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00600AE6" w:rsidRPr="00D606E2">
        <w:t xml:space="preserve">. Os parâmetros de sensibilidade da atratividade ao preço </w:t>
      </w:r>
      <m:oMath>
        <m:sSub>
          <m:sSubPr>
            <m:ctrlPr>
              <w:rPr>
                <w:rFonts w:ascii="Cambria Math" w:hAnsi="Cambria Math"/>
              </w:rPr>
            </m:ctrlPr>
          </m:sSubPr>
          <m:e>
            <m:r>
              <w:rPr>
                <w:rFonts w:ascii="Cambria Math" w:hAnsi="Cambria Math"/>
              </w:rPr>
              <m:t>ε</m:t>
            </m:r>
          </m:e>
          <m:sub>
            <m:r>
              <w:rPr>
                <w:rFonts w:ascii="Cambria Math" w:hAnsi="Cambria Math"/>
              </w:rPr>
              <m:t>p</m:t>
            </m:r>
          </m:sub>
        </m:sSub>
      </m:oMath>
      <w:r w:rsidR="00600AE6" w:rsidRPr="00D606E2">
        <w:t xml:space="preserve">, tempo de entrega </w:t>
      </w:r>
      <m:oMath>
        <m:sSub>
          <m:sSubPr>
            <m:ctrlPr>
              <w:rPr>
                <w:rFonts w:ascii="Cambria Math" w:hAnsi="Cambria Math"/>
              </w:rPr>
            </m:ctrlPr>
          </m:sSubPr>
          <m:e>
            <m:r>
              <w:rPr>
                <w:rFonts w:ascii="Cambria Math" w:hAnsi="Cambria Math"/>
              </w:rPr>
              <m:t>ε</m:t>
            </m:r>
          </m:e>
          <m:sub>
            <m:r>
              <w:rPr>
                <w:rFonts w:ascii="Cambria Math" w:hAnsi="Cambria Math"/>
              </w:rPr>
              <m:t>a</m:t>
            </m:r>
          </m:sub>
        </m:sSub>
      </m:oMath>
      <w:r w:rsidR="00600AE6" w:rsidRPr="00D606E2">
        <w:t xml:space="preserve"> e performance </w:t>
      </w:r>
      <m:oMath>
        <m:sSub>
          <m:sSubPr>
            <m:ctrlPr>
              <w:rPr>
                <w:rFonts w:ascii="Cambria Math" w:hAnsi="Cambria Math"/>
              </w:rPr>
            </m:ctrlPr>
          </m:sSubPr>
          <m:e>
            <m:r>
              <w:rPr>
                <w:rFonts w:ascii="Cambria Math" w:hAnsi="Cambria Math"/>
              </w:rPr>
              <m:t>ε</m:t>
            </m:r>
          </m:e>
          <m:sub>
            <m:r>
              <w:rPr>
                <w:rFonts w:ascii="Cambria Math" w:hAnsi="Cambria Math"/>
              </w:rPr>
              <m:t>x</m:t>
            </m:r>
          </m:sub>
        </m:sSub>
      </m:oMath>
      <w:r w:rsidR="00600AE6" w:rsidRPr="00D606E2">
        <w:t xml:space="preserve"> modulam a preferência do mercado em relação a cada um destes critérios competitivos.</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7F5500" w:rsidP="003175FC">
            <w:pPr>
              <w:pStyle w:val="Corpodetexto"/>
            </w:pPr>
            <m:oMathPara>
              <m:oMath>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r>
                  <m:rPr>
                    <m:sty m:val="p"/>
                  </m:rPr>
                  <w:rPr>
                    <w:rFonts w:ascii="Cambria Math" w:hAnsi="Cambria Math"/>
                    <w:sz w:val="24"/>
                  </w:rPr>
                  <m:t>=</m:t>
                </m:r>
                <m:r>
                  <w:rPr>
                    <w:rFonts w:ascii="Cambria Math" w:hAnsi="Cambria Math"/>
                    <w:sz w:val="24"/>
                  </w:rPr>
                  <m:t>exp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p</m:t>
                        </m:r>
                      </m:sub>
                    </m:sSub>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num>
                      <m:den>
                        <m:sSup>
                          <m:sSupPr>
                            <m:ctrlPr>
                              <w:rPr>
                                <w:rFonts w:ascii="Cambria Math" w:hAnsi="Cambria Math"/>
                                <w:sz w:val="24"/>
                              </w:rPr>
                            </m:ctrlPr>
                          </m:sSupPr>
                          <m:e>
                            <m:r>
                              <w:rPr>
                                <w:rFonts w:ascii="Cambria Math" w:hAnsi="Cambria Math"/>
                                <w:sz w:val="24"/>
                              </w:rPr>
                              <m:t>P</m:t>
                            </m:r>
                          </m:e>
                          <m:sup>
                            <m:r>
                              <w:rPr>
                                <w:rFonts w:ascii="Cambria Math" w:hAnsi="Cambria Math"/>
                                <w:sz w:val="24"/>
                              </w:rPr>
                              <m:t>r</m:t>
                            </m:r>
                          </m:sup>
                        </m:sSup>
                      </m:den>
                    </m:f>
                  </m:e>
                </m:d>
                <m:r>
                  <m:rPr>
                    <m:sty m:val="p"/>
                  </m:rPr>
                  <w:rPr>
                    <w:rFonts w:ascii="Cambria Math" w:hAnsi="Cambria Math"/>
                    <w:sz w:val="24"/>
                  </w:rPr>
                  <m:t>*</m:t>
                </m:r>
                <m:r>
                  <w:rPr>
                    <w:rFonts w:ascii="Cambria Math" w:hAnsi="Cambria Math"/>
                    <w:sz w:val="24"/>
                  </w:rPr>
                  <m:t>exp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a</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τ</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τ</m:t>
                        </m:r>
                      </m:e>
                      <m:sup>
                        <m:r>
                          <w:rPr>
                            <w:rFonts w:ascii="Cambria Math" w:hAnsi="Cambria Math"/>
                            <w:sz w:val="24"/>
                          </w:rPr>
                          <m:t>r</m:t>
                        </m:r>
                      </m:sup>
                    </m:sSup>
                  </m:e>
                </m:d>
                <m:r>
                  <m:rPr>
                    <m:sty m:val="p"/>
                  </m:rPr>
                  <w:rPr>
                    <w:rFonts w:ascii="Cambria Math" w:hAnsi="Cambria Math"/>
                    <w:sz w:val="24"/>
                  </w:rPr>
                  <m:t>*</m:t>
                </m:r>
                <m:r>
                  <w:rPr>
                    <w:rFonts w:ascii="Cambria Math" w:hAnsi="Cambria Math"/>
                    <w:sz w:val="24"/>
                  </w:rPr>
                  <m:t>exp</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ε</m:t>
                        </m:r>
                      </m:e>
                      <m:sub>
                        <m:r>
                          <w:rPr>
                            <w:rFonts w:ascii="Cambria Math" w:hAnsi="Cambria Math"/>
                            <w:sz w:val="24"/>
                          </w:rPr>
                          <m:t>x</m:t>
                        </m:r>
                      </m:sub>
                    </m:sSub>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X</m:t>
                            </m:r>
                          </m:e>
                          <m:sup>
                            <m:r>
                              <w:rPr>
                                <w:rFonts w:ascii="Cambria Math" w:hAnsi="Cambria Math"/>
                                <w:sz w:val="24"/>
                              </w:rPr>
                              <m:t>r</m:t>
                            </m:r>
                          </m:sup>
                        </m:sSup>
                      </m:num>
                      <m:den>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den>
                    </m:f>
                  </m:e>
                </m:d>
              </m:oMath>
            </m:oMathPara>
          </w:p>
        </w:tc>
        <w:tc>
          <w:tcPr>
            <w:tcW w:w="643" w:type="dxa"/>
            <w:vAlign w:val="center"/>
          </w:tcPr>
          <w:p w:rsidR="00600AE6" w:rsidRDefault="00600AE6" w:rsidP="003175FC">
            <w:pPr>
              <w:ind w:firstLine="0"/>
              <w:jc w:val="right"/>
            </w:pPr>
            <w:r>
              <w:t>(</w:t>
            </w:r>
            <w:r w:rsidR="007B40A8">
              <w:t>6</w:t>
            </w:r>
            <w:r>
              <w:t>)</w:t>
            </w:r>
          </w:p>
        </w:tc>
      </w:tr>
    </w:tbl>
    <w:p w:rsidR="00600AE6" w:rsidRPr="00D606E2" w:rsidRDefault="00600AE6" w:rsidP="00600AE6">
      <w:pPr>
        <w:pStyle w:val="Ttulo3"/>
      </w:pPr>
      <w:bookmarkStart w:id="11" w:name="_Toc505157969"/>
      <w:r w:rsidRPr="00D606E2">
        <w:t>Pesquisa e Desenvolvimento</w:t>
      </w:r>
      <w:bookmarkEnd w:id="11"/>
    </w:p>
    <w:p w:rsidR="00600AE6" w:rsidRPr="00D606E2" w:rsidRDefault="00600AE6" w:rsidP="00600AE6">
      <w:r w:rsidRPr="00D606E2">
        <w:t xml:space="preserve">No modelo computacional, os fabricantes de impressoras 3D investem uma fração </w:t>
      </w:r>
      <m:oMath>
        <m:sSub>
          <m:sSubPr>
            <m:ctrlPr>
              <w:rPr>
                <w:rFonts w:ascii="Cambria Math" w:hAnsi="Cambria Math"/>
              </w:rPr>
            </m:ctrlPr>
          </m:sSubPr>
          <m:e>
            <m:r>
              <w:rPr>
                <w:rFonts w:ascii="Cambria Math" w:hAnsi="Cambria Math"/>
              </w:rPr>
              <m:t>η</m:t>
            </m:r>
          </m:e>
          <m:sub>
            <m:r>
              <w:rPr>
                <w:rFonts w:ascii="Cambria Math" w:hAnsi="Cambria Math"/>
              </w:rPr>
              <m:t>i</m:t>
            </m:r>
          </m:sub>
        </m:sSub>
      </m:oMath>
      <w:r w:rsidRPr="00D606E2">
        <w:t xml:space="preserve"> de sua receita</w:t>
      </w:r>
      <w: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D606E2">
        <w:t xml:space="preserve"> em pesquisa e desenvolvimento, na expectativa de melhorar a performance de seus produtos ao longo do tempo. Este investimento, no entanto</w:t>
      </w:r>
      <w:r>
        <w:t>,</w:t>
      </w:r>
      <w:r w:rsidRPr="00D606E2">
        <w:t xml:space="preserve"> não gera retorno instantaneamente, de modo que a empresa deve esperar um certo tempo </w:t>
      </w:r>
      <m:oMath>
        <m:sSup>
          <m:sSupPr>
            <m:ctrlPr>
              <w:rPr>
                <w:rFonts w:ascii="Cambria Math" w:hAnsi="Cambria Math"/>
              </w:rPr>
            </m:ctrlPr>
          </m:sSupPr>
          <m:e>
            <m:r>
              <w:rPr>
                <w:rFonts w:ascii="Cambria Math" w:hAnsi="Cambria Math"/>
              </w:rPr>
              <m:t>υ</m:t>
            </m:r>
          </m:e>
          <m:sup>
            <m:r>
              <w:rPr>
                <w:rFonts w:ascii="Cambria Math" w:hAnsi="Cambria Math"/>
              </w:rPr>
              <m:t>r</m:t>
            </m:r>
          </m:sup>
        </m:sSup>
      </m:oMath>
      <w:r w:rsidRPr="00D606E2">
        <w:t xml:space="preserve"> até que o investimento gere algum retorno. Desta maneira, o investimento não realizado pela empresa é modelado como um estoque:</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η</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oMath>
            </m:oMathPara>
          </w:p>
        </w:tc>
        <w:tc>
          <w:tcPr>
            <w:tcW w:w="643" w:type="dxa"/>
            <w:vAlign w:val="center"/>
          </w:tcPr>
          <w:p w:rsidR="00600AE6" w:rsidRDefault="00600AE6" w:rsidP="003175FC">
            <w:pPr>
              <w:ind w:firstLine="0"/>
              <w:jc w:val="right"/>
            </w:pPr>
            <w:r>
              <w:t>(</w:t>
            </w:r>
            <w:r w:rsidR="007B40A8">
              <w:t>7</w:t>
            </w:r>
            <w:r>
              <w:t>)</w:t>
            </w:r>
          </w:p>
        </w:tc>
      </w:tr>
    </w:tbl>
    <w:p w:rsidR="00600AE6" w:rsidRPr="00D606E2" w:rsidRDefault="00600AE6" w:rsidP="00FB4901">
      <w:r w:rsidRPr="00D606E2">
        <w:t>Neste trabalho, o resultado do investimento em pesquisa e desenvolvimento será materializado no desenvolvimento de patentes</w:t>
      </w:r>
      <w:r w:rsidR="00FB4901">
        <w:t xml:space="preserve">, </w:t>
      </w:r>
      <w:r>
        <w:t>considerando a importância da expiração de patentes para o crescimento da indústria da manufatura aditiva.</w:t>
      </w:r>
      <w:r>
        <w:fldChar w:fldCharType="begin" w:fldLock="1"/>
      </w:r>
      <w:r>
        <w:instrText>ADDIN CSL_CITATION { "citationItems" : [ { "id" : "ITEM-1", "itemData" : { "URL" : "https://wohlersassociates.com/blog/2016/01/popularity-of-fdm/", "accessed" : { "date-parts" : [ [ "2017", "12", "10" ] ] }, "author" : [ { "dropping-particle" : "", "family" : "Wholers", "given" : "Terry", "non-dropping-particle" : "", "parse-names" : false, "suffix" : "" } ], "id" : "ITEM-1", "issued" : { "date-parts" : [ [ "2016" ] ] }, "title" : "Popularity of FDM", "type" : "webpage" }, "uris" : [ "http://www.mendeley.com/documents/?uuid=73e88053-2d7f-4112-b60d-6fb4664fdbfa" ] } ], "mendeley" : { "formattedCitation" : "(Wholers, 2016)", "plainTextFormattedCitation" : "(Wholers, 2016)", "previouslyFormattedCitation" : "(Wholers, 2016)" }, "properties" : {  }, "schema" : "https://github.com/citation-style-language/schema/raw/master/csl-citation.json" }</w:instrText>
      </w:r>
      <w:r>
        <w:fldChar w:fldCharType="separate"/>
      </w:r>
      <w:r w:rsidRPr="00024DAB">
        <w:rPr>
          <w:noProof/>
        </w:rPr>
        <w:t>(Wholers, 2016)</w:t>
      </w:r>
      <w:r>
        <w:fldChar w:fldCharType="end"/>
      </w:r>
      <w:r>
        <w:t>.</w:t>
      </w:r>
      <w:r w:rsidRPr="00D606E2">
        <w:t xml:space="preserve"> </w:t>
      </w:r>
      <w:r w:rsidR="00FB4901">
        <w:t>O</w:t>
      </w:r>
      <w:r w:rsidRPr="00D606E2">
        <w:t xml:space="preserve"> estoque de patentes requisitadas pela empresa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oMath>
      <w:r w:rsidRPr="00D606E2">
        <w:t xml:space="preserve"> cresce à medida que novas solicitações são realizadas (as </w:t>
      </w:r>
      <w:r w:rsidRPr="00D606E2">
        <w:lastRenderedPageBreak/>
        <w:t xml:space="preserve">quais dependem da realização do investimento em P&amp;D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r</m:t>
            </m:r>
          </m:sup>
        </m:sSup>
      </m:oMath>
      <w:r w:rsidRPr="00D606E2">
        <w:t xml:space="preserve"> e do custo médio de obtenção das patentes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D606E2">
        <w:t xml:space="preserve">), e decresce à medida que as patentes são rejeitadas ou aprovadas obedecendo a um tempo médio de avaliação das patentes </w:t>
      </w:r>
      <m:oMath>
        <m:sSup>
          <m:sSupPr>
            <m:ctrlPr>
              <w:rPr>
                <w:rFonts w:ascii="Cambria Math" w:hAnsi="Cambria Math"/>
              </w:rPr>
            </m:ctrlPr>
          </m:sSupPr>
          <m:e>
            <m:r>
              <w:rPr>
                <w:rFonts w:ascii="Cambria Math" w:hAnsi="Cambria Math"/>
              </w:rPr>
              <m:t>υ</m:t>
            </m:r>
          </m:e>
          <m:sup>
            <m:r>
              <w:rPr>
                <w:rFonts w:ascii="Cambria Math" w:hAnsi="Cambria Math"/>
              </w:rPr>
              <m:t>a</m:t>
            </m:r>
          </m:sup>
        </m:sSup>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num>
                  <m:den>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den>
                </m:f>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oMath>
            </m:oMathPara>
          </w:p>
        </w:tc>
        <w:tc>
          <w:tcPr>
            <w:tcW w:w="643" w:type="dxa"/>
            <w:vAlign w:val="center"/>
          </w:tcPr>
          <w:p w:rsidR="00600AE6" w:rsidRDefault="00600AE6" w:rsidP="003175FC">
            <w:pPr>
              <w:ind w:firstLine="0"/>
              <w:jc w:val="right"/>
            </w:pPr>
            <w:r>
              <w:t>(</w:t>
            </w:r>
            <w:r w:rsidR="007B40A8">
              <w:t>8</w:t>
            </w:r>
            <w:r>
              <w:t>)</w:t>
            </w:r>
          </w:p>
        </w:tc>
      </w:tr>
    </w:tbl>
    <w:p w:rsidR="00600AE6" w:rsidRPr="00447AB9" w:rsidRDefault="00600AE6" w:rsidP="00600AE6">
      <w:r>
        <w:t xml:space="preserve">No modelo, uma fração </w:t>
      </w:r>
      <m:oMath>
        <m:r>
          <w:rPr>
            <w:rFonts w:ascii="Cambria Math" w:hAnsi="Cambria Math"/>
          </w:rPr>
          <m:t>ψ</m:t>
        </m:r>
      </m:oMath>
      <w:r w:rsidRPr="00D606E2">
        <w:t xml:space="preserve"> </w:t>
      </w:r>
      <w:r>
        <w:t xml:space="preserve"> das solicitações de patentes é rejeitada. </w:t>
      </w:r>
      <w:r w:rsidRPr="00D606E2">
        <w:t xml:space="preserve">Uma vez avaliadas e aprovadas, a empresa dedica uma fração </w:t>
      </w:r>
      <m:oMath>
        <m:r>
          <w:rPr>
            <w:rFonts w:ascii="Cambria Math" w:hAnsi="Cambria Math"/>
          </w:rPr>
          <m:t>1-</m:t>
        </m:r>
        <m:sSub>
          <m:sSubPr>
            <m:ctrlPr>
              <w:rPr>
                <w:rFonts w:ascii="Cambria Math" w:hAnsi="Cambria Math"/>
              </w:rPr>
            </m:ctrlPr>
          </m:sSubPr>
          <m:e>
            <m:r>
              <w:rPr>
                <w:rFonts w:ascii="Cambria Math" w:hAnsi="Cambria Math"/>
              </w:rPr>
              <m:t>κ</m:t>
            </m:r>
          </m:e>
          <m:sub>
            <m:r>
              <w:rPr>
                <w:rFonts w:ascii="Cambria Math" w:hAnsi="Cambria Math"/>
              </w:rPr>
              <m:t>i</m:t>
            </m:r>
          </m:sub>
        </m:sSub>
      </m:oMath>
      <w:r w:rsidRPr="00D606E2">
        <w:t xml:space="preserve"> de suas patentes aprovadas </w:t>
      </w:r>
      <m:oMath>
        <m:r>
          <w:rPr>
            <w:rFonts w:ascii="Cambria Math" w:hAnsi="Cambria Math"/>
          </w:rPr>
          <m:t>(1-ψ)*</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oMath>
      <w:r w:rsidRPr="00D606E2">
        <w:t xml:space="preserve"> para seu conjunto de patentes privadas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oMath>
      <w:r w:rsidRPr="00D606E2">
        <w:t xml:space="preserve">, e disponibiliza uma fração </w:t>
      </w:r>
      <m:oMath>
        <m:sSub>
          <m:sSubPr>
            <m:ctrlPr>
              <w:rPr>
                <w:rFonts w:ascii="Cambria Math" w:hAnsi="Cambria Math"/>
              </w:rPr>
            </m:ctrlPr>
          </m:sSubPr>
          <m:e>
            <m:r>
              <w:rPr>
                <w:rFonts w:ascii="Cambria Math" w:hAnsi="Cambria Math"/>
              </w:rPr>
              <m:t>κ</m:t>
            </m:r>
          </m:e>
          <m:sub>
            <m:r>
              <w:rPr>
                <w:rFonts w:ascii="Cambria Math" w:hAnsi="Cambria Math"/>
              </w:rPr>
              <m:t>i</m:t>
            </m:r>
          </m:sub>
        </m:sSub>
      </m:oMath>
      <w:r w:rsidRPr="00D606E2">
        <w:t xml:space="preserve"> como patentes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Em todo caso, a patente irá expirar após o período de vigência da patente </w:t>
      </w:r>
      <m:oMath>
        <m:sSup>
          <m:sSupPr>
            <m:ctrlPr>
              <w:rPr>
                <w:rFonts w:ascii="Cambria Math" w:hAnsi="Cambria Math"/>
              </w:rPr>
            </m:ctrlPr>
          </m:sSupPr>
          <m:e>
            <m:r>
              <w:rPr>
                <w:rFonts w:ascii="Cambria Math" w:hAnsi="Cambria Math"/>
              </w:rPr>
              <m:t>υ</m:t>
            </m:r>
          </m:e>
          <m:sup>
            <m:r>
              <w:rPr>
                <w:rFonts w:ascii="Cambria Math" w:hAnsi="Cambria Math"/>
              </w:rPr>
              <m:t>e</m:t>
            </m:r>
          </m:sup>
        </m:sSup>
      </m:oMath>
      <w:r w:rsidRPr="00D606E2">
        <w:t>, reduzindo assim o número d</w:t>
      </w:r>
      <w:r>
        <w:t>e patentes em posse da empresa.</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r>
                  <m:rPr>
                    <m:sty m:val="p"/>
                  </m:rPr>
                  <w:rPr>
                    <w:rFonts w:ascii="Cambria Math" w:hAnsi="Cambria Math"/>
                    <w:sz w:val="24"/>
                  </w:rPr>
                  <m:t>/</m:t>
                </m:r>
                <m:r>
                  <w:rPr>
                    <w:rFonts w:ascii="Cambria Math" w:hAnsi="Cambria Math"/>
                    <w:sz w:val="24"/>
                  </w:rPr>
                  <m:t>dt</m:t>
                </m:r>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κ</m:t>
                    </m:r>
                  </m:e>
                  <m:sub>
                    <m:r>
                      <w:rPr>
                        <w:rFonts w:ascii="Cambria Math" w:hAnsi="Cambria Math"/>
                        <w:sz w:val="24"/>
                      </w:rPr>
                      <m:t>i</m:t>
                    </m:r>
                  </m:sub>
                </m:sSub>
                <m:r>
                  <m:rPr>
                    <m:sty m:val="p"/>
                  </m:rPr>
                  <w:rPr>
                    <w:rFonts w:ascii="Cambria Math" w:hAnsi="Cambria Math"/>
                    <w:sz w:val="24"/>
                  </w:rPr>
                  <m:t>)*(1-</m:t>
                </m:r>
                <m:r>
                  <w:rPr>
                    <w:rFonts w:ascii="Cambria Math" w:hAnsi="Cambria Math"/>
                    <w:sz w:val="24"/>
                  </w:rPr>
                  <m:t>ψ</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oMath>
            </m:oMathPara>
          </w:p>
        </w:tc>
        <w:tc>
          <w:tcPr>
            <w:tcW w:w="643" w:type="dxa"/>
            <w:vAlign w:val="center"/>
          </w:tcPr>
          <w:p w:rsidR="00600AE6" w:rsidRDefault="00600AE6" w:rsidP="003175FC">
            <w:pPr>
              <w:ind w:firstLine="0"/>
              <w:jc w:val="right"/>
            </w:pPr>
            <w:r>
              <w:t>(</w:t>
            </w:r>
            <w:r w:rsidR="007B40A8">
              <w:t>9</w:t>
            </w:r>
            <w:r>
              <w:t>)</w:t>
            </w:r>
          </w:p>
        </w:tc>
      </w:tr>
    </w:tbl>
    <w:p w:rsidR="00600AE6" w:rsidRPr="00D606E2" w:rsidRDefault="00600AE6" w:rsidP="00600AE6">
      <w:r w:rsidRPr="00D606E2">
        <w:t xml:space="preserve">De modo semelhante, o estoque de patentes </w:t>
      </w:r>
      <w:r w:rsidRPr="00FB4901">
        <w:rPr>
          <w:i/>
        </w:rPr>
        <w:t xml:space="preserve">open </w:t>
      </w:r>
      <w:proofErr w:type="spellStart"/>
      <w:r w:rsidRPr="00FB4901">
        <w:rPr>
          <w:i/>
        </w:rPr>
        <w:t>source</w:t>
      </w:r>
      <w:proofErr w:type="spellEnd"/>
      <w:r w:rsidRPr="00D606E2">
        <w:t xml:space="preserv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cresce à medida que novas patentes são disponibilizadas por todos os players e decresce à medida que estas patentes expiram.</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κ</m:t>
                        </m:r>
                      </m:e>
                      <m:sub>
                        <m:r>
                          <w:rPr>
                            <w:rFonts w:ascii="Cambria Math" w:hAnsi="Cambria Math"/>
                            <w:sz w:val="24"/>
                          </w:rPr>
                          <m:t>i</m:t>
                        </m:r>
                      </m:sub>
                    </m:sSub>
                    <m:r>
                      <m:rPr>
                        <m:sty m:val="p"/>
                      </m:rPr>
                      <w:rPr>
                        <w:rFonts w:ascii="Cambria Math" w:hAnsi="Cambria Math"/>
                        <w:sz w:val="24"/>
                      </w:rPr>
                      <m:t>*(1-</m:t>
                    </m:r>
                    <m:r>
                      <w:rPr>
                        <w:rFonts w:ascii="Cambria Math" w:hAnsi="Cambria Math"/>
                        <w:sz w:val="24"/>
                      </w:rPr>
                      <m:t>ψ</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m:rPr>
                        <m:sty m:val="p"/>
                      </m:rPr>
                      <w:rPr>
                        <w:rFonts w:ascii="Cambria Math" w:hAnsi="Cambria Math"/>
                        <w:sz w:val="24"/>
                      </w:rPr>
                      <m:t>]</m:t>
                    </m:r>
                  </m:e>
                </m:nary>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oMath>
            </m:oMathPara>
          </w:p>
        </w:tc>
        <w:tc>
          <w:tcPr>
            <w:tcW w:w="643" w:type="dxa"/>
            <w:vAlign w:val="center"/>
          </w:tcPr>
          <w:p w:rsidR="00600AE6" w:rsidRDefault="00600AE6" w:rsidP="003175FC">
            <w:pPr>
              <w:ind w:firstLine="0"/>
              <w:jc w:val="right"/>
            </w:pPr>
            <w:r>
              <w:t>(</w:t>
            </w:r>
            <w:r w:rsidR="007B40A8">
              <w:t>10</w:t>
            </w:r>
            <w:r>
              <w:t>)</w:t>
            </w:r>
          </w:p>
        </w:tc>
      </w:tr>
    </w:tbl>
    <w:p w:rsidR="00600AE6" w:rsidRPr="00D606E2" w:rsidRDefault="00600AE6" w:rsidP="00600AE6">
      <w:r w:rsidRPr="00D606E2">
        <w:t xml:space="preserve">Por fim, as patentes em domínio público </w:t>
      </w:r>
      <m:oMath>
        <m:sSup>
          <m:sSupPr>
            <m:ctrlPr>
              <w:rPr>
                <w:rFonts w:ascii="Cambria Math" w:hAnsi="Cambria Math"/>
              </w:rPr>
            </m:ctrlPr>
          </m:sSupPr>
          <m:e>
            <m:r>
              <w:rPr>
                <w:rFonts w:ascii="Cambria Math" w:hAnsi="Cambria Math"/>
              </w:rPr>
              <m:t>T</m:t>
            </m:r>
          </m:e>
          <m:sup>
            <m:r>
              <w:rPr>
                <w:rFonts w:ascii="Cambria Math" w:hAnsi="Cambria Math"/>
              </w:rPr>
              <m:t>e</m:t>
            </m:r>
          </m:sup>
        </m:sSup>
      </m:oMath>
      <w:r w:rsidRPr="00D606E2">
        <w:t xml:space="preserve"> não mantém sua utilidade indefinidamente. Novas tecnologias surgem e inutilizam as patentes disponíveis em domínio público. Deste modo, o estoque de patentes em domínio público úteis decresce à medida que há perda de utilidade das patentes expiradas, considerando um tempo médio de inutilização destas patentes </w:t>
      </w:r>
      <m:oMath>
        <m:sSup>
          <m:sSupPr>
            <m:ctrlPr>
              <w:rPr>
                <w:rFonts w:ascii="Cambria Math" w:hAnsi="Cambria Math"/>
              </w:rPr>
            </m:ctrlPr>
          </m:sSupPr>
          <m:e>
            <m:r>
              <w:rPr>
                <w:rFonts w:ascii="Cambria Math" w:hAnsi="Cambria Math"/>
              </w:rPr>
              <m:t>υ</m:t>
            </m:r>
          </m:e>
          <m:sup>
            <m:r>
              <w:rPr>
                <w:rFonts w:ascii="Cambria Math" w:hAnsi="Cambria Math"/>
              </w:rPr>
              <m:t>i</m:t>
            </m:r>
          </m:sup>
        </m:sSup>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sz w:val="24"/>
                  </w:rPr>
                  <m:t>d</m:t>
                </m:r>
                <m:sSup>
                  <m:sSupPr>
                    <m:ctrlPr>
                      <w:rPr>
                        <w:rFonts w:ascii="Cambria Math" w:hAnsi="Cambria Math"/>
                        <w:sz w:val="24"/>
                      </w:rPr>
                    </m:ctrlPr>
                  </m:sSupPr>
                  <m:e>
                    <m:r>
                      <w:rPr>
                        <w:rFonts w:ascii="Cambria Math" w:hAnsi="Cambria Math"/>
                        <w:sz w:val="24"/>
                      </w:rPr>
                      <m:t>T</m:t>
                    </m:r>
                  </m:e>
                  <m:sup>
                    <m:r>
                      <w:rPr>
                        <w:rFonts w:ascii="Cambria Math" w:hAnsi="Cambria Math"/>
                        <w:sz w:val="24"/>
                      </w:rPr>
                      <m:t>e</m:t>
                    </m:r>
                  </m:sup>
                </m:sSup>
                <m:r>
                  <m:rPr>
                    <m:sty m:val="p"/>
                  </m:rPr>
                  <w:rPr>
                    <w:rFonts w:ascii="Cambria Math" w:hAnsi="Cambria Math"/>
                    <w:sz w:val="24"/>
                  </w:rPr>
                  <m:t>/</m:t>
                </m:r>
                <m:r>
                  <w:rPr>
                    <w:rFonts w:ascii="Cambria Math" w:hAnsi="Cambria Math"/>
                    <w:sz w:val="24"/>
                  </w:rPr>
                  <m:t>dt</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sub>
                  <m:sup/>
                  <m:e>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e>
                </m:nary>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e</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i</m:t>
                    </m:r>
                  </m:sup>
                </m:sSup>
              </m:oMath>
            </m:oMathPara>
          </w:p>
        </w:tc>
        <w:tc>
          <w:tcPr>
            <w:tcW w:w="643" w:type="dxa"/>
            <w:vAlign w:val="center"/>
          </w:tcPr>
          <w:p w:rsidR="00600AE6" w:rsidRDefault="00600AE6" w:rsidP="003175FC">
            <w:pPr>
              <w:ind w:firstLine="0"/>
              <w:jc w:val="right"/>
            </w:pPr>
            <w:r>
              <w:t>(</w:t>
            </w:r>
            <w:r w:rsidR="007B40A8">
              <w:t>11</w:t>
            </w:r>
            <w:r>
              <w:t>)</w:t>
            </w:r>
          </w:p>
        </w:tc>
      </w:tr>
    </w:tbl>
    <w:p w:rsidR="00600AE6" w:rsidRPr="00D606E2" w:rsidRDefault="00600AE6" w:rsidP="00600AE6">
      <w:r w:rsidRPr="00D606E2">
        <w:t xml:space="preserve">O modelo pressupõe que a empresa monitora o ambiente, observando patentes expiradas </w:t>
      </w:r>
      <m:oMath>
        <m:sSup>
          <m:sSupPr>
            <m:ctrlPr>
              <w:rPr>
                <w:rFonts w:ascii="Cambria Math" w:hAnsi="Cambria Math"/>
              </w:rPr>
            </m:ctrlPr>
          </m:sSupPr>
          <m:e>
            <m:r>
              <w:rPr>
                <w:rFonts w:ascii="Cambria Math" w:hAnsi="Cambria Math"/>
              </w:rPr>
              <m:t>T</m:t>
            </m:r>
          </m:e>
          <m:sup>
            <m:r>
              <w:rPr>
                <w:rFonts w:ascii="Cambria Math" w:hAnsi="Cambria Math"/>
              </w:rPr>
              <m:t>e</m:t>
            </m:r>
          </m:sup>
        </m:sSup>
      </m:oMath>
      <w:r w:rsidRPr="00D606E2">
        <w:t xml:space="preserve"> ou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capitalizando-se sobre todas as patentes disponíveis.</w:t>
      </w:r>
      <w:r>
        <w:t xml:space="preserve"> Este fenômeno é observável na indústria da manufatura aditiva, sendo notável na expiração de patentes da tecnologia FDM, motivando outros players a entrar no mercado. </w:t>
      </w:r>
      <w:r>
        <w:fldChar w:fldCharType="begin" w:fldLock="1"/>
      </w:r>
      <w:r>
        <w:instrText>ADDIN CSL_CITATION { "citationItems" : [ { "id" : "ITEM-1", "itemData" : { "ISBN" : "978-0-9913332-0-2", "abstract" : "Wohlers report on some history of AM up to 2011", "author" : [ { "dropping-particle" : "", "family" : "Wohlers", "given" : "Terry", "non-dropping-particle" : "", "parse-names" : false, "suffix" : "" }, { "dropping-particle" : "", "family" : "Gornet", "given" : "Tim", "non-dropping-particle" : "", "parse-names" : false, "suffix" : "" } ], "container-title" : "Wohlers Report 2016", "id" : "ITEM-1", "issued" : { "date-parts" : [ [ "2016" ] ] }, "page" : "1-23", "title" : "History of additive manufacturing", "type" : "chapter" }, "uris" : [ "http://www.mendeley.com/documents/?uuid=1132f1f6-c688-4b12-9d73-9d56a1419be1" ] } ], "mendeley" : { "formattedCitation" : "(Wohlers &amp; Gornet, 2016)", "plainTextFormattedCitation" : "(Wohlers &amp; Gornet, 2016)", "previouslyFormattedCitation" : "(Wohlers &amp; Gornet, 2016)" }, "properties" : {  }, "schema" : "https://github.com/citation-style-language/schema/raw/master/csl-citation.json" }</w:instrText>
      </w:r>
      <w:r>
        <w:fldChar w:fldCharType="separate"/>
      </w:r>
      <w:r w:rsidRPr="00024DAB">
        <w:rPr>
          <w:noProof/>
        </w:rPr>
        <w:t>(Wohlers &amp; Gornet, 2016)</w:t>
      </w:r>
      <w:r>
        <w:fldChar w:fldCharType="end"/>
      </w:r>
      <w:r>
        <w:t>.</w:t>
      </w:r>
      <w:r w:rsidRPr="00D606E2">
        <w:t xml:space="preserve"> Desta maneira, o número de patentes acessadas pela empresa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oMath>
      <w:r w:rsidRPr="00D606E2">
        <w:t xml:space="preserve"> corresponde à soma das patentes disponíveis.</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7F5500" w:rsidP="003175FC">
            <w:pPr>
              <w:pStyle w:val="Corpodetexto"/>
              <w:rPr>
                <w:rFonts w:eastAsiaTheme="minorEastAsia"/>
              </w:rPr>
            </w:pPr>
            <m:oMathPara>
              <m:oMath>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T</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r</m:t>
                    </m:r>
                  </m:sup>
                </m:sSubSup>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p</m:t>
                    </m:r>
                  </m:sup>
                </m:sSub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o</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T</m:t>
                    </m:r>
                  </m:e>
                  <m:sup>
                    <m:r>
                      <w:rPr>
                        <w:rFonts w:ascii="Cambria Math" w:hAnsi="Cambria Math"/>
                        <w:sz w:val="24"/>
                      </w:rPr>
                      <m:t>e</m:t>
                    </m:r>
                  </m:sup>
                </m:sSup>
              </m:oMath>
            </m:oMathPara>
          </w:p>
        </w:tc>
        <w:tc>
          <w:tcPr>
            <w:tcW w:w="643" w:type="dxa"/>
            <w:vAlign w:val="center"/>
          </w:tcPr>
          <w:p w:rsidR="00600AE6" w:rsidRDefault="00600AE6" w:rsidP="003175FC">
            <w:pPr>
              <w:ind w:firstLine="0"/>
              <w:jc w:val="right"/>
            </w:pPr>
            <w:r>
              <w:t>(</w:t>
            </w:r>
            <w:r w:rsidR="007B40A8">
              <w:t>12</w:t>
            </w:r>
            <w:r>
              <w:t>)</w:t>
            </w:r>
          </w:p>
        </w:tc>
      </w:tr>
    </w:tbl>
    <w:p w:rsidR="00600AE6" w:rsidRPr="00DA262A" w:rsidRDefault="00600AE6" w:rsidP="00600AE6">
      <w:r w:rsidRPr="00D606E2">
        <w:t xml:space="preserve">As patentes as quais a empresa tem acesso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oMath>
      <w:r w:rsidRPr="00D606E2">
        <w:t xml:space="preserve"> representam a fonte de conhecimento que a empresa tem à disposição para melhorar a performance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xml:space="preserve"> de seus produtos. Por isso, o modelo pressupõe que a performance dos produtos da empresa responde às patentes que a empresa tem acesso linearmente, considerando uma inclinação da curva de patentes e performance </w:t>
      </w:r>
      <m:oMath>
        <m:r>
          <w:rPr>
            <w:rFonts w:ascii="Cambria Math" w:hAnsi="Cambria Math"/>
          </w:rPr>
          <m:t>ϕ</m:t>
        </m:r>
      </m:oMath>
      <w:r w:rsidRPr="00D606E2">
        <w:t xml:space="preserve"> (unidades de performance por patente acessada pela empresa). A performance dos players é representada por um índice agregado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variando de 0 (</w:t>
      </w:r>
      <m:oMath>
        <m:sSup>
          <m:sSupPr>
            <m:ctrlPr>
              <w:rPr>
                <w:rFonts w:ascii="Cambria Math" w:hAnsi="Cambria Math"/>
              </w:rPr>
            </m:ctrlPr>
          </m:sSupPr>
          <m:e>
            <m:r>
              <w:rPr>
                <w:rFonts w:ascii="Cambria Math" w:hAnsi="Cambria Math"/>
              </w:rPr>
              <m:t>X</m:t>
            </m:r>
          </m:e>
          <m:sup>
            <m:r>
              <w:rPr>
                <w:rFonts w:ascii="Cambria Math" w:hAnsi="Cambria Math"/>
              </w:rPr>
              <m:t>min</m:t>
            </m:r>
          </m:sup>
        </m:sSup>
      </m:oMath>
      <w:r w:rsidRPr="00D606E2">
        <w:t>) a 10 (</w:t>
      </w:r>
      <m:oMath>
        <m:sSup>
          <m:sSupPr>
            <m:ctrlPr>
              <w:rPr>
                <w:rFonts w:ascii="Cambria Math" w:hAnsi="Cambria Math"/>
              </w:rPr>
            </m:ctrlPr>
          </m:sSupPr>
          <m:e>
            <m:r>
              <w:rPr>
                <w:rFonts w:ascii="Cambria Math" w:hAnsi="Cambria Math"/>
              </w:rPr>
              <m:t>X</m:t>
            </m:r>
          </m:e>
          <m:sup>
            <m:r>
              <w:rPr>
                <w:rFonts w:ascii="Cambria Math" w:hAnsi="Cambria Math"/>
              </w:rPr>
              <m:t>max</m:t>
            </m:r>
          </m:sup>
        </m:sSup>
      </m:oMath>
      <w:r w:rsidRPr="00D606E2">
        <w:t>)</w:t>
      </w:r>
      <w:r>
        <w:t xml:space="preserve">. </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7F5500" w:rsidP="003175FC">
            <w:pPr>
              <w:pStyle w:val="Corpodetexto"/>
              <w:rPr>
                <w:rFonts w:eastAsiaTheme="minorEastAsia"/>
              </w:rPr>
            </w:pPr>
            <m:oMathPara>
              <m:oMath>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m:rPr>
                    <m:sty m:val="p"/>
                  </m:rPr>
                  <w:rPr>
                    <w:rFonts w:ascii="Cambria Math" w:hAnsi="Cambria Math"/>
                    <w:sz w:val="24"/>
                  </w:rPr>
                  <m:t>=</m:t>
                </m:r>
                <m:r>
                  <w:rPr>
                    <w:rFonts w:ascii="Cambria Math" w:hAnsi="Cambria Math"/>
                    <w:sz w:val="24"/>
                  </w:rPr>
                  <m:t>MAX</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min</m:t>
                    </m:r>
                  </m:sup>
                </m:sSup>
                <m:r>
                  <m:rPr>
                    <m:sty m:val="p"/>
                  </m:rPr>
                  <w:rPr>
                    <w:rFonts w:ascii="Cambria Math" w:hAnsi="Cambria Math"/>
                    <w:sz w:val="24"/>
                  </w:rPr>
                  <m:t>,</m:t>
                </m:r>
                <m:r>
                  <w:rPr>
                    <w:rFonts w:ascii="Cambria Math" w:hAnsi="Cambria Math"/>
                    <w:sz w:val="24"/>
                  </w:rPr>
                  <m:t>MIN</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max</m:t>
                    </m:r>
                  </m:sup>
                </m:sSup>
                <m:r>
                  <m:rPr>
                    <m:sty m:val="p"/>
                  </m:rPr>
                  <w:rPr>
                    <w:rFonts w:ascii="Cambria Math" w:hAnsi="Cambria Math"/>
                    <w:sz w:val="24"/>
                  </w:rPr>
                  <m:t>,</m:t>
                </m:r>
                <m:r>
                  <w:rPr>
                    <w:rFonts w:ascii="Cambria Math" w:hAnsi="Cambria Math"/>
                    <w:sz w:val="24"/>
                  </w:rPr>
                  <m:t>ϕ</m:t>
                </m:r>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T</m:t>
                    </m:r>
                  </m:e>
                  <m:sub>
                    <m:r>
                      <w:rPr>
                        <w:rFonts w:ascii="Cambria Math" w:hAnsi="Cambria Math"/>
                        <w:sz w:val="24"/>
                      </w:rPr>
                      <m:t>i</m:t>
                    </m:r>
                  </m:sub>
                  <m:sup>
                    <m:r>
                      <w:rPr>
                        <w:rFonts w:ascii="Cambria Math" w:hAnsi="Cambria Math"/>
                        <w:sz w:val="24"/>
                      </w:rPr>
                      <m:t>T</m:t>
                    </m:r>
                  </m:sup>
                </m:sSubSup>
                <m:r>
                  <m:rPr>
                    <m:sty m:val="p"/>
                  </m:rPr>
                  <w:rPr>
                    <w:rFonts w:ascii="Cambria Math" w:hAnsi="Cambria Math"/>
                    <w:sz w:val="24"/>
                  </w:rPr>
                  <m:t>))</m:t>
                </m:r>
              </m:oMath>
            </m:oMathPara>
          </w:p>
        </w:tc>
        <w:tc>
          <w:tcPr>
            <w:tcW w:w="643" w:type="dxa"/>
            <w:vAlign w:val="center"/>
          </w:tcPr>
          <w:p w:rsidR="00600AE6" w:rsidRDefault="00600AE6" w:rsidP="003175FC">
            <w:pPr>
              <w:ind w:firstLine="0"/>
              <w:jc w:val="right"/>
            </w:pPr>
            <w:r>
              <w:t>(</w:t>
            </w:r>
            <w:r w:rsidR="007B40A8">
              <w:t>13</w:t>
            </w:r>
            <w:r>
              <w:t>)</w:t>
            </w:r>
          </w:p>
        </w:tc>
      </w:tr>
    </w:tbl>
    <w:p w:rsidR="00600AE6" w:rsidRPr="00DA262A" w:rsidRDefault="00600AE6" w:rsidP="00600AE6">
      <w:r>
        <w:t xml:space="preserve">Finalmente, o investimento realizado em pesquisa e desenvolvimento deve impor pressão sobre os custos dos players que investem em pesquisa e desenvolvimento. Para tanto, formula-se uma variável como um estoque de investimento em pesquisa e desenvolvimento a depreciar </w:t>
      </w:r>
      <m:oMath>
        <m:sSup>
          <m:sSupPr>
            <m:ctrlPr>
              <w:rPr>
                <w:rFonts w:ascii="Cambria Math" w:hAnsi="Cambria Math"/>
                <w:i/>
                <w:lang w:val="en-US" w:eastAsia="en-US"/>
              </w:rPr>
            </m:ctrlPr>
          </m:sSupPr>
          <m:e>
            <m:sSub>
              <m:sSubPr>
                <m:ctrlPr>
                  <w:rPr>
                    <w:rFonts w:ascii="Cambria Math" w:hAnsi="Cambria Math"/>
                  </w:rPr>
                </m:ctrlPr>
              </m:sSubPr>
              <m:e>
                <m:r>
                  <w:rPr>
                    <w:rFonts w:ascii="Cambria Math" w:hAnsi="Cambria Math"/>
                  </w:rPr>
                  <m:t>M</m:t>
                </m:r>
              </m:e>
              <m:sub>
                <m:r>
                  <w:rPr>
                    <w:rFonts w:ascii="Cambria Math" w:hAnsi="Cambria Math"/>
                  </w:rPr>
                  <m:t>i</m:t>
                </m:r>
              </m:sub>
            </m:sSub>
          </m:e>
          <m:sup>
            <m:r>
              <w:rPr>
                <w:rFonts w:ascii="Cambria Math" w:hAnsi="Cambria Math"/>
              </w:rPr>
              <m:t>D</m:t>
            </m:r>
          </m:sup>
        </m:sSup>
      </m:oMath>
      <w:r>
        <w:t xml:space="preserve">, a qual cresce à medida que a empresa realiza novos investimentos, e decresce considerando o tempo de realização do investimento </w:t>
      </w:r>
      <m:oMath>
        <m:sSup>
          <m:sSupPr>
            <m:ctrlPr>
              <w:rPr>
                <w:rFonts w:ascii="Cambria Math" w:hAnsi="Cambria Math"/>
              </w:rPr>
            </m:ctrlPr>
          </m:sSupPr>
          <m:e>
            <m:r>
              <w:rPr>
                <w:rFonts w:ascii="Cambria Math" w:hAnsi="Cambria Math"/>
              </w:rPr>
              <m:t>υ</m:t>
            </m:r>
          </m:e>
          <m:sup>
            <m:r>
              <w:rPr>
                <w:rFonts w:ascii="Cambria Math" w:hAnsi="Cambria Math"/>
              </w:rPr>
              <m:t>r</m:t>
            </m:r>
          </m:sup>
        </m:sSup>
      </m:oMath>
      <w:r>
        <w:t xml:space="preserve">, avaliação da patente </w:t>
      </w:r>
      <m:oMath>
        <m:sSup>
          <m:sSupPr>
            <m:ctrlPr>
              <w:rPr>
                <w:rFonts w:ascii="Cambria Math" w:hAnsi="Cambria Math"/>
              </w:rPr>
            </m:ctrlPr>
          </m:sSupPr>
          <m:e>
            <m:r>
              <w:rPr>
                <w:rFonts w:ascii="Cambria Math" w:hAnsi="Cambria Math"/>
              </w:rPr>
              <m:t>υ</m:t>
            </m:r>
          </m:e>
          <m:sup>
            <m:r>
              <w:rPr>
                <w:rFonts w:ascii="Cambria Math" w:hAnsi="Cambria Math"/>
              </w:rPr>
              <m:t>a</m:t>
            </m:r>
          </m:sup>
        </m:sSup>
      </m:oMath>
      <w:r>
        <w:t xml:space="preserve"> e expiração da patente </w:t>
      </w:r>
      <m:oMath>
        <m:sSup>
          <m:sSupPr>
            <m:ctrlPr>
              <w:rPr>
                <w:rFonts w:ascii="Cambria Math" w:hAnsi="Cambria Math"/>
              </w:rPr>
            </m:ctrlPr>
          </m:sSupPr>
          <m:e>
            <m:r>
              <w:rPr>
                <w:rFonts w:ascii="Cambria Math" w:hAnsi="Cambria Math"/>
              </w:rPr>
              <m:t>υ</m:t>
            </m:r>
          </m:e>
          <m:sup>
            <m:r>
              <w:rPr>
                <w:rFonts w:ascii="Cambria Math" w:hAnsi="Cambria Math"/>
              </w:rPr>
              <m:t>e</m:t>
            </m:r>
          </m:sup>
        </m:sSup>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eastAsia="Times New Roman" w:hAnsi="Cambria Math"/>
                    <w:sz w:val="24"/>
                  </w:rPr>
                  <m:t xml:space="preserve"> d</m:t>
                </m:r>
                <m:sSup>
                  <m:sSupPr>
                    <m:ctrlPr>
                      <w:rPr>
                        <w:rFonts w:ascii="Cambria Math" w:eastAsia="Times New Roman" w:hAnsi="Cambria Math"/>
                        <w:i/>
                        <w:sz w:val="24"/>
                      </w:rPr>
                    </m:ctrlPr>
                  </m:sSupPr>
                  <m:e>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e>
                  <m:sup>
                    <m:r>
                      <w:rPr>
                        <w:rFonts w:ascii="Cambria Math" w:eastAsia="Times New Roman" w:hAnsi="Cambria Math"/>
                        <w:sz w:val="24"/>
                      </w:rPr>
                      <m:t>D</m:t>
                    </m:r>
                  </m:sup>
                </m:sSup>
                <m:r>
                  <w:rPr>
                    <w:rFonts w:ascii="Cambria Math" w:eastAsia="Times New Roman" w:hAnsi="Cambria Math"/>
                    <w:sz w:val="24"/>
                  </w:rPr>
                  <m:t>/dt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η</m:t>
                    </m:r>
                  </m:e>
                  <m:sub>
                    <m:r>
                      <w:rPr>
                        <w:rFonts w:ascii="Cambria Math" w:hAnsi="Cambria Math"/>
                        <w:sz w:val="24"/>
                      </w:rPr>
                      <m:t>i</m:t>
                    </m:r>
                  </m:sub>
                </m:sSub>
                <m:r>
                  <m:rPr>
                    <m:sty m:val="p"/>
                  </m:rPr>
                  <w:rPr>
                    <w:rFonts w:ascii="Cambria Math" w:hAnsi="Cambria Math"/>
                    <w:sz w:val="24"/>
                  </w:rPr>
                  <m:t xml:space="preserve">- </m:t>
                </m:r>
                <m:sSup>
                  <m:sSupPr>
                    <m:ctrlPr>
                      <w:rPr>
                        <w:rFonts w:ascii="Cambria Math" w:eastAsia="Times New Roman" w:hAnsi="Cambria Math"/>
                        <w:i/>
                        <w:sz w:val="24"/>
                      </w:rPr>
                    </m:ctrlPr>
                  </m:sSupPr>
                  <m:e>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e>
                  <m:sup>
                    <m:r>
                      <w:rPr>
                        <w:rFonts w:ascii="Cambria Math" w:eastAsia="Times New Roman" w:hAnsi="Cambria Math"/>
                        <w:sz w:val="24"/>
                      </w:rPr>
                      <m:t>D</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w:rPr>
                    <w:rFonts w:ascii="Cambria Math" w:hAnsi="Cambria Math"/>
                    <w:sz w:val="24"/>
                  </w:rPr>
                  <m:t>)</m:t>
                </m:r>
              </m:oMath>
            </m:oMathPara>
          </w:p>
        </w:tc>
        <w:tc>
          <w:tcPr>
            <w:tcW w:w="643" w:type="dxa"/>
            <w:vAlign w:val="center"/>
          </w:tcPr>
          <w:p w:rsidR="00600AE6" w:rsidRDefault="00600AE6" w:rsidP="003175FC">
            <w:pPr>
              <w:ind w:firstLine="0"/>
              <w:jc w:val="right"/>
            </w:pPr>
            <w:r>
              <w:t>(</w:t>
            </w:r>
            <w:r w:rsidR="007B6665">
              <w:t>14</w:t>
            </w:r>
            <w:r>
              <w:t>)</w:t>
            </w:r>
          </w:p>
        </w:tc>
      </w:tr>
    </w:tbl>
    <w:p w:rsidR="00600AE6" w:rsidRPr="00DA262A" w:rsidRDefault="00600AE6" w:rsidP="00600AE6">
      <w:r>
        <w:t xml:space="preserve">Finalmente, a parcela dos custos fixos da empresa relacionadas à pesquisa e desenvolvimento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p</m:t>
            </m:r>
          </m:sup>
        </m:sSubSup>
      </m:oMath>
      <w:r>
        <w:t xml:space="preserve">  é obtida pela razão entre o valor da depreciação anual calculado e o número de produtos entregues pela empresa anualmente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para que possa compor seus custos na definição de seu preço. </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eastAsia="Times New Roman" w:hAnsi="Cambria Math"/>
                    <w:sz w:val="24"/>
                  </w:rPr>
                  <m:t xml:space="preserve"> </m:t>
                </m:r>
                <m:sSubSup>
                  <m:sSubSupPr>
                    <m:ctrlPr>
                      <w:rPr>
                        <w:rFonts w:ascii="Cambria Math" w:hAnsi="Cambria Math"/>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p</m:t>
                    </m:r>
                  </m:sup>
                </m:sSubSup>
                <m:r>
                  <w:rPr>
                    <w:rFonts w:ascii="Cambria Math" w:eastAsia="Times New Roman" w:hAnsi="Cambria Math"/>
                    <w:sz w:val="24"/>
                  </w:rPr>
                  <m:t xml:space="preserve">=  </m:t>
                </m:r>
                <m:f>
                  <m:fPr>
                    <m:ctrlPr>
                      <w:rPr>
                        <w:rFonts w:ascii="Cambria Math" w:eastAsia="Times New Roman" w:hAnsi="Cambria Math"/>
                        <w:i/>
                        <w:sz w:val="24"/>
                      </w:rPr>
                    </m:ctrlPr>
                  </m:fPr>
                  <m:num>
                    <m:sSup>
                      <m:sSupPr>
                        <m:ctrlPr>
                          <w:rPr>
                            <w:rFonts w:ascii="Cambria Math" w:eastAsia="Times New Roman" w:hAnsi="Cambria Math"/>
                            <w:i/>
                            <w:sz w:val="24"/>
                          </w:rPr>
                        </m:ctrlPr>
                      </m:sSupPr>
                      <m:e>
                        <m:sSub>
                          <m:sSubPr>
                            <m:ctrlPr>
                              <w:rPr>
                                <w:rFonts w:ascii="Cambria Math" w:hAnsi="Cambria Math"/>
                                <w:sz w:val="24"/>
                              </w:rPr>
                            </m:ctrlPr>
                          </m:sSubPr>
                          <m:e>
                            <m:r>
                              <w:rPr>
                                <w:rFonts w:ascii="Cambria Math" w:hAnsi="Cambria Math"/>
                                <w:sz w:val="24"/>
                              </w:rPr>
                              <m:t>M</m:t>
                            </m:r>
                          </m:e>
                          <m:sub>
                            <m:r>
                              <w:rPr>
                                <w:rFonts w:ascii="Cambria Math" w:hAnsi="Cambria Math"/>
                                <w:sz w:val="24"/>
                              </w:rPr>
                              <m:t>i</m:t>
                            </m:r>
                          </m:sub>
                        </m:sSub>
                      </m:e>
                      <m:sup>
                        <m:r>
                          <w:rPr>
                            <w:rFonts w:ascii="Cambria Math" w:eastAsia="Times New Roman" w:hAnsi="Cambria Math"/>
                            <w:sz w:val="24"/>
                          </w:rPr>
                          <m:t>D</m:t>
                        </m:r>
                      </m:sup>
                    </m:sSup>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r</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e</m:t>
                        </m:r>
                      </m:sup>
                    </m:sSup>
                    <m:r>
                      <w:rPr>
                        <w:rFonts w:ascii="Cambria Math" w:hAnsi="Cambria Math"/>
                        <w:sz w:val="24"/>
                      </w:rPr>
                      <m:t>+</m:t>
                    </m:r>
                    <m:sSup>
                      <m:sSupPr>
                        <m:ctrlPr>
                          <w:rPr>
                            <w:rFonts w:ascii="Cambria Math" w:hAnsi="Cambria Math"/>
                            <w:sz w:val="24"/>
                          </w:rPr>
                        </m:ctrlPr>
                      </m:sSupPr>
                      <m:e>
                        <m:r>
                          <w:rPr>
                            <w:rFonts w:ascii="Cambria Math" w:hAnsi="Cambria Math"/>
                            <w:sz w:val="24"/>
                          </w:rPr>
                          <m:t>υ</m:t>
                        </m:r>
                      </m:e>
                      <m:sup>
                        <m:r>
                          <w:rPr>
                            <w:rFonts w:ascii="Cambria Math" w:hAnsi="Cambria Math"/>
                            <w:sz w:val="24"/>
                          </w:rPr>
                          <m:t>a</m:t>
                        </m:r>
                      </m:sup>
                    </m:sSup>
                    <m:r>
                      <w:rPr>
                        <w:rFonts w:ascii="Cambria Math" w:hAnsi="Cambria Math"/>
                        <w:sz w:val="24"/>
                      </w:rPr>
                      <m:t>)</m:t>
                    </m:r>
                  </m:num>
                  <m:den>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den>
                </m:f>
                <m:r>
                  <w:rPr>
                    <w:rFonts w:ascii="Cambria Math" w:eastAsia="Times New Roman" w:hAnsi="Cambria Math"/>
                    <w:sz w:val="24"/>
                  </w:rPr>
                  <m:t xml:space="preserve"> </m:t>
                </m:r>
                <m:r>
                  <m:rPr>
                    <m:sty m:val="p"/>
                  </m:rPr>
                  <w:rPr>
                    <w:rFonts w:ascii="Cambria Math" w:hAnsi="Cambria Math"/>
                    <w:sz w:val="24"/>
                  </w:rPr>
                  <m:t xml:space="preserve"> </m:t>
                </m:r>
              </m:oMath>
            </m:oMathPara>
          </w:p>
        </w:tc>
        <w:tc>
          <w:tcPr>
            <w:tcW w:w="643" w:type="dxa"/>
            <w:vAlign w:val="center"/>
          </w:tcPr>
          <w:p w:rsidR="00600AE6" w:rsidRDefault="00600AE6" w:rsidP="003175FC">
            <w:pPr>
              <w:ind w:firstLine="0"/>
              <w:jc w:val="right"/>
            </w:pPr>
            <w:r>
              <w:t>(</w:t>
            </w:r>
            <w:r w:rsidR="007B6665">
              <w:t>15</w:t>
            </w:r>
            <w:r>
              <w:t>)</w:t>
            </w:r>
          </w:p>
        </w:tc>
      </w:tr>
    </w:tbl>
    <w:p w:rsidR="00523116" w:rsidRDefault="00523116" w:rsidP="00523116">
      <w:pPr>
        <w:pStyle w:val="Ttulo2"/>
      </w:pPr>
      <w:r>
        <w:t>Simulação de Estratégias</w:t>
      </w:r>
    </w:p>
    <w:p w:rsidR="003175FC" w:rsidRDefault="003175FC" w:rsidP="00084053">
      <w:r>
        <w:t xml:space="preserve">Esta seção apresenta a análise dos resultados dos experimentos computacionais realizados neste trabalho. O modelo computacional desenvolvido foi simulado 10.800 vezes (54 estratégias em 200 cenários), visando testar o comportamento das decisões indicadas no </w:t>
      </w:r>
      <w:r>
        <w:fldChar w:fldCharType="begin"/>
      </w:r>
      <w:r>
        <w:instrText xml:space="preserve"> REF _Ref504419537 \h </w:instrText>
      </w:r>
      <w:r>
        <w:fldChar w:fldCharType="separate"/>
      </w:r>
      <w:r w:rsidR="00A65D24">
        <w:t xml:space="preserve">Quadro </w:t>
      </w:r>
      <w:r w:rsidR="00A65D24">
        <w:rPr>
          <w:noProof/>
        </w:rPr>
        <w:t>1</w:t>
      </w:r>
      <w:r>
        <w:fldChar w:fldCharType="end"/>
      </w:r>
      <w:r>
        <w:t>. Todas as 54 combinações destas decisões foram testadas</w:t>
      </w:r>
      <w:r w:rsidR="00A422A9">
        <w:t>.</w:t>
      </w:r>
      <w:r w:rsidR="00084053" w:rsidRPr="00084053">
        <w:t xml:space="preserve"> </w:t>
      </w:r>
      <w:r w:rsidR="00084053">
        <w:t xml:space="preserve">Considerando esta métrica de robustez, a </w:t>
      </w:r>
      <w:r w:rsidR="00084053">
        <w:fldChar w:fldCharType="begin"/>
      </w:r>
      <w:r w:rsidR="00084053">
        <w:instrText xml:space="preserve"> REF _Ref503685033 \h </w:instrText>
      </w:r>
      <w:r w:rsidR="00084053">
        <w:fldChar w:fldCharType="separate"/>
      </w:r>
      <w:r w:rsidR="00A65D24" w:rsidRPr="00DE4B63">
        <w:t xml:space="preserve">Figura </w:t>
      </w:r>
      <w:r w:rsidR="00A65D24">
        <w:rPr>
          <w:noProof/>
        </w:rPr>
        <w:t>2</w:t>
      </w:r>
      <w:r w:rsidR="00084053">
        <w:fldChar w:fldCharType="end"/>
      </w:r>
      <w:r w:rsidR="00084053">
        <w:t xml:space="preserve"> apresenta as estratégias e seu Custo de Oportunidade absoluto. Embora </w:t>
      </w:r>
      <w:r w:rsidR="00084053">
        <w:lastRenderedPageBreak/>
        <w:t xml:space="preserve">as estratégias conservadoras apresentem menor </w:t>
      </w:r>
      <w:r w:rsidR="00084053" w:rsidRPr="00635FC6">
        <w:rPr>
          <w:i/>
        </w:rPr>
        <w:t>variação</w:t>
      </w:r>
      <w:r w:rsidR="00084053">
        <w:t xml:space="preserve"> em seu VPL, isto não significa que estas sejam mais robustas, utilizando-se o critério do custo de oportunidade. </w:t>
      </w:r>
    </w:p>
    <w:p w:rsidR="003175FC" w:rsidRDefault="003175FC" w:rsidP="003175FC">
      <w:pPr>
        <w:pStyle w:val="Legenda"/>
      </w:pPr>
      <w:bookmarkStart w:id="12" w:name="_Ref504419537"/>
      <w:bookmarkStart w:id="13" w:name="_Toc505157853"/>
      <w:r>
        <w:t xml:space="preserve">Quadro </w:t>
      </w:r>
      <w:fldSimple w:instr=" SEQ Quadro \* ARABIC ">
        <w:r w:rsidR="00A65D24">
          <w:rPr>
            <w:noProof/>
          </w:rPr>
          <w:t>1</w:t>
        </w:r>
      </w:fldSimple>
      <w:bookmarkEnd w:id="12"/>
      <w:r>
        <w:t xml:space="preserve"> – Decisões Simuladas para o Player 1</w:t>
      </w:r>
      <w:bookmarkEnd w:id="13"/>
    </w:p>
    <w:tbl>
      <w:tblPr>
        <w:tblStyle w:val="Tabelacomgrade"/>
        <w:tblW w:w="0" w:type="auto"/>
        <w:tblLayout w:type="fixed"/>
        <w:tblLook w:val="04A0" w:firstRow="1" w:lastRow="0" w:firstColumn="1" w:lastColumn="0" w:noHBand="0" w:noVBand="1"/>
      </w:tblPr>
      <w:tblGrid>
        <w:gridCol w:w="1412"/>
        <w:gridCol w:w="5807"/>
        <w:gridCol w:w="1841"/>
      </w:tblGrid>
      <w:tr w:rsidR="003175FC" w:rsidTr="00084053">
        <w:trPr>
          <w:trHeight w:val="495"/>
        </w:trPr>
        <w:tc>
          <w:tcPr>
            <w:tcW w:w="1412" w:type="dxa"/>
            <w:shd w:val="clear" w:color="auto" w:fill="D9D9D9" w:themeFill="background1" w:themeFillShade="D9"/>
            <w:vAlign w:val="center"/>
          </w:tcPr>
          <w:p w:rsidR="003175FC" w:rsidRPr="00D04C16" w:rsidRDefault="003175FC" w:rsidP="00084053">
            <w:pPr>
              <w:spacing w:line="276" w:lineRule="auto"/>
              <w:ind w:firstLine="0"/>
              <w:jc w:val="left"/>
              <w:rPr>
                <w:b/>
              </w:rPr>
            </w:pPr>
            <w:r w:rsidRPr="00D04C16">
              <w:rPr>
                <w:b/>
              </w:rPr>
              <w:t>Variável</w:t>
            </w:r>
          </w:p>
        </w:tc>
        <w:tc>
          <w:tcPr>
            <w:tcW w:w="5807" w:type="dxa"/>
            <w:shd w:val="clear" w:color="auto" w:fill="D9D9D9" w:themeFill="background1" w:themeFillShade="D9"/>
            <w:vAlign w:val="center"/>
          </w:tcPr>
          <w:p w:rsidR="003175FC" w:rsidRPr="00D04C16" w:rsidRDefault="003175FC" w:rsidP="00084053">
            <w:pPr>
              <w:spacing w:line="276" w:lineRule="auto"/>
              <w:ind w:firstLine="0"/>
              <w:jc w:val="left"/>
              <w:rPr>
                <w:b/>
              </w:rPr>
            </w:pPr>
            <w:r w:rsidRPr="00D04C16">
              <w:rPr>
                <w:b/>
              </w:rPr>
              <w:t>Variável de Decisão</w:t>
            </w:r>
          </w:p>
        </w:tc>
        <w:tc>
          <w:tcPr>
            <w:tcW w:w="1841" w:type="dxa"/>
            <w:shd w:val="clear" w:color="auto" w:fill="D9D9D9" w:themeFill="background1" w:themeFillShade="D9"/>
            <w:vAlign w:val="center"/>
          </w:tcPr>
          <w:p w:rsidR="003175FC" w:rsidRPr="00D04C16" w:rsidRDefault="003175FC" w:rsidP="00084053">
            <w:pPr>
              <w:spacing w:line="276" w:lineRule="auto"/>
              <w:ind w:firstLine="0"/>
              <w:jc w:val="left"/>
              <w:rPr>
                <w:b/>
              </w:rPr>
            </w:pPr>
            <w:r w:rsidRPr="00D04C16">
              <w:rPr>
                <w:b/>
              </w:rPr>
              <w:t>Níveis Testados</w:t>
            </w:r>
          </w:p>
        </w:tc>
      </w:tr>
      <w:tr w:rsidR="003175FC" w:rsidTr="00084053">
        <w:trPr>
          <w:trHeight w:val="20"/>
        </w:trPr>
        <w:tc>
          <w:tcPr>
            <w:tcW w:w="1412" w:type="dxa"/>
            <w:vAlign w:val="center"/>
          </w:tcPr>
          <w:p w:rsidR="003175FC" w:rsidRPr="00084053" w:rsidRDefault="003175FC" w:rsidP="00084053">
            <w:pPr>
              <w:spacing w:line="276" w:lineRule="auto"/>
              <w:ind w:firstLine="0"/>
              <w:jc w:val="left"/>
              <w:rPr>
                <w:sz w:val="22"/>
              </w:rPr>
            </w:pPr>
            <m:oMathPara>
              <m:oMath>
                <m:r>
                  <w:rPr>
                    <w:rFonts w:ascii="Cambria Math" w:hAnsi="Cambria Math"/>
                    <w:sz w:val="22"/>
                  </w:rPr>
                  <m:t>St</m:t>
                </m:r>
                <m:sSub>
                  <m:sSubPr>
                    <m:ctrlPr>
                      <w:rPr>
                        <w:rFonts w:ascii="Cambria Math" w:hAnsi="Cambria Math"/>
                        <w:sz w:val="22"/>
                      </w:rPr>
                    </m:ctrlPr>
                  </m:sSubPr>
                  <m:e>
                    <m:r>
                      <w:rPr>
                        <w:rFonts w:ascii="Cambria Math" w:hAnsi="Cambria Math"/>
                        <w:sz w:val="22"/>
                      </w:rPr>
                      <m:t>r</m:t>
                    </m:r>
                  </m:e>
                  <m:sub>
                    <m:r>
                      <w:rPr>
                        <w:rFonts w:ascii="Cambria Math" w:hAnsi="Cambria Math"/>
                        <w:sz w:val="22"/>
                      </w:rPr>
                      <m:t>i</m:t>
                    </m:r>
                  </m:sub>
                </m:sSub>
              </m:oMath>
            </m:oMathPara>
          </w:p>
        </w:tc>
        <w:tc>
          <w:tcPr>
            <w:tcW w:w="5807" w:type="dxa"/>
            <w:vAlign w:val="center"/>
          </w:tcPr>
          <w:p w:rsidR="003175FC" w:rsidRPr="00084053" w:rsidRDefault="003175FC" w:rsidP="00084053">
            <w:pPr>
              <w:spacing w:line="276" w:lineRule="auto"/>
              <w:ind w:firstLine="0"/>
              <w:jc w:val="left"/>
              <w:rPr>
                <w:sz w:val="22"/>
              </w:rPr>
            </w:pPr>
            <w:r w:rsidRPr="00084053">
              <w:rPr>
                <w:sz w:val="22"/>
              </w:rPr>
              <w:t xml:space="preserve">Estratégia de Apropriação do Market </w:t>
            </w:r>
            <w:proofErr w:type="spellStart"/>
            <w:r w:rsidRPr="00084053">
              <w:rPr>
                <w:sz w:val="22"/>
              </w:rPr>
              <w:t>Share</w:t>
            </w:r>
            <w:proofErr w:type="spellEnd"/>
            <w:r w:rsidRPr="00084053">
              <w:rPr>
                <w:sz w:val="22"/>
              </w:rPr>
              <w:t xml:space="preserve"> (Estr. </w:t>
            </w:r>
            <w:proofErr w:type="spellStart"/>
            <w:r w:rsidRPr="00084053">
              <w:rPr>
                <w:sz w:val="22"/>
              </w:rPr>
              <w:t>Mkt</w:t>
            </w:r>
            <w:proofErr w:type="spellEnd"/>
            <w:r w:rsidRPr="00084053">
              <w:rPr>
                <w:sz w:val="22"/>
              </w:rPr>
              <w:t xml:space="preserve">. </w:t>
            </w:r>
            <w:proofErr w:type="spellStart"/>
            <w:r w:rsidRPr="00084053">
              <w:rPr>
                <w:sz w:val="22"/>
              </w:rPr>
              <w:t>Share</w:t>
            </w:r>
            <w:proofErr w:type="spellEnd"/>
            <w:r w:rsidRPr="00084053">
              <w:rPr>
                <w:sz w:val="22"/>
              </w:rPr>
              <w:t>)</w:t>
            </w:r>
          </w:p>
        </w:tc>
        <w:tc>
          <w:tcPr>
            <w:tcW w:w="1841" w:type="dxa"/>
            <w:vAlign w:val="center"/>
          </w:tcPr>
          <w:p w:rsidR="003175FC" w:rsidRPr="00084053" w:rsidRDefault="003175FC" w:rsidP="00084053">
            <w:pPr>
              <w:spacing w:line="276" w:lineRule="auto"/>
              <w:ind w:firstLine="0"/>
              <w:jc w:val="left"/>
              <w:rPr>
                <w:sz w:val="22"/>
              </w:rPr>
            </w:pPr>
            <w:r w:rsidRPr="00084053">
              <w:rPr>
                <w:sz w:val="22"/>
              </w:rPr>
              <w:t>Agressiva (1)</w:t>
            </w:r>
          </w:p>
          <w:p w:rsidR="003175FC" w:rsidRPr="00084053" w:rsidRDefault="003175FC" w:rsidP="00084053">
            <w:pPr>
              <w:spacing w:line="276" w:lineRule="auto"/>
              <w:ind w:firstLine="0"/>
              <w:jc w:val="left"/>
              <w:rPr>
                <w:sz w:val="22"/>
              </w:rPr>
            </w:pPr>
            <w:r w:rsidRPr="00084053">
              <w:rPr>
                <w:sz w:val="22"/>
              </w:rPr>
              <w:t>Conservadora (2)</w:t>
            </w:r>
          </w:p>
        </w:tc>
      </w:tr>
      <w:tr w:rsidR="003175FC" w:rsidTr="00084053">
        <w:trPr>
          <w:trHeight w:val="878"/>
        </w:trPr>
        <w:tc>
          <w:tcPr>
            <w:tcW w:w="1412" w:type="dxa"/>
            <w:vAlign w:val="center"/>
          </w:tcPr>
          <w:p w:rsidR="003175FC" w:rsidRPr="00084053" w:rsidRDefault="007F5500" w:rsidP="00084053">
            <w:pPr>
              <w:spacing w:line="276" w:lineRule="auto"/>
              <w:ind w:firstLine="0"/>
              <w:jc w:val="left"/>
              <w:rPr>
                <w:sz w:val="22"/>
              </w:rPr>
            </w:pP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max</m:t>
                  </m:r>
                </m:sup>
              </m:sSubSup>
            </m:oMath>
            <w:r w:rsidR="003175FC" w:rsidRPr="00084053">
              <w:rPr>
                <w:sz w:val="22"/>
              </w:rPr>
              <w:t xml:space="preserve">, </w:t>
            </w: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min</m:t>
                  </m:r>
                </m:sup>
              </m:sSubSup>
            </m:oMath>
          </w:p>
        </w:tc>
        <w:tc>
          <w:tcPr>
            <w:tcW w:w="5807" w:type="dxa"/>
            <w:vAlign w:val="center"/>
          </w:tcPr>
          <w:p w:rsidR="003175FC" w:rsidRPr="00084053" w:rsidRDefault="003175FC" w:rsidP="00084053">
            <w:pPr>
              <w:spacing w:line="276" w:lineRule="auto"/>
              <w:ind w:firstLine="0"/>
              <w:jc w:val="left"/>
              <w:rPr>
                <w:sz w:val="22"/>
                <w:lang w:val="en-US"/>
              </w:rPr>
            </w:pPr>
            <w:r w:rsidRPr="00084053">
              <w:rPr>
                <w:sz w:val="22"/>
                <w:lang w:val="en-US"/>
              </w:rPr>
              <w:t xml:space="preserve">Market Share </w:t>
            </w:r>
            <w:proofErr w:type="spellStart"/>
            <w:r w:rsidRPr="00084053">
              <w:rPr>
                <w:sz w:val="22"/>
                <w:lang w:val="en-US"/>
              </w:rPr>
              <w:t>Desejado</w:t>
            </w:r>
            <w:proofErr w:type="spellEnd"/>
            <w:r w:rsidRPr="00084053">
              <w:rPr>
                <w:sz w:val="22"/>
                <w:lang w:val="en-US"/>
              </w:rPr>
              <w:t xml:space="preserve"> (Mkt. Des.)</w:t>
            </w:r>
          </w:p>
          <w:p w:rsidR="003175FC" w:rsidRPr="00084053" w:rsidRDefault="003175FC" w:rsidP="00084053">
            <w:pPr>
              <w:spacing w:line="276" w:lineRule="auto"/>
              <w:ind w:firstLine="0"/>
              <w:jc w:val="left"/>
              <w:rPr>
                <w:sz w:val="22"/>
              </w:rPr>
            </w:pPr>
            <w:r w:rsidRPr="00084053">
              <w:rPr>
                <w:sz w:val="22"/>
              </w:rPr>
              <w:t xml:space="preserve">Para a estratégia conservadora, </w:t>
            </w: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max</m:t>
                  </m:r>
                </m:sup>
              </m:sSubSup>
            </m:oMath>
          </w:p>
          <w:p w:rsidR="003175FC" w:rsidRPr="00084053" w:rsidRDefault="003175FC" w:rsidP="00084053">
            <w:pPr>
              <w:spacing w:line="276" w:lineRule="auto"/>
              <w:ind w:firstLine="0"/>
              <w:jc w:val="left"/>
              <w:rPr>
                <w:sz w:val="22"/>
              </w:rPr>
            </w:pPr>
            <w:r w:rsidRPr="00084053">
              <w:rPr>
                <w:sz w:val="22"/>
              </w:rPr>
              <w:t xml:space="preserve">Para a estratégia agressiva, </w:t>
            </w:r>
            <m:oMath>
              <m:sSubSup>
                <m:sSubSupPr>
                  <m:ctrlPr>
                    <w:rPr>
                      <w:rFonts w:ascii="Cambria Math" w:hAnsi="Cambria Math"/>
                      <w:sz w:val="22"/>
                    </w:rPr>
                  </m:ctrlPr>
                </m:sSubSupPr>
                <m:e>
                  <m:r>
                    <w:rPr>
                      <w:rFonts w:ascii="Cambria Math" w:hAnsi="Cambria Math"/>
                      <w:sz w:val="22"/>
                    </w:rPr>
                    <m:t>S</m:t>
                  </m:r>
                </m:e>
                <m:sub>
                  <m:r>
                    <w:rPr>
                      <w:rFonts w:ascii="Cambria Math" w:hAnsi="Cambria Math"/>
                      <w:sz w:val="22"/>
                    </w:rPr>
                    <m:t>i</m:t>
                  </m:r>
                </m:sub>
                <m:sup>
                  <m:r>
                    <w:rPr>
                      <w:rFonts w:ascii="Cambria Math" w:hAnsi="Cambria Math"/>
                      <w:sz w:val="22"/>
                    </w:rPr>
                    <m:t>min</m:t>
                  </m:r>
                </m:sup>
              </m:sSubSup>
            </m:oMath>
          </w:p>
        </w:tc>
        <w:tc>
          <w:tcPr>
            <w:tcW w:w="1841" w:type="dxa"/>
            <w:vAlign w:val="center"/>
          </w:tcPr>
          <w:p w:rsidR="003175FC" w:rsidRPr="00084053" w:rsidRDefault="003175FC" w:rsidP="00084053">
            <w:pPr>
              <w:spacing w:line="276" w:lineRule="auto"/>
              <w:ind w:firstLine="0"/>
              <w:jc w:val="left"/>
              <w:rPr>
                <w:sz w:val="22"/>
              </w:rPr>
            </w:pPr>
            <w:r w:rsidRPr="00084053">
              <w:rPr>
                <w:sz w:val="22"/>
              </w:rPr>
              <w:t>20%</w:t>
            </w:r>
          </w:p>
          <w:p w:rsidR="003175FC" w:rsidRPr="00084053" w:rsidRDefault="003175FC" w:rsidP="00084053">
            <w:pPr>
              <w:spacing w:line="276" w:lineRule="auto"/>
              <w:ind w:firstLine="0"/>
              <w:jc w:val="left"/>
              <w:rPr>
                <w:sz w:val="22"/>
              </w:rPr>
            </w:pPr>
            <w:r w:rsidRPr="00084053">
              <w:rPr>
                <w:sz w:val="22"/>
              </w:rPr>
              <w:t>30%</w:t>
            </w:r>
          </w:p>
          <w:p w:rsidR="003175FC" w:rsidRPr="00084053" w:rsidRDefault="003175FC" w:rsidP="00084053">
            <w:pPr>
              <w:spacing w:line="276" w:lineRule="auto"/>
              <w:ind w:firstLine="0"/>
              <w:jc w:val="left"/>
              <w:rPr>
                <w:sz w:val="22"/>
              </w:rPr>
            </w:pPr>
            <w:r w:rsidRPr="00084053">
              <w:rPr>
                <w:sz w:val="22"/>
              </w:rPr>
              <w:t>40%</w:t>
            </w:r>
          </w:p>
        </w:tc>
      </w:tr>
      <w:tr w:rsidR="003175FC" w:rsidTr="00084053">
        <w:trPr>
          <w:trHeight w:val="810"/>
        </w:trPr>
        <w:tc>
          <w:tcPr>
            <w:tcW w:w="1412" w:type="dxa"/>
            <w:vAlign w:val="center"/>
          </w:tcPr>
          <w:p w:rsidR="003175FC" w:rsidRPr="00084053" w:rsidRDefault="007F5500" w:rsidP="00084053">
            <w:pPr>
              <w:spacing w:line="276" w:lineRule="auto"/>
              <w:ind w:firstLine="0"/>
              <w:jc w:val="left"/>
              <w:rPr>
                <w:sz w:val="22"/>
              </w:rPr>
            </w:pPr>
            <m:oMathPara>
              <m:oMath>
                <m:sSub>
                  <m:sSubPr>
                    <m:ctrlPr>
                      <w:rPr>
                        <w:rFonts w:ascii="Cambria Math" w:hAnsi="Cambria Math"/>
                        <w:sz w:val="22"/>
                      </w:rPr>
                    </m:ctrlPr>
                  </m:sSubPr>
                  <m:e>
                    <m:r>
                      <w:rPr>
                        <w:rFonts w:ascii="Cambria Math" w:hAnsi="Cambria Math"/>
                        <w:sz w:val="22"/>
                      </w:rPr>
                      <m:t>η</m:t>
                    </m:r>
                  </m:e>
                  <m:sub>
                    <m:r>
                      <w:rPr>
                        <w:rFonts w:ascii="Cambria Math" w:hAnsi="Cambria Math"/>
                        <w:sz w:val="22"/>
                      </w:rPr>
                      <m:t>i</m:t>
                    </m:r>
                  </m:sub>
                </m:sSub>
              </m:oMath>
            </m:oMathPara>
          </w:p>
        </w:tc>
        <w:tc>
          <w:tcPr>
            <w:tcW w:w="5807" w:type="dxa"/>
            <w:vAlign w:val="center"/>
          </w:tcPr>
          <w:p w:rsidR="003175FC" w:rsidRPr="00084053" w:rsidRDefault="003175FC" w:rsidP="00084053">
            <w:pPr>
              <w:spacing w:line="276" w:lineRule="auto"/>
              <w:ind w:firstLine="0"/>
              <w:jc w:val="left"/>
              <w:rPr>
                <w:sz w:val="22"/>
              </w:rPr>
            </w:pPr>
            <w:r w:rsidRPr="00084053">
              <w:rPr>
                <w:sz w:val="22"/>
              </w:rPr>
              <w:t>% da Receita Dedicado a Pesquisa e Desenvolvimento (</w:t>
            </w:r>
            <w:proofErr w:type="spellStart"/>
            <w:r w:rsidRPr="00084053">
              <w:rPr>
                <w:sz w:val="22"/>
              </w:rPr>
              <w:t>Orc</w:t>
            </w:r>
            <w:proofErr w:type="spellEnd"/>
            <w:r w:rsidRPr="00084053">
              <w:rPr>
                <w:sz w:val="22"/>
              </w:rPr>
              <w:t>. P&amp;D)</w:t>
            </w:r>
          </w:p>
        </w:tc>
        <w:tc>
          <w:tcPr>
            <w:tcW w:w="1841" w:type="dxa"/>
            <w:vAlign w:val="center"/>
          </w:tcPr>
          <w:p w:rsidR="003175FC" w:rsidRPr="00084053" w:rsidRDefault="003175FC" w:rsidP="00084053">
            <w:pPr>
              <w:spacing w:line="276" w:lineRule="auto"/>
              <w:ind w:firstLine="0"/>
              <w:jc w:val="left"/>
              <w:rPr>
                <w:sz w:val="22"/>
              </w:rPr>
            </w:pPr>
            <w:r w:rsidRPr="00084053">
              <w:rPr>
                <w:sz w:val="22"/>
              </w:rPr>
              <w:t>5%</w:t>
            </w:r>
          </w:p>
          <w:p w:rsidR="003175FC" w:rsidRPr="00084053" w:rsidRDefault="003175FC" w:rsidP="00084053">
            <w:pPr>
              <w:spacing w:line="276" w:lineRule="auto"/>
              <w:ind w:firstLine="0"/>
              <w:jc w:val="left"/>
              <w:rPr>
                <w:sz w:val="22"/>
              </w:rPr>
            </w:pPr>
            <w:r w:rsidRPr="00084053">
              <w:rPr>
                <w:sz w:val="22"/>
              </w:rPr>
              <w:t>10%</w:t>
            </w:r>
          </w:p>
          <w:p w:rsidR="003175FC" w:rsidRPr="00084053" w:rsidRDefault="003175FC" w:rsidP="00084053">
            <w:pPr>
              <w:spacing w:line="276" w:lineRule="auto"/>
              <w:ind w:firstLine="0"/>
              <w:jc w:val="left"/>
              <w:rPr>
                <w:sz w:val="22"/>
              </w:rPr>
            </w:pPr>
            <w:r w:rsidRPr="00084053">
              <w:rPr>
                <w:sz w:val="22"/>
              </w:rPr>
              <w:t>15%</w:t>
            </w:r>
          </w:p>
        </w:tc>
      </w:tr>
      <w:tr w:rsidR="003175FC" w:rsidTr="00084053">
        <w:trPr>
          <w:trHeight w:val="20"/>
        </w:trPr>
        <w:tc>
          <w:tcPr>
            <w:tcW w:w="1412" w:type="dxa"/>
            <w:vAlign w:val="center"/>
          </w:tcPr>
          <w:p w:rsidR="003175FC" w:rsidRPr="00084053" w:rsidRDefault="007F5500" w:rsidP="00084053">
            <w:pPr>
              <w:spacing w:line="276" w:lineRule="auto"/>
              <w:ind w:firstLine="0"/>
              <w:jc w:val="left"/>
              <w:rPr>
                <w:sz w:val="22"/>
              </w:rPr>
            </w:pPr>
            <m:oMathPara>
              <m:oMath>
                <m:sSub>
                  <m:sSubPr>
                    <m:ctrlPr>
                      <w:rPr>
                        <w:rFonts w:ascii="Cambria Math" w:hAnsi="Cambria Math"/>
                        <w:sz w:val="22"/>
                      </w:rPr>
                    </m:ctrlPr>
                  </m:sSubPr>
                  <m:e>
                    <m:r>
                      <w:rPr>
                        <w:rFonts w:ascii="Cambria Math" w:hAnsi="Cambria Math"/>
                        <w:sz w:val="22"/>
                      </w:rPr>
                      <m:t>κ</m:t>
                    </m:r>
                  </m:e>
                  <m:sub>
                    <m:r>
                      <w:rPr>
                        <w:rFonts w:ascii="Cambria Math" w:hAnsi="Cambria Math"/>
                        <w:sz w:val="22"/>
                      </w:rPr>
                      <m:t>i</m:t>
                    </m:r>
                  </m:sub>
                </m:sSub>
              </m:oMath>
            </m:oMathPara>
          </w:p>
        </w:tc>
        <w:tc>
          <w:tcPr>
            <w:tcW w:w="5807" w:type="dxa"/>
            <w:vAlign w:val="center"/>
          </w:tcPr>
          <w:p w:rsidR="003175FC" w:rsidRPr="00084053" w:rsidRDefault="003175FC" w:rsidP="00084053">
            <w:pPr>
              <w:spacing w:line="276" w:lineRule="auto"/>
              <w:ind w:firstLine="0"/>
              <w:jc w:val="left"/>
              <w:rPr>
                <w:sz w:val="22"/>
              </w:rPr>
            </w:pPr>
            <w:r w:rsidRPr="00084053">
              <w:rPr>
                <w:sz w:val="22"/>
              </w:rPr>
              <w:t xml:space="preserve">% Orçamento de P&amp;D dedicado a Patentes Open </w:t>
            </w:r>
            <w:proofErr w:type="spellStart"/>
            <w:r w:rsidRPr="00084053">
              <w:rPr>
                <w:sz w:val="22"/>
              </w:rPr>
              <w:t>Source</w:t>
            </w:r>
            <w:proofErr w:type="spellEnd"/>
            <w:r w:rsidRPr="00084053">
              <w:rPr>
                <w:sz w:val="22"/>
              </w:rPr>
              <w:t xml:space="preserve"> (</w:t>
            </w:r>
            <w:proofErr w:type="spellStart"/>
            <w:r w:rsidRPr="00084053">
              <w:rPr>
                <w:sz w:val="22"/>
              </w:rPr>
              <w:t>Perc</w:t>
            </w:r>
            <w:proofErr w:type="spellEnd"/>
            <w:r w:rsidRPr="00084053">
              <w:rPr>
                <w:sz w:val="22"/>
              </w:rPr>
              <w:t>. P&amp;D Ab.)</w:t>
            </w:r>
          </w:p>
        </w:tc>
        <w:tc>
          <w:tcPr>
            <w:tcW w:w="1841" w:type="dxa"/>
            <w:vAlign w:val="center"/>
          </w:tcPr>
          <w:p w:rsidR="003175FC" w:rsidRPr="00084053" w:rsidRDefault="003175FC" w:rsidP="00084053">
            <w:pPr>
              <w:spacing w:line="276" w:lineRule="auto"/>
              <w:ind w:firstLine="0"/>
              <w:jc w:val="left"/>
              <w:rPr>
                <w:sz w:val="22"/>
              </w:rPr>
            </w:pPr>
            <w:r w:rsidRPr="00084053">
              <w:rPr>
                <w:sz w:val="22"/>
              </w:rPr>
              <w:t>0%</w:t>
            </w:r>
          </w:p>
          <w:p w:rsidR="003175FC" w:rsidRPr="00084053" w:rsidRDefault="003175FC" w:rsidP="00084053">
            <w:pPr>
              <w:spacing w:line="276" w:lineRule="auto"/>
              <w:ind w:firstLine="0"/>
              <w:jc w:val="left"/>
              <w:rPr>
                <w:sz w:val="22"/>
              </w:rPr>
            </w:pPr>
            <w:r w:rsidRPr="00084053">
              <w:rPr>
                <w:sz w:val="22"/>
              </w:rPr>
              <w:t>50%</w:t>
            </w:r>
          </w:p>
          <w:p w:rsidR="003175FC" w:rsidRPr="00084053" w:rsidRDefault="003175FC" w:rsidP="00084053">
            <w:pPr>
              <w:spacing w:line="276" w:lineRule="auto"/>
              <w:ind w:firstLine="0"/>
              <w:jc w:val="left"/>
              <w:rPr>
                <w:sz w:val="22"/>
              </w:rPr>
            </w:pPr>
            <w:r w:rsidRPr="00084053">
              <w:rPr>
                <w:sz w:val="22"/>
              </w:rPr>
              <w:t>90%</w:t>
            </w:r>
          </w:p>
        </w:tc>
      </w:tr>
    </w:tbl>
    <w:p w:rsidR="003175FC" w:rsidRDefault="003175FC" w:rsidP="003175FC">
      <w:pPr>
        <w:ind w:firstLine="0"/>
        <w:jc w:val="center"/>
      </w:pPr>
      <w:r>
        <w:t>Fonte: Elaborado pelo Autor.</w:t>
      </w:r>
    </w:p>
    <w:p w:rsidR="003175FC" w:rsidRDefault="003175FC" w:rsidP="00A422A9">
      <w:r>
        <w:t xml:space="preserve">Ao apresentar menos variação, as estratégias conservadoras claramente apresentaram maior custo de oportunidade, como pode ser observado na </w:t>
      </w:r>
      <w:r>
        <w:fldChar w:fldCharType="begin"/>
      </w:r>
      <w:r>
        <w:instrText xml:space="preserve"> REF _Ref503685033 \h </w:instrText>
      </w:r>
      <w:r>
        <w:fldChar w:fldCharType="separate"/>
      </w:r>
      <w:r w:rsidR="00A65D24" w:rsidRPr="00DE4B63">
        <w:t xml:space="preserve">Figura </w:t>
      </w:r>
      <w:r w:rsidR="00A65D24">
        <w:rPr>
          <w:noProof/>
        </w:rPr>
        <w:t>2</w:t>
      </w:r>
      <w:r>
        <w:fldChar w:fldCharType="end"/>
      </w:r>
      <w:r>
        <w:t xml:space="preserve">.  Ao adotar uma postura conservadora em relação ao Market </w:t>
      </w:r>
      <w:proofErr w:type="spellStart"/>
      <w:r w:rsidR="00A04A0B">
        <w:t>S</w:t>
      </w:r>
      <w:r>
        <w:t>hare</w:t>
      </w:r>
      <w:proofErr w:type="spellEnd"/>
      <w:r>
        <w:t>, o player permite que seus concorrentes adquiram uma maior parte do mercado, e evitando construir capacidade excedente.</w:t>
      </w:r>
    </w:p>
    <w:p w:rsidR="003175FC" w:rsidRPr="00DE4B63" w:rsidRDefault="003175FC" w:rsidP="003175FC">
      <w:pPr>
        <w:pStyle w:val="Legenda"/>
      </w:pPr>
      <w:bookmarkStart w:id="14" w:name="_Ref503685033"/>
      <w:bookmarkStart w:id="15" w:name="_Toc505157901"/>
      <w:r w:rsidRPr="00DE4B63">
        <w:t xml:space="preserve">Figura </w:t>
      </w:r>
      <w:r>
        <w:fldChar w:fldCharType="begin"/>
      </w:r>
      <w:r w:rsidRPr="00DE4B63">
        <w:instrText xml:space="preserve"> SEQ Figura \* ARABIC </w:instrText>
      </w:r>
      <w:r>
        <w:fldChar w:fldCharType="separate"/>
      </w:r>
      <w:r w:rsidR="00A65D24">
        <w:rPr>
          <w:noProof/>
        </w:rPr>
        <w:t>2</w:t>
      </w:r>
      <w:r>
        <w:fldChar w:fldCharType="end"/>
      </w:r>
      <w:bookmarkEnd w:id="14"/>
      <w:r w:rsidRPr="00DE4B63">
        <w:t xml:space="preserve"> – </w:t>
      </w:r>
      <w:r>
        <w:t>Custo de Oportunidade Simulado em 10.800 cenários</w:t>
      </w:r>
      <w:bookmarkEnd w:id="15"/>
    </w:p>
    <w:p w:rsidR="003175FC" w:rsidRDefault="003175FC" w:rsidP="00A422A9">
      <w:pPr>
        <w:ind w:firstLine="0"/>
        <w:jc w:val="center"/>
      </w:pPr>
      <w:r>
        <w:rPr>
          <w:noProof/>
        </w:rPr>
        <w:drawing>
          <wp:inline distT="0" distB="0" distL="0" distR="0" wp14:anchorId="77453C8E" wp14:editId="3630FFA2">
            <wp:extent cx="5724525" cy="3271157"/>
            <wp:effectExtent l="0" t="0" r="0" b="5715"/>
            <wp:docPr id="1052" name="Imagem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6263" cy="3272150"/>
                    </a:xfrm>
                    <a:prstGeom prst="rect">
                      <a:avLst/>
                    </a:prstGeom>
                    <a:noFill/>
                    <a:ln>
                      <a:noFill/>
                    </a:ln>
                  </pic:spPr>
                </pic:pic>
              </a:graphicData>
            </a:graphic>
          </wp:inline>
        </w:drawing>
      </w:r>
    </w:p>
    <w:p w:rsidR="003175FC" w:rsidRDefault="003175FC" w:rsidP="003175FC">
      <w:pPr>
        <w:ind w:firstLine="0"/>
        <w:jc w:val="center"/>
      </w:pPr>
      <w:r>
        <w:t>Fonte: Elaborada pelo Autor.</w:t>
      </w:r>
    </w:p>
    <w:p w:rsidR="003175FC" w:rsidRPr="003175FC" w:rsidRDefault="00B51B9B" w:rsidP="00B51B9B">
      <w:r>
        <w:lastRenderedPageBreak/>
        <w:t>O Apêndice I</w:t>
      </w:r>
      <w:r w:rsidR="003175FC">
        <w:t xml:space="preserve"> apresenta as estratégias testadas, junto ao valor do quartil superior de seu custo de oportunidade (</w:t>
      </w:r>
      <w:r w:rsidR="003175FC" w:rsidRPr="00E92808">
        <w:t xml:space="preserve">CO </w:t>
      </w:r>
      <w:proofErr w:type="spellStart"/>
      <w:r w:rsidR="003175FC" w:rsidRPr="00E92808">
        <w:t>Perc</w:t>
      </w:r>
      <w:proofErr w:type="spellEnd"/>
      <w:r w:rsidR="003175FC" w:rsidRPr="00E92808">
        <w:t xml:space="preserve"> 75%</w:t>
      </w:r>
      <w:r w:rsidR="003175FC">
        <w:t>), e o custo de oportunidade relativo (</w:t>
      </w:r>
      <w:r w:rsidR="003175FC" w:rsidRPr="00E92808">
        <w:t xml:space="preserve">CO % </w:t>
      </w:r>
      <w:proofErr w:type="spellStart"/>
      <w:r w:rsidR="003175FC" w:rsidRPr="00E92808">
        <w:t>Perc</w:t>
      </w:r>
      <w:proofErr w:type="spellEnd"/>
      <w:r w:rsidR="003175FC" w:rsidRPr="00E92808">
        <w:t xml:space="preserve"> 75%</w:t>
      </w:r>
      <w:r w:rsidR="003175FC">
        <w:t>)</w:t>
      </w:r>
      <w:r>
        <w:t>. Segundo esta avaliação, a estratégia 31 (</w:t>
      </w:r>
      <m:oMath>
        <m:r>
          <w:rPr>
            <w:rFonts w:ascii="Cambria Math" w:hAnsi="Cambria Math"/>
          </w:rPr>
          <m:t>St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 xml:space="preserve">= </m:t>
        </m:r>
      </m:oMath>
      <w:r>
        <w:t xml:space="preserve">Agressiva,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min</m:t>
            </m:r>
          </m:sup>
        </m:sSubSup>
      </m:oMath>
      <w:r>
        <w:t xml:space="preserve"> = 40%, </w:t>
      </w:r>
      <m:oMath>
        <m:sSub>
          <m:sSubPr>
            <m:ctrlPr>
              <w:rPr>
                <w:rFonts w:ascii="Cambria Math" w:hAnsi="Cambria Math"/>
              </w:rPr>
            </m:ctrlPr>
          </m:sSubPr>
          <m:e>
            <m:r>
              <w:rPr>
                <w:rFonts w:ascii="Cambria Math" w:hAnsi="Cambria Math"/>
              </w:rPr>
              <m:t>η</m:t>
            </m:r>
          </m:e>
          <m:sub>
            <m:r>
              <w:rPr>
                <w:rFonts w:ascii="Cambria Math" w:hAnsi="Cambria Math"/>
              </w:rPr>
              <m:t>i</m:t>
            </m:r>
          </m:sub>
        </m:sSub>
      </m:oMath>
      <w:r w:rsidR="003700F9">
        <w:t xml:space="preserve"> = 5% e  </w:t>
      </w:r>
      <m:oMath>
        <m:sSub>
          <m:sSubPr>
            <m:ctrlPr>
              <w:rPr>
                <w:rFonts w:ascii="Cambria Math" w:hAnsi="Cambria Math"/>
              </w:rPr>
            </m:ctrlPr>
          </m:sSubPr>
          <m:e>
            <m:r>
              <w:rPr>
                <w:rFonts w:ascii="Cambria Math" w:hAnsi="Cambria Math"/>
              </w:rPr>
              <m:t>κ</m:t>
            </m:r>
          </m:e>
          <m:sub>
            <m:r>
              <w:rPr>
                <w:rFonts w:ascii="Cambria Math" w:hAnsi="Cambria Math"/>
              </w:rPr>
              <m:t>i</m:t>
            </m:r>
          </m:sub>
        </m:sSub>
        <m:r>
          <w:rPr>
            <w:rFonts w:ascii="Cambria Math" w:hAnsi="Cambria Math"/>
          </w:rPr>
          <m:t>=</m:t>
        </m:r>
      </m:oMath>
      <w:r w:rsidR="003700F9">
        <w:t xml:space="preserve"> 0%)</w:t>
      </w:r>
      <w:r>
        <w:t xml:space="preserve"> </w:t>
      </w:r>
      <w:r w:rsidR="003700F9">
        <w:t>foi</w:t>
      </w:r>
      <w:r>
        <w:t xml:space="preserve"> avaliada como a mais robusta. </w:t>
      </w:r>
      <w:r w:rsidR="003175FC">
        <w:t xml:space="preserve">Para a estratégia 31, por exemplo, estes valores indicam que em 75 % dos casos simulados, a estratégia 31 perde menos que 212 milhões de dólares em 10 anos, ou seja, tem um custo de oportunidade percentual menor que 32,41 % em 75% dos casos simulados. Ordenando as estratégias segundo o critério de minimização do quartil superior do custo de oportunidade, obtém-se o ranking de estratégias apresentado </w:t>
      </w:r>
      <w:r>
        <w:t>no Apêndice I. N</w:t>
      </w:r>
      <w:r w:rsidR="003175FC">
        <w:t>as condições testadas nestes experimentos, estratégias agressivas claramente dominam o ranking de estratégias em detrimento de estratégias conservadoras. Nos resultados apresentados, a estratégia conservadora melhor posicionada (32) nas simulações foi indicada na posição 12 dentre as 54 estratégias.</w:t>
      </w:r>
    </w:p>
    <w:p w:rsidR="00523116" w:rsidRDefault="00523116" w:rsidP="00523116">
      <w:pPr>
        <w:pStyle w:val="Ttulo2"/>
      </w:pPr>
      <w:r>
        <w:t>Descoberta de Cenários</w:t>
      </w:r>
    </w:p>
    <w:p w:rsidR="0091258E" w:rsidRDefault="0091258E" w:rsidP="0091258E">
      <w:r>
        <w:t xml:space="preserve">Uma vez identificada a estratégia 31 como a mais robusta dentre as testadas, a próxima etapa da análise RDM examina a base de dados de simulações realizadas procurando caracterizar as condições nas quais esta estratégia candidata falha. Para tanto, é necessário definir o que caracteriza as condições nas quais uma estratégia falha ou não. </w:t>
      </w:r>
    </w:p>
    <w:p w:rsidR="0091258E" w:rsidRDefault="0091258E" w:rsidP="0091258E">
      <w:r>
        <w:t xml:space="preserve">Neste trabalho, adotou-se o mesmo critério utilizado para a definição da estratégia mais robusta. Sendo assim, considera-se que a estratégia falha naqueles casos onde o Custo de Oportunidade incorrido é maior do que o percentil 75 do custo de oportunidade da estratégia. Desta maneira, são definidos como casos de interesse as situações nas quais o custo de oportunidade ultrapassa o threshold de </w:t>
      </w:r>
      <w:r w:rsidRPr="009D6A52">
        <w:t>$211.920.013</w:t>
      </w:r>
      <w:r>
        <w:t>, ou seja, os 50 casos com maior custo de oportunidade, dentre os 200 casos simulados com a estratégia 31.</w:t>
      </w:r>
    </w:p>
    <w:p w:rsidR="000E45F6" w:rsidRDefault="00EC3EAD" w:rsidP="000E45F6">
      <w:proofErr w:type="spellStart"/>
      <w:r>
        <w:t>Anteriomente</w:t>
      </w:r>
      <w:proofErr w:type="spellEnd"/>
      <w:r>
        <w:t xml:space="preserve"> à aplicação do algoritmo PRIM, o Algoritmo </w:t>
      </w:r>
      <w:proofErr w:type="spellStart"/>
      <w:r>
        <w:t>Boruta</w:t>
      </w:r>
      <w:proofErr w:type="spellEnd"/>
      <w:r>
        <w:t xml:space="preserve"> foi utilizado com o objetivo de selecionar as variáveis mais relevantes para a determinação dos casos onde a estratégia falha. Ao aplicar este filtro de variáveis mais importantes, aumenta-se a confiança de que o algoritmo PRIM utilizou variáveis de fato relevantes, conforme identificado pelas técnicas aplicadas anteriormente. </w:t>
      </w:r>
      <w:r w:rsidR="000E45F6">
        <w:t xml:space="preserve">A </w:t>
      </w:r>
      <w:r w:rsidR="000E45F6">
        <w:fldChar w:fldCharType="begin"/>
      </w:r>
      <w:r w:rsidR="000E45F6">
        <w:instrText xml:space="preserve"> REF _Ref505156672 \h </w:instrText>
      </w:r>
      <w:r w:rsidR="000E45F6">
        <w:fldChar w:fldCharType="separate"/>
      </w:r>
      <w:r w:rsidR="00A65D24">
        <w:t xml:space="preserve">Figura </w:t>
      </w:r>
      <w:r w:rsidR="00A65D24">
        <w:rPr>
          <w:noProof/>
        </w:rPr>
        <w:t>3</w:t>
      </w:r>
      <w:r w:rsidR="000E45F6">
        <w:fldChar w:fldCharType="end"/>
      </w:r>
      <w:r w:rsidR="000E45F6">
        <w:t xml:space="preserve"> apresenta a definição do cenário de vulnerabilidade definido computacionalmente para a estratégia 31.</w:t>
      </w:r>
    </w:p>
    <w:p w:rsidR="000E45F6" w:rsidRDefault="000E45F6" w:rsidP="002D746B">
      <w:pPr>
        <w:pStyle w:val="Legenda"/>
      </w:pPr>
      <w:bookmarkStart w:id="16" w:name="_Ref505156672"/>
      <w:bookmarkStart w:id="17" w:name="_Toc505157910"/>
      <w:r>
        <w:lastRenderedPageBreak/>
        <w:t xml:space="preserve">Figura </w:t>
      </w:r>
      <w:fldSimple w:instr=" SEQ Figura \* ARABIC ">
        <w:r w:rsidR="00A65D24">
          <w:rPr>
            <w:noProof/>
          </w:rPr>
          <w:t>3</w:t>
        </w:r>
      </w:fldSimple>
      <w:bookmarkEnd w:id="16"/>
      <w:r>
        <w:t xml:space="preserve"> – Condições onde a Estratégia 31 falha em 82,1 % dos casos simulados</w:t>
      </w:r>
      <w:bookmarkEnd w:id="17"/>
    </w:p>
    <w:p w:rsidR="000E45F6" w:rsidRDefault="002D746B" w:rsidP="000E0F23">
      <w:pPr>
        <w:ind w:firstLine="0"/>
        <w:jc w:val="center"/>
      </w:pPr>
      <w:r>
        <w:rPr>
          <w:noProof/>
        </w:rPr>
        <w:drawing>
          <wp:inline distT="0" distB="0" distL="0" distR="0" wp14:anchorId="53B21441">
            <wp:extent cx="5305425" cy="513244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7571" cy="5134517"/>
                    </a:xfrm>
                    <a:prstGeom prst="rect">
                      <a:avLst/>
                    </a:prstGeom>
                    <a:noFill/>
                  </pic:spPr>
                </pic:pic>
              </a:graphicData>
            </a:graphic>
          </wp:inline>
        </w:drawing>
      </w:r>
    </w:p>
    <w:p w:rsidR="000E45F6" w:rsidRDefault="000E45F6" w:rsidP="000E45F6">
      <w:pPr>
        <w:ind w:firstLine="0"/>
        <w:jc w:val="center"/>
      </w:pPr>
      <w:r>
        <w:t>Fonte: Elaborado pelo Autor.</w:t>
      </w:r>
    </w:p>
    <w:p w:rsidR="000E45F6" w:rsidRDefault="000E45F6" w:rsidP="000E45F6">
      <w:r>
        <w:t xml:space="preserve">Na </w:t>
      </w:r>
      <w:r>
        <w:fldChar w:fldCharType="begin"/>
      </w:r>
      <w:r>
        <w:instrText xml:space="preserve"> REF _Ref505156672 \h </w:instrText>
      </w:r>
      <w:r>
        <w:fldChar w:fldCharType="separate"/>
      </w:r>
      <w:r w:rsidR="00A65D24">
        <w:t xml:space="preserve">Figura </w:t>
      </w:r>
      <w:r w:rsidR="00A65D24">
        <w:rPr>
          <w:noProof/>
        </w:rPr>
        <w:t>3</w:t>
      </w:r>
      <w:r>
        <w:fldChar w:fldCharType="end"/>
      </w:r>
      <w:r>
        <w:t>, cada intervalo sinalizado em cada variável sinaliza a caracterização da região de vulnerabilidade da estratégia. Para a incerteza “Tamanho de Mercado de Referência”, por exemplo, o resultado indica que em condições onde esta variável é maior do que 58.000 consumidores e a utilização da capacidade é menor do que 86% e maior do que 68 %, a estratégia 31 tem maior propensão a falhar.</w:t>
      </w:r>
    </w:p>
    <w:p w:rsidR="000E45F6" w:rsidRDefault="000E45F6" w:rsidP="000E45F6">
      <w:r>
        <w:t xml:space="preserve">Levando em consideração todas as regiões sinalizadas nas 5 incertezas definidas pela análise apresenta os índices de Cobertura, Densidade e Abrangência. O índice de Densidade indica que a estratégia falhou em 82,1 % das simulações realizadas nesta região. O índice de Cobertura indica que estas condições possuem 46 % dos casos onde a estratégia falha (ou seja, </w:t>
      </w:r>
      <w:r>
        <w:lastRenderedPageBreak/>
        <w:t>existem outras condições que podem explicar a falha da estratégia). Finalmente, o índice de abrangência indica que estas condições representam 14 % dos casos simulados.</w:t>
      </w:r>
    </w:p>
    <w:p w:rsidR="000E45F6" w:rsidRDefault="000E45F6" w:rsidP="000E45F6">
      <w:r>
        <w:t>Em síntese, estes resultados indicam que condições onde os players de porte semelhante ao player dominante possuem estratégias agressivas, combinadas com condições onde o tamanho de referência do mercado é superior a aproximadamente 60 mil compradores, e a utilização da capacidade é baixa, as chances de o player se arrepender com uma estratégia excessivamente agressiva aumenta.</w:t>
      </w:r>
    </w:p>
    <w:p w:rsidR="000E45F6" w:rsidRDefault="000E45F6" w:rsidP="000E45F6">
      <w:r>
        <w:t xml:space="preserve">Uma análise superficial poderia sugerir que, quanto mais promissor o mercado, mais agressiva a empresa deve ser para garantir um alto </w:t>
      </w:r>
      <w:proofErr w:type="spellStart"/>
      <w:r>
        <w:t>share</w:t>
      </w:r>
      <w:proofErr w:type="spellEnd"/>
      <w:r>
        <w:t xml:space="preserve"> deste mercado. Esta análise, no entanto, sinaliza o inverso. É possível que o mercado tenha um porte tal que a agressividade em excesso pode levar empresa a piores resultados. Em escolhendo uma estratégia ainda agressiva, porém com menor </w:t>
      </w:r>
      <w:proofErr w:type="spellStart"/>
      <w:r>
        <w:t>market</w:t>
      </w:r>
      <w:proofErr w:type="spellEnd"/>
      <w:r>
        <w:t xml:space="preserve"> </w:t>
      </w:r>
      <w:proofErr w:type="spellStart"/>
      <w:r>
        <w:t>share</w:t>
      </w:r>
      <w:proofErr w:type="spellEnd"/>
      <w:r>
        <w:t xml:space="preserve"> desejado, a empresa não precisará reduzir seus preços em demasia. Em outras palavras, metas mais ousadas de </w:t>
      </w:r>
      <w:proofErr w:type="spellStart"/>
      <w:r>
        <w:t>market</w:t>
      </w:r>
      <w:proofErr w:type="spellEnd"/>
      <w:r>
        <w:t xml:space="preserve"> </w:t>
      </w:r>
      <w:proofErr w:type="spellStart"/>
      <w:r>
        <w:t>share</w:t>
      </w:r>
      <w:proofErr w:type="spellEnd"/>
      <w:r>
        <w:t>, nestas circunstâncias, podem traduzir-se em menos VPL.</w:t>
      </w:r>
    </w:p>
    <w:p w:rsidR="000E45F6" w:rsidRPr="000E45F6" w:rsidRDefault="000E45F6" w:rsidP="000E45F6">
      <w:r>
        <w:t>A análise RDM pode ser executada em ciclos, de modo que as vulnerabilidades identificadas da estratégia 31 serviriam como suporte para projetar estratégias ainda melhores, distintas às 54 estratégias testadas anteriormente, iterativamente. Segundo o RDM, o processo pode parar quando os decisores estão confortáveis com a estratégia definida, ou não identificam novas estratégias a simular. Este processo pode ser integrado a processos organizacionais de planejamento estratégico de modo que sempre haja uma análise RDM para a estratégia atual da empresa realizada, e ao sinal da concretização de cenários de vulnerabilidade, ou à medida que novas opções são idealizadas por stakeholders, novas análises podem ser realizadas. Como este trabalho não se utilizou de stakeholders reais, não há sentido em apresentar outras iterações deste ciclo, visto que não haveria um critério de parada para a análise. Sendo assim, a seção seguinte avança para a etapa final da análise RDM.</w:t>
      </w:r>
    </w:p>
    <w:p w:rsidR="00523116" w:rsidRDefault="00523116" w:rsidP="00523116">
      <w:pPr>
        <w:pStyle w:val="Ttulo2"/>
      </w:pPr>
      <w:r>
        <w:t>Análise de Tradeoffs</w:t>
      </w:r>
    </w:p>
    <w:p w:rsidR="004B0804" w:rsidRPr="00DC5AFB" w:rsidRDefault="004B0804" w:rsidP="004B0804">
      <w:r>
        <w:t xml:space="preserve">A etapa anterior da análise identificou que a estratégia 31 é vulnerável ao cenário de alto tamanho do mercado e agressividade dos demais players. A última etapa da análise tem o objetivo de identificar quais são as estratégias alternativas à esta, e o quão provável este cenário deve ser para justificar uma mudança para estas outras estratégias. Em outras palavras, esta </w:t>
      </w:r>
      <w:r>
        <w:lastRenderedPageBreak/>
        <w:t>etapa tem o objetivo de suportar a avaliação do tradeoff que o tomador de decisão tem em adotar uma estratégia robusta, em geral, para todos os cenários simulados, ou uma estratégia menos robusta aos demais cenários, porém mais robusta em relação à um cenário específico.</w:t>
      </w:r>
    </w:p>
    <w:p w:rsidR="004B0804" w:rsidRDefault="004B0804" w:rsidP="004B0804">
      <w:r>
        <w:t xml:space="preserve">Para suportar esta avaliação, a </w:t>
      </w:r>
      <w:r>
        <w:fldChar w:fldCharType="begin"/>
      </w:r>
      <w:r>
        <w:instrText xml:space="preserve"> REF _Ref504251904 \h </w:instrText>
      </w:r>
      <w:r>
        <w:fldChar w:fldCharType="separate"/>
      </w:r>
      <w:r w:rsidR="00A65D24" w:rsidRPr="00DE4B63">
        <w:t xml:space="preserve">Figura </w:t>
      </w:r>
      <w:r w:rsidR="00A65D24">
        <w:rPr>
          <w:noProof/>
        </w:rPr>
        <w:t>4</w:t>
      </w:r>
      <w:r>
        <w:fldChar w:fldCharType="end"/>
      </w:r>
      <w:r>
        <w:t xml:space="preserve"> apresenta um gráfico sintetizando o comportamento das 54 estratégias simuladas em todos os cenários. O eixo horizontal representa o Percentil 75 % do Custo de Oportunidade destas estratégias em todos os cenários (ou seja, o mesmo critério utilizado para a seleção da estratégia 31). O eixo vertical, por sua vez, contém a mesma métrica calculada para o cenário de alta demanda e agressividade dos players concorrentes, definido na seção anterior. As cores das caixas que representam cada estratégia indicam o percentual de investimento dedicado patentes publicadas de modo aberto.</w:t>
      </w:r>
    </w:p>
    <w:p w:rsidR="004B0804" w:rsidRDefault="004B0804" w:rsidP="004B0804">
      <w:r>
        <w:t>Idealmente, espera-se que uma boa estratégia esteja posicionada no canto inferior direito deste gráfico. Como é possível observar, estratégias com o percentual de desenvolvimento fechado (sinalizadas com uma seta) dominam o canto inferior esquerdo do gráfico. Este resultado indica que o modelo não oferece suporte à decisão pelo desenvolvimento de patentes abertas. Pelo contrário, em condições onde a estratégia candidata (31) não é robusta, a análise sugere a adoção de estratégias fechadas, com percentual de investimento em pesquisa e desenvolvimento ainda baixo.</w:t>
      </w:r>
    </w:p>
    <w:p w:rsidR="004B0804" w:rsidRPr="00DE4B63" w:rsidRDefault="004B0804" w:rsidP="004B0804">
      <w:pPr>
        <w:pStyle w:val="Legenda"/>
      </w:pPr>
      <w:bookmarkStart w:id="18" w:name="_Ref504251904"/>
      <w:bookmarkStart w:id="19" w:name="_Toc505157911"/>
      <w:r w:rsidRPr="00DE4B63">
        <w:t xml:space="preserve">Figura </w:t>
      </w:r>
      <w:r>
        <w:fldChar w:fldCharType="begin"/>
      </w:r>
      <w:r w:rsidRPr="00DE4B63">
        <w:instrText xml:space="preserve"> SEQ Figura \* ARABIC </w:instrText>
      </w:r>
      <w:r>
        <w:fldChar w:fldCharType="separate"/>
      </w:r>
      <w:r w:rsidR="00A65D24">
        <w:rPr>
          <w:noProof/>
        </w:rPr>
        <w:t>4</w:t>
      </w:r>
      <w:r>
        <w:fldChar w:fldCharType="end"/>
      </w:r>
      <w:bookmarkEnd w:id="18"/>
      <w:r w:rsidRPr="00DE4B63">
        <w:t xml:space="preserve"> – </w:t>
      </w:r>
      <w:r>
        <w:t>Identificando fronteira de estratégias Robustas</w:t>
      </w:r>
      <w:bookmarkEnd w:id="19"/>
    </w:p>
    <w:p w:rsidR="004B0804" w:rsidRDefault="004B0804" w:rsidP="004B0804">
      <w:pPr>
        <w:ind w:firstLine="0"/>
      </w:pPr>
      <w:r>
        <w:rPr>
          <w:noProof/>
        </w:rPr>
        <w:drawing>
          <wp:inline distT="0" distB="0" distL="0" distR="0" wp14:anchorId="59E26E42" wp14:editId="5EACB4DD">
            <wp:extent cx="5903927" cy="2948152"/>
            <wp:effectExtent l="0" t="0" r="1905"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399" cy="2958375"/>
                    </a:xfrm>
                    <a:prstGeom prst="rect">
                      <a:avLst/>
                    </a:prstGeom>
                    <a:noFill/>
                  </pic:spPr>
                </pic:pic>
              </a:graphicData>
            </a:graphic>
          </wp:inline>
        </w:drawing>
      </w:r>
    </w:p>
    <w:p w:rsidR="004B0804" w:rsidRDefault="004B0804" w:rsidP="004B0804">
      <w:pPr>
        <w:ind w:firstLine="0"/>
        <w:jc w:val="center"/>
      </w:pPr>
      <w:r>
        <w:t>Fonte: Elaborada pelo Autor.</w:t>
      </w:r>
    </w:p>
    <w:p w:rsidR="004B0804" w:rsidRDefault="004B0804" w:rsidP="004B0804">
      <w:r>
        <w:lastRenderedPageBreak/>
        <w:t>Nestas condições, esta análise sugere que o player não precisa adotar um comportamento excessivamente agressivo</w:t>
      </w:r>
      <w:r w:rsidR="0099188E">
        <w:t>, visto que</w:t>
      </w:r>
      <w:r>
        <w:t xml:space="preserve"> há mercado suficiente para que o player não necessite reduzir preços excessivamente.</w:t>
      </w:r>
    </w:p>
    <w:p w:rsidR="004B0804" w:rsidRDefault="004B0804" w:rsidP="004B0804">
      <w:r>
        <w:t xml:space="preserve">Finalmente, a análise RDM encerra-se buscando oferecer informações probabilísticas para suportar a decisão entre as estratégias observadas na fronteira de tradeoffs observada anteriormente. Para tanto, estima-se o custo de oportunidade esperado, dada a probabilidade de ocorrência do cenário indicado. O resultado desta avaliação para cada uma das 6 estratégias posicionadas no topo do ranking de estratégias é exibido na </w:t>
      </w:r>
      <w:r>
        <w:fldChar w:fldCharType="begin"/>
      </w:r>
      <w:r>
        <w:instrText xml:space="preserve"> REF _Ref504254296 \h </w:instrText>
      </w:r>
      <w:r>
        <w:fldChar w:fldCharType="separate"/>
      </w:r>
      <w:r w:rsidR="00A65D24" w:rsidRPr="00DE4B63">
        <w:t xml:space="preserve">Figura </w:t>
      </w:r>
      <w:r w:rsidR="00A65D24">
        <w:rPr>
          <w:noProof/>
        </w:rPr>
        <w:t>5</w:t>
      </w:r>
      <w:r>
        <w:fldChar w:fldCharType="end"/>
      </w:r>
      <w:r>
        <w:t>.</w:t>
      </w:r>
    </w:p>
    <w:p w:rsidR="004B0804" w:rsidRPr="00DE4B63" w:rsidRDefault="004B0804" w:rsidP="004B0804">
      <w:pPr>
        <w:pStyle w:val="Legenda"/>
      </w:pPr>
      <w:bookmarkStart w:id="20" w:name="_Ref504254296"/>
      <w:bookmarkStart w:id="21" w:name="_Toc505157912"/>
      <w:r w:rsidRPr="00DE4B63">
        <w:t xml:space="preserve">Figura </w:t>
      </w:r>
      <w:r>
        <w:fldChar w:fldCharType="begin"/>
      </w:r>
      <w:r w:rsidRPr="00DE4B63">
        <w:instrText xml:space="preserve"> SEQ Figura \* ARABIC </w:instrText>
      </w:r>
      <w:r>
        <w:fldChar w:fldCharType="separate"/>
      </w:r>
      <w:r w:rsidR="00A65D24">
        <w:rPr>
          <w:noProof/>
        </w:rPr>
        <w:t>5</w:t>
      </w:r>
      <w:r>
        <w:fldChar w:fldCharType="end"/>
      </w:r>
      <w:bookmarkEnd w:id="20"/>
      <w:r w:rsidRPr="00DE4B63">
        <w:t xml:space="preserve"> – </w:t>
      </w:r>
      <w:r>
        <w:t>Estratégias Alternativas à Estratégia Selecionada</w:t>
      </w:r>
      <w:bookmarkEnd w:id="21"/>
    </w:p>
    <w:p w:rsidR="004B0804" w:rsidRDefault="004B0804" w:rsidP="004B0804">
      <w:pPr>
        <w:ind w:firstLine="0"/>
        <w:jc w:val="center"/>
      </w:pPr>
      <w:r>
        <w:rPr>
          <w:noProof/>
        </w:rPr>
        <w:drawing>
          <wp:inline distT="0" distB="0" distL="0" distR="0" wp14:anchorId="22A368CA" wp14:editId="71F7D370">
            <wp:extent cx="5422605" cy="3098631"/>
            <wp:effectExtent l="0" t="0" r="6985" b="6985"/>
            <wp:docPr id="1026" name="Imagem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2281" cy="3109875"/>
                    </a:xfrm>
                    <a:prstGeom prst="rect">
                      <a:avLst/>
                    </a:prstGeom>
                    <a:noFill/>
                    <a:ln>
                      <a:noFill/>
                    </a:ln>
                  </pic:spPr>
                </pic:pic>
              </a:graphicData>
            </a:graphic>
          </wp:inline>
        </w:drawing>
      </w:r>
    </w:p>
    <w:p w:rsidR="004B0804" w:rsidRDefault="004B0804" w:rsidP="004B0804">
      <w:pPr>
        <w:ind w:firstLine="0"/>
        <w:jc w:val="center"/>
      </w:pPr>
      <w:r>
        <w:t>Fonte: Elaborada pelo Autor.</w:t>
      </w:r>
    </w:p>
    <w:p w:rsidR="004B0804" w:rsidRDefault="004B0804" w:rsidP="004B0804">
      <w:r>
        <w:t xml:space="preserve">Esta análise indica que se as chances estimadas do cenário de alta demanda ocorrer forem menores do que 1:10, a estratégia 31, é considerada a decisão mais racional a se tomar. Se, porém, os stakeholders responsáveis pela decisão consideram que </w:t>
      </w:r>
      <w:proofErr w:type="gramStart"/>
      <w:r>
        <w:t>as chances deste cenário ocorrer</w:t>
      </w:r>
      <w:proofErr w:type="gramEnd"/>
      <w:r>
        <w:t xml:space="preserve"> são maiores do que 1:1, logo os resultados da simulação sugerem que a melhor estratégia a seguir é a estratégia 25.</w:t>
      </w:r>
    </w:p>
    <w:p w:rsidR="004B0804" w:rsidRDefault="004B0804" w:rsidP="004B0804">
      <w:r>
        <w:t xml:space="preserve">A estratégia 25 ainda é agressiva, investe relativamente pouco em Pesquisa e Desenvolvimento (5 %) não adota a filosofia de desenvolvimento open </w:t>
      </w:r>
      <w:proofErr w:type="spellStart"/>
      <w:r>
        <w:t>source</w:t>
      </w:r>
      <w:proofErr w:type="spellEnd"/>
      <w:r>
        <w:t xml:space="preserve">, porém possui um </w:t>
      </w:r>
      <w:proofErr w:type="spellStart"/>
      <w:r>
        <w:t>market</w:t>
      </w:r>
      <w:proofErr w:type="spellEnd"/>
      <w:r>
        <w:t xml:space="preserve"> </w:t>
      </w:r>
      <w:proofErr w:type="spellStart"/>
      <w:r>
        <w:t>share</w:t>
      </w:r>
      <w:proofErr w:type="spellEnd"/>
      <w:r>
        <w:t xml:space="preserve"> desejado (20%) menor do que a estratégia 31 (40%). Embora esta sugestão pareça contra intuitiva em um primeiro momento, a mesma é coerente considerando a definição do cenário de vulnerabilidade da estratégia 31.</w:t>
      </w:r>
    </w:p>
    <w:p w:rsidR="00523116" w:rsidRPr="00523116" w:rsidRDefault="004B0804" w:rsidP="004B0804">
      <w:r>
        <w:lastRenderedPageBreak/>
        <w:t xml:space="preserve">Sob este cenário, o mercado total é maior do que o esperado, há outros players agressivos no mercado, e a utilização de capacidade produtiva é baixa, aumentando os custos da capacidade excessiva provocada por uma estratégia agressiva. Nestas condições, a análise sugere que o player busque uma postura agressiva, defendendo seu </w:t>
      </w:r>
      <w:proofErr w:type="spellStart"/>
      <w:r>
        <w:t>share</w:t>
      </w:r>
      <w:proofErr w:type="spellEnd"/>
      <w:r>
        <w:t xml:space="preserve"> de 20 % do mercado, porém reduzindo menos seu preço do que reduziria com uma estratégia agressiva com </w:t>
      </w:r>
      <w:proofErr w:type="spellStart"/>
      <w:r>
        <w:t>market</w:t>
      </w:r>
      <w:proofErr w:type="spellEnd"/>
      <w:r>
        <w:t xml:space="preserve"> </w:t>
      </w:r>
      <w:proofErr w:type="spellStart"/>
      <w:r>
        <w:t>share</w:t>
      </w:r>
      <w:proofErr w:type="spellEnd"/>
      <w:r>
        <w:t xml:space="preserve"> desejado de 40 %. Em outras palavras, esta conclusão sugere que nestas condições, o player pode ter mais benefício monetário </w:t>
      </w:r>
      <w:r>
        <w:rPr>
          <w:i/>
        </w:rPr>
        <w:t xml:space="preserve">não </w:t>
      </w:r>
      <w:r>
        <w:t>respondendo a players agressivos com ainda mais agressividade em redução de preços ou aumento da performance de seu produto.</w:t>
      </w:r>
    </w:p>
    <w:p w:rsidR="00523116" w:rsidRDefault="00523116" w:rsidP="00523116">
      <w:pPr>
        <w:pStyle w:val="Ttulo1"/>
      </w:pPr>
      <w:r>
        <w:t>CONCLUSÕES</w:t>
      </w:r>
    </w:p>
    <w:p w:rsidR="00F74C0E" w:rsidRDefault="00F74C0E" w:rsidP="00F74C0E">
      <w:r>
        <w:t>Como resultado d</w:t>
      </w:r>
      <w:r w:rsidR="00EC3EAD">
        <w:t>a análise RDM</w:t>
      </w:r>
      <w:r>
        <w:t xml:space="preserve">, </w:t>
      </w:r>
      <w:r w:rsidR="00EC3EAD">
        <w:t>as</w:t>
      </w:r>
      <w:r>
        <w:t xml:space="preserve"> simulações indicaram que estratégias agressivas, sem investimento em pesquisa e desenvolvimento aberto possuíram performance superior às demais alternativas. Nas condições onde a estratégia mais agressiva falhou, outras estratégias que se utilizam das heurísticas agressivas, porém com menor </w:t>
      </w:r>
      <w:proofErr w:type="spellStart"/>
      <w:r>
        <w:t>market</w:t>
      </w:r>
      <w:proofErr w:type="spellEnd"/>
      <w:r>
        <w:t xml:space="preserve"> </w:t>
      </w:r>
      <w:proofErr w:type="spellStart"/>
      <w:r>
        <w:t>share</w:t>
      </w:r>
      <w:proofErr w:type="spellEnd"/>
      <w:r>
        <w:t xml:space="preserve"> alvo foram identificadas como alternativas.</w:t>
      </w:r>
    </w:p>
    <w:p w:rsidR="00FA0B8C" w:rsidRDefault="00FA0B8C" w:rsidP="00FA0B8C">
      <w:r>
        <w:t xml:space="preserve">Os resultados da análise de robustez das estratégias não ofereceram suporte a estratégias voltadas ao desenvolvimento de patentes open </w:t>
      </w:r>
      <w:proofErr w:type="spellStart"/>
      <w:r>
        <w:t>source</w:t>
      </w:r>
      <w:proofErr w:type="spellEnd"/>
      <w:r>
        <w:t>. Sob as condições testadas pelo modelo, tais estratégias foram dominadas por estratégias de desenvolvimento fechado. A levar em consideração o atual comportamento dos players dominante, este resultado mostra-se consistente com a realidade. Estes resultados não eliminam definitivamente as estratégias de desenvolvimento aberto como potencialmente válidas, visto que foi demonstrado que sua performance é aproximadamente equivalente a outras estratégias de desenvolvimento fechado. No entanto, nenhuma estratégia de desenvolvimento aberto figurou como uma opção na análise da fronteira de tradeoffs. Sendo assim, os resultados desta análise não suportam a escolha desta estratégia pelos players dominantes do mercado.</w:t>
      </w:r>
    </w:p>
    <w:p w:rsidR="00FA0B8C" w:rsidRDefault="00FA0B8C" w:rsidP="00FA0B8C">
      <w:r>
        <w:t xml:space="preserve">Ainda considerando os resultados em relação às decisões estratégicas analisadas, é importante ressaltar que os resultados sugeriram que os players invistam menos em pesquisa e desenvolvimento. Este resultado pode indicar que, à medida que a indústria se estabilize, pode ser necessário que os players comecem a focalizar-se sobre resultados de curto prazo para observar retornos sobre seus investimentos. Para que esta recomendação seja utilizada </w:t>
      </w:r>
      <w:r>
        <w:lastRenderedPageBreak/>
        <w:t>adequadamente, é necessário que os players observem cautelosamente qual é de fato a restrição para a expansão do mercado (ex.: performance e ou velocidade de difusão do produto).</w:t>
      </w:r>
    </w:p>
    <w:p w:rsidR="00FA0B8C" w:rsidRDefault="00FA0B8C" w:rsidP="00FA0B8C">
      <w:r>
        <w:t>Os players podem ter a sensação falsa de que sua demanda é baixa devido a limitações de performance, enquanto a difusão do produto no mercado é lenta por outras razões. Ao identificar a limitação de performance como a restrição, estes players investem em Pesquisa e Desenvolvimento excessivamente, aumentando os preços sobre os seus produtos, e por consequência, limitando o mercado que poderia ser atendido pelos mesmos. Quando o mercado finalmente amadurecer, pode ser tarde demais para colher os frutos financeiros dos investimentos realizados, uma vez que as patentes vencerão, e o mercado poderá ser inundado de players agressivos com melhor capitalização (como foi o caso da tecnologia FDM). Embora o investimento em pesquisa e desenvolvimento geralmente seja bom para o mercado comprador, esta situação pode inviabilizar o negócio de empresas atualmente dominantes no médio e longo prazo.</w:t>
      </w:r>
    </w:p>
    <w:p w:rsidR="00F74C0E" w:rsidRDefault="00F74C0E" w:rsidP="00F74C0E">
      <w:r>
        <w:t xml:space="preserve">Quanto às contribuições para a literatura em difusão de novos produtos, este trabalho contribui em dois aspectos. Primeiro, este trabalho sustenta-se sobre modelos consolidados de difusão de produtos e dinâmica competitiva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"uris" : [ "http://www.mendeley.com/documents/?uuid=6caefebb-0cb1-43d0-9c7d-ca534a15d09b" ] }, { "id" : "ITEM-2", "itemData" : { "DOI" : "10.1287/mnsc.15.5.215", "ISSN" : "0025-1909", "author" : [ { "dropping-particle" : "", "family" : "Bass", "given" : "Frank M.", "non-dropping-particle" : "", "parse-names" : false, "suffix" : "" } ], "container-title" : "Management Science", "id" : "ITEM-2", "issue" : "5", "issued" : { "date-parts" : [ [ "1969", "1" ] ] }, "page" : "215-227", "title" : "A New Product Growth for Model Consumer Durables", "type" : "article-journal", "volume" : "15" }, "uris" : [ "http://www.mendeley.com/documents/?uuid=ba3ae769-23ac-41bf-b506-68e895a98dd3" ] } ], "mendeley" : { "formattedCitation" : "(Bass, 1969; J. D. Sterman et al., 2007)", "plainTextFormattedCitation" : "(Bass, 1969; J. D. Sterman et al., 2007)", "previouslyFormattedCitation" : "(Bass, 1969; J. D. Sterman et al., 2007)" }, "properties" : {  }, "schema" : "https://github.com/citation-style-language/schema/raw/master/csl-citation.json" }</w:instrText>
      </w:r>
      <w:r>
        <w:fldChar w:fldCharType="separate"/>
      </w:r>
      <w:r w:rsidRPr="00024DAB">
        <w:rPr>
          <w:noProof/>
        </w:rPr>
        <w:t>(Bass, 1969; J. D. Sterman et al., 2007)</w:t>
      </w:r>
      <w:r>
        <w:fldChar w:fldCharType="end"/>
      </w:r>
      <w:r>
        <w:t>, ampliando-os para que levem em consideração a performance do produto como um critério de competição entre os players. Esta expansão em relação ao modelo original permitiu que a dinâmica de expiração de patentes fosse levada em consideração na avaliação das decisões estratégicas.</w:t>
      </w:r>
    </w:p>
    <w:p w:rsidR="00F74C0E" w:rsidRDefault="00F74C0E" w:rsidP="00F74C0E">
      <w:r>
        <w:t>Em segundo lugar, este trabalho ressalta a utilidade de tais modelos sob outro framework analítico. Ao invés de seguir o processo usual empregado na dinâmica de sistemas, que envolve a definição (arbitrária) de um caso “base” e simulação de um pequeno conjunto de casos derivados deste caso base, a abordagem empregada neste trabalho sustenta-se sobre estes mesmos modelos para explorar, sistematicamente, o impacto de um amplo conjunto de incertezas sobre as estratégias simuladas. Finalmente a análise extrai conhecimento desta base de dados simulados, também de modo sistemático.</w:t>
      </w:r>
    </w:p>
    <w:p w:rsidR="00F74C0E" w:rsidRDefault="00F74C0E" w:rsidP="00F74C0E">
      <w:r>
        <w:t xml:space="preserve">Finalmente, este trabalho apresentou contribuições relevantes para a literatura em avaliação de decisões estratégicas. Diante do clamor pela utilização do critério de robustez para a tomada de decisões estratégicas </w:t>
      </w:r>
      <w:r>
        <w:fldChar w:fldCharType="begin" w:fldLock="1"/>
      </w:r>
      <w:r>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et al., 1973)", "plainTextFormattedCitation" : "(Rosenhead et al., 1973)", "previouslyFormattedCitation" : "(Rosenhead et al., 1973)" }, "properties" : {  }, "schema" : "https://github.com/citation-style-language/schema/raw/master/csl-citation.json" }</w:instrText>
      </w:r>
      <w:r>
        <w:fldChar w:fldCharType="separate"/>
      </w:r>
      <w:r w:rsidRPr="00024DAB">
        <w:rPr>
          <w:noProof/>
        </w:rPr>
        <w:t>(Rosenhead et al., 1973)</w:t>
      </w:r>
      <w:r>
        <w:fldChar w:fldCharType="end"/>
      </w:r>
      <w:r>
        <w:t xml:space="preserve">, este trabalho executou uma análise de vulnerabilidade não apenas considerando critérios de robustez para a seleção da estratégia, mas também identificando vulnerabilidades da estratégia </w:t>
      </w:r>
      <w:r>
        <w:rPr>
          <w:i/>
        </w:rPr>
        <w:t xml:space="preserve">mais robusta </w:t>
      </w:r>
      <w:r>
        <w:t>dentre as testadas.</w:t>
      </w:r>
    </w:p>
    <w:p w:rsidR="00F74C0E" w:rsidRDefault="00F74C0E" w:rsidP="00F74C0E">
      <w:r>
        <w:lastRenderedPageBreak/>
        <w:t xml:space="preserve">Além deste ponto, este trabalho contribui avançando em relação às críticas recorrentes ao uso de cenários para o suporte à avaliação de decisões estratégicas. Como apontam evidências recentes </w:t>
      </w:r>
      <w:r>
        <w:fldChar w:fldCharType="begin" w:fldLock="1"/>
      </w:r>
      <w:r w:rsidR="00692763">
        <w:instrText>ADDIN CSL_CITATION { "citationItems" : [ { "id" : "ITEM-1", "itemData" : { "DOI" : "10.1002/smj.2293", "ISBN" : "1097-0266", "ISSN" : "01432095", "PMID" : "31767271", "abstract" : "Like governance structure and alliance scope, partner selection may serve to safeguard firms\u2019 intellectual assets in R&amp;D alliances. We categorize potential alliance partners into friends, acquaintances, and strangers, depending on their previous alliance experience. Data on 1,159 R&amp;D alliances indicate that the more radical an alliance\u2019s innovation goals, the more likely it is that partners are friends rather than strangers. However, strangers are preferred to acquaintances, suggesting partner selection preferences are not transitive. Moreover, results suggest that firms use partner selection, governance structure, and alliance scope as substitute mechanisms to protect valuable technological assets from appropriation in R&amp;D alliances.", "author" : [ { "dropping-particle" : "", "family" : "Phadnis", "given" : "Shardul", "non-dropping-particle" : "", "parse-names" : false, "suffix" : "" }, { "dropping-particle" : "", "family" : "Caplice", "given" : "Chris", "non-dropping-particle" : "", "parse-names" : false, "suffix" : "" }, { "dropping-particle" : "", "family" : "Sheffi", "given" : "Yossi", "non-dropping-particle" : "", "parse-names" : false, "suffix" : "" }, { "dropping-particle" : "", "family" : "Singh", "given" : "Mahender", "non-dropping-particle" : "", "parse-names" : false, "suffix" : "" } ], "container-title" : "Strategic Management Journal", "id" : "ITEM-1", "issue" : "9", "issued" : { "date-parts" : [ [ "2015", "9" ] ] }, "page" : "1401-1411", "title" : "Effect of scenario planning on field experts' judgment of long-range investment decisions", "type" : "article-journal", "volume" : "36" }, "uris" : [ "http://www.mendeley.com/documents/?uuid=ea59bae7-fc9e-4692-b329-8b9fbee3b82a" ] } ], "mendeley" : { "formattedCitation" : "(Phadnis, Caplice, Sheffi, &amp; Singh, 2015)", "plainTextFormattedCitation" : "(Phadnis, Caplice, Sheffi, &amp; Singh, 2015)", "previouslyFormattedCitation" : "(Phadnis, Caplice, Sheffi, &amp; Singh, 2015)" }, "properties" : {  }, "schema" : "https://github.com/citation-style-language/schema/raw/master/csl-citation.json" }</w:instrText>
      </w:r>
      <w:r>
        <w:fldChar w:fldCharType="separate"/>
      </w:r>
      <w:r w:rsidR="001471E8" w:rsidRPr="001471E8">
        <w:rPr>
          <w:noProof/>
        </w:rPr>
        <w:t>(Phadnis, Caplice, Sheffi, &amp; Singh, 2015)</w:t>
      </w:r>
      <w:r>
        <w:fldChar w:fldCharType="end"/>
      </w:r>
      <w:r>
        <w:t xml:space="preserve">, o uso de cenários não necessariamente tem o efeito esperado de diminuir a confiança de experts sobre suas próprias predições. Consequentemente, </w:t>
      </w:r>
      <w:proofErr w:type="spellStart"/>
      <w:r>
        <w:t>Phadnis</w:t>
      </w:r>
      <w:proofErr w:type="spellEnd"/>
      <w:r>
        <w:t xml:space="preserve"> et al. (2015) sugerem que diretrizes normativas para combinar a abordagem de cenários com abordagens analíticas de decisão poderia melhorar a qualidade decisões estratégicas. Este trabalho oferece especificamente um passo neste sentido ao aplicar a abordagem de modelagem exploratória ao contexto organizacional.</w:t>
      </w:r>
    </w:p>
    <w:p w:rsidR="00F74C0E" w:rsidRDefault="00F74C0E" w:rsidP="00F74C0E">
      <w:r>
        <w:t xml:space="preserve">Há uma ampla gama de possíveis trabalhos futuros a serem desenvolvidos a partir da presente dissertação. Assim como este trabalho expandiu o modelo anteriormente proposto por </w:t>
      </w:r>
      <w:proofErr w:type="spellStart"/>
      <w:r>
        <w:t>Sterman</w:t>
      </w:r>
      <w:proofErr w:type="spellEnd"/>
      <w:r>
        <w:t xml:space="preserve"> et al. (2007), uma linha de geração de trabalhos futuros trata-se de expandir o modelo de dinâmica competitiva empregado por este trabalho, com o objetivo de incorporar os aspectos não incluídos no escopo deste modelo. </w:t>
      </w:r>
    </w:p>
    <w:p w:rsidR="00F74C0E" w:rsidRDefault="00F74C0E" w:rsidP="00F74C0E">
      <w:r>
        <w:t xml:space="preserve">Outra linha de investigação possível é realizar a aplicação deste mesmo modelo a outros tipos de produtos. Como é possível notar na formulação do modelo, a maior parte de suas equações é baseada em relações presentes na maioria dos mercados que envolvem evolução tecnológica. Os módulos de Demanda Global, Difusão do Produto, Market </w:t>
      </w:r>
      <w:proofErr w:type="spellStart"/>
      <w:r>
        <w:t>Share</w:t>
      </w:r>
      <w:proofErr w:type="spellEnd"/>
      <w:r>
        <w:t xml:space="preserve">, Firma, Produção, Capacidade e Preço possuem formulações genéricas o suficiente para que seja possível aplica-los em outros contextos sem modificações expressivas. Por isso, um futuro trabalho poderá utilizar este modelo em outro contexto, focalizando sua atenção à interação dos resultados do modelo junto a stakeholders reais. Métodos de avaliação dos resultados da análise RDM, assim como são empregados no contexto das políticas públicas </w:t>
      </w:r>
      <w:r>
        <w:fldChar w:fldCharType="begin" w:fldLock="1"/>
      </w:r>
      <w:r>
        <w:instrText>ADDIN CSL_CITATION { "citationItems" : [ { "id" : "ITEM-1", "itemData" : { "DOI" : "10.1016/j.techfore.2014.01.010", "ISBN" : "0040-1625", "ISSN" : "00401625", "abstract" : "Scenario planning traditionally relies on qualitative methods to choose its scenarios. Recently, quantitative decision support tools have also begun to facilitate such choices. This study uses behavioral experiments and structured decision-maker interviews to evaluate the results of \"scenario discovery,\" a quantitative method that defines scenarios as sets of future states of the world in which proposed policies fail to meet their goals. Statistical cluster-finding and principal component algorithms applied to large databases of computer simulation model results then help users to identify such scenarios. The two experiments examine the results of this process and demonstrate a user preference for increased accuracy and simplicity achieved through rotating the space of uncertain model input parameters, but primarily when the rotated parameters are conceptually similar. Interviews with experts suggest utility for both qualitatively- and quantitatively-derived scenarios. The former were easier to understand and had the most utility for scoping. The latter were perceived as containing more relevant information and having more utility for understanding tradeoffs and making choices among them. Overall, this study suggests the value of quantitative tools for facilitating scenario choice, while also highlighting the importance of formal evaluation in judging the utility of new methods for decision support.", "author" : [ { "dropping-particle" : "", "family" : "Parker", "given" : "Andrew M.", "non-dropping-particle" : "", "parse-names" : false, "suffix" : "" }, { "dropping-particle" : "V.", "family" : "Srinivasan", "given" : "Sinduja", "non-dropping-particle" : "", "parse-names" : false, "suffix" : "" }, { "dropping-particle" : "", "family" : "Lempert", "given" : "Robert J.", "non-dropping-particle" : "", "parse-names" : false, "suffix" : "" }, { "dropping-particle" : "", "family" : "Berry", "given" : "Sandra H.", "non-dropping-particle" : "", "parse-names" : false, "suffix" : "" } ], "container-title" : "Technological Forecasting and Social Change", "id" : "ITEM-1", "issued" : { "date-parts" : [ [ "2015" ] ] }, "page" : "64-77", "publisher" : "Elsevier Inc.", "title" : "Evaluating simulation-derived scenarios for effective decision support", "type" : "article-journal", "volume" : "91" }, "uris" : [ "http://www.mendeley.com/documents/?uuid=1da2208f-da79-4f49-aaee-f9a37a6cff9b" ] } ], "mendeley" : { "formattedCitation" : "(Parker, Srinivasan, Lempert, &amp; Berry, 2015)", "plainTextFormattedCitation" : "(Parker, Srinivasan, Lempert, &amp; Berry, 2015)", "previouslyFormattedCitation" : "(Parker, Srinivasan, Lempert, &amp; Berry, 2015)" }, "properties" : {  }, "schema" : "https://github.com/citation-style-language/schema/raw/master/csl-citation.json" }</w:instrText>
      </w:r>
      <w:r>
        <w:fldChar w:fldCharType="separate"/>
      </w:r>
      <w:r w:rsidRPr="00024DAB">
        <w:rPr>
          <w:noProof/>
        </w:rPr>
        <w:t>(Parker, Srinivasan, Lempert, &amp; Berry, 2015)</w:t>
      </w:r>
      <w:r>
        <w:fldChar w:fldCharType="end"/>
      </w:r>
      <w:r>
        <w:t xml:space="preserve">, podem ser aplicados para coletar evidências importantes para avaliar a utilidade destas aplicações, formando assim uma base de evidências sobre a qual novos métodos poderão ser desenvolvidos. </w:t>
      </w:r>
    </w:p>
    <w:p w:rsidR="00523116" w:rsidRPr="00523116" w:rsidRDefault="00F74C0E" w:rsidP="00FA0B8C">
      <w:r>
        <w:t xml:space="preserve">Outra linha de exploração está na experimentação de outras abordagens de decisão sob incerteza profunda. Este trabalho iniciou a exploração pela aplicação do RDM, porém existem outras abordagens como o DAPP </w:t>
      </w:r>
      <w:r>
        <w:fldChar w:fldCharType="begin" w:fldLock="1"/>
      </w:r>
      <w:r>
        <w:instrText>ADDIN CSL_CITATION { "citationItems" : [ { "id" : "ITEM-1", "itemData" : { "DOI" : "10.1016/j.gloenvcha.2012.12.006", "ISBN" : "0959-3780", "ISSN" : "09593780", "abstract" : "A new paradigm for planning under conditions of deep uncertainty has emerged in the literature. According to this paradigm, a planner should create a strategic vision of the future, commit to short-term actions, and establish a framework to guide future actions. A plan that embodies these ideas allows for its dynamic adaptation over time to meet changing circumstances. We propose a method for decisionmaking under uncertain global and regional changes called 'Dynamic Adaptive Policy Pathways'. We base our approach on two complementary approaches for designing adaptive plans: 'Adaptive Policymaking' and 'Adaptation Pathways'. Adaptive Policymaking is a theoretical approach describing a planning process with different types of actions (e.g. 'mitigating actions' and 'hedging actions') and signposts to monitor to see if adaptation is needed. In contrast, Adaptation Pathways provides an analytical approach for exploring and sequencing a set of possible actions based on alternative external developments over time. We illustrate the Dynamic Adaptive Policy Pathways approach by producing an adaptive plan for long-term water management of the Rhine Delta in the Netherlands that takes into account the deep uncertainties about the future arising from social, political, technological, economic, and climate changes. The results suggest that it is worthwhile to further test and use the approach. ?? 2012 Elsevier Ltd.", "author" : [ { "dropping-particle" : "", "family" : "Haasnoot", "given" : "Marjolijn", "non-dropping-particle" : "", "parse-names" : false, "suffix" : "" }, { "dropping-particle" : "", "family" : "Kwakkel", "given" : "Jan H.", "non-dropping-particle" : "", "parse-names" : false, "suffix" : "" }, { "dropping-particle" : "", "family" : "Walker", "given" : "Warren E.", "non-dropping-particle" : "", "parse-names" : false, "suffix" : "" }, { "dropping-particle" : "", "family" : "Maat", "given" : "Judith", "non-dropping-particle" : "ter", "parse-names" : false, "suffix" : "" } ], "container-title" : "Global Environmental Change", "id" : "ITEM-1", "issue" : "2", "issued" : { "date-parts" : [ [ "2013" ] ] }, "page" : "485-498", "title" : "Dynamic adaptive policy pathways: A method for crafting robust decisions for a deeply uncertain world", "type" : "article-journal", "volume" : "23" }, "uris" : [ "http://www.mendeley.com/documents/?uuid=91fc0105-ba78-4b25-bec4-1eb33e10dfee" ] } ], "mendeley" : { "formattedCitation" : "(Haasnoot, Kwakkel, Walker, &amp; ter Maat, 2013)", "plainTextFormattedCitation" : "(Haasnoot, Kwakkel, Walker, &amp; ter Maat, 2013)", "previouslyFormattedCitation" : "(Haasnoot, Kwakkel, Walker, &amp; ter Maat, 2013)" }, "properties" : {  }, "schema" : "https://github.com/citation-style-language/schema/raw/master/csl-citation.json" }</w:instrText>
      </w:r>
      <w:r>
        <w:fldChar w:fldCharType="separate"/>
      </w:r>
      <w:r w:rsidRPr="00024DAB">
        <w:rPr>
          <w:noProof/>
        </w:rPr>
        <w:t>(Haasnoot, Kwakkel, Walker, &amp; ter Maat, 2013)</w:t>
      </w:r>
      <w:r>
        <w:fldChar w:fldCharType="end"/>
      </w:r>
      <w:r>
        <w:t xml:space="preserve">, MORDM </w:t>
      </w:r>
      <w:r>
        <w:fldChar w:fldCharType="begin" w:fldLock="1"/>
      </w:r>
      <w:r>
        <w:instrText>ADDIN CSL_CITATION { "citationItems" : [ { "id" : "ITEM-1", "itemData" : { "DOI" : "10.1016/j.envsoft.2012.12.007", "ISBN" : "1364-8152", "ISSN" : "13648152", "abstract" : "This paper introduces many objective robust decision making (MORDM). MORDM combines concepts and methods from many objective evolutionary optimization and robust decision making (RDM), along with extensive use of interactive visual analytics, to facilitate the management of complex environmental systems. Many objective evolutionary search is used to generate alternatives for complex planning problems, enabling the discovery of the key tradeoffs among planning objectives. RDM then determines the robustness of planning alternatives to deeply uncertain future conditions and facilitates decision makers' selection of promising candidate solutions. MORDM tests each solution under the ensemble of future extreme states of the world (SOW). Interactive visual analytics are used to explore whether solutions of interest are robust to a wide range of plausible future conditions (i.e., assessment of their Pareto satisficing behavior in alternative SOW). Scenario discovery methods that use statistical data mining algorithms are then used to identify what assumptions and system conditions strongly influence the cost-effectiveness, efficiency, and reliability of the robust alternatives. The framework is demonstrated using a case study that examines a single city's water supply in the Lower Rio Grande Valley (LRGV) in Texas, USA. Results suggest that including robustness as a decision criterion can dramatically change the formulation of complex environmental management problems as well as the negotiated selection of candidate alternatives to implement. MORDM also allows decision makers to characterize the most important vulnerabilities for their systems, which should be the focus of ex post monitoring and identification of triggers for adaptive management. \u00a9 2012 Elsevier Ltd.", "author" : [ { "dropping-particle" : "", "family" : "Kasprzyk", "given" : "Joseph R.", "non-dropping-particle" : "", "parse-names" : false, "suffix" : "" }, { "dropping-particle" : "", "family" : "Nataraj", "given" : "Shanthi", "non-dropping-particle" : "", "parse-names" : false, "suffix" : "" }, { "dropping-particle" : "", "family" : "Reed", "given" : "Patrick M.", "non-dropping-particle" : "", "parse-names" : false, "suffix" : "" }, { "dropping-particle" : "", "family" : "Lempert", "given" : "Robert J.", "non-dropping-particle" : "", "parse-names" : false, "suffix" : "" } ], "container-title" : "Environmental Modelling and Software", "id" : "ITEM-1", "issued" : { "date-parts" : [ [ "2013" ] ] }, "page" : "55-71", "publisher" : "Elsevier Ltd", "title" : "Many objective robust decision making for complex environmental systems undergoing change", "type" : "article-journal", "volume" : "42" }, "uris" : [ "http://www.mendeley.com/documents/?uuid=64470563-1ae5-4516-8ad0-fa261f413373" ] } ], "mendeley" : { "formattedCitation" : "(Kasprzyk, Nataraj, Reed, &amp; Lempert, 2013)", "plainTextFormattedCitation" : "(Kasprzyk, Nataraj, Reed, &amp; Lempert, 2013)", "previouslyFormattedCitation" : "(Kasprzyk, Nataraj, Reed, &amp; Lempert, 2013)" }, "properties" : {  }, "schema" : "https://github.com/citation-style-language/schema/raw/master/csl-citation.json" }</w:instrText>
      </w:r>
      <w:r>
        <w:fldChar w:fldCharType="separate"/>
      </w:r>
      <w:r w:rsidRPr="00024DAB">
        <w:rPr>
          <w:noProof/>
        </w:rPr>
        <w:t>(Kasprzyk, Nataraj, Reed, &amp; Lempert, 2013)</w:t>
      </w:r>
      <w:r>
        <w:fldChar w:fldCharType="end"/>
      </w:r>
      <w:r>
        <w:t xml:space="preserve">, Info-Gap </w:t>
      </w:r>
      <w:r>
        <w:fldChar w:fldCharType="begin" w:fldLock="1"/>
      </w:r>
      <w:r>
        <w:instrText>ADDIN CSL_CITATION { "citationItems" : [ { "id" : "ITEM-1", "itemData" : { "author" : [ { "dropping-particle" : "", "family" : "Ben-Haim", "given" : "Yakov", "non-dropping-particle" : "", "parse-names" : false, "suffix" : "" } ], "edition" : "2", "id" : "ITEM-1", "issued" : { "date-parts" : [ [ "2006" ] ] }, "number-of-pages" : "384", "publisher" : "Academic Press", "title" : "Info-Gap Decision Theory: Decisions Under Severe Uncertainty", "type" : "book" }, "uris" : [ "http://www.mendeley.com/documents/?uuid=19bcbf89-7a38-449e-8d38-3d841e3dfa9c" ] } ], "mendeley" : { "formattedCitation" : "(Ben-Haim, 2006)", "plainTextFormattedCitation" : "(Ben-Haim, 2006)", "previouslyFormattedCitation" : "(Ben-Haim, 2006)" }, "properties" : {  }, "schema" : "https://github.com/citation-style-language/schema/raw/master/csl-citation.json" }</w:instrText>
      </w:r>
      <w:r>
        <w:fldChar w:fldCharType="separate"/>
      </w:r>
      <w:r w:rsidRPr="00024DAB">
        <w:rPr>
          <w:noProof/>
        </w:rPr>
        <w:t>(Ben-Haim, 2006)</w:t>
      </w:r>
      <w:r>
        <w:fldChar w:fldCharType="end"/>
      </w:r>
      <w:r>
        <w:t>, os quais também possuem contribuições potenciais, ainda não realizadas no ambiente organizacional. Futuros trabalhos poderão utilizar-se destas abordagens e, comparar sua utilidade a partir de uma base de aplicações.</w:t>
      </w:r>
    </w:p>
    <w:p w:rsidR="009046B9" w:rsidRDefault="00E47836" w:rsidP="009046B9">
      <w:pPr>
        <w:pStyle w:val="Ttulo1"/>
      </w:pPr>
      <w:r>
        <w:br w:type="page"/>
      </w:r>
      <w:r w:rsidR="00B50AEB">
        <w:lastRenderedPageBreak/>
        <w:t>SUPORTE FINANCEIRO</w:t>
      </w:r>
    </w:p>
    <w:p w:rsidR="009046B9" w:rsidRPr="009046B9" w:rsidRDefault="009046B9" w:rsidP="009046B9">
      <w:r>
        <w:t>Os autores agradecem à CAPES pelo suporte financeiro propiciado por meio da bolsa CAPES PROSUP.</w:t>
      </w:r>
    </w:p>
    <w:p w:rsidR="00E47836" w:rsidRDefault="00E47836">
      <w:pPr>
        <w:autoSpaceDE/>
        <w:autoSpaceDN/>
        <w:adjustRightInd/>
        <w:spacing w:line="240" w:lineRule="auto"/>
        <w:ind w:firstLine="0"/>
        <w:jc w:val="left"/>
        <w:rPr>
          <w:b/>
          <w:bCs/>
          <w:caps/>
          <w:kern w:val="32"/>
          <w:szCs w:val="32"/>
        </w:rPr>
      </w:pPr>
    </w:p>
    <w:p w:rsidR="00CF2481" w:rsidRPr="002B57EF" w:rsidRDefault="00CF2481" w:rsidP="00EC1D1B">
      <w:pPr>
        <w:pStyle w:val="Ttulo1"/>
        <w:numPr>
          <w:ilvl w:val="0"/>
          <w:numId w:val="0"/>
        </w:numPr>
        <w:jc w:val="center"/>
      </w:pPr>
      <w:r w:rsidRPr="002B57EF">
        <w:t>REFERÊNCIAS</w:t>
      </w:r>
      <w:bookmarkEnd w:id="4"/>
      <w:bookmarkEnd w:id="5"/>
      <w:r w:rsidR="009046B9">
        <w:t xml:space="preserve"> BIBLIOGRÁFICAS</w:t>
      </w:r>
    </w:p>
    <w:p w:rsidR="00692763" w:rsidRPr="007B40A8" w:rsidRDefault="00865BA8" w:rsidP="00692763">
      <w:pPr>
        <w:widowControl w:val="0"/>
        <w:ind w:left="480" w:hanging="480"/>
        <w:rPr>
          <w:noProof/>
          <w:lang w:val="en-US"/>
        </w:rPr>
      </w:pPr>
      <w:r>
        <w:rPr>
          <w:lang w:val="en-US"/>
        </w:rPr>
        <w:fldChar w:fldCharType="begin" w:fldLock="1"/>
      </w:r>
      <w:r w:rsidR="00086BB6" w:rsidRPr="00A65D24">
        <w:rPr>
          <w:lang w:val="en-US"/>
        </w:rPr>
        <w:instrText xml:space="preserve">ADDIN Mendeley Bibliography CSL_BIBLIOGRAPHY </w:instrText>
      </w:r>
      <w:r>
        <w:rPr>
          <w:lang w:val="en-US"/>
        </w:rPr>
        <w:fldChar w:fldCharType="separate"/>
      </w:r>
      <w:r w:rsidR="00692763" w:rsidRPr="00A65D24">
        <w:rPr>
          <w:noProof/>
          <w:lang w:val="en-US"/>
        </w:rPr>
        <w:t xml:space="preserve">Armstrong, J. S. (1982). </w:t>
      </w:r>
      <w:r w:rsidR="00692763" w:rsidRPr="007B40A8">
        <w:rPr>
          <w:noProof/>
          <w:lang w:val="en-US"/>
        </w:rPr>
        <w:t xml:space="preserve">The value of formal planning for strategic decisions: Review of empirical research. </w:t>
      </w:r>
      <w:r w:rsidR="00692763" w:rsidRPr="007B40A8">
        <w:rPr>
          <w:i/>
          <w:iCs/>
          <w:noProof/>
          <w:lang w:val="en-US"/>
        </w:rPr>
        <w:t>Strategic Management Journal</w:t>
      </w:r>
      <w:r w:rsidR="00692763" w:rsidRPr="007B40A8">
        <w:rPr>
          <w:noProof/>
          <w:lang w:val="en-US"/>
        </w:rPr>
        <w:t xml:space="preserve">, </w:t>
      </w:r>
      <w:r w:rsidR="00692763" w:rsidRPr="007B40A8">
        <w:rPr>
          <w:i/>
          <w:iCs/>
          <w:noProof/>
          <w:lang w:val="en-US"/>
        </w:rPr>
        <w:t>3</w:t>
      </w:r>
      <w:r w:rsidR="00692763" w:rsidRPr="007B40A8">
        <w:rPr>
          <w:noProof/>
          <w:lang w:val="en-US"/>
        </w:rPr>
        <w:t>(3), 197–211. https://doi.org/10.1002/smj.4250030303</w:t>
      </w:r>
    </w:p>
    <w:p w:rsidR="00692763" w:rsidRPr="007B40A8" w:rsidRDefault="00692763" w:rsidP="00692763">
      <w:pPr>
        <w:widowControl w:val="0"/>
        <w:ind w:left="480" w:hanging="480"/>
        <w:rPr>
          <w:noProof/>
          <w:lang w:val="en-US"/>
        </w:rPr>
      </w:pPr>
      <w:r w:rsidRPr="007B40A8">
        <w:rPr>
          <w:noProof/>
          <w:lang w:val="en-US"/>
        </w:rPr>
        <w:t xml:space="preserve">Bass, F. M. (1969). A New Product Growth for Model Consumer Durables. </w:t>
      </w:r>
      <w:r w:rsidRPr="007B40A8">
        <w:rPr>
          <w:i/>
          <w:iCs/>
          <w:noProof/>
          <w:lang w:val="en-US"/>
        </w:rPr>
        <w:t>Management Science</w:t>
      </w:r>
      <w:r w:rsidRPr="007B40A8">
        <w:rPr>
          <w:noProof/>
          <w:lang w:val="en-US"/>
        </w:rPr>
        <w:t xml:space="preserve">, </w:t>
      </w:r>
      <w:r w:rsidRPr="007B40A8">
        <w:rPr>
          <w:i/>
          <w:iCs/>
          <w:noProof/>
          <w:lang w:val="en-US"/>
        </w:rPr>
        <w:t>15</w:t>
      </w:r>
      <w:r w:rsidRPr="007B40A8">
        <w:rPr>
          <w:noProof/>
          <w:lang w:val="en-US"/>
        </w:rPr>
        <w:t>(5), 215–227. https://doi.org/10.1287/mnsc.15.5.215</w:t>
      </w:r>
    </w:p>
    <w:p w:rsidR="00692763" w:rsidRPr="007B40A8" w:rsidRDefault="00692763" w:rsidP="00692763">
      <w:pPr>
        <w:widowControl w:val="0"/>
        <w:ind w:left="480" w:hanging="480"/>
        <w:rPr>
          <w:noProof/>
          <w:lang w:val="en-US"/>
        </w:rPr>
      </w:pPr>
      <w:r w:rsidRPr="007B40A8">
        <w:rPr>
          <w:noProof/>
          <w:lang w:val="en-US"/>
        </w:rPr>
        <w:t xml:space="preserve">Ben-Haim, Y. (2006). </w:t>
      </w:r>
      <w:r w:rsidRPr="007B40A8">
        <w:rPr>
          <w:i/>
          <w:iCs/>
          <w:noProof/>
          <w:lang w:val="en-US"/>
        </w:rPr>
        <w:t>Info-Gap Decision Theory: Decisions Under Severe Uncertainty</w:t>
      </w:r>
      <w:r w:rsidRPr="007B40A8">
        <w:rPr>
          <w:noProof/>
          <w:lang w:val="en-US"/>
        </w:rPr>
        <w:t xml:space="preserve"> (2nd ed.). Academic Press.</w:t>
      </w:r>
    </w:p>
    <w:p w:rsidR="00692763" w:rsidRPr="007B40A8" w:rsidRDefault="00692763" w:rsidP="00692763">
      <w:pPr>
        <w:widowControl w:val="0"/>
        <w:ind w:left="480" w:hanging="480"/>
        <w:rPr>
          <w:noProof/>
          <w:lang w:val="en-US"/>
        </w:rPr>
      </w:pPr>
      <w:r w:rsidRPr="007B40A8">
        <w:rPr>
          <w:noProof/>
          <w:lang w:val="en-US"/>
        </w:rPr>
        <w:t xml:space="preserve">Berman, B. (2012). 3-D printing: The new industrial revolution. </w:t>
      </w:r>
      <w:r w:rsidRPr="007B40A8">
        <w:rPr>
          <w:i/>
          <w:iCs/>
          <w:noProof/>
          <w:lang w:val="en-US"/>
        </w:rPr>
        <w:t>Business Horizons</w:t>
      </w:r>
      <w:r w:rsidRPr="007B40A8">
        <w:rPr>
          <w:noProof/>
          <w:lang w:val="en-US"/>
        </w:rPr>
        <w:t xml:space="preserve">, </w:t>
      </w:r>
      <w:r w:rsidRPr="007B40A8">
        <w:rPr>
          <w:i/>
          <w:iCs/>
          <w:noProof/>
          <w:lang w:val="en-US"/>
        </w:rPr>
        <w:t>55</w:t>
      </w:r>
      <w:r w:rsidRPr="007B40A8">
        <w:rPr>
          <w:noProof/>
          <w:lang w:val="en-US"/>
        </w:rPr>
        <w:t>(2), 155–162.</w:t>
      </w:r>
    </w:p>
    <w:p w:rsidR="00692763" w:rsidRPr="007B40A8" w:rsidRDefault="00692763" w:rsidP="00692763">
      <w:pPr>
        <w:widowControl w:val="0"/>
        <w:ind w:left="480" w:hanging="480"/>
        <w:rPr>
          <w:noProof/>
          <w:lang w:val="en-US"/>
        </w:rPr>
      </w:pPr>
      <w:r w:rsidRPr="007B40A8">
        <w:rPr>
          <w:noProof/>
          <w:lang w:val="en-US"/>
        </w:rPr>
        <w:t xml:space="preserve">Bryant, B. P., &amp; Lempert, R. J. (2010). Thinking inside the box: A participatory, computer-assisted approach to scenario discovery. </w:t>
      </w:r>
      <w:r w:rsidRPr="007B40A8">
        <w:rPr>
          <w:i/>
          <w:iCs/>
          <w:noProof/>
          <w:lang w:val="en-US"/>
        </w:rPr>
        <w:t>Technological Forecasting and Social Change</w:t>
      </w:r>
      <w:r w:rsidRPr="007B40A8">
        <w:rPr>
          <w:noProof/>
          <w:lang w:val="en-US"/>
        </w:rPr>
        <w:t xml:space="preserve">, </w:t>
      </w:r>
      <w:r w:rsidRPr="007B40A8">
        <w:rPr>
          <w:i/>
          <w:iCs/>
          <w:noProof/>
          <w:lang w:val="en-US"/>
        </w:rPr>
        <w:t>77</w:t>
      </w:r>
      <w:r w:rsidRPr="007B40A8">
        <w:rPr>
          <w:noProof/>
          <w:lang w:val="en-US"/>
        </w:rPr>
        <w:t>(1), 34–49. https://doi.org/10.1016/j.techfore.2009.08.002</w:t>
      </w:r>
    </w:p>
    <w:p w:rsidR="00692763" w:rsidRPr="007B40A8" w:rsidRDefault="00692763" w:rsidP="00692763">
      <w:pPr>
        <w:widowControl w:val="0"/>
        <w:ind w:left="480" w:hanging="480"/>
        <w:rPr>
          <w:noProof/>
          <w:lang w:val="en-US"/>
        </w:rPr>
      </w:pPr>
      <w:r w:rsidRPr="007B40A8">
        <w:rPr>
          <w:noProof/>
          <w:lang w:val="en-US"/>
        </w:rPr>
        <w:t xml:space="preserve">Caffrey, T., Wohlers, T., &amp; Campbell, R. I. (2016). </w:t>
      </w:r>
      <w:r w:rsidRPr="007B40A8">
        <w:rPr>
          <w:i/>
          <w:iCs/>
          <w:noProof/>
          <w:lang w:val="en-US"/>
        </w:rPr>
        <w:t>Executive summary of the Wohlers Report 2016</w:t>
      </w:r>
      <w:r w:rsidRPr="007B40A8">
        <w:rPr>
          <w:noProof/>
          <w:lang w:val="en-US"/>
        </w:rPr>
        <w:t>. Fort Collins, Colorado. Retrieved from https://dspace.lboro.ac.uk/dspace-jspui/bitstream/2134/21223/1/Wohlers Report 2016 Executive Summary.pdf</w:t>
      </w:r>
    </w:p>
    <w:p w:rsidR="00692763" w:rsidRPr="007B40A8" w:rsidRDefault="00692763" w:rsidP="00692763">
      <w:pPr>
        <w:widowControl w:val="0"/>
        <w:ind w:left="480" w:hanging="480"/>
        <w:rPr>
          <w:noProof/>
          <w:lang w:val="en-US"/>
        </w:rPr>
      </w:pPr>
      <w:r w:rsidRPr="007B40A8">
        <w:rPr>
          <w:noProof/>
          <w:lang w:val="en-US"/>
        </w:rPr>
        <w:t xml:space="preserve">Dean, J. W., &amp; Sharfman, M. P. (1996). Does decision process matter? A study of strategic decision-making effectiveness. </w:t>
      </w:r>
      <w:r w:rsidRPr="007B40A8">
        <w:rPr>
          <w:i/>
          <w:iCs/>
          <w:noProof/>
          <w:lang w:val="en-US"/>
        </w:rPr>
        <w:t>Academy of Management Journal</w:t>
      </w:r>
      <w:r w:rsidRPr="007B40A8">
        <w:rPr>
          <w:noProof/>
          <w:lang w:val="en-US"/>
        </w:rPr>
        <w:t xml:space="preserve">, </w:t>
      </w:r>
      <w:r w:rsidRPr="007B40A8">
        <w:rPr>
          <w:i/>
          <w:iCs/>
          <w:noProof/>
          <w:lang w:val="en-US"/>
        </w:rPr>
        <w:t>39</w:t>
      </w:r>
      <w:r w:rsidRPr="007B40A8">
        <w:rPr>
          <w:noProof/>
          <w:lang w:val="en-US"/>
        </w:rPr>
        <w:t>(2), 368–396. https://doi.org/10.2307/256784</w:t>
      </w:r>
    </w:p>
    <w:p w:rsidR="00692763" w:rsidRPr="007B40A8" w:rsidRDefault="00692763" w:rsidP="00692763">
      <w:pPr>
        <w:widowControl w:val="0"/>
        <w:ind w:left="480" w:hanging="480"/>
        <w:rPr>
          <w:noProof/>
          <w:lang w:val="en-US"/>
        </w:rPr>
      </w:pPr>
      <w:r w:rsidRPr="007B40A8">
        <w:rPr>
          <w:noProof/>
          <w:lang w:val="en-US"/>
        </w:rPr>
        <w:t xml:space="preserve">Eisenhardt, K. M., &amp; Zbaracki, M. J. (1992). Strategic decision making. </w:t>
      </w:r>
      <w:r w:rsidRPr="007B40A8">
        <w:rPr>
          <w:i/>
          <w:iCs/>
          <w:noProof/>
          <w:lang w:val="en-US"/>
        </w:rPr>
        <w:t>Strategic Management Journal</w:t>
      </w:r>
      <w:r w:rsidRPr="007B40A8">
        <w:rPr>
          <w:noProof/>
          <w:lang w:val="en-US"/>
        </w:rPr>
        <w:t xml:space="preserve">, </w:t>
      </w:r>
      <w:r w:rsidRPr="007B40A8">
        <w:rPr>
          <w:i/>
          <w:iCs/>
          <w:noProof/>
          <w:lang w:val="en-US"/>
        </w:rPr>
        <w:t>13</w:t>
      </w:r>
      <w:r w:rsidRPr="007B40A8">
        <w:rPr>
          <w:noProof/>
          <w:lang w:val="en-US"/>
        </w:rPr>
        <w:t>(S2), 17–37. https://doi.org/10.1002/smj.4250130904</w:t>
      </w:r>
    </w:p>
    <w:p w:rsidR="00692763" w:rsidRPr="007B40A8" w:rsidRDefault="00692763" w:rsidP="00692763">
      <w:pPr>
        <w:widowControl w:val="0"/>
        <w:ind w:left="480" w:hanging="480"/>
        <w:rPr>
          <w:noProof/>
          <w:lang w:val="en-US"/>
        </w:rPr>
      </w:pPr>
      <w:r w:rsidRPr="007B40A8">
        <w:rPr>
          <w:noProof/>
          <w:lang w:val="en-US"/>
        </w:rPr>
        <w:t xml:space="preserve">Ford, S. L. N. (2014). Additive Manufacturing Technology: Potential Implications for U.S. Manufacturing Competitiveness. </w:t>
      </w:r>
      <w:r w:rsidRPr="007B40A8">
        <w:rPr>
          <w:i/>
          <w:iCs/>
          <w:noProof/>
          <w:lang w:val="en-US"/>
        </w:rPr>
        <w:t>Journal of International Commerce &amp; Economics</w:t>
      </w:r>
      <w:r w:rsidRPr="007B40A8">
        <w:rPr>
          <w:noProof/>
          <w:lang w:val="en-US"/>
        </w:rPr>
        <w:t>, 1–35.</w:t>
      </w:r>
    </w:p>
    <w:p w:rsidR="00692763" w:rsidRPr="007B40A8" w:rsidRDefault="00692763" w:rsidP="00692763">
      <w:pPr>
        <w:widowControl w:val="0"/>
        <w:ind w:left="480" w:hanging="480"/>
        <w:rPr>
          <w:noProof/>
          <w:lang w:val="en-US"/>
        </w:rPr>
      </w:pPr>
      <w:r w:rsidRPr="007B40A8">
        <w:rPr>
          <w:noProof/>
          <w:lang w:val="en-US"/>
        </w:rPr>
        <w:t xml:space="preserve">Fransoo, J. W. M. B. J. C., Bertrand, J. W., &amp; Fransoo, J. W. M. B. J. C. (2002). </w:t>
      </w:r>
      <w:r w:rsidRPr="007B40A8">
        <w:rPr>
          <w:i/>
          <w:iCs/>
          <w:noProof/>
          <w:lang w:val="en-US"/>
        </w:rPr>
        <w:t>Operations management research methodologies using quantitative modeling</w:t>
      </w:r>
      <w:r w:rsidRPr="007B40A8">
        <w:rPr>
          <w:noProof/>
          <w:lang w:val="en-US"/>
        </w:rPr>
        <w:t xml:space="preserve">. </w:t>
      </w:r>
      <w:r w:rsidRPr="007B40A8">
        <w:rPr>
          <w:i/>
          <w:iCs/>
          <w:noProof/>
          <w:lang w:val="en-US"/>
        </w:rPr>
        <w:t>International Journal of Operations &amp; Production Management</w:t>
      </w:r>
      <w:r w:rsidRPr="007B40A8">
        <w:rPr>
          <w:noProof/>
          <w:lang w:val="en-US"/>
        </w:rPr>
        <w:t xml:space="preserve"> (Vol. 22). </w:t>
      </w:r>
      <w:r w:rsidRPr="007B40A8">
        <w:rPr>
          <w:noProof/>
          <w:lang w:val="en-US"/>
        </w:rPr>
        <w:lastRenderedPageBreak/>
        <w:t>https://doi.org/10.1108/01443570210414338</w:t>
      </w:r>
    </w:p>
    <w:p w:rsidR="00692763" w:rsidRPr="007B40A8" w:rsidRDefault="00692763" w:rsidP="00692763">
      <w:pPr>
        <w:widowControl w:val="0"/>
        <w:ind w:left="480" w:hanging="480"/>
        <w:rPr>
          <w:noProof/>
          <w:lang w:val="en-US"/>
        </w:rPr>
      </w:pPr>
      <w:r w:rsidRPr="007B40A8">
        <w:rPr>
          <w:noProof/>
          <w:lang w:val="en-US"/>
        </w:rPr>
        <w:t xml:space="preserve">Gardan, J. (2015). Additive manufacturing technologies: state of the art and trends. </w:t>
      </w:r>
      <w:r w:rsidRPr="007B40A8">
        <w:rPr>
          <w:i/>
          <w:iCs/>
          <w:noProof/>
          <w:lang w:val="en-US"/>
        </w:rPr>
        <w:t>International Journal of Production Research</w:t>
      </w:r>
      <w:r w:rsidRPr="007B40A8">
        <w:rPr>
          <w:noProof/>
          <w:lang w:val="en-US"/>
        </w:rPr>
        <w:t xml:space="preserve">, </w:t>
      </w:r>
      <w:r w:rsidRPr="007B40A8">
        <w:rPr>
          <w:i/>
          <w:iCs/>
          <w:noProof/>
          <w:lang w:val="en-US"/>
        </w:rPr>
        <w:t>7543</w:t>
      </w:r>
      <w:r w:rsidRPr="007B40A8">
        <w:rPr>
          <w:noProof/>
          <w:lang w:val="en-US"/>
        </w:rPr>
        <w:t>(August), 1–15. https://doi.org/10.1080/00207543.2015.1115909</w:t>
      </w:r>
    </w:p>
    <w:p w:rsidR="00692763" w:rsidRPr="007B40A8" w:rsidRDefault="00692763" w:rsidP="00692763">
      <w:pPr>
        <w:widowControl w:val="0"/>
        <w:ind w:left="480" w:hanging="480"/>
        <w:rPr>
          <w:noProof/>
          <w:lang w:val="en-US"/>
        </w:rPr>
      </w:pPr>
      <w:r w:rsidRPr="007B40A8">
        <w:rPr>
          <w:noProof/>
          <w:lang w:val="en-US"/>
        </w:rPr>
        <w:t xml:space="preserve">Groves, D. (2006). </w:t>
      </w:r>
      <w:r w:rsidRPr="007B40A8">
        <w:rPr>
          <w:i/>
          <w:iCs/>
          <w:noProof/>
          <w:lang w:val="en-US"/>
        </w:rPr>
        <w:t>New Methods for Identifying Robust Long-Term Water Resources Management Strategies for California</w:t>
      </w:r>
      <w:r w:rsidRPr="007B40A8">
        <w:rPr>
          <w:noProof/>
          <w:lang w:val="en-US"/>
        </w:rPr>
        <w:t>. Retrieved from http://www.rand.org/content/dam/rand/pubs/rgs_dissertations/2006/RAND_RGSD196.pdf</w:t>
      </w:r>
    </w:p>
    <w:p w:rsidR="00692763" w:rsidRPr="007B40A8" w:rsidRDefault="00692763" w:rsidP="00692763">
      <w:pPr>
        <w:widowControl w:val="0"/>
        <w:ind w:left="480" w:hanging="480"/>
        <w:rPr>
          <w:noProof/>
          <w:lang w:val="en-US"/>
        </w:rPr>
      </w:pPr>
      <w:r w:rsidRPr="007B40A8">
        <w:rPr>
          <w:noProof/>
          <w:lang w:val="en-US"/>
        </w:rPr>
        <w:t xml:space="preserve">Haasnoot, M., Kwakkel, J. H., Walker, W. E., &amp; ter Maat, J. (2013). Dynamic adaptive policy pathways: A method for crafting robust decisions for a deeply uncertain world. </w:t>
      </w:r>
      <w:r w:rsidRPr="007B40A8">
        <w:rPr>
          <w:i/>
          <w:iCs/>
          <w:noProof/>
          <w:lang w:val="en-US"/>
        </w:rPr>
        <w:t>Global Environmental Change</w:t>
      </w:r>
      <w:r w:rsidRPr="007B40A8">
        <w:rPr>
          <w:noProof/>
          <w:lang w:val="en-US"/>
        </w:rPr>
        <w:t xml:space="preserve">, </w:t>
      </w:r>
      <w:r w:rsidRPr="007B40A8">
        <w:rPr>
          <w:i/>
          <w:iCs/>
          <w:noProof/>
          <w:lang w:val="en-US"/>
        </w:rPr>
        <w:t>23</w:t>
      </w:r>
      <w:r w:rsidRPr="007B40A8">
        <w:rPr>
          <w:noProof/>
          <w:lang w:val="en-US"/>
        </w:rPr>
        <w:t>(2), 485–498. https://doi.org/10.1016/j.gloenvcha.2012.12.006</w:t>
      </w:r>
    </w:p>
    <w:p w:rsidR="00692763" w:rsidRPr="007B40A8" w:rsidRDefault="00692763" w:rsidP="00692763">
      <w:pPr>
        <w:widowControl w:val="0"/>
        <w:ind w:left="480" w:hanging="480"/>
        <w:rPr>
          <w:noProof/>
          <w:lang w:val="en-US"/>
        </w:rPr>
      </w:pPr>
      <w:r w:rsidRPr="007B40A8">
        <w:rPr>
          <w:noProof/>
          <w:lang w:val="en-US"/>
        </w:rPr>
        <w:t xml:space="preserve">Hough, J. R., &amp; White, M. A. (2003). Environmental dynamism and strategic decision-making rationality: An examination at the decision level. </w:t>
      </w:r>
      <w:r w:rsidRPr="007B40A8">
        <w:rPr>
          <w:i/>
          <w:iCs/>
          <w:noProof/>
          <w:lang w:val="en-US"/>
        </w:rPr>
        <w:t>Strategic Management Journal</w:t>
      </w:r>
      <w:r w:rsidRPr="007B40A8">
        <w:rPr>
          <w:noProof/>
          <w:lang w:val="en-US"/>
        </w:rPr>
        <w:t xml:space="preserve">, </w:t>
      </w:r>
      <w:r w:rsidRPr="007B40A8">
        <w:rPr>
          <w:i/>
          <w:iCs/>
          <w:noProof/>
          <w:lang w:val="en-US"/>
        </w:rPr>
        <w:t>24</w:t>
      </w:r>
      <w:r w:rsidRPr="007B40A8">
        <w:rPr>
          <w:noProof/>
          <w:lang w:val="en-US"/>
        </w:rPr>
        <w:t>(5), 481–489. https://doi.org/10.1002/smj.303</w:t>
      </w:r>
    </w:p>
    <w:p w:rsidR="00692763" w:rsidRPr="007B40A8" w:rsidRDefault="00692763" w:rsidP="00692763">
      <w:pPr>
        <w:widowControl w:val="0"/>
        <w:ind w:left="480" w:hanging="480"/>
        <w:rPr>
          <w:noProof/>
          <w:lang w:val="en-US"/>
        </w:rPr>
      </w:pPr>
      <w:r w:rsidRPr="007B40A8">
        <w:rPr>
          <w:noProof/>
          <w:lang w:val="en-US"/>
        </w:rPr>
        <w:t xml:space="preserve">Kasprzyk, J. R., Nataraj, S., Reed, P. M., &amp; Lempert, R. J. (2013). Many objective robust decision making for complex environmental systems undergoing change. </w:t>
      </w:r>
      <w:r w:rsidRPr="007B40A8">
        <w:rPr>
          <w:i/>
          <w:iCs/>
          <w:noProof/>
          <w:lang w:val="en-US"/>
        </w:rPr>
        <w:t>Environmental Modelling and Software</w:t>
      </w:r>
      <w:r w:rsidRPr="007B40A8">
        <w:rPr>
          <w:noProof/>
          <w:lang w:val="en-US"/>
        </w:rPr>
        <w:t xml:space="preserve">, </w:t>
      </w:r>
      <w:r w:rsidRPr="007B40A8">
        <w:rPr>
          <w:i/>
          <w:iCs/>
          <w:noProof/>
          <w:lang w:val="en-US"/>
        </w:rPr>
        <w:t>42</w:t>
      </w:r>
      <w:r w:rsidRPr="007B40A8">
        <w:rPr>
          <w:noProof/>
          <w:lang w:val="en-US"/>
        </w:rPr>
        <w:t>, 55–71. https://doi.org/10.1016/j.envsoft.2012.12.007</w:t>
      </w:r>
    </w:p>
    <w:p w:rsidR="00692763" w:rsidRPr="007B40A8" w:rsidRDefault="00692763" w:rsidP="00692763">
      <w:pPr>
        <w:widowControl w:val="0"/>
        <w:ind w:left="480" w:hanging="480"/>
        <w:rPr>
          <w:noProof/>
          <w:lang w:val="en-US"/>
        </w:rPr>
      </w:pPr>
      <w:r w:rsidRPr="007B40A8">
        <w:rPr>
          <w:noProof/>
          <w:lang w:val="en-US"/>
        </w:rPr>
        <w:t xml:space="preserve">Knight, F. H. (1921). </w:t>
      </w:r>
      <w:r w:rsidRPr="007B40A8">
        <w:rPr>
          <w:i/>
          <w:iCs/>
          <w:noProof/>
          <w:lang w:val="en-US"/>
        </w:rPr>
        <w:t>Risk, Uncertainty and Profit</w:t>
      </w:r>
      <w:r w:rsidRPr="007B40A8">
        <w:rPr>
          <w:noProof/>
          <w:lang w:val="en-US"/>
        </w:rPr>
        <w:t xml:space="preserve"> (Vol. XXXI). https://doi.org/10.1017/CBO9781107415324.004</w:t>
      </w:r>
    </w:p>
    <w:p w:rsidR="00692763" w:rsidRPr="007B40A8" w:rsidRDefault="00692763" w:rsidP="00692763">
      <w:pPr>
        <w:widowControl w:val="0"/>
        <w:ind w:left="480" w:hanging="480"/>
        <w:rPr>
          <w:noProof/>
          <w:lang w:val="en-US"/>
        </w:rPr>
      </w:pPr>
      <w:r w:rsidRPr="00692763">
        <w:rPr>
          <w:noProof/>
        </w:rPr>
        <w:t xml:space="preserve">Kursa, M. B., &amp; Rudnicki, W. R. (2010). </w:t>
      </w:r>
      <w:r w:rsidRPr="007B40A8">
        <w:rPr>
          <w:noProof/>
          <w:lang w:val="en-US"/>
        </w:rPr>
        <w:t xml:space="preserve">Feature Selection with the Boruta Package. </w:t>
      </w:r>
      <w:r w:rsidRPr="007B40A8">
        <w:rPr>
          <w:i/>
          <w:iCs/>
          <w:noProof/>
          <w:lang w:val="en-US"/>
        </w:rPr>
        <w:t>Journal Of Statistical Software</w:t>
      </w:r>
      <w:r w:rsidRPr="007B40A8">
        <w:rPr>
          <w:noProof/>
          <w:lang w:val="en-US"/>
        </w:rPr>
        <w:t xml:space="preserve">, </w:t>
      </w:r>
      <w:r w:rsidRPr="007B40A8">
        <w:rPr>
          <w:i/>
          <w:iCs/>
          <w:noProof/>
          <w:lang w:val="en-US"/>
        </w:rPr>
        <w:t>36</w:t>
      </w:r>
      <w:r w:rsidRPr="007B40A8">
        <w:rPr>
          <w:noProof/>
          <w:lang w:val="en-US"/>
        </w:rPr>
        <w:t>(11), 1–13. https://doi.org/Vol. 36, Issue 11, Sep 2010</w:t>
      </w:r>
    </w:p>
    <w:p w:rsidR="00692763" w:rsidRPr="007B40A8" w:rsidRDefault="00692763" w:rsidP="00692763">
      <w:pPr>
        <w:widowControl w:val="0"/>
        <w:ind w:left="480" w:hanging="480"/>
        <w:rPr>
          <w:noProof/>
          <w:lang w:val="en-US"/>
        </w:rPr>
      </w:pPr>
      <w:r w:rsidRPr="007B40A8">
        <w:rPr>
          <w:noProof/>
          <w:lang w:val="en-US"/>
        </w:rPr>
        <w:t xml:space="preserve">Kwakkel, J. H. (2017). The Exploratory Modeling Workbench: An open source toolkit for exploratory modeling, scenario discovery, and (multi-objective) robust decision making. </w:t>
      </w:r>
      <w:r w:rsidRPr="007B40A8">
        <w:rPr>
          <w:i/>
          <w:iCs/>
          <w:noProof/>
          <w:lang w:val="en-US"/>
        </w:rPr>
        <w:t>Environmental Modelling and Software</w:t>
      </w:r>
      <w:r w:rsidRPr="007B40A8">
        <w:rPr>
          <w:noProof/>
          <w:lang w:val="en-US"/>
        </w:rPr>
        <w:t xml:space="preserve">, </w:t>
      </w:r>
      <w:r w:rsidRPr="007B40A8">
        <w:rPr>
          <w:i/>
          <w:iCs/>
          <w:noProof/>
          <w:lang w:val="en-US"/>
        </w:rPr>
        <w:t>96</w:t>
      </w:r>
      <w:r w:rsidRPr="007B40A8">
        <w:rPr>
          <w:noProof/>
          <w:lang w:val="en-US"/>
        </w:rPr>
        <w:t>, 239–250. https://doi.org/10.1016/j.envsoft.2017.06.054</w:t>
      </w:r>
    </w:p>
    <w:p w:rsidR="00692763" w:rsidRPr="007B40A8" w:rsidRDefault="00692763" w:rsidP="00692763">
      <w:pPr>
        <w:widowControl w:val="0"/>
        <w:ind w:left="480" w:hanging="480"/>
        <w:rPr>
          <w:noProof/>
          <w:lang w:val="en-US"/>
        </w:rPr>
      </w:pPr>
      <w:r w:rsidRPr="007B40A8">
        <w:rPr>
          <w:noProof/>
          <w:lang w:val="en-US"/>
        </w:rPr>
        <w:t xml:space="preserve">Kwakkel, J. H., &amp; Cunningham, S. C. (2016). Improving scenario discovery by bagging random boxes. </w:t>
      </w:r>
      <w:r w:rsidRPr="007B40A8">
        <w:rPr>
          <w:i/>
          <w:iCs/>
          <w:noProof/>
          <w:lang w:val="en-US"/>
        </w:rPr>
        <w:t>Technological Forecasting and Social Change</w:t>
      </w:r>
      <w:r w:rsidRPr="007B40A8">
        <w:rPr>
          <w:noProof/>
          <w:lang w:val="en-US"/>
        </w:rPr>
        <w:t xml:space="preserve">, </w:t>
      </w:r>
      <w:r w:rsidRPr="007B40A8">
        <w:rPr>
          <w:i/>
          <w:iCs/>
          <w:noProof/>
          <w:lang w:val="en-US"/>
        </w:rPr>
        <w:t>111</w:t>
      </w:r>
      <w:r w:rsidRPr="007B40A8">
        <w:rPr>
          <w:noProof/>
          <w:lang w:val="en-US"/>
        </w:rPr>
        <w:t>, 124–134. https://doi.org/10.1016/j.techfore.2016.06.014</w:t>
      </w:r>
    </w:p>
    <w:p w:rsidR="00692763" w:rsidRPr="007B40A8" w:rsidRDefault="00692763" w:rsidP="00692763">
      <w:pPr>
        <w:widowControl w:val="0"/>
        <w:ind w:left="480" w:hanging="480"/>
        <w:rPr>
          <w:noProof/>
          <w:lang w:val="en-US"/>
        </w:rPr>
      </w:pPr>
      <w:r w:rsidRPr="007B40A8">
        <w:rPr>
          <w:noProof/>
          <w:lang w:val="en-US"/>
        </w:rPr>
        <w:t xml:space="preserve">Kwakkel, J., Walker, W., &amp; Haasnoot, M. (2016). Coping with the Wickedness of Public Policy Problems: Approaches for Decision Making under Deep Uncertainty. </w:t>
      </w:r>
      <w:r w:rsidRPr="007B40A8">
        <w:rPr>
          <w:i/>
          <w:iCs/>
          <w:noProof/>
          <w:lang w:val="en-US"/>
        </w:rPr>
        <w:t>Journal of Water Resources Planning and Management</w:t>
      </w:r>
      <w:r w:rsidRPr="007B40A8">
        <w:rPr>
          <w:noProof/>
          <w:lang w:val="en-US"/>
        </w:rPr>
        <w:t xml:space="preserve">, </w:t>
      </w:r>
      <w:r w:rsidRPr="007B40A8">
        <w:rPr>
          <w:i/>
          <w:iCs/>
          <w:noProof/>
          <w:lang w:val="en-US"/>
        </w:rPr>
        <w:t>142</w:t>
      </w:r>
      <w:r w:rsidRPr="007B40A8">
        <w:rPr>
          <w:noProof/>
          <w:lang w:val="en-US"/>
        </w:rPr>
        <w:t>(3), 1816001. https://doi.org/10.1061/(ASCE)WR.1943-5452.0000626</w:t>
      </w:r>
    </w:p>
    <w:p w:rsidR="00692763" w:rsidRPr="007B40A8" w:rsidRDefault="00692763" w:rsidP="00692763">
      <w:pPr>
        <w:widowControl w:val="0"/>
        <w:ind w:left="480" w:hanging="480"/>
        <w:rPr>
          <w:noProof/>
          <w:lang w:val="en-US"/>
        </w:rPr>
      </w:pPr>
      <w:r w:rsidRPr="007B40A8">
        <w:rPr>
          <w:noProof/>
          <w:lang w:val="en-US"/>
        </w:rPr>
        <w:lastRenderedPageBreak/>
        <w:t xml:space="preserve">Lempert, R. J., Groves, D. G., Popper, S. W., &amp; Bankes, S. C. (2006). A General, Analytic Method for Generating Robust Strategies and Narrative Scenarios. </w:t>
      </w:r>
      <w:r w:rsidRPr="007B40A8">
        <w:rPr>
          <w:i/>
          <w:iCs/>
          <w:noProof/>
          <w:lang w:val="en-US"/>
        </w:rPr>
        <w:t>Management Science</w:t>
      </w:r>
      <w:r w:rsidRPr="007B40A8">
        <w:rPr>
          <w:noProof/>
          <w:lang w:val="en-US"/>
        </w:rPr>
        <w:t xml:space="preserve">, </w:t>
      </w:r>
      <w:r w:rsidRPr="007B40A8">
        <w:rPr>
          <w:i/>
          <w:iCs/>
          <w:noProof/>
          <w:lang w:val="en-US"/>
        </w:rPr>
        <w:t>52</w:t>
      </w:r>
      <w:r w:rsidRPr="007B40A8">
        <w:rPr>
          <w:noProof/>
          <w:lang w:val="en-US"/>
        </w:rPr>
        <w:t>(4), 514–528. https://doi.org/10.1287/mnsc.1050.0472</w:t>
      </w:r>
    </w:p>
    <w:p w:rsidR="00692763" w:rsidRPr="007B40A8" w:rsidRDefault="00692763" w:rsidP="00692763">
      <w:pPr>
        <w:widowControl w:val="0"/>
        <w:ind w:left="480" w:hanging="480"/>
        <w:rPr>
          <w:noProof/>
          <w:lang w:val="en-US"/>
        </w:rPr>
      </w:pPr>
      <w:r w:rsidRPr="007B40A8">
        <w:rPr>
          <w:noProof/>
          <w:lang w:val="en-US"/>
        </w:rPr>
        <w:t xml:space="preserve">Lempert, R. J., Popper, S. W., &amp; Bankes, S. C. (2003). </w:t>
      </w:r>
      <w:r w:rsidRPr="007B40A8">
        <w:rPr>
          <w:i/>
          <w:iCs/>
          <w:noProof/>
          <w:lang w:val="en-US"/>
        </w:rPr>
        <w:t>Shaping the Next One Hundred Years: New Methods for Quantitative, Long-Term Policy Analysis</w:t>
      </w:r>
      <w:r w:rsidRPr="007B40A8">
        <w:rPr>
          <w:noProof/>
          <w:lang w:val="en-US"/>
        </w:rPr>
        <w:t>. https://doi.org/10.1016/j.techfore.2003.09.006</w:t>
      </w:r>
    </w:p>
    <w:p w:rsidR="00692763" w:rsidRPr="007B40A8" w:rsidRDefault="00692763" w:rsidP="00692763">
      <w:pPr>
        <w:widowControl w:val="0"/>
        <w:ind w:left="480" w:hanging="480"/>
        <w:rPr>
          <w:noProof/>
          <w:lang w:val="en-US"/>
        </w:rPr>
      </w:pPr>
      <w:r w:rsidRPr="007B40A8">
        <w:rPr>
          <w:noProof/>
          <w:lang w:val="en-US"/>
        </w:rPr>
        <w:t xml:space="preserve">Mahajan, V., &amp; Muller, E. (1996). Timing, diffusion, and substitution of successive generations of technological innovations: The IBM mainframe case. </w:t>
      </w:r>
      <w:r w:rsidRPr="007B40A8">
        <w:rPr>
          <w:i/>
          <w:iCs/>
          <w:noProof/>
          <w:lang w:val="en-US"/>
        </w:rPr>
        <w:t>Technological Forecasting and Social Change</w:t>
      </w:r>
      <w:r w:rsidRPr="007B40A8">
        <w:rPr>
          <w:noProof/>
          <w:lang w:val="en-US"/>
        </w:rPr>
        <w:t xml:space="preserve">, </w:t>
      </w:r>
      <w:r w:rsidRPr="007B40A8">
        <w:rPr>
          <w:i/>
          <w:iCs/>
          <w:noProof/>
          <w:lang w:val="en-US"/>
        </w:rPr>
        <w:t>51</w:t>
      </w:r>
      <w:r w:rsidRPr="007B40A8">
        <w:rPr>
          <w:noProof/>
          <w:lang w:val="en-US"/>
        </w:rPr>
        <w:t>(2), 109–132. https://doi.org/10.1016/0040-1625(95)00225-1</w:t>
      </w:r>
    </w:p>
    <w:p w:rsidR="00692763" w:rsidRPr="007B40A8" w:rsidRDefault="00692763" w:rsidP="00692763">
      <w:pPr>
        <w:widowControl w:val="0"/>
        <w:ind w:left="480" w:hanging="480"/>
        <w:rPr>
          <w:noProof/>
          <w:lang w:val="en-US"/>
        </w:rPr>
      </w:pPr>
      <w:r w:rsidRPr="007B40A8">
        <w:rPr>
          <w:noProof/>
          <w:lang w:val="en-US"/>
        </w:rPr>
        <w:t xml:space="preserve">Maier, F. H. (1998). New product diffusion models in innovation management—a system dynamics perspective. </w:t>
      </w:r>
      <w:r w:rsidRPr="007B40A8">
        <w:rPr>
          <w:i/>
          <w:iCs/>
          <w:noProof/>
          <w:lang w:val="en-US"/>
        </w:rPr>
        <w:t>System Dynamics Review (Wiley)</w:t>
      </w:r>
      <w:r w:rsidRPr="007B40A8">
        <w:rPr>
          <w:noProof/>
          <w:lang w:val="en-US"/>
        </w:rPr>
        <w:t xml:space="preserve">, </w:t>
      </w:r>
      <w:r w:rsidRPr="007B40A8">
        <w:rPr>
          <w:i/>
          <w:iCs/>
          <w:noProof/>
          <w:lang w:val="en-US"/>
        </w:rPr>
        <w:t>14</w:t>
      </w:r>
      <w:r w:rsidRPr="007B40A8">
        <w:rPr>
          <w:noProof/>
          <w:lang w:val="en-US"/>
        </w:rPr>
        <w:t>(4), 285–308. Retrieved from https://search.ebscohost.com/login.aspx?direct=true&amp;db=bth&amp;AN=17073696&amp;site=ehost-live</w:t>
      </w:r>
    </w:p>
    <w:p w:rsidR="00692763" w:rsidRPr="007B40A8" w:rsidRDefault="00692763" w:rsidP="00692763">
      <w:pPr>
        <w:widowControl w:val="0"/>
        <w:ind w:left="480" w:hanging="480"/>
        <w:rPr>
          <w:noProof/>
          <w:lang w:val="en-US"/>
        </w:rPr>
      </w:pPr>
      <w:r w:rsidRPr="007B40A8">
        <w:rPr>
          <w:noProof/>
          <w:lang w:val="en-US"/>
        </w:rPr>
        <w:t xml:space="preserve">McKinsey Global Institute. (2013). Disruptive technologies: Advances that will transform life, business, and the global economy. </w:t>
      </w:r>
      <w:r w:rsidRPr="007B40A8">
        <w:rPr>
          <w:i/>
          <w:iCs/>
          <w:noProof/>
          <w:lang w:val="en-US"/>
        </w:rPr>
        <w:t>McKinsey Global Insitute</w:t>
      </w:r>
      <w:r w:rsidRPr="007B40A8">
        <w:rPr>
          <w:noProof/>
          <w:lang w:val="en-US"/>
        </w:rPr>
        <w:t>, (May), 163. https://doi.org/10.1016/J.ENG.2017.05.015</w:t>
      </w:r>
    </w:p>
    <w:p w:rsidR="00692763" w:rsidRPr="007B40A8" w:rsidRDefault="00692763" w:rsidP="00692763">
      <w:pPr>
        <w:widowControl w:val="0"/>
        <w:ind w:left="480" w:hanging="480"/>
        <w:rPr>
          <w:noProof/>
          <w:lang w:val="en-US"/>
        </w:rPr>
      </w:pPr>
      <w:r w:rsidRPr="007B40A8">
        <w:rPr>
          <w:noProof/>
          <w:lang w:val="en-US"/>
        </w:rPr>
        <w:t xml:space="preserve">Mintzberg, H., Raisinghani, D., &amp; Theoret, A. (1976). The Structure of “Unstructured” Decision Processes. </w:t>
      </w:r>
      <w:r w:rsidRPr="007B40A8">
        <w:rPr>
          <w:i/>
          <w:iCs/>
          <w:noProof/>
          <w:lang w:val="en-US"/>
        </w:rPr>
        <w:t>Administrative Science Quarterly</w:t>
      </w:r>
      <w:r w:rsidRPr="007B40A8">
        <w:rPr>
          <w:noProof/>
          <w:lang w:val="en-US"/>
        </w:rPr>
        <w:t xml:space="preserve">, </w:t>
      </w:r>
      <w:r w:rsidRPr="007B40A8">
        <w:rPr>
          <w:i/>
          <w:iCs/>
          <w:noProof/>
          <w:lang w:val="en-US"/>
        </w:rPr>
        <w:t>21</w:t>
      </w:r>
      <w:r w:rsidRPr="007B40A8">
        <w:rPr>
          <w:noProof/>
          <w:lang w:val="en-US"/>
        </w:rPr>
        <w:t>(2), 246. https://doi.org/10.2307/2392045</w:t>
      </w:r>
    </w:p>
    <w:p w:rsidR="00692763" w:rsidRPr="007B40A8" w:rsidRDefault="00692763" w:rsidP="00692763">
      <w:pPr>
        <w:widowControl w:val="0"/>
        <w:ind w:left="480" w:hanging="480"/>
        <w:rPr>
          <w:noProof/>
          <w:lang w:val="en-US"/>
        </w:rPr>
      </w:pPr>
      <w:r w:rsidRPr="007B40A8">
        <w:rPr>
          <w:noProof/>
          <w:lang w:val="en-US"/>
        </w:rPr>
        <w:t xml:space="preserve">Morecroft, J. D. W. (1984). Strategy support models. </w:t>
      </w:r>
      <w:r w:rsidRPr="007B40A8">
        <w:rPr>
          <w:i/>
          <w:iCs/>
          <w:noProof/>
          <w:lang w:val="en-US"/>
        </w:rPr>
        <w:t>Strategic Management Journal</w:t>
      </w:r>
      <w:r w:rsidRPr="007B40A8">
        <w:rPr>
          <w:noProof/>
          <w:lang w:val="en-US"/>
        </w:rPr>
        <w:t xml:space="preserve">, </w:t>
      </w:r>
      <w:r w:rsidRPr="007B40A8">
        <w:rPr>
          <w:i/>
          <w:iCs/>
          <w:noProof/>
          <w:lang w:val="en-US"/>
        </w:rPr>
        <w:t>5</w:t>
      </w:r>
      <w:r w:rsidRPr="007B40A8">
        <w:rPr>
          <w:noProof/>
          <w:lang w:val="en-US"/>
        </w:rPr>
        <w:t>(3), 215–229. https://doi.org/10.1002/smj.4250050303</w:t>
      </w:r>
    </w:p>
    <w:p w:rsidR="00692763" w:rsidRPr="007B40A8" w:rsidRDefault="00692763" w:rsidP="00692763">
      <w:pPr>
        <w:widowControl w:val="0"/>
        <w:ind w:left="480" w:hanging="480"/>
        <w:rPr>
          <w:noProof/>
          <w:lang w:val="en-US"/>
        </w:rPr>
      </w:pPr>
      <w:r w:rsidRPr="007B40A8">
        <w:rPr>
          <w:noProof/>
          <w:lang w:val="en-US"/>
        </w:rPr>
        <w:t xml:space="preserve">Parker, A. M., Srinivasan, S. V., Lempert, R. J., &amp; Berry, S. H. (2015). Evaluating simulation-derived scenarios for effective decision support. </w:t>
      </w:r>
      <w:r w:rsidRPr="007B40A8">
        <w:rPr>
          <w:i/>
          <w:iCs/>
          <w:noProof/>
          <w:lang w:val="en-US"/>
        </w:rPr>
        <w:t>Technological Forecasting and Social Change</w:t>
      </w:r>
      <w:r w:rsidRPr="007B40A8">
        <w:rPr>
          <w:noProof/>
          <w:lang w:val="en-US"/>
        </w:rPr>
        <w:t xml:space="preserve">, </w:t>
      </w:r>
      <w:r w:rsidRPr="007B40A8">
        <w:rPr>
          <w:i/>
          <w:iCs/>
          <w:noProof/>
          <w:lang w:val="en-US"/>
        </w:rPr>
        <w:t>91</w:t>
      </w:r>
      <w:r w:rsidRPr="007B40A8">
        <w:rPr>
          <w:noProof/>
          <w:lang w:val="en-US"/>
        </w:rPr>
        <w:t>, 64–77. https://doi.org/10.1016/j.techfore.2014.01.010</w:t>
      </w:r>
    </w:p>
    <w:p w:rsidR="00692763" w:rsidRPr="007B40A8" w:rsidRDefault="00692763" w:rsidP="00692763">
      <w:pPr>
        <w:widowControl w:val="0"/>
        <w:ind w:left="480" w:hanging="480"/>
        <w:rPr>
          <w:noProof/>
          <w:lang w:val="en-US"/>
        </w:rPr>
      </w:pPr>
      <w:r w:rsidRPr="007B40A8">
        <w:rPr>
          <w:noProof/>
          <w:lang w:val="en-US"/>
        </w:rPr>
        <w:t xml:space="preserve">Phadnis, S., Caplice, C., Sheffi, Y., &amp; Singh, M. (2015). Effect of scenario planning on field experts’ judgment of long-range investment decisions. </w:t>
      </w:r>
      <w:r w:rsidRPr="007B40A8">
        <w:rPr>
          <w:i/>
          <w:iCs/>
          <w:noProof/>
          <w:lang w:val="en-US"/>
        </w:rPr>
        <w:t>Strategic Management Journal</w:t>
      </w:r>
      <w:r w:rsidRPr="007B40A8">
        <w:rPr>
          <w:noProof/>
          <w:lang w:val="en-US"/>
        </w:rPr>
        <w:t xml:space="preserve">, </w:t>
      </w:r>
      <w:r w:rsidRPr="007B40A8">
        <w:rPr>
          <w:i/>
          <w:iCs/>
          <w:noProof/>
          <w:lang w:val="en-US"/>
        </w:rPr>
        <w:t>36</w:t>
      </w:r>
      <w:r w:rsidRPr="007B40A8">
        <w:rPr>
          <w:noProof/>
          <w:lang w:val="en-US"/>
        </w:rPr>
        <w:t>(9), 1401–1411. https://doi.org/10.1002/smj.2293</w:t>
      </w:r>
    </w:p>
    <w:p w:rsidR="00692763" w:rsidRPr="007B40A8" w:rsidRDefault="00692763" w:rsidP="00692763">
      <w:pPr>
        <w:widowControl w:val="0"/>
        <w:ind w:left="480" w:hanging="480"/>
        <w:rPr>
          <w:noProof/>
          <w:lang w:val="en-US"/>
        </w:rPr>
      </w:pPr>
      <w:r w:rsidRPr="007B40A8">
        <w:rPr>
          <w:noProof/>
          <w:lang w:val="en-US"/>
        </w:rPr>
        <w:t xml:space="preserve">Rand. (2013). Making Good Decisions Without Predictions. </w:t>
      </w:r>
      <w:r w:rsidRPr="007B40A8">
        <w:rPr>
          <w:i/>
          <w:iCs/>
          <w:noProof/>
          <w:lang w:val="en-US"/>
        </w:rPr>
        <w:t>RAND Corporation Research Highlights</w:t>
      </w:r>
      <w:r w:rsidRPr="007B40A8">
        <w:rPr>
          <w:noProof/>
          <w:lang w:val="en-US"/>
        </w:rPr>
        <w:t>, 1–7. Retrieved from http://www.rand.org/pubs/research_briefs/RB9701/index1.html?utm_campaign=rand_socialflow_twitter&amp;utm_source=rand_socialflow_twitter&amp;utm_medium=socialflow</w:t>
      </w:r>
    </w:p>
    <w:p w:rsidR="00692763" w:rsidRPr="007B40A8" w:rsidRDefault="00692763" w:rsidP="00692763">
      <w:pPr>
        <w:widowControl w:val="0"/>
        <w:ind w:left="480" w:hanging="480"/>
        <w:rPr>
          <w:noProof/>
          <w:lang w:val="en-US"/>
        </w:rPr>
      </w:pPr>
      <w:r w:rsidRPr="007B40A8">
        <w:rPr>
          <w:noProof/>
          <w:lang w:val="en-US"/>
        </w:rPr>
        <w:t xml:space="preserve">Rosenhead, J., Elton, M., &amp; Gupta, S. K. (1973). Robustness and optimality as criteria for </w:t>
      </w:r>
      <w:r w:rsidRPr="007B40A8">
        <w:rPr>
          <w:noProof/>
          <w:lang w:val="en-US"/>
        </w:rPr>
        <w:lastRenderedPageBreak/>
        <w:t xml:space="preserve">strategic decisions. </w:t>
      </w:r>
      <w:r w:rsidRPr="007B40A8">
        <w:rPr>
          <w:i/>
          <w:iCs/>
          <w:noProof/>
          <w:lang w:val="en-US"/>
        </w:rPr>
        <w:t>Operational Research Quarterly</w:t>
      </w:r>
      <w:r w:rsidRPr="007B40A8">
        <w:rPr>
          <w:noProof/>
          <w:lang w:val="en-US"/>
        </w:rPr>
        <w:t xml:space="preserve">, </w:t>
      </w:r>
      <w:r w:rsidRPr="007B40A8">
        <w:rPr>
          <w:i/>
          <w:iCs/>
          <w:noProof/>
          <w:lang w:val="en-US"/>
        </w:rPr>
        <w:t>23</w:t>
      </w:r>
      <w:r w:rsidRPr="007B40A8">
        <w:rPr>
          <w:noProof/>
          <w:lang w:val="en-US"/>
        </w:rPr>
        <w:t>(4), 413–431. https://doi.org/10.1057/jors.1973.52</w:t>
      </w:r>
    </w:p>
    <w:p w:rsidR="00692763" w:rsidRPr="007B40A8" w:rsidRDefault="00692763" w:rsidP="00692763">
      <w:pPr>
        <w:widowControl w:val="0"/>
        <w:ind w:left="480" w:hanging="480"/>
        <w:rPr>
          <w:noProof/>
          <w:lang w:val="en-US"/>
        </w:rPr>
      </w:pPr>
      <w:r w:rsidRPr="007B40A8">
        <w:rPr>
          <w:noProof/>
          <w:lang w:val="en-US"/>
        </w:rPr>
        <w:t xml:space="preserve">Schoemaker, P. J. (1995). Scenario planning: a tool for strategic thinking. </w:t>
      </w:r>
      <w:r w:rsidRPr="007B40A8">
        <w:rPr>
          <w:i/>
          <w:iCs/>
          <w:noProof/>
          <w:lang w:val="en-US"/>
        </w:rPr>
        <w:t>Sloan Management Review</w:t>
      </w:r>
      <w:r w:rsidRPr="007B40A8">
        <w:rPr>
          <w:noProof/>
          <w:lang w:val="en-US"/>
        </w:rPr>
        <w:t xml:space="preserve">, </w:t>
      </w:r>
      <w:r w:rsidRPr="007B40A8">
        <w:rPr>
          <w:i/>
          <w:iCs/>
          <w:noProof/>
          <w:lang w:val="en-US"/>
        </w:rPr>
        <w:t>36</w:t>
      </w:r>
      <w:r w:rsidRPr="007B40A8">
        <w:rPr>
          <w:noProof/>
          <w:lang w:val="en-US"/>
        </w:rPr>
        <w:t>(2), 25.</w:t>
      </w:r>
    </w:p>
    <w:p w:rsidR="00692763" w:rsidRPr="007B40A8" w:rsidRDefault="00692763" w:rsidP="00692763">
      <w:pPr>
        <w:widowControl w:val="0"/>
        <w:ind w:left="480" w:hanging="480"/>
        <w:rPr>
          <w:noProof/>
          <w:lang w:val="en-US"/>
        </w:rPr>
      </w:pPr>
      <w:r w:rsidRPr="007B40A8">
        <w:rPr>
          <w:noProof/>
          <w:lang w:val="en-US"/>
        </w:rPr>
        <w:t xml:space="preserve">Shimizu, K., &amp; Hitt, M. A. (2004). Strategic flexibility: Organizational preparedness to reverse ineffective strategic decisions. </w:t>
      </w:r>
      <w:r w:rsidRPr="007B40A8">
        <w:rPr>
          <w:i/>
          <w:iCs/>
          <w:noProof/>
          <w:lang w:val="en-US"/>
        </w:rPr>
        <w:t>Academy of Management Executive</w:t>
      </w:r>
      <w:r w:rsidRPr="007B40A8">
        <w:rPr>
          <w:noProof/>
          <w:lang w:val="en-US"/>
        </w:rPr>
        <w:t xml:space="preserve">, </w:t>
      </w:r>
      <w:r w:rsidRPr="007B40A8">
        <w:rPr>
          <w:i/>
          <w:iCs/>
          <w:noProof/>
          <w:lang w:val="en-US"/>
        </w:rPr>
        <w:t>18</w:t>
      </w:r>
      <w:r w:rsidRPr="007B40A8">
        <w:rPr>
          <w:noProof/>
          <w:lang w:val="en-US"/>
        </w:rPr>
        <w:t>(4), 44–59. https://doi.org/Article</w:t>
      </w:r>
    </w:p>
    <w:p w:rsidR="00692763" w:rsidRPr="007B40A8" w:rsidRDefault="00692763" w:rsidP="00692763">
      <w:pPr>
        <w:widowControl w:val="0"/>
        <w:ind w:left="480" w:hanging="480"/>
        <w:rPr>
          <w:noProof/>
          <w:lang w:val="en-US"/>
        </w:rPr>
      </w:pPr>
      <w:r w:rsidRPr="007B40A8">
        <w:rPr>
          <w:noProof/>
          <w:lang w:val="en-US"/>
        </w:rPr>
        <w:t xml:space="preserve">Sterman, J. (2000). </w:t>
      </w:r>
      <w:r w:rsidRPr="007B40A8">
        <w:rPr>
          <w:i/>
          <w:iCs/>
          <w:noProof/>
          <w:lang w:val="en-US"/>
        </w:rPr>
        <w:t>Business Dynamics: Systems Thinking and Modeling for a Complex World</w:t>
      </w:r>
      <w:r w:rsidRPr="007B40A8">
        <w:rPr>
          <w:noProof/>
          <w:lang w:val="en-US"/>
        </w:rPr>
        <w:t>. Irwin/McGraw-Hill. Retrieved from https://books.google.com.br/books?id=CCKCQgAACAAJ</w:t>
      </w:r>
    </w:p>
    <w:p w:rsidR="00692763" w:rsidRPr="007B40A8" w:rsidRDefault="00692763" w:rsidP="00692763">
      <w:pPr>
        <w:widowControl w:val="0"/>
        <w:ind w:left="480" w:hanging="480"/>
        <w:rPr>
          <w:noProof/>
          <w:lang w:val="en-US"/>
        </w:rPr>
      </w:pPr>
      <w:r w:rsidRPr="007B40A8">
        <w:rPr>
          <w:noProof/>
          <w:lang w:val="en-US"/>
        </w:rPr>
        <w:t xml:space="preserve">Sterman, J. D., Henderson, R., Beinhocker, E. D., &amp; Newman, L. I. (2007). Getting Big Too Fast: Strategic Dynamics with Increasing Returns and Bounded Rationality. </w:t>
      </w:r>
      <w:r w:rsidRPr="007B40A8">
        <w:rPr>
          <w:i/>
          <w:iCs/>
          <w:noProof/>
          <w:lang w:val="en-US"/>
        </w:rPr>
        <w:t>Management Science</w:t>
      </w:r>
      <w:r w:rsidRPr="007B40A8">
        <w:rPr>
          <w:noProof/>
          <w:lang w:val="en-US"/>
        </w:rPr>
        <w:t xml:space="preserve">, </w:t>
      </w:r>
      <w:r w:rsidRPr="007B40A8">
        <w:rPr>
          <w:i/>
          <w:iCs/>
          <w:noProof/>
          <w:lang w:val="en-US"/>
        </w:rPr>
        <w:t>53</w:t>
      </w:r>
      <w:r w:rsidRPr="007B40A8">
        <w:rPr>
          <w:noProof/>
          <w:lang w:val="en-US"/>
        </w:rPr>
        <w:t>(4), 683–696. https://doi.org/10.1287/mnsc.1060.0673</w:t>
      </w:r>
    </w:p>
    <w:p w:rsidR="00692763" w:rsidRPr="007B40A8" w:rsidRDefault="00692763" w:rsidP="00692763">
      <w:pPr>
        <w:widowControl w:val="0"/>
        <w:ind w:left="480" w:hanging="480"/>
        <w:rPr>
          <w:noProof/>
          <w:lang w:val="en-US"/>
        </w:rPr>
      </w:pPr>
      <w:r w:rsidRPr="007B40A8">
        <w:rPr>
          <w:noProof/>
          <w:lang w:val="en-US"/>
        </w:rPr>
        <w:t xml:space="preserve">Wack, P. (1985). Scenarios: Uncharted Waters Ahead. </w:t>
      </w:r>
      <w:r w:rsidRPr="007B40A8">
        <w:rPr>
          <w:i/>
          <w:iCs/>
          <w:noProof/>
          <w:lang w:val="en-US"/>
        </w:rPr>
        <w:t>Harvard Business Review</w:t>
      </w:r>
      <w:r w:rsidRPr="007B40A8">
        <w:rPr>
          <w:noProof/>
          <w:lang w:val="en-US"/>
        </w:rPr>
        <w:t>, (85516).</w:t>
      </w:r>
    </w:p>
    <w:p w:rsidR="00692763" w:rsidRPr="007B40A8" w:rsidRDefault="00692763" w:rsidP="00692763">
      <w:pPr>
        <w:widowControl w:val="0"/>
        <w:ind w:left="480" w:hanging="480"/>
        <w:rPr>
          <w:noProof/>
          <w:lang w:val="en-US"/>
        </w:rPr>
      </w:pPr>
      <w:r w:rsidRPr="007B40A8">
        <w:rPr>
          <w:noProof/>
          <w:lang w:val="en-US"/>
        </w:rPr>
        <w:t xml:space="preserve">Walker, W. E., Lempert, R. J., &amp; Kwakkel, J. H. (2013). Deep Uncertainty. In S. I. Gass &amp; M. C. Fu (Eds.), </w:t>
      </w:r>
      <w:r w:rsidRPr="007B40A8">
        <w:rPr>
          <w:i/>
          <w:iCs/>
          <w:noProof/>
          <w:lang w:val="en-US"/>
        </w:rPr>
        <w:t>Encyclopedia of Operations Research and Management Science</w:t>
      </w:r>
      <w:r w:rsidRPr="007B40A8">
        <w:rPr>
          <w:noProof/>
          <w:lang w:val="en-US"/>
        </w:rPr>
        <w:t xml:space="preserve"> (pp. 395–402). Boston, MA: Springer US. https://doi.org/10.1007/978-1-4419-1153-7_1140</w:t>
      </w:r>
    </w:p>
    <w:p w:rsidR="00692763" w:rsidRPr="007B40A8" w:rsidRDefault="00692763" w:rsidP="00692763">
      <w:pPr>
        <w:widowControl w:val="0"/>
        <w:ind w:left="480" w:hanging="480"/>
        <w:rPr>
          <w:noProof/>
          <w:lang w:val="en-US"/>
        </w:rPr>
      </w:pPr>
      <w:r w:rsidRPr="007B40A8">
        <w:rPr>
          <w:noProof/>
          <w:lang w:val="en-US"/>
        </w:rPr>
        <w:t>Wholers, T. (2016). Popularity of FDM. Retrieved December 10, 2017, from https://wohlersassociates.com/blog/2016/01/popularity-of-fdm/</w:t>
      </w:r>
    </w:p>
    <w:p w:rsidR="00692763" w:rsidRPr="007B40A8" w:rsidRDefault="00692763" w:rsidP="00692763">
      <w:pPr>
        <w:widowControl w:val="0"/>
        <w:ind w:left="480" w:hanging="480"/>
        <w:rPr>
          <w:noProof/>
          <w:lang w:val="en-US"/>
        </w:rPr>
      </w:pPr>
      <w:r w:rsidRPr="007B40A8">
        <w:rPr>
          <w:noProof/>
          <w:lang w:val="en-US"/>
        </w:rPr>
        <w:t xml:space="preserve">Wilson, D. (2015). Strategic Decision Making. In </w:t>
      </w:r>
      <w:r w:rsidRPr="007B40A8">
        <w:rPr>
          <w:i/>
          <w:iCs/>
          <w:noProof/>
          <w:lang w:val="en-US"/>
        </w:rPr>
        <w:t>Wiley Encyclopedia of Management</w:t>
      </w:r>
      <w:r w:rsidRPr="007B40A8">
        <w:rPr>
          <w:noProof/>
          <w:lang w:val="en-US"/>
        </w:rPr>
        <w:t xml:space="preserve"> (p. 12:1-4). https://doi.org/10.1108/09596111111129977</w:t>
      </w:r>
    </w:p>
    <w:p w:rsidR="00692763" w:rsidRPr="007B40A8" w:rsidRDefault="00692763" w:rsidP="00692763">
      <w:pPr>
        <w:widowControl w:val="0"/>
        <w:ind w:left="480" w:hanging="480"/>
        <w:rPr>
          <w:noProof/>
          <w:lang w:val="en-US"/>
        </w:rPr>
      </w:pPr>
      <w:r w:rsidRPr="007B40A8">
        <w:rPr>
          <w:noProof/>
          <w:lang w:val="en-US"/>
        </w:rPr>
        <w:t xml:space="preserve">Wiltbank, R., Dew, N., Read, S., &amp; Sarasvathy, S. D. (2006). What to do next? The case for non-predictive strategy. </w:t>
      </w:r>
      <w:r w:rsidRPr="007B40A8">
        <w:rPr>
          <w:i/>
          <w:iCs/>
          <w:noProof/>
          <w:lang w:val="en-US"/>
        </w:rPr>
        <w:t>Strategic Management Journal</w:t>
      </w:r>
      <w:r w:rsidRPr="007B40A8">
        <w:rPr>
          <w:noProof/>
          <w:lang w:val="en-US"/>
        </w:rPr>
        <w:t xml:space="preserve">, </w:t>
      </w:r>
      <w:r w:rsidRPr="007B40A8">
        <w:rPr>
          <w:i/>
          <w:iCs/>
          <w:noProof/>
          <w:lang w:val="en-US"/>
        </w:rPr>
        <w:t>27</w:t>
      </w:r>
      <w:r w:rsidRPr="007B40A8">
        <w:rPr>
          <w:noProof/>
          <w:lang w:val="en-US"/>
        </w:rPr>
        <w:t>(10), 981–998. https://doi.org/10.1002/smj.555</w:t>
      </w:r>
    </w:p>
    <w:p w:rsidR="00692763" w:rsidRPr="007B40A8" w:rsidRDefault="00692763" w:rsidP="00692763">
      <w:pPr>
        <w:widowControl w:val="0"/>
        <w:ind w:left="480" w:hanging="480"/>
        <w:rPr>
          <w:noProof/>
          <w:lang w:val="en-US"/>
        </w:rPr>
      </w:pPr>
      <w:r w:rsidRPr="007B40A8">
        <w:rPr>
          <w:noProof/>
          <w:lang w:val="en-US"/>
        </w:rPr>
        <w:t xml:space="preserve">Wohlers, T., &amp; Gornet, T. (2016). History of additive manufacturing. In </w:t>
      </w:r>
      <w:r w:rsidRPr="007B40A8">
        <w:rPr>
          <w:i/>
          <w:iCs/>
          <w:noProof/>
          <w:lang w:val="en-US"/>
        </w:rPr>
        <w:t>Wohlers Report 2016</w:t>
      </w:r>
      <w:r w:rsidRPr="007B40A8">
        <w:rPr>
          <w:noProof/>
          <w:lang w:val="en-US"/>
        </w:rPr>
        <w:t xml:space="preserve"> (pp. 1–23). Retrieved from http://www.wohlersassociates.com/history2016.pdf</w:t>
      </w:r>
    </w:p>
    <w:p w:rsidR="00692763" w:rsidRPr="007B40A8" w:rsidRDefault="00692763" w:rsidP="00692763">
      <w:pPr>
        <w:widowControl w:val="0"/>
        <w:ind w:left="480" w:hanging="480"/>
        <w:rPr>
          <w:noProof/>
          <w:lang w:val="en-US"/>
        </w:rPr>
      </w:pPr>
      <w:r w:rsidRPr="007B40A8">
        <w:rPr>
          <w:noProof/>
          <w:lang w:val="en-US"/>
        </w:rPr>
        <w:t>Wohlers Associates. (2016). Wohlers Report 2016 Published: Additive Manufacturing Industry Surpassed 5.1 Billion. https://doi.org/10.1016/S0733-8619(03)00096-3</w:t>
      </w:r>
    </w:p>
    <w:p w:rsidR="00E77BA7" w:rsidRPr="006715CC" w:rsidRDefault="00865BA8" w:rsidP="00067B0C">
      <w:pPr>
        <w:ind w:firstLine="0"/>
        <w:rPr>
          <w:lang w:val="en-US"/>
        </w:rPr>
      </w:pPr>
      <w:r>
        <w:rPr>
          <w:lang w:val="en-US"/>
        </w:rPr>
        <w:fldChar w:fldCharType="end"/>
      </w:r>
    </w:p>
    <w:p w:rsidR="00382E6E" w:rsidRPr="006715CC" w:rsidRDefault="00382E6E" w:rsidP="00382E6E">
      <w:pPr>
        <w:ind w:firstLine="0"/>
        <w:rPr>
          <w:lang w:val="en-US"/>
        </w:rPr>
        <w:sectPr w:rsidR="00382E6E" w:rsidRPr="006715CC" w:rsidSect="00544F20">
          <w:headerReference w:type="default" r:id="rId13"/>
          <w:footerReference w:type="default" r:id="rId14"/>
          <w:pgSz w:w="11906" w:h="16838" w:code="9"/>
          <w:pgMar w:top="1418" w:right="1418" w:bottom="1418" w:left="1418" w:header="1134" w:footer="709" w:gutter="0"/>
          <w:cols w:space="720"/>
          <w:titlePg/>
          <w:docGrid w:linePitch="381"/>
        </w:sectPr>
      </w:pPr>
    </w:p>
    <w:p w:rsidR="00A422A9" w:rsidRPr="002B57EF" w:rsidRDefault="00A422A9" w:rsidP="00A422A9">
      <w:pPr>
        <w:pStyle w:val="Ttulo1"/>
        <w:numPr>
          <w:ilvl w:val="0"/>
          <w:numId w:val="0"/>
        </w:numPr>
        <w:jc w:val="center"/>
      </w:pPr>
      <w:r>
        <w:lastRenderedPageBreak/>
        <w:t xml:space="preserve">APÊNDICE </w:t>
      </w:r>
      <w:r w:rsidR="00BA677D">
        <w:t>I</w:t>
      </w:r>
      <w:r>
        <w:t xml:space="preserve"> </w:t>
      </w:r>
      <w:r w:rsidR="00BA677D">
        <w:t>–</w:t>
      </w:r>
      <w:r>
        <w:t xml:space="preserve"> </w:t>
      </w:r>
      <w:r w:rsidR="00BA677D">
        <w:t>Resultados da análise de robustez</w:t>
      </w:r>
    </w:p>
    <w:p w:rsidR="00BA677D" w:rsidRDefault="00BA677D" w:rsidP="00BA677D">
      <w:pPr>
        <w:ind w:firstLine="0"/>
        <w:jc w:val="center"/>
      </w:pPr>
      <w:bookmarkStart w:id="22" w:name="_Ref503689769"/>
      <w:bookmarkStart w:id="23" w:name="_Toc505157917"/>
      <w:r>
        <w:t xml:space="preserve">Tabela </w:t>
      </w:r>
      <w:fldSimple w:instr=" SEQ Tabela \* ARABIC ">
        <w:r w:rsidR="00A65D24">
          <w:rPr>
            <w:noProof/>
          </w:rPr>
          <w:t>1</w:t>
        </w:r>
      </w:fldSimple>
      <w:bookmarkEnd w:id="22"/>
      <w:r>
        <w:t xml:space="preserve"> – Análise de Robustez das 54 Estratégias Testadas em 200 cenários</w:t>
      </w:r>
      <w:bookmarkEnd w:id="23"/>
    </w:p>
    <w:tbl>
      <w:tblPr>
        <w:tblStyle w:val="EstiloTabelaDissertaoPedro"/>
        <w:tblW w:w="8440" w:type="dxa"/>
        <w:jc w:val="center"/>
        <w:tblBorders>
          <w:top w:val="single" w:sz="4" w:space="0" w:color="auto"/>
          <w:bottom w:val="single" w:sz="4" w:space="0" w:color="auto"/>
        </w:tblBorders>
        <w:tblLook w:val="04A0" w:firstRow="1" w:lastRow="0" w:firstColumn="1" w:lastColumn="0" w:noHBand="0" w:noVBand="1"/>
      </w:tblPr>
      <w:tblGrid>
        <w:gridCol w:w="416"/>
        <w:gridCol w:w="1120"/>
        <w:gridCol w:w="1120"/>
        <w:gridCol w:w="1120"/>
        <w:gridCol w:w="1120"/>
        <w:gridCol w:w="1120"/>
        <w:gridCol w:w="1340"/>
        <w:gridCol w:w="1200"/>
      </w:tblGrid>
      <w:tr w:rsidR="00BA677D" w:rsidRPr="00866C92" w:rsidTr="00BA677D">
        <w:trPr>
          <w:trHeight w:val="300"/>
          <w:tblHeader/>
          <w:jc w:val="center"/>
        </w:trPr>
        <w:tc>
          <w:tcPr>
            <w:tcW w:w="30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w:t>
            </w:r>
          </w:p>
        </w:tc>
        <w:tc>
          <w:tcPr>
            <w:tcW w:w="112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Estratégia</w:t>
            </w:r>
          </w:p>
        </w:tc>
        <w:tc>
          <w:tcPr>
            <w:tcW w:w="4480" w:type="dxa"/>
            <w:gridSpan w:val="4"/>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Decisões</w:t>
            </w:r>
          </w:p>
        </w:tc>
        <w:tc>
          <w:tcPr>
            <w:tcW w:w="134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 xml:space="preserve">CO </w:t>
            </w:r>
            <w:proofErr w:type="spellStart"/>
            <w:r w:rsidRPr="00866C92">
              <w:rPr>
                <w:rFonts w:cs="Arial"/>
                <w:b/>
                <w:bCs/>
                <w:color w:val="000000"/>
                <w:sz w:val="18"/>
                <w:szCs w:val="18"/>
              </w:rPr>
              <w:t>Perc</w:t>
            </w:r>
            <w:proofErr w:type="spellEnd"/>
            <w:r w:rsidRPr="00866C92">
              <w:rPr>
                <w:rFonts w:cs="Arial"/>
                <w:b/>
                <w:bCs/>
                <w:color w:val="000000"/>
                <w:sz w:val="18"/>
                <w:szCs w:val="18"/>
              </w:rPr>
              <w:t xml:space="preserve"> 75%</w:t>
            </w:r>
          </w:p>
        </w:tc>
        <w:tc>
          <w:tcPr>
            <w:tcW w:w="1200" w:type="dxa"/>
            <w:vMerge w:val="restart"/>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 xml:space="preserve">CO % </w:t>
            </w:r>
            <w:proofErr w:type="spellStart"/>
            <w:r w:rsidRPr="00866C92">
              <w:rPr>
                <w:rFonts w:cs="Arial"/>
                <w:b/>
                <w:bCs/>
                <w:color w:val="000000"/>
                <w:sz w:val="18"/>
                <w:szCs w:val="18"/>
              </w:rPr>
              <w:t>Perc</w:t>
            </w:r>
            <w:proofErr w:type="spellEnd"/>
            <w:r w:rsidRPr="00866C92">
              <w:rPr>
                <w:rFonts w:cs="Arial"/>
                <w:b/>
                <w:bCs/>
                <w:color w:val="000000"/>
                <w:sz w:val="18"/>
                <w:szCs w:val="18"/>
              </w:rPr>
              <w:t xml:space="preserve"> 75%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495"/>
          <w:tblHeader/>
          <w:jc w:val="center"/>
        </w:trPr>
        <w:tc>
          <w:tcPr>
            <w:tcW w:w="30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c>
          <w:tcPr>
            <w:tcW w:w="112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Estr. CAP</w:t>
            </w: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Perc</w:t>
            </w:r>
            <w:proofErr w:type="spellEnd"/>
            <w:r w:rsidRPr="00866C92">
              <w:rPr>
                <w:rFonts w:cs="Arial"/>
                <w:b/>
                <w:bCs/>
                <w:color w:val="000000"/>
                <w:sz w:val="18"/>
                <w:szCs w:val="18"/>
              </w:rPr>
              <w:t>. P&amp;D Ab.</w:t>
            </w: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Mkt</w:t>
            </w:r>
            <w:proofErr w:type="spellEnd"/>
            <w:r w:rsidRPr="00866C92">
              <w:rPr>
                <w:rFonts w:cs="Arial"/>
                <w:b/>
                <w:bCs/>
                <w:color w:val="000000"/>
                <w:sz w:val="18"/>
                <w:szCs w:val="18"/>
              </w:rPr>
              <w:t xml:space="preserve"> Des.</w:t>
            </w:r>
          </w:p>
        </w:tc>
        <w:tc>
          <w:tcPr>
            <w:tcW w:w="1120" w:type="dxa"/>
            <w:tcBorders>
              <w:bottom w:val="single" w:sz="4" w:space="0" w:color="auto"/>
            </w:tcBorders>
            <w:shd w:val="clear" w:color="auto" w:fill="auto"/>
            <w:vAlign w:val="center"/>
            <w:hideMark/>
          </w:tcPr>
          <w:p w:rsidR="00BA677D" w:rsidRPr="00866C92" w:rsidRDefault="00BA677D" w:rsidP="007F5500">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Orc</w:t>
            </w:r>
            <w:proofErr w:type="spellEnd"/>
            <w:r w:rsidRPr="00866C92">
              <w:rPr>
                <w:rFonts w:cs="Arial"/>
                <w:b/>
                <w:bCs/>
                <w:color w:val="000000"/>
                <w:sz w:val="18"/>
                <w:szCs w:val="18"/>
              </w:rPr>
              <w:t>. P&amp;D</w:t>
            </w:r>
          </w:p>
        </w:tc>
        <w:tc>
          <w:tcPr>
            <w:tcW w:w="134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c>
          <w:tcPr>
            <w:tcW w:w="1200" w:type="dxa"/>
            <w:vMerge/>
            <w:tcBorders>
              <w:bottom w:val="single" w:sz="4" w:space="0" w:color="auto"/>
            </w:tcBorders>
            <w:hideMark/>
          </w:tcPr>
          <w:p w:rsidR="00BA677D" w:rsidRPr="00866C92" w:rsidRDefault="00BA677D" w:rsidP="007F5500">
            <w:pPr>
              <w:autoSpaceDE/>
              <w:autoSpaceDN/>
              <w:adjustRightInd/>
              <w:spacing w:line="240" w:lineRule="auto"/>
              <w:ind w:firstLine="0"/>
              <w:jc w:val="left"/>
              <w:rPr>
                <w:rFonts w:cs="Arial"/>
                <w:b/>
                <w:bCs/>
                <w:color w:val="000000"/>
                <w:sz w:val="18"/>
                <w:szCs w:val="18"/>
              </w:rPr>
            </w:pPr>
          </w:p>
        </w:tc>
      </w:tr>
      <w:tr w:rsidR="00BA677D" w:rsidRPr="00866C92" w:rsidTr="00BA677D">
        <w:trPr>
          <w:trHeight w:val="270"/>
          <w:jc w:val="center"/>
        </w:trPr>
        <w:tc>
          <w:tcPr>
            <w:tcW w:w="30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31</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$211.920.013 </w:t>
            </w:r>
          </w:p>
        </w:tc>
        <w:tc>
          <w:tcPr>
            <w:tcW w:w="1200" w:type="dxa"/>
            <w:tcBorders>
              <w:top w:val="single" w:sz="4" w:space="0" w:color="auto"/>
              <w:bottom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32,41%</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19</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$258.564.861 </w:t>
            </w:r>
          </w:p>
        </w:tc>
        <w:tc>
          <w:tcPr>
            <w:tcW w:w="1200" w:type="dxa"/>
            <w:tcBorders>
              <w:top w:val="nil"/>
            </w:tcBorders>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25,41%</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$328.221.015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37,79%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$338.723.235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39,13%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$371.287.014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37,63%</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$378.755.033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47,23%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$394.291.939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51,24%</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$397.669.159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40,21%</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$401.770.486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49,69%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$453.445.431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57,14%</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$460.990.081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50,30%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$502.812.847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54,12%</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$511.690.862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59,25%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$513.421.791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50,03%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$519.665.789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66,20%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$524.158.137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58,07%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$536.340.849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61,70%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$551.000.568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63,37%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$552.772.822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71,57%</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$566.776.799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66,96%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$570.902.365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69,11%</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$573.108.271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64,16%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$595.083.137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65,70%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$598.903.266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69,56%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$599.902.276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64,29%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$607.302.451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68,99%</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$624.113.607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69,58%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$643.572.766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76,67%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$652.652.058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73,28%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$658.564.224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74,13%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$669.113.970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74,19%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$673.690.744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70,44%</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$674.280.252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75,79%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$681.086.120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86,01%</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$693.408.604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75,86%</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$695.682.825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76,97%</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$699.698.611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84,68%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$701.648.013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79,89%</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$723.791.590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85,29%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$754.304.002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83,19%</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$761.918.524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82,30%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$762.670.284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79,22%</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$768.576.893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84,78%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lastRenderedPageBreak/>
              <w:t>44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$777.519.137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85,03%</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45</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$795.049.983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86,22%</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$798.592.893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90,82%</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47</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$805.859.927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93,25%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$806.799.092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91,05%</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49</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$846.136.461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100,00%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$846.287.996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91,04%</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51</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$863.780.237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96,36%</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42</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$877.290.790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96,46%</w:t>
            </w:r>
          </w:p>
        </w:tc>
      </w:tr>
      <w:tr w:rsidR="00BA677D" w:rsidRPr="00866C92" w:rsidTr="00BA677D">
        <w:trPr>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53</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46</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$895.893.334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97,33%</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54</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48</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$947.271.829 </w:t>
            </w:r>
          </w:p>
        </w:tc>
        <w:tc>
          <w:tcPr>
            <w:tcW w:w="1200" w:type="dxa"/>
            <w:noWrap/>
            <w:hideMark/>
          </w:tcPr>
          <w:p w:rsidR="00BA677D" w:rsidRPr="00866C92" w:rsidRDefault="00BA677D" w:rsidP="007F5500">
            <w:pPr>
              <w:autoSpaceDE/>
              <w:autoSpaceDN/>
              <w:adjustRightInd/>
              <w:spacing w:line="240" w:lineRule="auto"/>
              <w:ind w:firstLine="0"/>
              <w:jc w:val="center"/>
              <w:rPr>
                <w:rFonts w:cs="Arial"/>
                <w:color w:val="000000"/>
                <w:sz w:val="20"/>
                <w:szCs w:val="20"/>
              </w:rPr>
            </w:pPr>
            <w:r w:rsidRPr="00866C92">
              <w:rPr>
                <w:rFonts w:cs="Arial"/>
                <w:color w:val="000000"/>
                <w:sz w:val="20"/>
                <w:szCs w:val="20"/>
              </w:rPr>
              <w:t>100,00%</w:t>
            </w:r>
          </w:p>
        </w:tc>
      </w:tr>
    </w:tbl>
    <w:p w:rsidR="00BA677D" w:rsidRPr="00BA677D" w:rsidRDefault="00BA677D" w:rsidP="00BA677D">
      <w:pPr>
        <w:pStyle w:val="Corpodetexto"/>
        <w:jc w:val="center"/>
        <w:rPr>
          <w:sz w:val="24"/>
        </w:rPr>
      </w:pPr>
      <w:r w:rsidRPr="00BA677D">
        <w:rPr>
          <w:sz w:val="24"/>
        </w:rPr>
        <w:t>Fonte: Elaborada pelo Autor.</w:t>
      </w:r>
    </w:p>
    <w:p w:rsidR="00BA677D" w:rsidRDefault="00BA677D">
      <w:pPr>
        <w:autoSpaceDE/>
        <w:autoSpaceDN/>
        <w:adjustRightInd/>
        <w:spacing w:line="240" w:lineRule="auto"/>
        <w:ind w:firstLine="0"/>
        <w:jc w:val="left"/>
        <w:rPr>
          <w:b/>
          <w:lang w:eastAsia="en-GB"/>
        </w:rPr>
      </w:pPr>
      <w:r>
        <w:rPr>
          <w:b/>
        </w:rPr>
        <w:br w:type="page"/>
      </w:r>
    </w:p>
    <w:p w:rsidR="00CF685B" w:rsidRDefault="00FB1595" w:rsidP="00CF685B">
      <w:pPr>
        <w:pStyle w:val="Newparagraph"/>
        <w:ind w:firstLine="0"/>
        <w:jc w:val="center"/>
        <w:rPr>
          <w:b/>
          <w:lang w:val="en-US"/>
        </w:rPr>
      </w:pPr>
      <w:r w:rsidRPr="006B66E5">
        <w:rPr>
          <w:b/>
          <w:lang w:val="en-US"/>
        </w:rPr>
        <w:lastRenderedPageBreak/>
        <w:t>Strategic Decision Making in the 3D Printing Industry</w:t>
      </w:r>
    </w:p>
    <w:p w:rsidR="00FB1595" w:rsidRPr="00CF685B" w:rsidRDefault="00FB1595" w:rsidP="00CF685B">
      <w:pPr>
        <w:pStyle w:val="Newparagraph"/>
        <w:ind w:firstLine="0"/>
        <w:jc w:val="center"/>
        <w:rPr>
          <w:b/>
          <w:i/>
          <w:lang w:val="en-US"/>
        </w:rPr>
      </w:pPr>
      <w:r w:rsidRPr="00CF685B">
        <w:rPr>
          <w:b/>
          <w:i/>
          <w:lang w:val="en-US"/>
        </w:rPr>
        <w:t>A Robust Decision Making (RDM) Analysis</w:t>
      </w:r>
    </w:p>
    <w:p w:rsidR="00FB1595" w:rsidRPr="006B66E5" w:rsidRDefault="00FB1595" w:rsidP="00FB1595">
      <w:pPr>
        <w:rPr>
          <w:i/>
          <w:lang w:val="en-US"/>
        </w:rPr>
      </w:pPr>
      <w:r w:rsidRPr="006B66E5">
        <w:rPr>
          <w:b/>
          <w:lang w:val="en-US"/>
        </w:rPr>
        <w:t>Abstract:</w:t>
      </w:r>
      <w:r w:rsidRPr="006B66E5">
        <w:rPr>
          <w:lang w:val="en-US"/>
        </w:rPr>
        <w:t xml:space="preserve">  </w:t>
      </w:r>
      <w:r w:rsidRPr="006B66E5">
        <w:rPr>
          <w:i/>
          <w:lang w:val="en-US"/>
        </w:rPr>
        <w:t>Strategic Decision Making under deep uncertainty is a relevant challenge to organizations. In the 3D printing industry</w:t>
      </w:r>
      <w:r w:rsidR="006B66E5" w:rsidRPr="006B66E5">
        <w:rPr>
          <w:i/>
          <w:lang w:val="en-US"/>
        </w:rPr>
        <w:t xml:space="preserve"> uncertainty is highly relevant.</w:t>
      </w:r>
      <w:r w:rsidRPr="006B66E5">
        <w:rPr>
          <w:i/>
          <w:lang w:val="en-US"/>
        </w:rPr>
        <w:t xml:space="preserve"> </w:t>
      </w:r>
      <w:r w:rsidR="006B66E5" w:rsidRPr="006B66E5">
        <w:rPr>
          <w:i/>
          <w:lang w:val="en-US"/>
        </w:rPr>
        <w:t xml:space="preserve">While some experts forecast that this industry will Worth 21 billion dollars by 2020, other estimates point that this market can have </w:t>
      </w:r>
      <w:r w:rsidR="006B66E5">
        <w:rPr>
          <w:i/>
          <w:lang w:val="en-US"/>
        </w:rPr>
        <w:t>an</w:t>
      </w:r>
      <w:r w:rsidR="006B66E5" w:rsidRPr="006B66E5">
        <w:rPr>
          <w:i/>
          <w:lang w:val="en-US"/>
        </w:rPr>
        <w:t xml:space="preserve"> economic impact of 550 billion by 2025</w:t>
      </w:r>
      <w:r w:rsidRPr="006B66E5">
        <w:rPr>
          <w:i/>
          <w:lang w:val="en-US"/>
        </w:rPr>
        <w:t xml:space="preserve">. </w:t>
      </w:r>
      <w:r w:rsidR="006B66E5" w:rsidRPr="006B66E5">
        <w:rPr>
          <w:i/>
          <w:lang w:val="en-US"/>
        </w:rPr>
        <w:t>This paper leverages system dynamics simulation, using the Robust Decision Making (RDM) approach as the analytical framewor</w:t>
      </w:r>
      <w:bookmarkStart w:id="24" w:name="_GoBack"/>
      <w:bookmarkEnd w:id="24"/>
      <w:r w:rsidR="006B66E5" w:rsidRPr="006B66E5">
        <w:rPr>
          <w:i/>
          <w:lang w:val="en-US"/>
        </w:rPr>
        <w:t>k to evaluate 3D printing Systems Manufacturers’ strategic decisions. We test 54 different strategies</w:t>
      </w:r>
      <w:r w:rsidR="00CF685B">
        <w:rPr>
          <w:i/>
          <w:lang w:val="en-US"/>
        </w:rPr>
        <w:t xml:space="preserve"> concerning</w:t>
      </w:r>
      <w:r w:rsidR="006B66E5" w:rsidRPr="006B66E5">
        <w:rPr>
          <w:i/>
          <w:lang w:val="en-US"/>
        </w:rPr>
        <w:t xml:space="preserve"> under 200 different scenarios, highlighting the most robust strategies. Then, we examine the vulnerabilities of a candidate strategy using machine learning algorithms. In our experiments, aggressive strategies dominate their conservative counterparts</w:t>
      </w:r>
      <w:r w:rsidR="006B66E5">
        <w:rPr>
          <w:i/>
          <w:lang w:val="en-US"/>
        </w:rPr>
        <w:t>. Also, our results do not</w:t>
      </w:r>
      <w:r w:rsidR="00CF685B">
        <w:rPr>
          <w:i/>
          <w:lang w:val="en-US"/>
        </w:rPr>
        <w:t xml:space="preserve"> lend</w:t>
      </w:r>
      <w:r w:rsidR="006B66E5">
        <w:rPr>
          <w:i/>
          <w:lang w:val="en-US"/>
        </w:rPr>
        <w:t xml:space="preserve"> support </w:t>
      </w:r>
      <w:r w:rsidR="00CF685B">
        <w:rPr>
          <w:i/>
          <w:lang w:val="en-US"/>
        </w:rPr>
        <w:t xml:space="preserve">to </w:t>
      </w:r>
      <w:r w:rsidR="006B66E5">
        <w:rPr>
          <w:i/>
          <w:lang w:val="en-US"/>
        </w:rPr>
        <w:t xml:space="preserve">Open Source </w:t>
      </w:r>
      <w:r w:rsidR="006B66E5" w:rsidRPr="006B66E5">
        <w:rPr>
          <w:i/>
          <w:lang w:val="en-US"/>
        </w:rPr>
        <w:t>Research and Development strategies. Finally, we discuss managerial implications from our findings</w:t>
      </w:r>
      <w:r w:rsidR="00CF685B">
        <w:rPr>
          <w:i/>
          <w:lang w:val="en-US"/>
        </w:rPr>
        <w:t xml:space="preserve"> to the 3D printing industry, and theoretical contributions to the Strategic Decision-Making literature</w:t>
      </w:r>
      <w:r w:rsidR="006B66E5" w:rsidRPr="006B66E5">
        <w:rPr>
          <w:i/>
          <w:lang w:val="en-US"/>
        </w:rPr>
        <w:t>.</w:t>
      </w:r>
    </w:p>
    <w:p w:rsidR="00FB1595" w:rsidRPr="006B66E5" w:rsidRDefault="006B66E5" w:rsidP="00FB1595">
      <w:pPr>
        <w:rPr>
          <w:lang w:val="en-US"/>
        </w:rPr>
      </w:pPr>
      <w:r w:rsidRPr="006B66E5">
        <w:rPr>
          <w:b/>
          <w:lang w:val="en-US"/>
        </w:rPr>
        <w:t>Keywords</w:t>
      </w:r>
      <w:r w:rsidR="00FB1595" w:rsidRPr="006B66E5">
        <w:rPr>
          <w:b/>
          <w:lang w:val="en-US"/>
        </w:rPr>
        <w:t>:</w:t>
      </w:r>
      <w:r w:rsidR="00FB1595" w:rsidRPr="006B66E5">
        <w:rPr>
          <w:lang w:val="en-US"/>
        </w:rPr>
        <w:t xml:space="preserve"> </w:t>
      </w:r>
      <w:r w:rsidRPr="006B66E5">
        <w:rPr>
          <w:i/>
          <w:lang w:val="en-US"/>
        </w:rPr>
        <w:t>Strategic Decision</w:t>
      </w:r>
      <w:r w:rsidR="00CF685B">
        <w:rPr>
          <w:i/>
          <w:lang w:val="en-US"/>
        </w:rPr>
        <w:t>-</w:t>
      </w:r>
      <w:r w:rsidRPr="006B66E5">
        <w:rPr>
          <w:i/>
          <w:lang w:val="en-US"/>
        </w:rPr>
        <w:t>Making. New Product Diffusion. 3D Printing. Robust Decision Making.</w:t>
      </w:r>
    </w:p>
    <w:sectPr w:rsidR="00FB1595" w:rsidRPr="006B66E5" w:rsidSect="00544F20">
      <w:pgSz w:w="11906" w:h="16838" w:code="9"/>
      <w:pgMar w:top="1418" w:right="1418" w:bottom="1418" w:left="1418" w:header="1134" w:footer="70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099" w:rsidRDefault="00674099" w:rsidP="00205E33">
      <w:r>
        <w:separator/>
      </w:r>
    </w:p>
  </w:endnote>
  <w:endnote w:type="continuationSeparator" w:id="0">
    <w:p w:rsidR="00674099" w:rsidRDefault="00674099" w:rsidP="00205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LABDE+ArialNarrow">
    <w:altName w:val="Arial Narrow"/>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357604"/>
      <w:docPartObj>
        <w:docPartGallery w:val="Page Numbers (Bottom of Page)"/>
        <w:docPartUnique/>
      </w:docPartObj>
    </w:sdtPr>
    <w:sdtContent>
      <w:p w:rsidR="006B66E5" w:rsidRDefault="006B66E5">
        <w:pPr>
          <w:pStyle w:val="Rodap"/>
          <w:jc w:val="right"/>
        </w:pPr>
        <w:r>
          <w:fldChar w:fldCharType="begin"/>
        </w:r>
        <w:r>
          <w:instrText>PAGE   \* MERGEFORMAT</w:instrText>
        </w:r>
        <w:r>
          <w:fldChar w:fldCharType="separate"/>
        </w:r>
        <w:r w:rsidR="00CF685B">
          <w:rPr>
            <w:noProof/>
          </w:rPr>
          <w:t>29</w:t>
        </w:r>
        <w:r>
          <w:fldChar w:fldCharType="end"/>
        </w:r>
      </w:p>
    </w:sdtContent>
  </w:sdt>
  <w:p w:rsidR="006B66E5" w:rsidRDefault="006B66E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099" w:rsidRDefault="00674099" w:rsidP="00205E33">
      <w:r>
        <w:separator/>
      </w:r>
    </w:p>
  </w:footnote>
  <w:footnote w:type="continuationSeparator" w:id="0">
    <w:p w:rsidR="00674099" w:rsidRDefault="00674099" w:rsidP="00205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6E5" w:rsidRDefault="006B66E5" w:rsidP="00205E33">
    <w:pPr>
      <w:pStyle w:val="Cabealho"/>
    </w:pPr>
  </w:p>
  <w:p w:rsidR="006B66E5" w:rsidRDefault="006B66E5" w:rsidP="00205E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6EA4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25658E"/>
    <w:multiLevelType w:val="multilevel"/>
    <w:tmpl w:val="89B0A5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D45938"/>
    <w:lvl w:ilvl="0">
      <w:start w:val="1"/>
      <w:numFmt w:val="decimal"/>
      <w:pStyle w:val="Commarcadores3"/>
      <w:lvlText w:val="%1."/>
      <w:lvlJc w:val="left"/>
      <w:pPr>
        <w:tabs>
          <w:tab w:val="num" w:pos="1492"/>
        </w:tabs>
        <w:ind w:left="1492" w:hanging="360"/>
      </w:pPr>
      <w:rPr>
        <w:rFonts w:cs="Times New Roman"/>
      </w:rPr>
    </w:lvl>
  </w:abstractNum>
  <w:abstractNum w:abstractNumId="3" w15:restartNumberingAfterBreak="0">
    <w:nsid w:val="FFFFFF7D"/>
    <w:multiLevelType w:val="singleLevel"/>
    <w:tmpl w:val="2DB84ABC"/>
    <w:lvl w:ilvl="0">
      <w:start w:val="1"/>
      <w:numFmt w:val="decimal"/>
      <w:pStyle w:val="Commarcadores2"/>
      <w:lvlText w:val="%1."/>
      <w:lvlJc w:val="left"/>
      <w:pPr>
        <w:tabs>
          <w:tab w:val="num" w:pos="1209"/>
        </w:tabs>
        <w:ind w:left="1209" w:hanging="360"/>
      </w:pPr>
      <w:rPr>
        <w:rFonts w:cs="Times New Roman"/>
      </w:rPr>
    </w:lvl>
  </w:abstractNum>
  <w:abstractNum w:abstractNumId="4" w15:restartNumberingAfterBreak="0">
    <w:nsid w:val="FFFFFF7E"/>
    <w:multiLevelType w:val="singleLevel"/>
    <w:tmpl w:val="505AF216"/>
    <w:lvl w:ilvl="0">
      <w:start w:val="1"/>
      <w:numFmt w:val="decimal"/>
      <w:pStyle w:val="Commarcadores"/>
      <w:lvlText w:val="%1."/>
      <w:lvlJc w:val="left"/>
      <w:pPr>
        <w:tabs>
          <w:tab w:val="num" w:pos="926"/>
        </w:tabs>
        <w:ind w:left="926" w:hanging="360"/>
      </w:pPr>
      <w:rPr>
        <w:rFonts w:cs="Times New Roman"/>
      </w:rPr>
    </w:lvl>
  </w:abstractNum>
  <w:abstractNum w:abstractNumId="5" w15:restartNumberingAfterBreak="0">
    <w:nsid w:val="FFFFFF7F"/>
    <w:multiLevelType w:val="singleLevel"/>
    <w:tmpl w:val="54A6D2F2"/>
    <w:lvl w:ilvl="0">
      <w:start w:val="1"/>
      <w:numFmt w:val="decimal"/>
      <w:pStyle w:val="Numerada5"/>
      <w:lvlText w:val="%1."/>
      <w:lvlJc w:val="left"/>
      <w:pPr>
        <w:tabs>
          <w:tab w:val="num" w:pos="643"/>
        </w:tabs>
        <w:ind w:left="643" w:hanging="360"/>
      </w:pPr>
      <w:rPr>
        <w:rFonts w:cs="Times New Roman"/>
      </w:rPr>
    </w:lvl>
  </w:abstractNum>
  <w:abstractNum w:abstractNumId="6" w15:restartNumberingAfterBreak="0">
    <w:nsid w:val="FFFFFF80"/>
    <w:multiLevelType w:val="singleLevel"/>
    <w:tmpl w:val="28EC4BA0"/>
    <w:lvl w:ilvl="0">
      <w:start w:val="1"/>
      <w:numFmt w:val="bullet"/>
      <w:pStyle w:val="Numerada3"/>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D0C1268"/>
    <w:lvl w:ilvl="0">
      <w:start w:val="1"/>
      <w:numFmt w:val="bullet"/>
      <w:pStyle w:val="Numerada2"/>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F287078"/>
    <w:lvl w:ilvl="0">
      <w:start w:val="1"/>
      <w:numFmt w:val="bullet"/>
      <w:pStyle w:val="Numerada"/>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50C0298C"/>
    <w:lvl w:ilvl="0">
      <w:start w:val="1"/>
      <w:numFmt w:val="bullet"/>
      <w:pStyle w:val="Commarcadores5"/>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BCE9D78"/>
    <w:lvl w:ilvl="0">
      <w:start w:val="1"/>
      <w:numFmt w:val="decimal"/>
      <w:pStyle w:val="Numerada4"/>
      <w:lvlText w:val="%1."/>
      <w:lvlJc w:val="left"/>
      <w:pPr>
        <w:tabs>
          <w:tab w:val="num" w:pos="360"/>
        </w:tabs>
        <w:ind w:left="360" w:hanging="360"/>
      </w:pPr>
      <w:rPr>
        <w:rFonts w:cs="Times New Roman"/>
      </w:rPr>
    </w:lvl>
  </w:abstractNum>
  <w:abstractNum w:abstractNumId="11" w15:restartNumberingAfterBreak="0">
    <w:nsid w:val="FFFFFF89"/>
    <w:multiLevelType w:val="singleLevel"/>
    <w:tmpl w:val="8DC41E54"/>
    <w:lvl w:ilvl="0">
      <w:start w:val="1"/>
      <w:numFmt w:val="bullet"/>
      <w:pStyle w:val="Commarcadores4"/>
      <w:lvlText w:val=""/>
      <w:lvlJc w:val="left"/>
      <w:pPr>
        <w:tabs>
          <w:tab w:val="num" w:pos="360"/>
        </w:tabs>
        <w:ind w:left="360" w:hanging="360"/>
      </w:pPr>
      <w:rPr>
        <w:rFonts w:ascii="Symbol" w:hAnsi="Symbol" w:hint="default"/>
      </w:rPr>
    </w:lvl>
  </w:abstractNum>
  <w:abstractNum w:abstractNumId="12" w15:restartNumberingAfterBreak="0">
    <w:nsid w:val="02E37B79"/>
    <w:multiLevelType w:val="hybridMultilevel"/>
    <w:tmpl w:val="466E40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03806F69"/>
    <w:multiLevelType w:val="multilevel"/>
    <w:tmpl w:val="18D857C2"/>
    <w:lvl w:ilvl="0">
      <w:start w:val="1"/>
      <w:numFmt w:val="decimal"/>
      <w:lvlText w:val="%1"/>
      <w:lvlJc w:val="left"/>
      <w:pPr>
        <w:tabs>
          <w:tab w:val="num" w:pos="0"/>
        </w:tabs>
        <w:ind w:left="227" w:hanging="227"/>
      </w:pPr>
      <w:rPr>
        <w:rFonts w:ascii="Times New Roman" w:hAnsi="Times New Roman" w:cs="Times New Roman" w:hint="default"/>
        <w:b/>
        <w:i w:val="0"/>
        <w:sz w:val="32"/>
        <w:szCs w:val="32"/>
      </w:rPr>
    </w:lvl>
    <w:lvl w:ilvl="1">
      <w:start w:val="1"/>
      <w:numFmt w:val="decimal"/>
      <w:lvlText w:val="%1.%2"/>
      <w:lvlJc w:val="left"/>
      <w:pPr>
        <w:tabs>
          <w:tab w:val="num" w:pos="0"/>
        </w:tabs>
        <w:ind w:left="454" w:hanging="454"/>
      </w:pPr>
      <w:rPr>
        <w:rFonts w:ascii="Times New Roman" w:hAnsi="Times New Roman" w:cs="Times New Roman" w:hint="default"/>
        <w:b/>
        <w:i w:val="0"/>
        <w:sz w:val="24"/>
      </w:rPr>
    </w:lvl>
    <w:lvl w:ilvl="2">
      <w:start w:val="1"/>
      <w:numFmt w:val="decimal"/>
      <w:lvlText w:val="%1.%2.%3"/>
      <w:lvlJc w:val="left"/>
      <w:pPr>
        <w:tabs>
          <w:tab w:val="num" w:pos="0"/>
        </w:tabs>
        <w:ind w:left="737" w:hanging="737"/>
      </w:pPr>
      <w:rPr>
        <w:rFonts w:cs="Times New Roman" w:hint="default"/>
      </w:rPr>
    </w:lvl>
    <w:lvl w:ilvl="3">
      <w:start w:val="1"/>
      <w:numFmt w:val="decimal"/>
      <w:lvlText w:val="%1.%2.%3.%4"/>
      <w:lvlJc w:val="left"/>
      <w:pPr>
        <w:tabs>
          <w:tab w:val="num" w:pos="0"/>
        </w:tabs>
        <w:ind w:left="1584"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4" w15:restartNumberingAfterBreak="0">
    <w:nsid w:val="0AF916E3"/>
    <w:multiLevelType w:val="hybridMultilevel"/>
    <w:tmpl w:val="06B8237C"/>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0B0144CE"/>
    <w:multiLevelType w:val="hybridMultilevel"/>
    <w:tmpl w:val="42A89D34"/>
    <w:lvl w:ilvl="0" w:tplc="39608A24">
      <w:start w:val="1"/>
      <w:numFmt w:val="bullet"/>
      <w:pStyle w:val="PargItens"/>
      <w:lvlText w:val="-"/>
      <w:lvlJc w:val="left"/>
      <w:pPr>
        <w:ind w:left="1854" w:hanging="360"/>
      </w:pPr>
      <w:rPr>
        <w:rFonts w:ascii="Times New Roman" w:hAnsi="Times New Roman" w:hint="default"/>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0F155471"/>
    <w:multiLevelType w:val="multilevel"/>
    <w:tmpl w:val="35DE13C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D921822"/>
    <w:multiLevelType w:val="hybridMultilevel"/>
    <w:tmpl w:val="54107E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39E14A0"/>
    <w:multiLevelType w:val="hybridMultilevel"/>
    <w:tmpl w:val="08BA05C2"/>
    <w:lvl w:ilvl="0" w:tplc="6038A9F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269569E1"/>
    <w:multiLevelType w:val="hybridMultilevel"/>
    <w:tmpl w:val="4A7A90A4"/>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2C196822"/>
    <w:multiLevelType w:val="multilevel"/>
    <w:tmpl w:val="342860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2EF815C2"/>
    <w:multiLevelType w:val="hybridMultilevel"/>
    <w:tmpl w:val="C93485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2FAF7E13"/>
    <w:multiLevelType w:val="multilevel"/>
    <w:tmpl w:val="04160023"/>
    <w:styleLink w:val="Artigoseo1"/>
    <w:lvl w:ilvl="0">
      <w:start w:val="1"/>
      <w:numFmt w:val="upperRoman"/>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29424F3"/>
    <w:multiLevelType w:val="hybridMultilevel"/>
    <w:tmpl w:val="87543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34E72AD"/>
    <w:multiLevelType w:val="hybridMultilevel"/>
    <w:tmpl w:val="E954BF2C"/>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3DD533D"/>
    <w:multiLevelType w:val="hybridMultilevel"/>
    <w:tmpl w:val="8AEAC3A2"/>
    <w:lvl w:ilvl="0" w:tplc="9F0E434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33F03641"/>
    <w:multiLevelType w:val="multilevel"/>
    <w:tmpl w:val="B99E7C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343218DD"/>
    <w:multiLevelType w:val="hybridMultilevel"/>
    <w:tmpl w:val="D5CEBF28"/>
    <w:lvl w:ilvl="0" w:tplc="E79E4450">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4957D4B"/>
    <w:multiLevelType w:val="hybridMultilevel"/>
    <w:tmpl w:val="F5124FD0"/>
    <w:lvl w:ilvl="0" w:tplc="DE945100">
      <w:start w:val="1"/>
      <w:numFmt w:val="lowerLetter"/>
      <w:lvlText w:val="%1)"/>
      <w:lvlJc w:val="left"/>
      <w:pPr>
        <w:tabs>
          <w:tab w:val="num" w:pos="1021"/>
        </w:tabs>
        <w:ind w:left="1021" w:hanging="312"/>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3AE35450"/>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0" w15:restartNumberingAfterBreak="0">
    <w:nsid w:val="43A26422"/>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15:restartNumberingAfterBreak="0">
    <w:nsid w:val="4D4137E3"/>
    <w:multiLevelType w:val="multilevel"/>
    <w:tmpl w:val="A6A0F95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2" w15:restartNumberingAfterBreak="0">
    <w:nsid w:val="4D6E36F5"/>
    <w:multiLevelType w:val="hybridMultilevel"/>
    <w:tmpl w:val="D03ACC00"/>
    <w:lvl w:ilvl="0" w:tplc="7A14BACC">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3" w15:restartNumberingAfterBreak="0">
    <w:nsid w:val="527473CA"/>
    <w:multiLevelType w:val="hybridMultilevel"/>
    <w:tmpl w:val="0E402D3A"/>
    <w:lvl w:ilvl="0" w:tplc="28AA75E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52B9520A"/>
    <w:multiLevelType w:val="hybridMultilevel"/>
    <w:tmpl w:val="00E4664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5" w15:restartNumberingAfterBreak="0">
    <w:nsid w:val="6989011A"/>
    <w:multiLevelType w:val="multilevel"/>
    <w:tmpl w:val="9CB2BE6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7D7AC7"/>
    <w:multiLevelType w:val="hybridMultilevel"/>
    <w:tmpl w:val="046E41B6"/>
    <w:lvl w:ilvl="0" w:tplc="187CA6C4">
      <w:start w:val="184"/>
      <w:numFmt w:val="bullet"/>
      <w:pStyle w:val="Item"/>
      <w:lvlText w:val=""/>
      <w:lvlJc w:val="left"/>
      <w:pPr>
        <w:tabs>
          <w:tab w:val="num" w:pos="1786"/>
        </w:tabs>
        <w:ind w:left="1786" w:hanging="360"/>
      </w:pPr>
      <w:rPr>
        <w:rFonts w:ascii="Symbol" w:hAnsi="Symbol" w:hint="default"/>
        <w:color w:val="auto"/>
      </w:rPr>
    </w:lvl>
    <w:lvl w:ilvl="1" w:tplc="04160003" w:tentative="1">
      <w:start w:val="1"/>
      <w:numFmt w:val="bullet"/>
      <w:lvlText w:val="o"/>
      <w:lvlJc w:val="left"/>
      <w:pPr>
        <w:tabs>
          <w:tab w:val="num" w:pos="2146"/>
        </w:tabs>
        <w:ind w:left="2146" w:hanging="360"/>
      </w:pPr>
      <w:rPr>
        <w:rFonts w:ascii="Courier New" w:hAnsi="Courier New" w:hint="default"/>
      </w:rPr>
    </w:lvl>
    <w:lvl w:ilvl="2" w:tplc="04160005" w:tentative="1">
      <w:start w:val="1"/>
      <w:numFmt w:val="bullet"/>
      <w:lvlText w:val=""/>
      <w:lvlJc w:val="left"/>
      <w:pPr>
        <w:tabs>
          <w:tab w:val="num" w:pos="2866"/>
        </w:tabs>
        <w:ind w:left="2866" w:hanging="360"/>
      </w:pPr>
      <w:rPr>
        <w:rFonts w:ascii="Wingdings" w:hAnsi="Wingdings" w:hint="default"/>
      </w:rPr>
    </w:lvl>
    <w:lvl w:ilvl="3" w:tplc="04160001" w:tentative="1">
      <w:start w:val="1"/>
      <w:numFmt w:val="bullet"/>
      <w:lvlText w:val=""/>
      <w:lvlJc w:val="left"/>
      <w:pPr>
        <w:tabs>
          <w:tab w:val="num" w:pos="3586"/>
        </w:tabs>
        <w:ind w:left="3586" w:hanging="360"/>
      </w:pPr>
      <w:rPr>
        <w:rFonts w:ascii="Symbol" w:hAnsi="Symbol" w:hint="default"/>
      </w:rPr>
    </w:lvl>
    <w:lvl w:ilvl="4" w:tplc="04160003" w:tentative="1">
      <w:start w:val="1"/>
      <w:numFmt w:val="bullet"/>
      <w:lvlText w:val="o"/>
      <w:lvlJc w:val="left"/>
      <w:pPr>
        <w:tabs>
          <w:tab w:val="num" w:pos="4306"/>
        </w:tabs>
        <w:ind w:left="4306" w:hanging="360"/>
      </w:pPr>
      <w:rPr>
        <w:rFonts w:ascii="Courier New" w:hAnsi="Courier New" w:hint="default"/>
      </w:rPr>
    </w:lvl>
    <w:lvl w:ilvl="5" w:tplc="04160005" w:tentative="1">
      <w:start w:val="1"/>
      <w:numFmt w:val="bullet"/>
      <w:lvlText w:val=""/>
      <w:lvlJc w:val="left"/>
      <w:pPr>
        <w:tabs>
          <w:tab w:val="num" w:pos="5026"/>
        </w:tabs>
        <w:ind w:left="5026" w:hanging="360"/>
      </w:pPr>
      <w:rPr>
        <w:rFonts w:ascii="Wingdings" w:hAnsi="Wingdings" w:hint="default"/>
      </w:rPr>
    </w:lvl>
    <w:lvl w:ilvl="6" w:tplc="04160001" w:tentative="1">
      <w:start w:val="1"/>
      <w:numFmt w:val="bullet"/>
      <w:lvlText w:val=""/>
      <w:lvlJc w:val="left"/>
      <w:pPr>
        <w:tabs>
          <w:tab w:val="num" w:pos="5746"/>
        </w:tabs>
        <w:ind w:left="5746" w:hanging="360"/>
      </w:pPr>
      <w:rPr>
        <w:rFonts w:ascii="Symbol" w:hAnsi="Symbol" w:hint="default"/>
      </w:rPr>
    </w:lvl>
    <w:lvl w:ilvl="7" w:tplc="04160003" w:tentative="1">
      <w:start w:val="1"/>
      <w:numFmt w:val="bullet"/>
      <w:lvlText w:val="o"/>
      <w:lvlJc w:val="left"/>
      <w:pPr>
        <w:tabs>
          <w:tab w:val="num" w:pos="6466"/>
        </w:tabs>
        <w:ind w:left="6466" w:hanging="360"/>
      </w:pPr>
      <w:rPr>
        <w:rFonts w:ascii="Courier New" w:hAnsi="Courier New" w:hint="default"/>
      </w:rPr>
    </w:lvl>
    <w:lvl w:ilvl="8" w:tplc="04160005" w:tentative="1">
      <w:start w:val="1"/>
      <w:numFmt w:val="bullet"/>
      <w:lvlText w:val=""/>
      <w:lvlJc w:val="left"/>
      <w:pPr>
        <w:tabs>
          <w:tab w:val="num" w:pos="7186"/>
        </w:tabs>
        <w:ind w:left="7186" w:hanging="360"/>
      </w:pPr>
      <w:rPr>
        <w:rFonts w:ascii="Wingdings" w:hAnsi="Wingdings" w:hint="default"/>
      </w:rPr>
    </w:lvl>
  </w:abstractNum>
  <w:abstractNum w:abstractNumId="37" w15:restartNumberingAfterBreak="0">
    <w:nsid w:val="6CF96235"/>
    <w:multiLevelType w:val="hybridMultilevel"/>
    <w:tmpl w:val="92E01E4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8" w15:restartNumberingAfterBreak="0">
    <w:nsid w:val="6F1D776E"/>
    <w:multiLevelType w:val="hybridMultilevel"/>
    <w:tmpl w:val="4CE426B0"/>
    <w:lvl w:ilvl="0" w:tplc="555C306E">
      <w:start w:val="1"/>
      <w:numFmt w:val="lowerLetter"/>
      <w:pStyle w:val="ALNEAS"/>
      <w:lvlText w:val="%1)"/>
      <w:lvlJc w:val="left"/>
      <w:pPr>
        <w:tabs>
          <w:tab w:val="num" w:pos="1021"/>
        </w:tabs>
        <w:ind w:left="1021" w:hanging="312"/>
      </w:pPr>
      <w:rPr>
        <w:rFonts w:ascii="Arial" w:hAnsi="Arial" w:cs="Times New Roman" w:hint="default"/>
        <w:b w:val="0"/>
        <w:i w:val="0"/>
        <w:caps w:val="0"/>
        <w:vanish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0B68563"/>
    <w:multiLevelType w:val="multilevel"/>
    <w:tmpl w:val="9E4C3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0" w15:restartNumberingAfterBreak="0">
    <w:nsid w:val="760C79D7"/>
    <w:multiLevelType w:val="hybridMultilevel"/>
    <w:tmpl w:val="9168BDC0"/>
    <w:lvl w:ilvl="0" w:tplc="B522643A">
      <w:start w:val="1"/>
      <w:numFmt w:val="lowerLetter"/>
      <w:lvlText w:val="%1)"/>
      <w:lvlJc w:val="left"/>
      <w:pPr>
        <w:tabs>
          <w:tab w:val="num" w:pos="1021"/>
        </w:tabs>
        <w:ind w:left="1021" w:hanging="312"/>
      </w:pPr>
      <w:rPr>
        <w:rFonts w:ascii="Arial" w:hAnsi="Arial" w:cs="Times New Roman" w:hint="default"/>
        <w:b w:val="0"/>
        <w:i w:val="0"/>
        <w:sz w:val="24"/>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41" w15:restartNumberingAfterBreak="0">
    <w:nsid w:val="77664C04"/>
    <w:multiLevelType w:val="hybridMultilevel"/>
    <w:tmpl w:val="CE9E12B8"/>
    <w:lvl w:ilvl="0" w:tplc="7AF81974">
      <w:start w:val="1"/>
      <w:numFmt w:val="lowerLetter"/>
      <w:pStyle w:val="ALINEA"/>
      <w:lvlText w:val="%1)"/>
      <w:lvlJc w:val="left"/>
      <w:pPr>
        <w:tabs>
          <w:tab w:val="num" w:pos="3006"/>
        </w:tabs>
        <w:ind w:left="3006" w:hanging="312"/>
      </w:pPr>
      <w:rPr>
        <w:rFonts w:ascii="Arial" w:hAnsi="Arial" w:cs="Arial" w:hint="default"/>
        <w:b w:val="0"/>
        <w:i w:val="0"/>
        <w:sz w:val="24"/>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2" w15:restartNumberingAfterBreak="0">
    <w:nsid w:val="7CC147AA"/>
    <w:multiLevelType w:val="hybridMultilevel"/>
    <w:tmpl w:val="203E688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3"/>
  </w:num>
  <w:num w:numId="3">
    <w:abstractNumId w:val="2"/>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36"/>
  </w:num>
  <w:num w:numId="12">
    <w:abstractNumId w:val="13"/>
  </w:num>
  <w:num w:numId="13">
    <w:abstractNumId w:val="15"/>
  </w:num>
  <w:num w:numId="14">
    <w:abstractNumId w:val="41"/>
  </w:num>
  <w:num w:numId="15">
    <w:abstractNumId w:val="29"/>
  </w:num>
  <w:num w:numId="16">
    <w:abstractNumId w:val="30"/>
  </w:num>
  <w:num w:numId="17">
    <w:abstractNumId w:val="22"/>
  </w:num>
  <w:num w:numId="18">
    <w:abstractNumId w:val="25"/>
  </w:num>
  <w:num w:numId="19">
    <w:abstractNumId w:val="19"/>
  </w:num>
  <w:num w:numId="20">
    <w:abstractNumId w:val="37"/>
  </w:num>
  <w:num w:numId="21">
    <w:abstractNumId w:val="20"/>
  </w:num>
  <w:num w:numId="22">
    <w:abstractNumId w:val="33"/>
  </w:num>
  <w:num w:numId="23">
    <w:abstractNumId w:val="32"/>
  </w:num>
  <w:num w:numId="24">
    <w:abstractNumId w:val="38"/>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35"/>
  </w:num>
  <w:num w:numId="28">
    <w:abstractNumId w:val="27"/>
  </w:num>
  <w:num w:numId="29">
    <w:abstractNumId w:val="38"/>
    <w:lvlOverride w:ilvl="0">
      <w:startOverride w:val="1"/>
    </w:lvlOverride>
  </w:num>
  <w:num w:numId="30">
    <w:abstractNumId w:val="16"/>
  </w:num>
  <w:num w:numId="31">
    <w:abstractNumId w:val="38"/>
    <w:lvlOverride w:ilvl="0">
      <w:startOverride w:val="1"/>
    </w:lvlOverride>
  </w:num>
  <w:num w:numId="32">
    <w:abstractNumId w:val="18"/>
  </w:num>
  <w:num w:numId="33">
    <w:abstractNumId w:val="14"/>
  </w:num>
  <w:num w:numId="34">
    <w:abstractNumId w:val="38"/>
    <w:lvlOverride w:ilvl="0">
      <w:startOverride w:val="1"/>
    </w:lvlOverride>
  </w:num>
  <w:num w:numId="35">
    <w:abstractNumId w:val="24"/>
  </w:num>
  <w:num w:numId="36">
    <w:abstractNumId w:val="34"/>
  </w:num>
  <w:num w:numId="37">
    <w:abstractNumId w:val="26"/>
  </w:num>
  <w:num w:numId="38">
    <w:abstractNumId w:val="0"/>
  </w:num>
  <w:num w:numId="39">
    <w:abstractNumId w:val="39"/>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42"/>
  </w:num>
  <w:num w:numId="42">
    <w:abstractNumId w:val="21"/>
  </w:num>
  <w:num w:numId="43">
    <w:abstractNumId w:val="12"/>
  </w:num>
  <w:num w:numId="44">
    <w:abstractNumId w:val="17"/>
  </w:num>
  <w:num w:numId="45">
    <w:abstractNumId w:val="23"/>
  </w:num>
  <w:num w:numId="46">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gutterAtTop/>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YxsbAwMrM0tzA2NjFQ0lEKTi0uzszPAykwMqgFAHUt6AMtAAAA"/>
  </w:docVars>
  <w:rsids>
    <w:rsidRoot w:val="00444902"/>
    <w:rsid w:val="0000105C"/>
    <w:rsid w:val="0000163A"/>
    <w:rsid w:val="00002270"/>
    <w:rsid w:val="000029A6"/>
    <w:rsid w:val="00002B26"/>
    <w:rsid w:val="00002F58"/>
    <w:rsid w:val="00003004"/>
    <w:rsid w:val="000036E9"/>
    <w:rsid w:val="00003F45"/>
    <w:rsid w:val="000043CF"/>
    <w:rsid w:val="0000483F"/>
    <w:rsid w:val="00004941"/>
    <w:rsid w:val="0000539D"/>
    <w:rsid w:val="0000551C"/>
    <w:rsid w:val="00005598"/>
    <w:rsid w:val="0000565E"/>
    <w:rsid w:val="00005F81"/>
    <w:rsid w:val="00006589"/>
    <w:rsid w:val="000066E7"/>
    <w:rsid w:val="00006AC5"/>
    <w:rsid w:val="00006B92"/>
    <w:rsid w:val="00007055"/>
    <w:rsid w:val="00007CF2"/>
    <w:rsid w:val="00010C89"/>
    <w:rsid w:val="00010EC7"/>
    <w:rsid w:val="00011D72"/>
    <w:rsid w:val="000135A1"/>
    <w:rsid w:val="00013B3A"/>
    <w:rsid w:val="00013DD5"/>
    <w:rsid w:val="00013EB8"/>
    <w:rsid w:val="00013ED7"/>
    <w:rsid w:val="000144A4"/>
    <w:rsid w:val="00014927"/>
    <w:rsid w:val="00014A99"/>
    <w:rsid w:val="00014F1C"/>
    <w:rsid w:val="00015809"/>
    <w:rsid w:val="00015A7B"/>
    <w:rsid w:val="00015B7C"/>
    <w:rsid w:val="00015F6E"/>
    <w:rsid w:val="0001678C"/>
    <w:rsid w:val="00016E99"/>
    <w:rsid w:val="00016F16"/>
    <w:rsid w:val="0001734A"/>
    <w:rsid w:val="000178A4"/>
    <w:rsid w:val="000214BC"/>
    <w:rsid w:val="000214E7"/>
    <w:rsid w:val="00023B4F"/>
    <w:rsid w:val="00024444"/>
    <w:rsid w:val="0002456D"/>
    <w:rsid w:val="0002458D"/>
    <w:rsid w:val="00024C13"/>
    <w:rsid w:val="00024D66"/>
    <w:rsid w:val="00024DAB"/>
    <w:rsid w:val="00025AE9"/>
    <w:rsid w:val="00025D9A"/>
    <w:rsid w:val="000265EC"/>
    <w:rsid w:val="00026850"/>
    <w:rsid w:val="00026CDB"/>
    <w:rsid w:val="00026D81"/>
    <w:rsid w:val="00027A98"/>
    <w:rsid w:val="00030BF5"/>
    <w:rsid w:val="00030D33"/>
    <w:rsid w:val="00031089"/>
    <w:rsid w:val="00031522"/>
    <w:rsid w:val="000321A9"/>
    <w:rsid w:val="00032301"/>
    <w:rsid w:val="00032818"/>
    <w:rsid w:val="00032FF7"/>
    <w:rsid w:val="000330CC"/>
    <w:rsid w:val="000336A7"/>
    <w:rsid w:val="000336B9"/>
    <w:rsid w:val="00033EB2"/>
    <w:rsid w:val="00034350"/>
    <w:rsid w:val="000344F2"/>
    <w:rsid w:val="00034E0F"/>
    <w:rsid w:val="00034F31"/>
    <w:rsid w:val="00035382"/>
    <w:rsid w:val="000354FF"/>
    <w:rsid w:val="00035BBC"/>
    <w:rsid w:val="00035BC6"/>
    <w:rsid w:val="00035E7D"/>
    <w:rsid w:val="00035EF2"/>
    <w:rsid w:val="00035F80"/>
    <w:rsid w:val="000365CE"/>
    <w:rsid w:val="00036612"/>
    <w:rsid w:val="0003696F"/>
    <w:rsid w:val="00036D4B"/>
    <w:rsid w:val="00036DA0"/>
    <w:rsid w:val="00037C9C"/>
    <w:rsid w:val="00041821"/>
    <w:rsid w:val="00042D08"/>
    <w:rsid w:val="00043321"/>
    <w:rsid w:val="00043744"/>
    <w:rsid w:val="00043829"/>
    <w:rsid w:val="00044219"/>
    <w:rsid w:val="00045CDF"/>
    <w:rsid w:val="00046226"/>
    <w:rsid w:val="00046423"/>
    <w:rsid w:val="000464E8"/>
    <w:rsid w:val="00046779"/>
    <w:rsid w:val="00046832"/>
    <w:rsid w:val="00046C42"/>
    <w:rsid w:val="00046F16"/>
    <w:rsid w:val="00047B1D"/>
    <w:rsid w:val="0005071F"/>
    <w:rsid w:val="00050F36"/>
    <w:rsid w:val="00051022"/>
    <w:rsid w:val="000516F4"/>
    <w:rsid w:val="000518EE"/>
    <w:rsid w:val="0005279E"/>
    <w:rsid w:val="00053C10"/>
    <w:rsid w:val="00054807"/>
    <w:rsid w:val="000554E8"/>
    <w:rsid w:val="000559D2"/>
    <w:rsid w:val="00055C04"/>
    <w:rsid w:val="0005622B"/>
    <w:rsid w:val="00056290"/>
    <w:rsid w:val="0005690B"/>
    <w:rsid w:val="00057002"/>
    <w:rsid w:val="00057267"/>
    <w:rsid w:val="000579FA"/>
    <w:rsid w:val="00061690"/>
    <w:rsid w:val="00062DD2"/>
    <w:rsid w:val="000631D8"/>
    <w:rsid w:val="00063450"/>
    <w:rsid w:val="000637F1"/>
    <w:rsid w:val="0006424D"/>
    <w:rsid w:val="0006495F"/>
    <w:rsid w:val="00064D6F"/>
    <w:rsid w:val="000657F3"/>
    <w:rsid w:val="000663A9"/>
    <w:rsid w:val="0006642D"/>
    <w:rsid w:val="00066D73"/>
    <w:rsid w:val="0006764F"/>
    <w:rsid w:val="00067AE7"/>
    <w:rsid w:val="00067B0C"/>
    <w:rsid w:val="000715A8"/>
    <w:rsid w:val="00072207"/>
    <w:rsid w:val="00072C3E"/>
    <w:rsid w:val="000734FC"/>
    <w:rsid w:val="00073BCE"/>
    <w:rsid w:val="000745F8"/>
    <w:rsid w:val="0007468D"/>
    <w:rsid w:val="00074A27"/>
    <w:rsid w:val="000751C1"/>
    <w:rsid w:val="0007539B"/>
    <w:rsid w:val="00075969"/>
    <w:rsid w:val="000759E7"/>
    <w:rsid w:val="00075C6F"/>
    <w:rsid w:val="00075EC9"/>
    <w:rsid w:val="000761C7"/>
    <w:rsid w:val="000761ED"/>
    <w:rsid w:val="0007633A"/>
    <w:rsid w:val="00076438"/>
    <w:rsid w:val="000765FF"/>
    <w:rsid w:val="00077B79"/>
    <w:rsid w:val="00077D96"/>
    <w:rsid w:val="00077FD3"/>
    <w:rsid w:val="00080716"/>
    <w:rsid w:val="00081D32"/>
    <w:rsid w:val="000822AA"/>
    <w:rsid w:val="0008240A"/>
    <w:rsid w:val="00083DF0"/>
    <w:rsid w:val="00084053"/>
    <w:rsid w:val="000844A9"/>
    <w:rsid w:val="000845B2"/>
    <w:rsid w:val="00085522"/>
    <w:rsid w:val="000860DE"/>
    <w:rsid w:val="00086104"/>
    <w:rsid w:val="00086BB6"/>
    <w:rsid w:val="00086E77"/>
    <w:rsid w:val="0008715D"/>
    <w:rsid w:val="00090386"/>
    <w:rsid w:val="0009076D"/>
    <w:rsid w:val="00090A44"/>
    <w:rsid w:val="00091232"/>
    <w:rsid w:val="0009185F"/>
    <w:rsid w:val="000918A7"/>
    <w:rsid w:val="00092321"/>
    <w:rsid w:val="00092802"/>
    <w:rsid w:val="000930DB"/>
    <w:rsid w:val="000933E6"/>
    <w:rsid w:val="0009344C"/>
    <w:rsid w:val="00093734"/>
    <w:rsid w:val="000938D9"/>
    <w:rsid w:val="00093BE0"/>
    <w:rsid w:val="0009414F"/>
    <w:rsid w:val="000943D0"/>
    <w:rsid w:val="00094B5E"/>
    <w:rsid w:val="00095409"/>
    <w:rsid w:val="00095A94"/>
    <w:rsid w:val="0009605E"/>
    <w:rsid w:val="000965FD"/>
    <w:rsid w:val="00096B3C"/>
    <w:rsid w:val="000A0019"/>
    <w:rsid w:val="000A022F"/>
    <w:rsid w:val="000A250B"/>
    <w:rsid w:val="000A29CD"/>
    <w:rsid w:val="000A2B7F"/>
    <w:rsid w:val="000A44AD"/>
    <w:rsid w:val="000A45AD"/>
    <w:rsid w:val="000A46D9"/>
    <w:rsid w:val="000A49D2"/>
    <w:rsid w:val="000A4C49"/>
    <w:rsid w:val="000A5C4B"/>
    <w:rsid w:val="000A5D89"/>
    <w:rsid w:val="000A5F31"/>
    <w:rsid w:val="000A6477"/>
    <w:rsid w:val="000A6725"/>
    <w:rsid w:val="000A6986"/>
    <w:rsid w:val="000A7910"/>
    <w:rsid w:val="000B0127"/>
    <w:rsid w:val="000B0468"/>
    <w:rsid w:val="000B145A"/>
    <w:rsid w:val="000B1807"/>
    <w:rsid w:val="000B18A0"/>
    <w:rsid w:val="000B3284"/>
    <w:rsid w:val="000B3611"/>
    <w:rsid w:val="000B37BF"/>
    <w:rsid w:val="000B3B52"/>
    <w:rsid w:val="000B3F96"/>
    <w:rsid w:val="000B44F9"/>
    <w:rsid w:val="000B49E0"/>
    <w:rsid w:val="000B4C40"/>
    <w:rsid w:val="000B4CDF"/>
    <w:rsid w:val="000B4DF1"/>
    <w:rsid w:val="000B5294"/>
    <w:rsid w:val="000B6043"/>
    <w:rsid w:val="000B64C7"/>
    <w:rsid w:val="000B6987"/>
    <w:rsid w:val="000B6BA6"/>
    <w:rsid w:val="000B72F4"/>
    <w:rsid w:val="000B7340"/>
    <w:rsid w:val="000B75EE"/>
    <w:rsid w:val="000B76AC"/>
    <w:rsid w:val="000B7F1A"/>
    <w:rsid w:val="000C06CA"/>
    <w:rsid w:val="000C0CCB"/>
    <w:rsid w:val="000C1166"/>
    <w:rsid w:val="000C14B4"/>
    <w:rsid w:val="000C2974"/>
    <w:rsid w:val="000C3337"/>
    <w:rsid w:val="000C35CB"/>
    <w:rsid w:val="000C464F"/>
    <w:rsid w:val="000C511E"/>
    <w:rsid w:val="000C52A0"/>
    <w:rsid w:val="000C6865"/>
    <w:rsid w:val="000C6D3F"/>
    <w:rsid w:val="000C7CF4"/>
    <w:rsid w:val="000D0494"/>
    <w:rsid w:val="000D0603"/>
    <w:rsid w:val="000D1F5D"/>
    <w:rsid w:val="000D1FAA"/>
    <w:rsid w:val="000D2927"/>
    <w:rsid w:val="000D2BED"/>
    <w:rsid w:val="000D2CDB"/>
    <w:rsid w:val="000D2D2A"/>
    <w:rsid w:val="000D3682"/>
    <w:rsid w:val="000D3718"/>
    <w:rsid w:val="000D39D5"/>
    <w:rsid w:val="000D4C1E"/>
    <w:rsid w:val="000D57C1"/>
    <w:rsid w:val="000D6024"/>
    <w:rsid w:val="000D7593"/>
    <w:rsid w:val="000E0F23"/>
    <w:rsid w:val="000E162B"/>
    <w:rsid w:val="000E1FEE"/>
    <w:rsid w:val="000E233C"/>
    <w:rsid w:val="000E2BA7"/>
    <w:rsid w:val="000E39C5"/>
    <w:rsid w:val="000E3F6A"/>
    <w:rsid w:val="000E4189"/>
    <w:rsid w:val="000E4327"/>
    <w:rsid w:val="000E44C4"/>
    <w:rsid w:val="000E453C"/>
    <w:rsid w:val="000E45F6"/>
    <w:rsid w:val="000E4C91"/>
    <w:rsid w:val="000E5645"/>
    <w:rsid w:val="000E5B8E"/>
    <w:rsid w:val="000E5DEE"/>
    <w:rsid w:val="000E6107"/>
    <w:rsid w:val="000E64A5"/>
    <w:rsid w:val="000E6697"/>
    <w:rsid w:val="000F0879"/>
    <w:rsid w:val="000F113E"/>
    <w:rsid w:val="000F1330"/>
    <w:rsid w:val="000F1E61"/>
    <w:rsid w:val="000F26C5"/>
    <w:rsid w:val="000F3B3F"/>
    <w:rsid w:val="000F3FB0"/>
    <w:rsid w:val="000F40E6"/>
    <w:rsid w:val="000F4482"/>
    <w:rsid w:val="000F470F"/>
    <w:rsid w:val="000F4B9D"/>
    <w:rsid w:val="000F4E70"/>
    <w:rsid w:val="000F59F6"/>
    <w:rsid w:val="000F6054"/>
    <w:rsid w:val="000F614E"/>
    <w:rsid w:val="000F706D"/>
    <w:rsid w:val="000F70D4"/>
    <w:rsid w:val="000F7B3D"/>
    <w:rsid w:val="00100010"/>
    <w:rsid w:val="001005E0"/>
    <w:rsid w:val="00100780"/>
    <w:rsid w:val="00101631"/>
    <w:rsid w:val="00101BE6"/>
    <w:rsid w:val="00101CD5"/>
    <w:rsid w:val="00101FA3"/>
    <w:rsid w:val="00101FBF"/>
    <w:rsid w:val="00102259"/>
    <w:rsid w:val="00102793"/>
    <w:rsid w:val="00102DF5"/>
    <w:rsid w:val="00103CD3"/>
    <w:rsid w:val="0010459C"/>
    <w:rsid w:val="0010464F"/>
    <w:rsid w:val="00104CE0"/>
    <w:rsid w:val="0010555D"/>
    <w:rsid w:val="00105DE2"/>
    <w:rsid w:val="001066AF"/>
    <w:rsid w:val="00106DFF"/>
    <w:rsid w:val="001077F8"/>
    <w:rsid w:val="00107CBA"/>
    <w:rsid w:val="001102C0"/>
    <w:rsid w:val="0011210E"/>
    <w:rsid w:val="0011262B"/>
    <w:rsid w:val="00113E80"/>
    <w:rsid w:val="00115439"/>
    <w:rsid w:val="00115722"/>
    <w:rsid w:val="00115764"/>
    <w:rsid w:val="00115EAE"/>
    <w:rsid w:val="00116EDA"/>
    <w:rsid w:val="00116F3F"/>
    <w:rsid w:val="001173C5"/>
    <w:rsid w:val="001207D1"/>
    <w:rsid w:val="001210E6"/>
    <w:rsid w:val="00121669"/>
    <w:rsid w:val="00121886"/>
    <w:rsid w:val="00121C79"/>
    <w:rsid w:val="00121FC2"/>
    <w:rsid w:val="00122BAB"/>
    <w:rsid w:val="00124AEE"/>
    <w:rsid w:val="00125328"/>
    <w:rsid w:val="00125E67"/>
    <w:rsid w:val="001264C9"/>
    <w:rsid w:val="00126D1E"/>
    <w:rsid w:val="00126D96"/>
    <w:rsid w:val="00126DF5"/>
    <w:rsid w:val="00127240"/>
    <w:rsid w:val="001274E1"/>
    <w:rsid w:val="00127506"/>
    <w:rsid w:val="001277A3"/>
    <w:rsid w:val="0012797F"/>
    <w:rsid w:val="00127A86"/>
    <w:rsid w:val="00130865"/>
    <w:rsid w:val="00131C22"/>
    <w:rsid w:val="001327F2"/>
    <w:rsid w:val="00132ED9"/>
    <w:rsid w:val="00133E81"/>
    <w:rsid w:val="00134C74"/>
    <w:rsid w:val="00134FE9"/>
    <w:rsid w:val="001351C3"/>
    <w:rsid w:val="001357B5"/>
    <w:rsid w:val="00135D62"/>
    <w:rsid w:val="00136195"/>
    <w:rsid w:val="00136AD9"/>
    <w:rsid w:val="00137278"/>
    <w:rsid w:val="0013749C"/>
    <w:rsid w:val="00137B57"/>
    <w:rsid w:val="00140819"/>
    <w:rsid w:val="00140A1C"/>
    <w:rsid w:val="001422D9"/>
    <w:rsid w:val="001434F8"/>
    <w:rsid w:val="00143DD6"/>
    <w:rsid w:val="00144F66"/>
    <w:rsid w:val="0014513D"/>
    <w:rsid w:val="00145265"/>
    <w:rsid w:val="001453ED"/>
    <w:rsid w:val="00145832"/>
    <w:rsid w:val="0014599D"/>
    <w:rsid w:val="00145AD8"/>
    <w:rsid w:val="001471B4"/>
    <w:rsid w:val="001471E8"/>
    <w:rsid w:val="001501FB"/>
    <w:rsid w:val="001508FB"/>
    <w:rsid w:val="00150F17"/>
    <w:rsid w:val="001517FA"/>
    <w:rsid w:val="00151B8F"/>
    <w:rsid w:val="001523EF"/>
    <w:rsid w:val="00152830"/>
    <w:rsid w:val="0015313E"/>
    <w:rsid w:val="001533D1"/>
    <w:rsid w:val="00153DFE"/>
    <w:rsid w:val="0015453B"/>
    <w:rsid w:val="001546B2"/>
    <w:rsid w:val="00154DA7"/>
    <w:rsid w:val="00155578"/>
    <w:rsid w:val="001556E1"/>
    <w:rsid w:val="00155DBE"/>
    <w:rsid w:val="00156739"/>
    <w:rsid w:val="00156C8A"/>
    <w:rsid w:val="0015767B"/>
    <w:rsid w:val="0015775D"/>
    <w:rsid w:val="00157803"/>
    <w:rsid w:val="001578E4"/>
    <w:rsid w:val="00157B8E"/>
    <w:rsid w:val="00157E80"/>
    <w:rsid w:val="0016013F"/>
    <w:rsid w:val="00161103"/>
    <w:rsid w:val="001616A2"/>
    <w:rsid w:val="00161792"/>
    <w:rsid w:val="00162E4D"/>
    <w:rsid w:val="00163103"/>
    <w:rsid w:val="001638DB"/>
    <w:rsid w:val="00163ECA"/>
    <w:rsid w:val="00163F78"/>
    <w:rsid w:val="001641A3"/>
    <w:rsid w:val="0016465A"/>
    <w:rsid w:val="00164907"/>
    <w:rsid w:val="00164948"/>
    <w:rsid w:val="00164BB3"/>
    <w:rsid w:val="00164E8B"/>
    <w:rsid w:val="00165158"/>
    <w:rsid w:val="00165464"/>
    <w:rsid w:val="001657F1"/>
    <w:rsid w:val="00165891"/>
    <w:rsid w:val="00165A00"/>
    <w:rsid w:val="001667AB"/>
    <w:rsid w:val="00166CFE"/>
    <w:rsid w:val="00166E97"/>
    <w:rsid w:val="001670AD"/>
    <w:rsid w:val="00167828"/>
    <w:rsid w:val="001702FF"/>
    <w:rsid w:val="0017070F"/>
    <w:rsid w:val="001707EE"/>
    <w:rsid w:val="00170E17"/>
    <w:rsid w:val="001713CA"/>
    <w:rsid w:val="00171CF8"/>
    <w:rsid w:val="00171F69"/>
    <w:rsid w:val="00172FA1"/>
    <w:rsid w:val="001733C2"/>
    <w:rsid w:val="00173B6B"/>
    <w:rsid w:val="00173DE2"/>
    <w:rsid w:val="00173E1F"/>
    <w:rsid w:val="001740F1"/>
    <w:rsid w:val="00174CB6"/>
    <w:rsid w:val="001755D0"/>
    <w:rsid w:val="00177824"/>
    <w:rsid w:val="001801E1"/>
    <w:rsid w:val="00180F07"/>
    <w:rsid w:val="001819A5"/>
    <w:rsid w:val="001820E0"/>
    <w:rsid w:val="001827F0"/>
    <w:rsid w:val="0018290C"/>
    <w:rsid w:val="00182BA3"/>
    <w:rsid w:val="0018318B"/>
    <w:rsid w:val="00183359"/>
    <w:rsid w:val="00183539"/>
    <w:rsid w:val="00183DD6"/>
    <w:rsid w:val="0018499F"/>
    <w:rsid w:val="001850C6"/>
    <w:rsid w:val="001855F5"/>
    <w:rsid w:val="0018593A"/>
    <w:rsid w:val="00185EB2"/>
    <w:rsid w:val="0018660E"/>
    <w:rsid w:val="00186A87"/>
    <w:rsid w:val="00186CE9"/>
    <w:rsid w:val="00186F65"/>
    <w:rsid w:val="00187BD1"/>
    <w:rsid w:val="00187FD2"/>
    <w:rsid w:val="0019035F"/>
    <w:rsid w:val="00190C54"/>
    <w:rsid w:val="00191868"/>
    <w:rsid w:val="00192016"/>
    <w:rsid w:val="00192511"/>
    <w:rsid w:val="0019258C"/>
    <w:rsid w:val="00192808"/>
    <w:rsid w:val="00192D25"/>
    <w:rsid w:val="001931C3"/>
    <w:rsid w:val="0019350D"/>
    <w:rsid w:val="001935A0"/>
    <w:rsid w:val="00193E2E"/>
    <w:rsid w:val="00194524"/>
    <w:rsid w:val="00195074"/>
    <w:rsid w:val="001953EA"/>
    <w:rsid w:val="00196451"/>
    <w:rsid w:val="001967D8"/>
    <w:rsid w:val="00196D30"/>
    <w:rsid w:val="00197492"/>
    <w:rsid w:val="001A0A2D"/>
    <w:rsid w:val="001A1039"/>
    <w:rsid w:val="001A1402"/>
    <w:rsid w:val="001A1CF8"/>
    <w:rsid w:val="001A1E1D"/>
    <w:rsid w:val="001A1EE3"/>
    <w:rsid w:val="001A1F5B"/>
    <w:rsid w:val="001A210B"/>
    <w:rsid w:val="001A2605"/>
    <w:rsid w:val="001A2AA3"/>
    <w:rsid w:val="001A2C39"/>
    <w:rsid w:val="001A35AD"/>
    <w:rsid w:val="001A36CD"/>
    <w:rsid w:val="001A422A"/>
    <w:rsid w:val="001A45CF"/>
    <w:rsid w:val="001A5088"/>
    <w:rsid w:val="001A56CD"/>
    <w:rsid w:val="001A581E"/>
    <w:rsid w:val="001A59D5"/>
    <w:rsid w:val="001A5AC7"/>
    <w:rsid w:val="001A5B92"/>
    <w:rsid w:val="001A6EC0"/>
    <w:rsid w:val="001A7B3E"/>
    <w:rsid w:val="001A7FF4"/>
    <w:rsid w:val="001B135B"/>
    <w:rsid w:val="001B1E74"/>
    <w:rsid w:val="001B2BCC"/>
    <w:rsid w:val="001B2C44"/>
    <w:rsid w:val="001B2EE1"/>
    <w:rsid w:val="001B30A5"/>
    <w:rsid w:val="001B35D2"/>
    <w:rsid w:val="001B3BFC"/>
    <w:rsid w:val="001B4092"/>
    <w:rsid w:val="001B41BA"/>
    <w:rsid w:val="001B4216"/>
    <w:rsid w:val="001B4291"/>
    <w:rsid w:val="001B524B"/>
    <w:rsid w:val="001B556F"/>
    <w:rsid w:val="001B5CF3"/>
    <w:rsid w:val="001B627B"/>
    <w:rsid w:val="001B696F"/>
    <w:rsid w:val="001B69F8"/>
    <w:rsid w:val="001B6D6C"/>
    <w:rsid w:val="001B721E"/>
    <w:rsid w:val="001B76C8"/>
    <w:rsid w:val="001B7EDD"/>
    <w:rsid w:val="001B7FB3"/>
    <w:rsid w:val="001C0492"/>
    <w:rsid w:val="001C0D7A"/>
    <w:rsid w:val="001C0DF6"/>
    <w:rsid w:val="001C18AE"/>
    <w:rsid w:val="001C34E2"/>
    <w:rsid w:val="001C3543"/>
    <w:rsid w:val="001C3599"/>
    <w:rsid w:val="001C3647"/>
    <w:rsid w:val="001C3AB0"/>
    <w:rsid w:val="001C3E06"/>
    <w:rsid w:val="001C4758"/>
    <w:rsid w:val="001C4C70"/>
    <w:rsid w:val="001C55F6"/>
    <w:rsid w:val="001C580B"/>
    <w:rsid w:val="001C60FE"/>
    <w:rsid w:val="001C668B"/>
    <w:rsid w:val="001C671C"/>
    <w:rsid w:val="001C6BE0"/>
    <w:rsid w:val="001C7B02"/>
    <w:rsid w:val="001C7E2E"/>
    <w:rsid w:val="001C7F44"/>
    <w:rsid w:val="001D0106"/>
    <w:rsid w:val="001D0303"/>
    <w:rsid w:val="001D0903"/>
    <w:rsid w:val="001D16D0"/>
    <w:rsid w:val="001D19EC"/>
    <w:rsid w:val="001D21B8"/>
    <w:rsid w:val="001D256F"/>
    <w:rsid w:val="001D2609"/>
    <w:rsid w:val="001D2ED2"/>
    <w:rsid w:val="001D334E"/>
    <w:rsid w:val="001D33EF"/>
    <w:rsid w:val="001D5989"/>
    <w:rsid w:val="001D5999"/>
    <w:rsid w:val="001D59AA"/>
    <w:rsid w:val="001D5A66"/>
    <w:rsid w:val="001D5C1C"/>
    <w:rsid w:val="001D62FB"/>
    <w:rsid w:val="001D6353"/>
    <w:rsid w:val="001D649D"/>
    <w:rsid w:val="001D64A4"/>
    <w:rsid w:val="001D6AA6"/>
    <w:rsid w:val="001D76FF"/>
    <w:rsid w:val="001D7A44"/>
    <w:rsid w:val="001D7BC0"/>
    <w:rsid w:val="001E07C3"/>
    <w:rsid w:val="001E082D"/>
    <w:rsid w:val="001E110C"/>
    <w:rsid w:val="001E1510"/>
    <w:rsid w:val="001E18EE"/>
    <w:rsid w:val="001E1B22"/>
    <w:rsid w:val="001E1B54"/>
    <w:rsid w:val="001E20AA"/>
    <w:rsid w:val="001E22FE"/>
    <w:rsid w:val="001E2536"/>
    <w:rsid w:val="001E2E3D"/>
    <w:rsid w:val="001E3D73"/>
    <w:rsid w:val="001E46B9"/>
    <w:rsid w:val="001E473E"/>
    <w:rsid w:val="001E4846"/>
    <w:rsid w:val="001E4BBF"/>
    <w:rsid w:val="001E50BC"/>
    <w:rsid w:val="001E50FD"/>
    <w:rsid w:val="001E51C0"/>
    <w:rsid w:val="001E626B"/>
    <w:rsid w:val="001E7530"/>
    <w:rsid w:val="001E7672"/>
    <w:rsid w:val="001E77A7"/>
    <w:rsid w:val="001F0571"/>
    <w:rsid w:val="001F0619"/>
    <w:rsid w:val="001F0BAB"/>
    <w:rsid w:val="001F0DF9"/>
    <w:rsid w:val="001F1355"/>
    <w:rsid w:val="001F19B4"/>
    <w:rsid w:val="001F20AA"/>
    <w:rsid w:val="001F2150"/>
    <w:rsid w:val="001F282F"/>
    <w:rsid w:val="001F2D20"/>
    <w:rsid w:val="001F4442"/>
    <w:rsid w:val="001F45DA"/>
    <w:rsid w:val="001F4698"/>
    <w:rsid w:val="001F46FD"/>
    <w:rsid w:val="001F5370"/>
    <w:rsid w:val="001F5D96"/>
    <w:rsid w:val="001F6BC1"/>
    <w:rsid w:val="001F70F7"/>
    <w:rsid w:val="001F7283"/>
    <w:rsid w:val="001F761A"/>
    <w:rsid w:val="001F7719"/>
    <w:rsid w:val="001F7734"/>
    <w:rsid w:val="001F7E5F"/>
    <w:rsid w:val="001F7F25"/>
    <w:rsid w:val="001F7F39"/>
    <w:rsid w:val="0020045A"/>
    <w:rsid w:val="00200761"/>
    <w:rsid w:val="002012B2"/>
    <w:rsid w:val="002017E3"/>
    <w:rsid w:val="00201A16"/>
    <w:rsid w:val="00202015"/>
    <w:rsid w:val="0020289A"/>
    <w:rsid w:val="00202A65"/>
    <w:rsid w:val="00203029"/>
    <w:rsid w:val="002033FB"/>
    <w:rsid w:val="002034A6"/>
    <w:rsid w:val="002034CA"/>
    <w:rsid w:val="00203B08"/>
    <w:rsid w:val="00203E89"/>
    <w:rsid w:val="00203E90"/>
    <w:rsid w:val="00204725"/>
    <w:rsid w:val="002049B0"/>
    <w:rsid w:val="00205137"/>
    <w:rsid w:val="0020527E"/>
    <w:rsid w:val="002059A0"/>
    <w:rsid w:val="00205E33"/>
    <w:rsid w:val="00206BAD"/>
    <w:rsid w:val="0020704A"/>
    <w:rsid w:val="002072AB"/>
    <w:rsid w:val="0020780A"/>
    <w:rsid w:val="00210213"/>
    <w:rsid w:val="002103AE"/>
    <w:rsid w:val="0021090D"/>
    <w:rsid w:val="00210E23"/>
    <w:rsid w:val="0021128E"/>
    <w:rsid w:val="00211D17"/>
    <w:rsid w:val="00211DB9"/>
    <w:rsid w:val="002122F8"/>
    <w:rsid w:val="00212B04"/>
    <w:rsid w:val="00212CE0"/>
    <w:rsid w:val="00213376"/>
    <w:rsid w:val="00213B54"/>
    <w:rsid w:val="00214C25"/>
    <w:rsid w:val="0021510D"/>
    <w:rsid w:val="002151D9"/>
    <w:rsid w:val="00215463"/>
    <w:rsid w:val="002156A1"/>
    <w:rsid w:val="00215C7B"/>
    <w:rsid w:val="0021631F"/>
    <w:rsid w:val="002164F8"/>
    <w:rsid w:val="002169E8"/>
    <w:rsid w:val="00216B51"/>
    <w:rsid w:val="002175CA"/>
    <w:rsid w:val="00217B78"/>
    <w:rsid w:val="00220929"/>
    <w:rsid w:val="00220FFF"/>
    <w:rsid w:val="002211FB"/>
    <w:rsid w:val="00221C90"/>
    <w:rsid w:val="00222F90"/>
    <w:rsid w:val="0022386D"/>
    <w:rsid w:val="00223D36"/>
    <w:rsid w:val="00223DF7"/>
    <w:rsid w:val="00223FEC"/>
    <w:rsid w:val="0022436F"/>
    <w:rsid w:val="00224C5A"/>
    <w:rsid w:val="0022545E"/>
    <w:rsid w:val="00225820"/>
    <w:rsid w:val="00225B20"/>
    <w:rsid w:val="00226D7C"/>
    <w:rsid w:val="0022746D"/>
    <w:rsid w:val="00230489"/>
    <w:rsid w:val="002306AD"/>
    <w:rsid w:val="00230BB5"/>
    <w:rsid w:val="00230D89"/>
    <w:rsid w:val="00231539"/>
    <w:rsid w:val="002315E8"/>
    <w:rsid w:val="00232339"/>
    <w:rsid w:val="0023298E"/>
    <w:rsid w:val="00233004"/>
    <w:rsid w:val="00233A44"/>
    <w:rsid w:val="00234849"/>
    <w:rsid w:val="00234B68"/>
    <w:rsid w:val="00234B96"/>
    <w:rsid w:val="00235108"/>
    <w:rsid w:val="0023561C"/>
    <w:rsid w:val="0023578A"/>
    <w:rsid w:val="00235BC3"/>
    <w:rsid w:val="00236547"/>
    <w:rsid w:val="002367EF"/>
    <w:rsid w:val="0023694B"/>
    <w:rsid w:val="00236ADA"/>
    <w:rsid w:val="002371DF"/>
    <w:rsid w:val="00237290"/>
    <w:rsid w:val="002376D1"/>
    <w:rsid w:val="0024009C"/>
    <w:rsid w:val="002410DE"/>
    <w:rsid w:val="0024110A"/>
    <w:rsid w:val="00242016"/>
    <w:rsid w:val="00242A4C"/>
    <w:rsid w:val="00242A52"/>
    <w:rsid w:val="00242B98"/>
    <w:rsid w:val="00243BF6"/>
    <w:rsid w:val="00244D36"/>
    <w:rsid w:val="00245022"/>
    <w:rsid w:val="00246260"/>
    <w:rsid w:val="00246B9C"/>
    <w:rsid w:val="00247C81"/>
    <w:rsid w:val="0025068B"/>
    <w:rsid w:val="00250986"/>
    <w:rsid w:val="00251A6C"/>
    <w:rsid w:val="00251C7B"/>
    <w:rsid w:val="00252B0B"/>
    <w:rsid w:val="00252F16"/>
    <w:rsid w:val="002537D7"/>
    <w:rsid w:val="002539F3"/>
    <w:rsid w:val="0025424E"/>
    <w:rsid w:val="00254575"/>
    <w:rsid w:val="00255500"/>
    <w:rsid w:val="002561BC"/>
    <w:rsid w:val="00256395"/>
    <w:rsid w:val="00256B41"/>
    <w:rsid w:val="00257166"/>
    <w:rsid w:val="002572A9"/>
    <w:rsid w:val="0026085F"/>
    <w:rsid w:val="00260A05"/>
    <w:rsid w:val="00260A67"/>
    <w:rsid w:val="002614A5"/>
    <w:rsid w:val="00261800"/>
    <w:rsid w:val="00261B0D"/>
    <w:rsid w:val="00262DDE"/>
    <w:rsid w:val="00263679"/>
    <w:rsid w:val="00263AAD"/>
    <w:rsid w:val="00263ADE"/>
    <w:rsid w:val="00263CE6"/>
    <w:rsid w:val="00263D81"/>
    <w:rsid w:val="0026414A"/>
    <w:rsid w:val="002642DB"/>
    <w:rsid w:val="00264498"/>
    <w:rsid w:val="0026531C"/>
    <w:rsid w:val="00265D91"/>
    <w:rsid w:val="002663ED"/>
    <w:rsid w:val="002664C9"/>
    <w:rsid w:val="00266A03"/>
    <w:rsid w:val="00266CFA"/>
    <w:rsid w:val="00267BE0"/>
    <w:rsid w:val="00267DE1"/>
    <w:rsid w:val="00270156"/>
    <w:rsid w:val="00270982"/>
    <w:rsid w:val="00270BFF"/>
    <w:rsid w:val="00270E6A"/>
    <w:rsid w:val="00270FF5"/>
    <w:rsid w:val="002714A7"/>
    <w:rsid w:val="00271854"/>
    <w:rsid w:val="00272120"/>
    <w:rsid w:val="0027297D"/>
    <w:rsid w:val="00272A73"/>
    <w:rsid w:val="002730FF"/>
    <w:rsid w:val="0027361B"/>
    <w:rsid w:val="00274D02"/>
    <w:rsid w:val="00276132"/>
    <w:rsid w:val="00276396"/>
    <w:rsid w:val="00276D3E"/>
    <w:rsid w:val="00277814"/>
    <w:rsid w:val="00277BA0"/>
    <w:rsid w:val="00277BD8"/>
    <w:rsid w:val="00277F66"/>
    <w:rsid w:val="0028015A"/>
    <w:rsid w:val="002802AC"/>
    <w:rsid w:val="002807AD"/>
    <w:rsid w:val="00280E4D"/>
    <w:rsid w:val="00281016"/>
    <w:rsid w:val="00281FAB"/>
    <w:rsid w:val="00282357"/>
    <w:rsid w:val="0028287A"/>
    <w:rsid w:val="0028358F"/>
    <w:rsid w:val="00283F17"/>
    <w:rsid w:val="00283F84"/>
    <w:rsid w:val="00284AC1"/>
    <w:rsid w:val="0028503C"/>
    <w:rsid w:val="00285DDB"/>
    <w:rsid w:val="00285EA9"/>
    <w:rsid w:val="00286512"/>
    <w:rsid w:val="00286E24"/>
    <w:rsid w:val="00286F47"/>
    <w:rsid w:val="002901EC"/>
    <w:rsid w:val="002902D3"/>
    <w:rsid w:val="00290DE5"/>
    <w:rsid w:val="002911FE"/>
    <w:rsid w:val="002914E1"/>
    <w:rsid w:val="00291521"/>
    <w:rsid w:val="002918C3"/>
    <w:rsid w:val="00291F9E"/>
    <w:rsid w:val="00292872"/>
    <w:rsid w:val="00293E9B"/>
    <w:rsid w:val="00293EB8"/>
    <w:rsid w:val="002950D6"/>
    <w:rsid w:val="00295468"/>
    <w:rsid w:val="00296E14"/>
    <w:rsid w:val="0029761B"/>
    <w:rsid w:val="0029780A"/>
    <w:rsid w:val="00297929"/>
    <w:rsid w:val="00297C20"/>
    <w:rsid w:val="00297D48"/>
    <w:rsid w:val="00297F9A"/>
    <w:rsid w:val="002A049C"/>
    <w:rsid w:val="002A08A8"/>
    <w:rsid w:val="002A1928"/>
    <w:rsid w:val="002A1AA2"/>
    <w:rsid w:val="002A221C"/>
    <w:rsid w:val="002A2D2D"/>
    <w:rsid w:val="002A2E79"/>
    <w:rsid w:val="002A2FDF"/>
    <w:rsid w:val="002A32A6"/>
    <w:rsid w:val="002A398F"/>
    <w:rsid w:val="002A3F83"/>
    <w:rsid w:val="002A41A3"/>
    <w:rsid w:val="002A4BB3"/>
    <w:rsid w:val="002A5B3D"/>
    <w:rsid w:val="002A5E8F"/>
    <w:rsid w:val="002A6302"/>
    <w:rsid w:val="002A677A"/>
    <w:rsid w:val="002A6B1F"/>
    <w:rsid w:val="002A6D06"/>
    <w:rsid w:val="002A71FE"/>
    <w:rsid w:val="002A766E"/>
    <w:rsid w:val="002A7741"/>
    <w:rsid w:val="002A77EE"/>
    <w:rsid w:val="002A7829"/>
    <w:rsid w:val="002B02D2"/>
    <w:rsid w:val="002B0491"/>
    <w:rsid w:val="002B09BF"/>
    <w:rsid w:val="002B1121"/>
    <w:rsid w:val="002B243F"/>
    <w:rsid w:val="002B25F2"/>
    <w:rsid w:val="002B2D31"/>
    <w:rsid w:val="002B3AD9"/>
    <w:rsid w:val="002B3ADE"/>
    <w:rsid w:val="002B5371"/>
    <w:rsid w:val="002B57EF"/>
    <w:rsid w:val="002B5A59"/>
    <w:rsid w:val="002B5CF5"/>
    <w:rsid w:val="002B647D"/>
    <w:rsid w:val="002B6534"/>
    <w:rsid w:val="002B6601"/>
    <w:rsid w:val="002B707F"/>
    <w:rsid w:val="002B716D"/>
    <w:rsid w:val="002C0295"/>
    <w:rsid w:val="002C08C7"/>
    <w:rsid w:val="002C08FD"/>
    <w:rsid w:val="002C0B2C"/>
    <w:rsid w:val="002C1202"/>
    <w:rsid w:val="002C166E"/>
    <w:rsid w:val="002C1BB9"/>
    <w:rsid w:val="002C1C48"/>
    <w:rsid w:val="002C1CD9"/>
    <w:rsid w:val="002C2187"/>
    <w:rsid w:val="002C2342"/>
    <w:rsid w:val="002C28F9"/>
    <w:rsid w:val="002C35E4"/>
    <w:rsid w:val="002C3635"/>
    <w:rsid w:val="002C38D3"/>
    <w:rsid w:val="002C3B28"/>
    <w:rsid w:val="002C3D2B"/>
    <w:rsid w:val="002C403D"/>
    <w:rsid w:val="002C4107"/>
    <w:rsid w:val="002C4159"/>
    <w:rsid w:val="002C44FD"/>
    <w:rsid w:val="002C45A7"/>
    <w:rsid w:val="002C4661"/>
    <w:rsid w:val="002C480B"/>
    <w:rsid w:val="002C4F9D"/>
    <w:rsid w:val="002C5B73"/>
    <w:rsid w:val="002C6165"/>
    <w:rsid w:val="002C6930"/>
    <w:rsid w:val="002C723C"/>
    <w:rsid w:val="002C742C"/>
    <w:rsid w:val="002C7D83"/>
    <w:rsid w:val="002C7FC3"/>
    <w:rsid w:val="002D00C4"/>
    <w:rsid w:val="002D1933"/>
    <w:rsid w:val="002D1E0B"/>
    <w:rsid w:val="002D1F51"/>
    <w:rsid w:val="002D2AED"/>
    <w:rsid w:val="002D2CCC"/>
    <w:rsid w:val="002D2E69"/>
    <w:rsid w:val="002D2F10"/>
    <w:rsid w:val="002D3D81"/>
    <w:rsid w:val="002D42E2"/>
    <w:rsid w:val="002D4524"/>
    <w:rsid w:val="002D4587"/>
    <w:rsid w:val="002D565C"/>
    <w:rsid w:val="002D59E2"/>
    <w:rsid w:val="002D5ED6"/>
    <w:rsid w:val="002D746B"/>
    <w:rsid w:val="002D7C63"/>
    <w:rsid w:val="002E0B95"/>
    <w:rsid w:val="002E0E93"/>
    <w:rsid w:val="002E1199"/>
    <w:rsid w:val="002E1721"/>
    <w:rsid w:val="002E1CED"/>
    <w:rsid w:val="002E23AE"/>
    <w:rsid w:val="002E2576"/>
    <w:rsid w:val="002E267E"/>
    <w:rsid w:val="002E27BE"/>
    <w:rsid w:val="002E2E0C"/>
    <w:rsid w:val="002E2F04"/>
    <w:rsid w:val="002E33F4"/>
    <w:rsid w:val="002E354A"/>
    <w:rsid w:val="002E4ABB"/>
    <w:rsid w:val="002E50A2"/>
    <w:rsid w:val="002E527D"/>
    <w:rsid w:val="002E562A"/>
    <w:rsid w:val="002E583A"/>
    <w:rsid w:val="002E5A24"/>
    <w:rsid w:val="002E5BE6"/>
    <w:rsid w:val="002E6514"/>
    <w:rsid w:val="002E73CE"/>
    <w:rsid w:val="002E791C"/>
    <w:rsid w:val="002E7D93"/>
    <w:rsid w:val="002F00EF"/>
    <w:rsid w:val="002F00F9"/>
    <w:rsid w:val="002F01B3"/>
    <w:rsid w:val="002F14CF"/>
    <w:rsid w:val="002F27D4"/>
    <w:rsid w:val="002F2CCA"/>
    <w:rsid w:val="002F4692"/>
    <w:rsid w:val="002F4F96"/>
    <w:rsid w:val="002F5C39"/>
    <w:rsid w:val="002F6BBA"/>
    <w:rsid w:val="002F6EF5"/>
    <w:rsid w:val="002F746C"/>
    <w:rsid w:val="002F7A0C"/>
    <w:rsid w:val="002F7EB0"/>
    <w:rsid w:val="003000B5"/>
    <w:rsid w:val="0030043B"/>
    <w:rsid w:val="0030097B"/>
    <w:rsid w:val="00302850"/>
    <w:rsid w:val="00303AF0"/>
    <w:rsid w:val="003040FA"/>
    <w:rsid w:val="00304508"/>
    <w:rsid w:val="00304895"/>
    <w:rsid w:val="00304B3B"/>
    <w:rsid w:val="00304E99"/>
    <w:rsid w:val="003055FB"/>
    <w:rsid w:val="00305799"/>
    <w:rsid w:val="00305DA4"/>
    <w:rsid w:val="003064F3"/>
    <w:rsid w:val="003065EA"/>
    <w:rsid w:val="00306BD7"/>
    <w:rsid w:val="00306C56"/>
    <w:rsid w:val="00306CF5"/>
    <w:rsid w:val="003070C0"/>
    <w:rsid w:val="003070C5"/>
    <w:rsid w:val="00307119"/>
    <w:rsid w:val="00307177"/>
    <w:rsid w:val="003075ED"/>
    <w:rsid w:val="00307E9F"/>
    <w:rsid w:val="0031027D"/>
    <w:rsid w:val="003104C6"/>
    <w:rsid w:val="003105C9"/>
    <w:rsid w:val="0031078A"/>
    <w:rsid w:val="003107C0"/>
    <w:rsid w:val="00310CC3"/>
    <w:rsid w:val="00311029"/>
    <w:rsid w:val="003124AF"/>
    <w:rsid w:val="00312BBF"/>
    <w:rsid w:val="00312EEF"/>
    <w:rsid w:val="00313A38"/>
    <w:rsid w:val="00313F8B"/>
    <w:rsid w:val="00314126"/>
    <w:rsid w:val="00314B8C"/>
    <w:rsid w:val="0031516B"/>
    <w:rsid w:val="00315187"/>
    <w:rsid w:val="003159D1"/>
    <w:rsid w:val="00315D3E"/>
    <w:rsid w:val="00316595"/>
    <w:rsid w:val="003175DA"/>
    <w:rsid w:val="003175FC"/>
    <w:rsid w:val="0031774D"/>
    <w:rsid w:val="003179B4"/>
    <w:rsid w:val="00320198"/>
    <w:rsid w:val="003218B1"/>
    <w:rsid w:val="003218F8"/>
    <w:rsid w:val="00321C7B"/>
    <w:rsid w:val="00322655"/>
    <w:rsid w:val="00322BC9"/>
    <w:rsid w:val="00322BEE"/>
    <w:rsid w:val="00322C90"/>
    <w:rsid w:val="003234CA"/>
    <w:rsid w:val="0032400D"/>
    <w:rsid w:val="00325207"/>
    <w:rsid w:val="00325238"/>
    <w:rsid w:val="00325BC3"/>
    <w:rsid w:val="00325C44"/>
    <w:rsid w:val="00326AF6"/>
    <w:rsid w:val="00326D65"/>
    <w:rsid w:val="00326E87"/>
    <w:rsid w:val="003275F5"/>
    <w:rsid w:val="00327B50"/>
    <w:rsid w:val="00327C63"/>
    <w:rsid w:val="0033025C"/>
    <w:rsid w:val="00330DEC"/>
    <w:rsid w:val="0033109A"/>
    <w:rsid w:val="003313DB"/>
    <w:rsid w:val="00332113"/>
    <w:rsid w:val="0033255C"/>
    <w:rsid w:val="0033369D"/>
    <w:rsid w:val="00333859"/>
    <w:rsid w:val="00333B40"/>
    <w:rsid w:val="00334023"/>
    <w:rsid w:val="003341AA"/>
    <w:rsid w:val="0033453A"/>
    <w:rsid w:val="00334B45"/>
    <w:rsid w:val="00335124"/>
    <w:rsid w:val="003353FE"/>
    <w:rsid w:val="003359CF"/>
    <w:rsid w:val="00335AE9"/>
    <w:rsid w:val="003375CA"/>
    <w:rsid w:val="003376B3"/>
    <w:rsid w:val="003377E8"/>
    <w:rsid w:val="00337E1D"/>
    <w:rsid w:val="00340636"/>
    <w:rsid w:val="00340736"/>
    <w:rsid w:val="00341084"/>
    <w:rsid w:val="00341510"/>
    <w:rsid w:val="00341DC9"/>
    <w:rsid w:val="0034241D"/>
    <w:rsid w:val="00342B51"/>
    <w:rsid w:val="00342E89"/>
    <w:rsid w:val="00343395"/>
    <w:rsid w:val="0034350B"/>
    <w:rsid w:val="003439C1"/>
    <w:rsid w:val="00343A2F"/>
    <w:rsid w:val="00343B3D"/>
    <w:rsid w:val="00343B7D"/>
    <w:rsid w:val="00344331"/>
    <w:rsid w:val="0034482A"/>
    <w:rsid w:val="00344B6A"/>
    <w:rsid w:val="00344C2B"/>
    <w:rsid w:val="00344CD8"/>
    <w:rsid w:val="00344D0B"/>
    <w:rsid w:val="00345057"/>
    <w:rsid w:val="003451A7"/>
    <w:rsid w:val="003456CC"/>
    <w:rsid w:val="00345911"/>
    <w:rsid w:val="0034594B"/>
    <w:rsid w:val="00346DB7"/>
    <w:rsid w:val="00346FD1"/>
    <w:rsid w:val="003475A8"/>
    <w:rsid w:val="0035053D"/>
    <w:rsid w:val="00350F7F"/>
    <w:rsid w:val="00351DB0"/>
    <w:rsid w:val="0035215C"/>
    <w:rsid w:val="00354093"/>
    <w:rsid w:val="0035572E"/>
    <w:rsid w:val="003563DE"/>
    <w:rsid w:val="00356E25"/>
    <w:rsid w:val="00357431"/>
    <w:rsid w:val="00357EAF"/>
    <w:rsid w:val="003601FA"/>
    <w:rsid w:val="00360C11"/>
    <w:rsid w:val="00362049"/>
    <w:rsid w:val="00362ADE"/>
    <w:rsid w:val="00362CC2"/>
    <w:rsid w:val="00363308"/>
    <w:rsid w:val="00363427"/>
    <w:rsid w:val="00363C96"/>
    <w:rsid w:val="00364211"/>
    <w:rsid w:val="00365260"/>
    <w:rsid w:val="00365BE6"/>
    <w:rsid w:val="0036646B"/>
    <w:rsid w:val="003677A0"/>
    <w:rsid w:val="003677F7"/>
    <w:rsid w:val="003700F9"/>
    <w:rsid w:val="00370A4A"/>
    <w:rsid w:val="00370AD6"/>
    <w:rsid w:val="003712C9"/>
    <w:rsid w:val="0037184B"/>
    <w:rsid w:val="00371BB4"/>
    <w:rsid w:val="00373307"/>
    <w:rsid w:val="003735B9"/>
    <w:rsid w:val="00373656"/>
    <w:rsid w:val="0037401D"/>
    <w:rsid w:val="00374098"/>
    <w:rsid w:val="0037419C"/>
    <w:rsid w:val="003741C9"/>
    <w:rsid w:val="0037445E"/>
    <w:rsid w:val="00374977"/>
    <w:rsid w:val="00374998"/>
    <w:rsid w:val="00374D7D"/>
    <w:rsid w:val="00375A16"/>
    <w:rsid w:val="00375FE9"/>
    <w:rsid w:val="003769D3"/>
    <w:rsid w:val="00376B25"/>
    <w:rsid w:val="00376CE7"/>
    <w:rsid w:val="0037701B"/>
    <w:rsid w:val="00380775"/>
    <w:rsid w:val="00380978"/>
    <w:rsid w:val="00380EED"/>
    <w:rsid w:val="003818FE"/>
    <w:rsid w:val="00382B6C"/>
    <w:rsid w:val="00382E6E"/>
    <w:rsid w:val="00383189"/>
    <w:rsid w:val="003832B9"/>
    <w:rsid w:val="00383567"/>
    <w:rsid w:val="003838A2"/>
    <w:rsid w:val="00383CC1"/>
    <w:rsid w:val="003857C1"/>
    <w:rsid w:val="0038588B"/>
    <w:rsid w:val="00386B57"/>
    <w:rsid w:val="00386D3B"/>
    <w:rsid w:val="00386FD7"/>
    <w:rsid w:val="00387191"/>
    <w:rsid w:val="00387285"/>
    <w:rsid w:val="00387685"/>
    <w:rsid w:val="00387712"/>
    <w:rsid w:val="00387961"/>
    <w:rsid w:val="00390703"/>
    <w:rsid w:val="003917FA"/>
    <w:rsid w:val="00391A7D"/>
    <w:rsid w:val="00392DD0"/>
    <w:rsid w:val="0039315D"/>
    <w:rsid w:val="003934C1"/>
    <w:rsid w:val="00393FF3"/>
    <w:rsid w:val="003942B2"/>
    <w:rsid w:val="0039467B"/>
    <w:rsid w:val="00394BC9"/>
    <w:rsid w:val="00395D63"/>
    <w:rsid w:val="0039602B"/>
    <w:rsid w:val="003964A5"/>
    <w:rsid w:val="003966C6"/>
    <w:rsid w:val="00397748"/>
    <w:rsid w:val="003A0F5B"/>
    <w:rsid w:val="003A1A47"/>
    <w:rsid w:val="003A21CA"/>
    <w:rsid w:val="003A338A"/>
    <w:rsid w:val="003A33FF"/>
    <w:rsid w:val="003A37AF"/>
    <w:rsid w:val="003A3899"/>
    <w:rsid w:val="003A3A91"/>
    <w:rsid w:val="003A3DBD"/>
    <w:rsid w:val="003A3E06"/>
    <w:rsid w:val="003A54F8"/>
    <w:rsid w:val="003A7561"/>
    <w:rsid w:val="003A7828"/>
    <w:rsid w:val="003B0517"/>
    <w:rsid w:val="003B089C"/>
    <w:rsid w:val="003B149E"/>
    <w:rsid w:val="003B187C"/>
    <w:rsid w:val="003B2512"/>
    <w:rsid w:val="003B2D5F"/>
    <w:rsid w:val="003B3CDF"/>
    <w:rsid w:val="003B535E"/>
    <w:rsid w:val="003B5410"/>
    <w:rsid w:val="003B55C4"/>
    <w:rsid w:val="003B6221"/>
    <w:rsid w:val="003B6C67"/>
    <w:rsid w:val="003B6F7C"/>
    <w:rsid w:val="003B747E"/>
    <w:rsid w:val="003B7736"/>
    <w:rsid w:val="003B77B1"/>
    <w:rsid w:val="003C0460"/>
    <w:rsid w:val="003C0A97"/>
    <w:rsid w:val="003C0CA1"/>
    <w:rsid w:val="003C1AD0"/>
    <w:rsid w:val="003C1B9B"/>
    <w:rsid w:val="003C1ED1"/>
    <w:rsid w:val="003C200C"/>
    <w:rsid w:val="003C2995"/>
    <w:rsid w:val="003C325D"/>
    <w:rsid w:val="003C3B6A"/>
    <w:rsid w:val="003C3DCD"/>
    <w:rsid w:val="003C3DD7"/>
    <w:rsid w:val="003C3E23"/>
    <w:rsid w:val="003C4C06"/>
    <w:rsid w:val="003C5494"/>
    <w:rsid w:val="003C7365"/>
    <w:rsid w:val="003D0018"/>
    <w:rsid w:val="003D023A"/>
    <w:rsid w:val="003D07D3"/>
    <w:rsid w:val="003D092E"/>
    <w:rsid w:val="003D1C62"/>
    <w:rsid w:val="003D1F11"/>
    <w:rsid w:val="003D35F9"/>
    <w:rsid w:val="003D3A9F"/>
    <w:rsid w:val="003D3CD6"/>
    <w:rsid w:val="003D4603"/>
    <w:rsid w:val="003D4D27"/>
    <w:rsid w:val="003D4FFA"/>
    <w:rsid w:val="003D511F"/>
    <w:rsid w:val="003D56EA"/>
    <w:rsid w:val="003D5A83"/>
    <w:rsid w:val="003D5B47"/>
    <w:rsid w:val="003D688B"/>
    <w:rsid w:val="003D7368"/>
    <w:rsid w:val="003D7495"/>
    <w:rsid w:val="003D7B42"/>
    <w:rsid w:val="003E01BF"/>
    <w:rsid w:val="003E0E95"/>
    <w:rsid w:val="003E0F2E"/>
    <w:rsid w:val="003E2312"/>
    <w:rsid w:val="003E260E"/>
    <w:rsid w:val="003E2B25"/>
    <w:rsid w:val="003E2B30"/>
    <w:rsid w:val="003E2B6D"/>
    <w:rsid w:val="003E308C"/>
    <w:rsid w:val="003E3238"/>
    <w:rsid w:val="003E3442"/>
    <w:rsid w:val="003E4437"/>
    <w:rsid w:val="003E4B55"/>
    <w:rsid w:val="003E5A68"/>
    <w:rsid w:val="003E5BEA"/>
    <w:rsid w:val="003E64B7"/>
    <w:rsid w:val="003E6832"/>
    <w:rsid w:val="003E6976"/>
    <w:rsid w:val="003E6B9A"/>
    <w:rsid w:val="003E7296"/>
    <w:rsid w:val="003E755C"/>
    <w:rsid w:val="003E76A6"/>
    <w:rsid w:val="003E7F79"/>
    <w:rsid w:val="003F0280"/>
    <w:rsid w:val="003F055C"/>
    <w:rsid w:val="003F0FC8"/>
    <w:rsid w:val="003F122D"/>
    <w:rsid w:val="003F14E1"/>
    <w:rsid w:val="003F185A"/>
    <w:rsid w:val="003F19BA"/>
    <w:rsid w:val="003F25A8"/>
    <w:rsid w:val="003F2ACF"/>
    <w:rsid w:val="003F2D5F"/>
    <w:rsid w:val="003F3007"/>
    <w:rsid w:val="003F36AB"/>
    <w:rsid w:val="003F3AFE"/>
    <w:rsid w:val="003F4A0D"/>
    <w:rsid w:val="003F5468"/>
    <w:rsid w:val="003F5583"/>
    <w:rsid w:val="003F5D88"/>
    <w:rsid w:val="003F6E2E"/>
    <w:rsid w:val="003F71D8"/>
    <w:rsid w:val="003F7ECF"/>
    <w:rsid w:val="00400228"/>
    <w:rsid w:val="00401292"/>
    <w:rsid w:val="0040134F"/>
    <w:rsid w:val="00401FCD"/>
    <w:rsid w:val="00402023"/>
    <w:rsid w:val="00402A3E"/>
    <w:rsid w:val="00403785"/>
    <w:rsid w:val="00404829"/>
    <w:rsid w:val="004048B1"/>
    <w:rsid w:val="0040490E"/>
    <w:rsid w:val="00404B90"/>
    <w:rsid w:val="00404DBB"/>
    <w:rsid w:val="0040509F"/>
    <w:rsid w:val="00405457"/>
    <w:rsid w:val="00405A49"/>
    <w:rsid w:val="00405DA5"/>
    <w:rsid w:val="004061AC"/>
    <w:rsid w:val="00406366"/>
    <w:rsid w:val="00406928"/>
    <w:rsid w:val="00406ADF"/>
    <w:rsid w:val="00406DC5"/>
    <w:rsid w:val="00410C1F"/>
    <w:rsid w:val="004110B7"/>
    <w:rsid w:val="004110CF"/>
    <w:rsid w:val="00412166"/>
    <w:rsid w:val="0041230C"/>
    <w:rsid w:val="00413FEC"/>
    <w:rsid w:val="00414525"/>
    <w:rsid w:val="004146A9"/>
    <w:rsid w:val="00414F81"/>
    <w:rsid w:val="004154C9"/>
    <w:rsid w:val="00415887"/>
    <w:rsid w:val="00415D87"/>
    <w:rsid w:val="00416F23"/>
    <w:rsid w:val="00417068"/>
    <w:rsid w:val="0041709A"/>
    <w:rsid w:val="004173E0"/>
    <w:rsid w:val="0041798E"/>
    <w:rsid w:val="00417F01"/>
    <w:rsid w:val="0042017B"/>
    <w:rsid w:val="00420EFE"/>
    <w:rsid w:val="004212DC"/>
    <w:rsid w:val="00421564"/>
    <w:rsid w:val="00421B46"/>
    <w:rsid w:val="0042201F"/>
    <w:rsid w:val="00422897"/>
    <w:rsid w:val="00423E05"/>
    <w:rsid w:val="00423F48"/>
    <w:rsid w:val="004243D0"/>
    <w:rsid w:val="004249C3"/>
    <w:rsid w:val="00424BD5"/>
    <w:rsid w:val="00425DA0"/>
    <w:rsid w:val="004267BA"/>
    <w:rsid w:val="004272F9"/>
    <w:rsid w:val="0043027E"/>
    <w:rsid w:val="0043047C"/>
    <w:rsid w:val="0043076F"/>
    <w:rsid w:val="0043085E"/>
    <w:rsid w:val="0043087F"/>
    <w:rsid w:val="004308BD"/>
    <w:rsid w:val="00430ECE"/>
    <w:rsid w:val="00431EF9"/>
    <w:rsid w:val="00432102"/>
    <w:rsid w:val="0043267C"/>
    <w:rsid w:val="0043277D"/>
    <w:rsid w:val="004329B2"/>
    <w:rsid w:val="00432B7C"/>
    <w:rsid w:val="00433064"/>
    <w:rsid w:val="00433AB3"/>
    <w:rsid w:val="00434EFA"/>
    <w:rsid w:val="0043554C"/>
    <w:rsid w:val="00435B88"/>
    <w:rsid w:val="00435C1A"/>
    <w:rsid w:val="004361E9"/>
    <w:rsid w:val="00436890"/>
    <w:rsid w:val="00436F4C"/>
    <w:rsid w:val="00436F63"/>
    <w:rsid w:val="00437147"/>
    <w:rsid w:val="0043765E"/>
    <w:rsid w:val="00437C48"/>
    <w:rsid w:val="00440FF3"/>
    <w:rsid w:val="00442634"/>
    <w:rsid w:val="00442A31"/>
    <w:rsid w:val="00442DEF"/>
    <w:rsid w:val="00443540"/>
    <w:rsid w:val="00443C55"/>
    <w:rsid w:val="004446E0"/>
    <w:rsid w:val="004448EE"/>
    <w:rsid w:val="00444902"/>
    <w:rsid w:val="004454A1"/>
    <w:rsid w:val="00445527"/>
    <w:rsid w:val="00446073"/>
    <w:rsid w:val="004460D3"/>
    <w:rsid w:val="004469A6"/>
    <w:rsid w:val="00446C78"/>
    <w:rsid w:val="0044700A"/>
    <w:rsid w:val="00447A23"/>
    <w:rsid w:val="0045060D"/>
    <w:rsid w:val="00450B8D"/>
    <w:rsid w:val="00450BD9"/>
    <w:rsid w:val="00450D27"/>
    <w:rsid w:val="00450D76"/>
    <w:rsid w:val="004528C9"/>
    <w:rsid w:val="00453161"/>
    <w:rsid w:val="0045325E"/>
    <w:rsid w:val="00453BA2"/>
    <w:rsid w:val="0045484B"/>
    <w:rsid w:val="004548C0"/>
    <w:rsid w:val="00454E04"/>
    <w:rsid w:val="0045581B"/>
    <w:rsid w:val="00455C68"/>
    <w:rsid w:val="004560E8"/>
    <w:rsid w:val="00456261"/>
    <w:rsid w:val="00456CA5"/>
    <w:rsid w:val="00456F0C"/>
    <w:rsid w:val="00456F16"/>
    <w:rsid w:val="004570E2"/>
    <w:rsid w:val="00457357"/>
    <w:rsid w:val="00457A95"/>
    <w:rsid w:val="004601BE"/>
    <w:rsid w:val="00460467"/>
    <w:rsid w:val="00460E95"/>
    <w:rsid w:val="00461073"/>
    <w:rsid w:val="0046186A"/>
    <w:rsid w:val="00461CAA"/>
    <w:rsid w:val="004624C2"/>
    <w:rsid w:val="00463857"/>
    <w:rsid w:val="00464160"/>
    <w:rsid w:val="004648FF"/>
    <w:rsid w:val="00464F59"/>
    <w:rsid w:val="00466407"/>
    <w:rsid w:val="00466419"/>
    <w:rsid w:val="00466917"/>
    <w:rsid w:val="00466BF4"/>
    <w:rsid w:val="00467374"/>
    <w:rsid w:val="004674FC"/>
    <w:rsid w:val="00467C1C"/>
    <w:rsid w:val="00470726"/>
    <w:rsid w:val="00470F29"/>
    <w:rsid w:val="0047104C"/>
    <w:rsid w:val="00471E12"/>
    <w:rsid w:val="0047244D"/>
    <w:rsid w:val="00472544"/>
    <w:rsid w:val="004727F5"/>
    <w:rsid w:val="00472B24"/>
    <w:rsid w:val="00472C22"/>
    <w:rsid w:val="004733A7"/>
    <w:rsid w:val="0047402B"/>
    <w:rsid w:val="00476B37"/>
    <w:rsid w:val="00476E00"/>
    <w:rsid w:val="00477315"/>
    <w:rsid w:val="004802BC"/>
    <w:rsid w:val="00480F28"/>
    <w:rsid w:val="00480F6B"/>
    <w:rsid w:val="00481281"/>
    <w:rsid w:val="004818FB"/>
    <w:rsid w:val="00481A61"/>
    <w:rsid w:val="00481DA7"/>
    <w:rsid w:val="0048247F"/>
    <w:rsid w:val="00483560"/>
    <w:rsid w:val="00485175"/>
    <w:rsid w:val="0048537D"/>
    <w:rsid w:val="00485F80"/>
    <w:rsid w:val="004860FC"/>
    <w:rsid w:val="00486422"/>
    <w:rsid w:val="00487473"/>
    <w:rsid w:val="00487B0C"/>
    <w:rsid w:val="00487CC6"/>
    <w:rsid w:val="00487FCA"/>
    <w:rsid w:val="004900AE"/>
    <w:rsid w:val="004902D8"/>
    <w:rsid w:val="004905F0"/>
    <w:rsid w:val="00490F91"/>
    <w:rsid w:val="004914D1"/>
    <w:rsid w:val="00492061"/>
    <w:rsid w:val="00492546"/>
    <w:rsid w:val="004927BF"/>
    <w:rsid w:val="00492F92"/>
    <w:rsid w:val="004937FC"/>
    <w:rsid w:val="00493EFA"/>
    <w:rsid w:val="00493FE8"/>
    <w:rsid w:val="0049426B"/>
    <w:rsid w:val="004945CB"/>
    <w:rsid w:val="00494DCD"/>
    <w:rsid w:val="00494F0A"/>
    <w:rsid w:val="004964AC"/>
    <w:rsid w:val="0049686A"/>
    <w:rsid w:val="00497274"/>
    <w:rsid w:val="004975C1"/>
    <w:rsid w:val="004A01B7"/>
    <w:rsid w:val="004A03B3"/>
    <w:rsid w:val="004A03FA"/>
    <w:rsid w:val="004A0956"/>
    <w:rsid w:val="004A0B63"/>
    <w:rsid w:val="004A1747"/>
    <w:rsid w:val="004A1902"/>
    <w:rsid w:val="004A1FE0"/>
    <w:rsid w:val="004A227A"/>
    <w:rsid w:val="004A2BB6"/>
    <w:rsid w:val="004A2BEF"/>
    <w:rsid w:val="004A2C59"/>
    <w:rsid w:val="004A2FDC"/>
    <w:rsid w:val="004A4939"/>
    <w:rsid w:val="004A4C88"/>
    <w:rsid w:val="004A4F74"/>
    <w:rsid w:val="004A50F2"/>
    <w:rsid w:val="004A5363"/>
    <w:rsid w:val="004A5540"/>
    <w:rsid w:val="004A5850"/>
    <w:rsid w:val="004A5910"/>
    <w:rsid w:val="004A6123"/>
    <w:rsid w:val="004A6300"/>
    <w:rsid w:val="004A6733"/>
    <w:rsid w:val="004A6C7C"/>
    <w:rsid w:val="004B01FB"/>
    <w:rsid w:val="004B0804"/>
    <w:rsid w:val="004B112C"/>
    <w:rsid w:val="004B1511"/>
    <w:rsid w:val="004B1671"/>
    <w:rsid w:val="004B21A1"/>
    <w:rsid w:val="004B22D2"/>
    <w:rsid w:val="004B28AB"/>
    <w:rsid w:val="004B298F"/>
    <w:rsid w:val="004B2A3D"/>
    <w:rsid w:val="004B2B61"/>
    <w:rsid w:val="004B3421"/>
    <w:rsid w:val="004B35A2"/>
    <w:rsid w:val="004B38AD"/>
    <w:rsid w:val="004B4156"/>
    <w:rsid w:val="004B4206"/>
    <w:rsid w:val="004B44FF"/>
    <w:rsid w:val="004B4FE4"/>
    <w:rsid w:val="004B5DED"/>
    <w:rsid w:val="004B6AFB"/>
    <w:rsid w:val="004B6D7B"/>
    <w:rsid w:val="004B78D3"/>
    <w:rsid w:val="004B7A40"/>
    <w:rsid w:val="004B7CCA"/>
    <w:rsid w:val="004B7E6E"/>
    <w:rsid w:val="004C1180"/>
    <w:rsid w:val="004C1445"/>
    <w:rsid w:val="004C151B"/>
    <w:rsid w:val="004C1F36"/>
    <w:rsid w:val="004C204D"/>
    <w:rsid w:val="004C21FF"/>
    <w:rsid w:val="004C31F3"/>
    <w:rsid w:val="004C4F85"/>
    <w:rsid w:val="004C623C"/>
    <w:rsid w:val="004C6442"/>
    <w:rsid w:val="004C647F"/>
    <w:rsid w:val="004C685E"/>
    <w:rsid w:val="004C7190"/>
    <w:rsid w:val="004C7899"/>
    <w:rsid w:val="004C797F"/>
    <w:rsid w:val="004C7A96"/>
    <w:rsid w:val="004C7D03"/>
    <w:rsid w:val="004C7DDB"/>
    <w:rsid w:val="004D03DF"/>
    <w:rsid w:val="004D0574"/>
    <w:rsid w:val="004D0673"/>
    <w:rsid w:val="004D2FAC"/>
    <w:rsid w:val="004D3592"/>
    <w:rsid w:val="004D3C6A"/>
    <w:rsid w:val="004D5060"/>
    <w:rsid w:val="004D5680"/>
    <w:rsid w:val="004D5A8D"/>
    <w:rsid w:val="004D5BC2"/>
    <w:rsid w:val="004D61C0"/>
    <w:rsid w:val="004D66B5"/>
    <w:rsid w:val="004D6D63"/>
    <w:rsid w:val="004D6DDF"/>
    <w:rsid w:val="004D7481"/>
    <w:rsid w:val="004D7C5C"/>
    <w:rsid w:val="004E01BD"/>
    <w:rsid w:val="004E10C8"/>
    <w:rsid w:val="004E1552"/>
    <w:rsid w:val="004E17B1"/>
    <w:rsid w:val="004E1878"/>
    <w:rsid w:val="004E1883"/>
    <w:rsid w:val="004E1BF5"/>
    <w:rsid w:val="004E29CA"/>
    <w:rsid w:val="004E36B4"/>
    <w:rsid w:val="004E3E9B"/>
    <w:rsid w:val="004E41BB"/>
    <w:rsid w:val="004E4446"/>
    <w:rsid w:val="004E47B3"/>
    <w:rsid w:val="004E4A88"/>
    <w:rsid w:val="004E4DDD"/>
    <w:rsid w:val="004E4ED8"/>
    <w:rsid w:val="004E5221"/>
    <w:rsid w:val="004E54DE"/>
    <w:rsid w:val="004E5B33"/>
    <w:rsid w:val="004E5E17"/>
    <w:rsid w:val="004E649E"/>
    <w:rsid w:val="004E6643"/>
    <w:rsid w:val="004E678B"/>
    <w:rsid w:val="004E67F5"/>
    <w:rsid w:val="004E6AE1"/>
    <w:rsid w:val="004E6C7E"/>
    <w:rsid w:val="004E6C86"/>
    <w:rsid w:val="004E6C9E"/>
    <w:rsid w:val="004E7875"/>
    <w:rsid w:val="004E7EE9"/>
    <w:rsid w:val="004F01DB"/>
    <w:rsid w:val="004F25A7"/>
    <w:rsid w:val="004F360F"/>
    <w:rsid w:val="004F3C95"/>
    <w:rsid w:val="004F3F4E"/>
    <w:rsid w:val="004F5282"/>
    <w:rsid w:val="004F54FA"/>
    <w:rsid w:val="004F5672"/>
    <w:rsid w:val="004F5D4D"/>
    <w:rsid w:val="004F60E4"/>
    <w:rsid w:val="004F648D"/>
    <w:rsid w:val="004F6F48"/>
    <w:rsid w:val="004F79DE"/>
    <w:rsid w:val="004F7E60"/>
    <w:rsid w:val="00500119"/>
    <w:rsid w:val="00500161"/>
    <w:rsid w:val="005002B9"/>
    <w:rsid w:val="005002BF"/>
    <w:rsid w:val="005005E2"/>
    <w:rsid w:val="00500A1B"/>
    <w:rsid w:val="00500C09"/>
    <w:rsid w:val="00500CEF"/>
    <w:rsid w:val="00500FFB"/>
    <w:rsid w:val="005012FB"/>
    <w:rsid w:val="00501880"/>
    <w:rsid w:val="00501952"/>
    <w:rsid w:val="00501E45"/>
    <w:rsid w:val="005033C7"/>
    <w:rsid w:val="00503ADA"/>
    <w:rsid w:val="00503E99"/>
    <w:rsid w:val="00504442"/>
    <w:rsid w:val="005049C2"/>
    <w:rsid w:val="00505C3F"/>
    <w:rsid w:val="00506374"/>
    <w:rsid w:val="005064ED"/>
    <w:rsid w:val="00506852"/>
    <w:rsid w:val="00506A08"/>
    <w:rsid w:val="00506F68"/>
    <w:rsid w:val="0050700F"/>
    <w:rsid w:val="0050751C"/>
    <w:rsid w:val="00510169"/>
    <w:rsid w:val="005101A8"/>
    <w:rsid w:val="00510214"/>
    <w:rsid w:val="005103B7"/>
    <w:rsid w:val="0051072D"/>
    <w:rsid w:val="0051116B"/>
    <w:rsid w:val="005119D4"/>
    <w:rsid w:val="00511EA7"/>
    <w:rsid w:val="005120E2"/>
    <w:rsid w:val="005122FB"/>
    <w:rsid w:val="005123F2"/>
    <w:rsid w:val="00512ACD"/>
    <w:rsid w:val="00512D1D"/>
    <w:rsid w:val="00512EDC"/>
    <w:rsid w:val="0051373C"/>
    <w:rsid w:val="00513BF6"/>
    <w:rsid w:val="00513C69"/>
    <w:rsid w:val="005149E1"/>
    <w:rsid w:val="00515607"/>
    <w:rsid w:val="00516062"/>
    <w:rsid w:val="0051699A"/>
    <w:rsid w:val="00516BAF"/>
    <w:rsid w:val="00516CEC"/>
    <w:rsid w:val="0051779D"/>
    <w:rsid w:val="00517CD2"/>
    <w:rsid w:val="00517EEA"/>
    <w:rsid w:val="00517F86"/>
    <w:rsid w:val="005200BE"/>
    <w:rsid w:val="00520DC4"/>
    <w:rsid w:val="00520F66"/>
    <w:rsid w:val="00521773"/>
    <w:rsid w:val="005218F4"/>
    <w:rsid w:val="0052246E"/>
    <w:rsid w:val="0052249E"/>
    <w:rsid w:val="00523116"/>
    <w:rsid w:val="00524A13"/>
    <w:rsid w:val="00524AFD"/>
    <w:rsid w:val="00524FB0"/>
    <w:rsid w:val="00525611"/>
    <w:rsid w:val="00525ABF"/>
    <w:rsid w:val="00525CAA"/>
    <w:rsid w:val="00525E68"/>
    <w:rsid w:val="00526C70"/>
    <w:rsid w:val="00531F46"/>
    <w:rsid w:val="005324F7"/>
    <w:rsid w:val="00532A20"/>
    <w:rsid w:val="00532DE5"/>
    <w:rsid w:val="005332D5"/>
    <w:rsid w:val="00533855"/>
    <w:rsid w:val="005342D7"/>
    <w:rsid w:val="00534C7D"/>
    <w:rsid w:val="00534EC8"/>
    <w:rsid w:val="00535372"/>
    <w:rsid w:val="005356DC"/>
    <w:rsid w:val="00535C10"/>
    <w:rsid w:val="00536287"/>
    <w:rsid w:val="00537178"/>
    <w:rsid w:val="0053722B"/>
    <w:rsid w:val="0053768F"/>
    <w:rsid w:val="00537CF9"/>
    <w:rsid w:val="005401EB"/>
    <w:rsid w:val="0054045A"/>
    <w:rsid w:val="00540762"/>
    <w:rsid w:val="0054095C"/>
    <w:rsid w:val="0054138F"/>
    <w:rsid w:val="00542404"/>
    <w:rsid w:val="0054261F"/>
    <w:rsid w:val="00542F79"/>
    <w:rsid w:val="00543483"/>
    <w:rsid w:val="005440E0"/>
    <w:rsid w:val="00544423"/>
    <w:rsid w:val="0054451B"/>
    <w:rsid w:val="00544721"/>
    <w:rsid w:val="00544B74"/>
    <w:rsid w:val="00544F20"/>
    <w:rsid w:val="005454ED"/>
    <w:rsid w:val="005463C3"/>
    <w:rsid w:val="005472F0"/>
    <w:rsid w:val="00547835"/>
    <w:rsid w:val="00547B1A"/>
    <w:rsid w:val="00547E8E"/>
    <w:rsid w:val="00550065"/>
    <w:rsid w:val="005503FF"/>
    <w:rsid w:val="00550765"/>
    <w:rsid w:val="005510E4"/>
    <w:rsid w:val="005513DA"/>
    <w:rsid w:val="00551CEE"/>
    <w:rsid w:val="005530D0"/>
    <w:rsid w:val="0055331A"/>
    <w:rsid w:val="005533D4"/>
    <w:rsid w:val="00554061"/>
    <w:rsid w:val="00554279"/>
    <w:rsid w:val="00554FF0"/>
    <w:rsid w:val="00560CF9"/>
    <w:rsid w:val="00561707"/>
    <w:rsid w:val="00561740"/>
    <w:rsid w:val="0056191F"/>
    <w:rsid w:val="00561CFF"/>
    <w:rsid w:val="00561E9E"/>
    <w:rsid w:val="005624AE"/>
    <w:rsid w:val="00562B15"/>
    <w:rsid w:val="00564401"/>
    <w:rsid w:val="005644E0"/>
    <w:rsid w:val="005646E5"/>
    <w:rsid w:val="0056524B"/>
    <w:rsid w:val="00566293"/>
    <w:rsid w:val="00567ABF"/>
    <w:rsid w:val="00570C11"/>
    <w:rsid w:val="00571088"/>
    <w:rsid w:val="00571421"/>
    <w:rsid w:val="00573409"/>
    <w:rsid w:val="0057388B"/>
    <w:rsid w:val="00574551"/>
    <w:rsid w:val="005745E3"/>
    <w:rsid w:val="00574936"/>
    <w:rsid w:val="00574B62"/>
    <w:rsid w:val="00575541"/>
    <w:rsid w:val="00575FBD"/>
    <w:rsid w:val="00576411"/>
    <w:rsid w:val="00577445"/>
    <w:rsid w:val="00577ABC"/>
    <w:rsid w:val="0058014F"/>
    <w:rsid w:val="005804E9"/>
    <w:rsid w:val="005805A0"/>
    <w:rsid w:val="005806CC"/>
    <w:rsid w:val="005807BF"/>
    <w:rsid w:val="00580C03"/>
    <w:rsid w:val="0058169A"/>
    <w:rsid w:val="00581ECD"/>
    <w:rsid w:val="0058221C"/>
    <w:rsid w:val="00582D94"/>
    <w:rsid w:val="005836AD"/>
    <w:rsid w:val="00584F67"/>
    <w:rsid w:val="00585F96"/>
    <w:rsid w:val="00587A2B"/>
    <w:rsid w:val="005901BA"/>
    <w:rsid w:val="00590871"/>
    <w:rsid w:val="00590F9C"/>
    <w:rsid w:val="0059118F"/>
    <w:rsid w:val="00591227"/>
    <w:rsid w:val="005916F5"/>
    <w:rsid w:val="0059321E"/>
    <w:rsid w:val="00593514"/>
    <w:rsid w:val="00594330"/>
    <w:rsid w:val="00594382"/>
    <w:rsid w:val="00594766"/>
    <w:rsid w:val="0059494C"/>
    <w:rsid w:val="00594A5C"/>
    <w:rsid w:val="005952C3"/>
    <w:rsid w:val="00595320"/>
    <w:rsid w:val="005955E9"/>
    <w:rsid w:val="00595BB2"/>
    <w:rsid w:val="00595CCE"/>
    <w:rsid w:val="005962F0"/>
    <w:rsid w:val="0059648D"/>
    <w:rsid w:val="00597054"/>
    <w:rsid w:val="0059756B"/>
    <w:rsid w:val="0059764B"/>
    <w:rsid w:val="005977B9"/>
    <w:rsid w:val="0059781D"/>
    <w:rsid w:val="00597E83"/>
    <w:rsid w:val="005A0398"/>
    <w:rsid w:val="005A093E"/>
    <w:rsid w:val="005A1504"/>
    <w:rsid w:val="005A17FB"/>
    <w:rsid w:val="005A1B99"/>
    <w:rsid w:val="005A1BDD"/>
    <w:rsid w:val="005A1FF5"/>
    <w:rsid w:val="005A238D"/>
    <w:rsid w:val="005A2C0C"/>
    <w:rsid w:val="005A33D5"/>
    <w:rsid w:val="005A40A1"/>
    <w:rsid w:val="005A44D3"/>
    <w:rsid w:val="005A4D10"/>
    <w:rsid w:val="005A5090"/>
    <w:rsid w:val="005A5234"/>
    <w:rsid w:val="005A5858"/>
    <w:rsid w:val="005A5A1E"/>
    <w:rsid w:val="005A609A"/>
    <w:rsid w:val="005A738F"/>
    <w:rsid w:val="005A7BEE"/>
    <w:rsid w:val="005B0074"/>
    <w:rsid w:val="005B09F5"/>
    <w:rsid w:val="005B0B17"/>
    <w:rsid w:val="005B141A"/>
    <w:rsid w:val="005B169E"/>
    <w:rsid w:val="005B19C3"/>
    <w:rsid w:val="005B2356"/>
    <w:rsid w:val="005B295A"/>
    <w:rsid w:val="005B306C"/>
    <w:rsid w:val="005B524E"/>
    <w:rsid w:val="005B594C"/>
    <w:rsid w:val="005B6526"/>
    <w:rsid w:val="005B6596"/>
    <w:rsid w:val="005B6D95"/>
    <w:rsid w:val="005B6F9A"/>
    <w:rsid w:val="005B71FF"/>
    <w:rsid w:val="005B7E5F"/>
    <w:rsid w:val="005C01E5"/>
    <w:rsid w:val="005C040C"/>
    <w:rsid w:val="005C0C85"/>
    <w:rsid w:val="005C0DE2"/>
    <w:rsid w:val="005C1145"/>
    <w:rsid w:val="005C13DD"/>
    <w:rsid w:val="005C1416"/>
    <w:rsid w:val="005C1A10"/>
    <w:rsid w:val="005C2C43"/>
    <w:rsid w:val="005C31F5"/>
    <w:rsid w:val="005C3DB7"/>
    <w:rsid w:val="005C3F5D"/>
    <w:rsid w:val="005C42C3"/>
    <w:rsid w:val="005C4466"/>
    <w:rsid w:val="005C52CF"/>
    <w:rsid w:val="005C5512"/>
    <w:rsid w:val="005C752B"/>
    <w:rsid w:val="005C774A"/>
    <w:rsid w:val="005C79B7"/>
    <w:rsid w:val="005D041E"/>
    <w:rsid w:val="005D12B1"/>
    <w:rsid w:val="005D17A0"/>
    <w:rsid w:val="005D1C04"/>
    <w:rsid w:val="005D33B5"/>
    <w:rsid w:val="005D457B"/>
    <w:rsid w:val="005D46F2"/>
    <w:rsid w:val="005D48DD"/>
    <w:rsid w:val="005D520D"/>
    <w:rsid w:val="005D55DB"/>
    <w:rsid w:val="005D65F0"/>
    <w:rsid w:val="005D6824"/>
    <w:rsid w:val="005D69E9"/>
    <w:rsid w:val="005D78DB"/>
    <w:rsid w:val="005E0614"/>
    <w:rsid w:val="005E0757"/>
    <w:rsid w:val="005E07AF"/>
    <w:rsid w:val="005E0AAA"/>
    <w:rsid w:val="005E0E5B"/>
    <w:rsid w:val="005E12BF"/>
    <w:rsid w:val="005E131B"/>
    <w:rsid w:val="005E17F2"/>
    <w:rsid w:val="005E18BB"/>
    <w:rsid w:val="005E1E39"/>
    <w:rsid w:val="005E2D7C"/>
    <w:rsid w:val="005E4262"/>
    <w:rsid w:val="005E48A5"/>
    <w:rsid w:val="005E55B4"/>
    <w:rsid w:val="005E5A67"/>
    <w:rsid w:val="005E692B"/>
    <w:rsid w:val="005E6FDD"/>
    <w:rsid w:val="005E70F2"/>
    <w:rsid w:val="005E73CD"/>
    <w:rsid w:val="005E75B3"/>
    <w:rsid w:val="005E77E7"/>
    <w:rsid w:val="005F012E"/>
    <w:rsid w:val="005F031A"/>
    <w:rsid w:val="005F0521"/>
    <w:rsid w:val="005F126A"/>
    <w:rsid w:val="005F1927"/>
    <w:rsid w:val="005F1A7C"/>
    <w:rsid w:val="005F1C14"/>
    <w:rsid w:val="005F39BA"/>
    <w:rsid w:val="005F3D11"/>
    <w:rsid w:val="005F4AF2"/>
    <w:rsid w:val="005F51E8"/>
    <w:rsid w:val="005F5A47"/>
    <w:rsid w:val="005F6850"/>
    <w:rsid w:val="005F79BF"/>
    <w:rsid w:val="005F7A74"/>
    <w:rsid w:val="006005F5"/>
    <w:rsid w:val="00600AE6"/>
    <w:rsid w:val="00600C19"/>
    <w:rsid w:val="00600DE7"/>
    <w:rsid w:val="00600F3F"/>
    <w:rsid w:val="00601210"/>
    <w:rsid w:val="00601E2E"/>
    <w:rsid w:val="00602257"/>
    <w:rsid w:val="006023ED"/>
    <w:rsid w:val="00602651"/>
    <w:rsid w:val="00603BCF"/>
    <w:rsid w:val="006045B1"/>
    <w:rsid w:val="00605609"/>
    <w:rsid w:val="0060657B"/>
    <w:rsid w:val="0060676D"/>
    <w:rsid w:val="00606F71"/>
    <w:rsid w:val="00607631"/>
    <w:rsid w:val="00607713"/>
    <w:rsid w:val="006101EF"/>
    <w:rsid w:val="006102CA"/>
    <w:rsid w:val="006106B3"/>
    <w:rsid w:val="00611B3B"/>
    <w:rsid w:val="00611E83"/>
    <w:rsid w:val="0061216B"/>
    <w:rsid w:val="006123C0"/>
    <w:rsid w:val="006125F6"/>
    <w:rsid w:val="00612D5B"/>
    <w:rsid w:val="006130F5"/>
    <w:rsid w:val="00613654"/>
    <w:rsid w:val="00613691"/>
    <w:rsid w:val="0061456F"/>
    <w:rsid w:val="00614D90"/>
    <w:rsid w:val="006153BD"/>
    <w:rsid w:val="00615760"/>
    <w:rsid w:val="00615836"/>
    <w:rsid w:val="00615859"/>
    <w:rsid w:val="00615C78"/>
    <w:rsid w:val="00615F61"/>
    <w:rsid w:val="00616244"/>
    <w:rsid w:val="00616735"/>
    <w:rsid w:val="00616D54"/>
    <w:rsid w:val="00616D65"/>
    <w:rsid w:val="00617450"/>
    <w:rsid w:val="006174A8"/>
    <w:rsid w:val="0061751B"/>
    <w:rsid w:val="00617708"/>
    <w:rsid w:val="006177D8"/>
    <w:rsid w:val="00617DF3"/>
    <w:rsid w:val="006201AA"/>
    <w:rsid w:val="0062056C"/>
    <w:rsid w:val="00620AA5"/>
    <w:rsid w:val="00620E17"/>
    <w:rsid w:val="00620E76"/>
    <w:rsid w:val="0062143D"/>
    <w:rsid w:val="006216A2"/>
    <w:rsid w:val="00621A5F"/>
    <w:rsid w:val="00621B61"/>
    <w:rsid w:val="00621CFA"/>
    <w:rsid w:val="00622129"/>
    <w:rsid w:val="0062221D"/>
    <w:rsid w:val="00622DA1"/>
    <w:rsid w:val="00623112"/>
    <w:rsid w:val="0062534F"/>
    <w:rsid w:val="00626998"/>
    <w:rsid w:val="00626F14"/>
    <w:rsid w:val="006271BA"/>
    <w:rsid w:val="0062741D"/>
    <w:rsid w:val="00627712"/>
    <w:rsid w:val="00627F36"/>
    <w:rsid w:val="0063058F"/>
    <w:rsid w:val="0063088D"/>
    <w:rsid w:val="00630D79"/>
    <w:rsid w:val="00630E31"/>
    <w:rsid w:val="006312A2"/>
    <w:rsid w:val="00631419"/>
    <w:rsid w:val="00631586"/>
    <w:rsid w:val="00631760"/>
    <w:rsid w:val="0063284E"/>
    <w:rsid w:val="006329F8"/>
    <w:rsid w:val="00632B17"/>
    <w:rsid w:val="00633CFC"/>
    <w:rsid w:val="00633E07"/>
    <w:rsid w:val="006342E5"/>
    <w:rsid w:val="00634A17"/>
    <w:rsid w:val="00634A76"/>
    <w:rsid w:val="006352AC"/>
    <w:rsid w:val="00635AE6"/>
    <w:rsid w:val="00636143"/>
    <w:rsid w:val="00636149"/>
    <w:rsid w:val="0063664D"/>
    <w:rsid w:val="0063697E"/>
    <w:rsid w:val="00636B0D"/>
    <w:rsid w:val="00636CF2"/>
    <w:rsid w:val="00637128"/>
    <w:rsid w:val="00637FAC"/>
    <w:rsid w:val="00640774"/>
    <w:rsid w:val="00641666"/>
    <w:rsid w:val="0064180F"/>
    <w:rsid w:val="00641E09"/>
    <w:rsid w:val="00642043"/>
    <w:rsid w:val="00642B8E"/>
    <w:rsid w:val="00642B9B"/>
    <w:rsid w:val="00642CCD"/>
    <w:rsid w:val="00643153"/>
    <w:rsid w:val="00643772"/>
    <w:rsid w:val="00643A19"/>
    <w:rsid w:val="00645C76"/>
    <w:rsid w:val="00645E42"/>
    <w:rsid w:val="00646E57"/>
    <w:rsid w:val="00647CAF"/>
    <w:rsid w:val="00651B63"/>
    <w:rsid w:val="00651DF5"/>
    <w:rsid w:val="0065326F"/>
    <w:rsid w:val="0065372D"/>
    <w:rsid w:val="0065445C"/>
    <w:rsid w:val="006556EF"/>
    <w:rsid w:val="00655CCD"/>
    <w:rsid w:val="00656265"/>
    <w:rsid w:val="0065637A"/>
    <w:rsid w:val="00656C7C"/>
    <w:rsid w:val="00656F36"/>
    <w:rsid w:val="0065734D"/>
    <w:rsid w:val="00657CE2"/>
    <w:rsid w:val="0066029F"/>
    <w:rsid w:val="0066066C"/>
    <w:rsid w:val="00661424"/>
    <w:rsid w:val="00661673"/>
    <w:rsid w:val="00661B62"/>
    <w:rsid w:val="00661F32"/>
    <w:rsid w:val="006625BF"/>
    <w:rsid w:val="00662630"/>
    <w:rsid w:val="0066346A"/>
    <w:rsid w:val="00664152"/>
    <w:rsid w:val="00664416"/>
    <w:rsid w:val="00664816"/>
    <w:rsid w:val="00664989"/>
    <w:rsid w:val="006649ED"/>
    <w:rsid w:val="006656FA"/>
    <w:rsid w:val="006657E5"/>
    <w:rsid w:val="00665A95"/>
    <w:rsid w:val="00666AFA"/>
    <w:rsid w:val="00666B13"/>
    <w:rsid w:val="00667A56"/>
    <w:rsid w:val="00667B1F"/>
    <w:rsid w:val="00667DDC"/>
    <w:rsid w:val="006704A3"/>
    <w:rsid w:val="00670835"/>
    <w:rsid w:val="006712EB"/>
    <w:rsid w:val="00671557"/>
    <w:rsid w:val="006715CC"/>
    <w:rsid w:val="00671950"/>
    <w:rsid w:val="00672177"/>
    <w:rsid w:val="0067228F"/>
    <w:rsid w:val="00672388"/>
    <w:rsid w:val="00672615"/>
    <w:rsid w:val="0067262F"/>
    <w:rsid w:val="00674099"/>
    <w:rsid w:val="006750DE"/>
    <w:rsid w:val="00675699"/>
    <w:rsid w:val="0067599B"/>
    <w:rsid w:val="00675FE1"/>
    <w:rsid w:val="00676633"/>
    <w:rsid w:val="006766E6"/>
    <w:rsid w:val="00676A34"/>
    <w:rsid w:val="00676CB3"/>
    <w:rsid w:val="006770DE"/>
    <w:rsid w:val="00677BCB"/>
    <w:rsid w:val="00681690"/>
    <w:rsid w:val="00681AC9"/>
    <w:rsid w:val="00681E6A"/>
    <w:rsid w:val="00682CF2"/>
    <w:rsid w:val="00682FB2"/>
    <w:rsid w:val="0068317E"/>
    <w:rsid w:val="006836AF"/>
    <w:rsid w:val="00683782"/>
    <w:rsid w:val="00684950"/>
    <w:rsid w:val="00685996"/>
    <w:rsid w:val="00685B0F"/>
    <w:rsid w:val="00685B1A"/>
    <w:rsid w:val="00685EAF"/>
    <w:rsid w:val="006862A5"/>
    <w:rsid w:val="006865F6"/>
    <w:rsid w:val="006870CD"/>
    <w:rsid w:val="00687300"/>
    <w:rsid w:val="00687740"/>
    <w:rsid w:val="006877BB"/>
    <w:rsid w:val="00687931"/>
    <w:rsid w:val="00690614"/>
    <w:rsid w:val="006907DA"/>
    <w:rsid w:val="0069140B"/>
    <w:rsid w:val="00691AEB"/>
    <w:rsid w:val="00691FFC"/>
    <w:rsid w:val="00692156"/>
    <w:rsid w:val="006925E3"/>
    <w:rsid w:val="00692763"/>
    <w:rsid w:val="00693390"/>
    <w:rsid w:val="00693E26"/>
    <w:rsid w:val="00693EE1"/>
    <w:rsid w:val="006945C3"/>
    <w:rsid w:val="0069464C"/>
    <w:rsid w:val="00694949"/>
    <w:rsid w:val="00694DB7"/>
    <w:rsid w:val="00695701"/>
    <w:rsid w:val="00696733"/>
    <w:rsid w:val="0069687A"/>
    <w:rsid w:val="006976E1"/>
    <w:rsid w:val="006A053A"/>
    <w:rsid w:val="006A0EBA"/>
    <w:rsid w:val="006A11AD"/>
    <w:rsid w:val="006A14B0"/>
    <w:rsid w:val="006A15FD"/>
    <w:rsid w:val="006A163F"/>
    <w:rsid w:val="006A1A41"/>
    <w:rsid w:val="006A1DB3"/>
    <w:rsid w:val="006A23F0"/>
    <w:rsid w:val="006A2E0F"/>
    <w:rsid w:val="006A4771"/>
    <w:rsid w:val="006A50CA"/>
    <w:rsid w:val="006A5109"/>
    <w:rsid w:val="006A5240"/>
    <w:rsid w:val="006A5BED"/>
    <w:rsid w:val="006A6E33"/>
    <w:rsid w:val="006A6FAD"/>
    <w:rsid w:val="006A73E2"/>
    <w:rsid w:val="006A77DC"/>
    <w:rsid w:val="006A7AC9"/>
    <w:rsid w:val="006B00C6"/>
    <w:rsid w:val="006B0481"/>
    <w:rsid w:val="006B06C9"/>
    <w:rsid w:val="006B0C32"/>
    <w:rsid w:val="006B1023"/>
    <w:rsid w:val="006B1515"/>
    <w:rsid w:val="006B1A14"/>
    <w:rsid w:val="006B1A3F"/>
    <w:rsid w:val="006B2702"/>
    <w:rsid w:val="006B2BFF"/>
    <w:rsid w:val="006B36E7"/>
    <w:rsid w:val="006B3C5D"/>
    <w:rsid w:val="006B5577"/>
    <w:rsid w:val="006B5E3A"/>
    <w:rsid w:val="006B5F11"/>
    <w:rsid w:val="006B66E5"/>
    <w:rsid w:val="006B7566"/>
    <w:rsid w:val="006B791C"/>
    <w:rsid w:val="006B7AA7"/>
    <w:rsid w:val="006C010E"/>
    <w:rsid w:val="006C02B6"/>
    <w:rsid w:val="006C088D"/>
    <w:rsid w:val="006C0A10"/>
    <w:rsid w:val="006C0FF6"/>
    <w:rsid w:val="006C1484"/>
    <w:rsid w:val="006C21CD"/>
    <w:rsid w:val="006C27A9"/>
    <w:rsid w:val="006C2B71"/>
    <w:rsid w:val="006C3F40"/>
    <w:rsid w:val="006C4926"/>
    <w:rsid w:val="006C527F"/>
    <w:rsid w:val="006C5343"/>
    <w:rsid w:val="006C551D"/>
    <w:rsid w:val="006C5908"/>
    <w:rsid w:val="006C5E97"/>
    <w:rsid w:val="006C6038"/>
    <w:rsid w:val="006C63CF"/>
    <w:rsid w:val="006C63F4"/>
    <w:rsid w:val="006C6D34"/>
    <w:rsid w:val="006C74FE"/>
    <w:rsid w:val="006D2CED"/>
    <w:rsid w:val="006D2D68"/>
    <w:rsid w:val="006D3041"/>
    <w:rsid w:val="006D3061"/>
    <w:rsid w:val="006D3FD7"/>
    <w:rsid w:val="006D4042"/>
    <w:rsid w:val="006D425E"/>
    <w:rsid w:val="006D44B0"/>
    <w:rsid w:val="006D456E"/>
    <w:rsid w:val="006D45E2"/>
    <w:rsid w:val="006D4D7B"/>
    <w:rsid w:val="006D4EDE"/>
    <w:rsid w:val="006D58F0"/>
    <w:rsid w:val="006D5F80"/>
    <w:rsid w:val="006D6223"/>
    <w:rsid w:val="006D636A"/>
    <w:rsid w:val="006D6996"/>
    <w:rsid w:val="006D6E24"/>
    <w:rsid w:val="006D7009"/>
    <w:rsid w:val="006D72E9"/>
    <w:rsid w:val="006D751C"/>
    <w:rsid w:val="006D7730"/>
    <w:rsid w:val="006D7A86"/>
    <w:rsid w:val="006D7D27"/>
    <w:rsid w:val="006D7D56"/>
    <w:rsid w:val="006E00E4"/>
    <w:rsid w:val="006E0707"/>
    <w:rsid w:val="006E1430"/>
    <w:rsid w:val="006E1679"/>
    <w:rsid w:val="006E1B4F"/>
    <w:rsid w:val="006E2D02"/>
    <w:rsid w:val="006E32EF"/>
    <w:rsid w:val="006E346A"/>
    <w:rsid w:val="006E363B"/>
    <w:rsid w:val="006E3A4F"/>
    <w:rsid w:val="006E4398"/>
    <w:rsid w:val="006E4478"/>
    <w:rsid w:val="006E4803"/>
    <w:rsid w:val="006E4BA8"/>
    <w:rsid w:val="006E4FC8"/>
    <w:rsid w:val="006E6FE6"/>
    <w:rsid w:val="006E71CC"/>
    <w:rsid w:val="006E720B"/>
    <w:rsid w:val="006E762B"/>
    <w:rsid w:val="006E7C73"/>
    <w:rsid w:val="006E7C79"/>
    <w:rsid w:val="006F0283"/>
    <w:rsid w:val="006F03BB"/>
    <w:rsid w:val="006F0AF6"/>
    <w:rsid w:val="006F0C56"/>
    <w:rsid w:val="006F196A"/>
    <w:rsid w:val="006F1D3C"/>
    <w:rsid w:val="006F20F0"/>
    <w:rsid w:val="006F2B27"/>
    <w:rsid w:val="006F32F4"/>
    <w:rsid w:val="006F3461"/>
    <w:rsid w:val="006F3749"/>
    <w:rsid w:val="006F40B5"/>
    <w:rsid w:val="006F43F6"/>
    <w:rsid w:val="006F4604"/>
    <w:rsid w:val="006F4662"/>
    <w:rsid w:val="006F4724"/>
    <w:rsid w:val="006F5036"/>
    <w:rsid w:val="006F54E3"/>
    <w:rsid w:val="006F565B"/>
    <w:rsid w:val="006F5950"/>
    <w:rsid w:val="006F5AC8"/>
    <w:rsid w:val="006F60B2"/>
    <w:rsid w:val="006F6C75"/>
    <w:rsid w:val="006F6C7B"/>
    <w:rsid w:val="006F72FD"/>
    <w:rsid w:val="006F7D58"/>
    <w:rsid w:val="007000C2"/>
    <w:rsid w:val="00700442"/>
    <w:rsid w:val="007004AB"/>
    <w:rsid w:val="00700F69"/>
    <w:rsid w:val="0070132F"/>
    <w:rsid w:val="00701874"/>
    <w:rsid w:val="00702632"/>
    <w:rsid w:val="00702A62"/>
    <w:rsid w:val="00702DE8"/>
    <w:rsid w:val="00703232"/>
    <w:rsid w:val="00703D5C"/>
    <w:rsid w:val="007043AE"/>
    <w:rsid w:val="00704434"/>
    <w:rsid w:val="007046B8"/>
    <w:rsid w:val="0070498B"/>
    <w:rsid w:val="00704D32"/>
    <w:rsid w:val="00705A44"/>
    <w:rsid w:val="007063AF"/>
    <w:rsid w:val="00706F4C"/>
    <w:rsid w:val="00707188"/>
    <w:rsid w:val="00707507"/>
    <w:rsid w:val="00707874"/>
    <w:rsid w:val="00707BDF"/>
    <w:rsid w:val="0071002B"/>
    <w:rsid w:val="007101FE"/>
    <w:rsid w:val="00710875"/>
    <w:rsid w:val="00710886"/>
    <w:rsid w:val="00710AD8"/>
    <w:rsid w:val="0071238D"/>
    <w:rsid w:val="00712B28"/>
    <w:rsid w:val="00712FB7"/>
    <w:rsid w:val="007132CD"/>
    <w:rsid w:val="00713AA7"/>
    <w:rsid w:val="00713B43"/>
    <w:rsid w:val="00713D18"/>
    <w:rsid w:val="007143D4"/>
    <w:rsid w:val="00714DC0"/>
    <w:rsid w:val="007155A0"/>
    <w:rsid w:val="007163F3"/>
    <w:rsid w:val="007168FB"/>
    <w:rsid w:val="00716EAD"/>
    <w:rsid w:val="00720037"/>
    <w:rsid w:val="00720DAA"/>
    <w:rsid w:val="007214B0"/>
    <w:rsid w:val="007214F5"/>
    <w:rsid w:val="00721846"/>
    <w:rsid w:val="00721B6C"/>
    <w:rsid w:val="00721B9D"/>
    <w:rsid w:val="00721EDD"/>
    <w:rsid w:val="00722095"/>
    <w:rsid w:val="00722372"/>
    <w:rsid w:val="007223FF"/>
    <w:rsid w:val="00723109"/>
    <w:rsid w:val="00723704"/>
    <w:rsid w:val="00723AA4"/>
    <w:rsid w:val="0072462C"/>
    <w:rsid w:val="00724A6A"/>
    <w:rsid w:val="00724C1C"/>
    <w:rsid w:val="007250A9"/>
    <w:rsid w:val="00725D5F"/>
    <w:rsid w:val="007267F1"/>
    <w:rsid w:val="00727A40"/>
    <w:rsid w:val="00727B31"/>
    <w:rsid w:val="00727BA2"/>
    <w:rsid w:val="00727BCE"/>
    <w:rsid w:val="0073087B"/>
    <w:rsid w:val="0073109C"/>
    <w:rsid w:val="00731DBC"/>
    <w:rsid w:val="00732177"/>
    <w:rsid w:val="0073276B"/>
    <w:rsid w:val="00732AA5"/>
    <w:rsid w:val="00732B06"/>
    <w:rsid w:val="007335EA"/>
    <w:rsid w:val="0073361F"/>
    <w:rsid w:val="00734734"/>
    <w:rsid w:val="007349BC"/>
    <w:rsid w:val="00734C02"/>
    <w:rsid w:val="00736189"/>
    <w:rsid w:val="0073639A"/>
    <w:rsid w:val="0073689B"/>
    <w:rsid w:val="007369F9"/>
    <w:rsid w:val="0073712A"/>
    <w:rsid w:val="007371CF"/>
    <w:rsid w:val="007403CF"/>
    <w:rsid w:val="0074117F"/>
    <w:rsid w:val="00741D06"/>
    <w:rsid w:val="00742726"/>
    <w:rsid w:val="0074320E"/>
    <w:rsid w:val="00743254"/>
    <w:rsid w:val="00743941"/>
    <w:rsid w:val="00743BAB"/>
    <w:rsid w:val="00744391"/>
    <w:rsid w:val="007447D5"/>
    <w:rsid w:val="00744B0D"/>
    <w:rsid w:val="0074538E"/>
    <w:rsid w:val="0074542C"/>
    <w:rsid w:val="007457CD"/>
    <w:rsid w:val="0074599D"/>
    <w:rsid w:val="0074605B"/>
    <w:rsid w:val="00746736"/>
    <w:rsid w:val="00750830"/>
    <w:rsid w:val="0075100D"/>
    <w:rsid w:val="0075149F"/>
    <w:rsid w:val="0075324A"/>
    <w:rsid w:val="00753B67"/>
    <w:rsid w:val="00753C38"/>
    <w:rsid w:val="007540E5"/>
    <w:rsid w:val="00754EAD"/>
    <w:rsid w:val="00754FF0"/>
    <w:rsid w:val="00755C3E"/>
    <w:rsid w:val="00756872"/>
    <w:rsid w:val="00756CD1"/>
    <w:rsid w:val="0075715B"/>
    <w:rsid w:val="00760A2A"/>
    <w:rsid w:val="007613D1"/>
    <w:rsid w:val="007621DD"/>
    <w:rsid w:val="007626CD"/>
    <w:rsid w:val="00762E71"/>
    <w:rsid w:val="00762FB2"/>
    <w:rsid w:val="00763137"/>
    <w:rsid w:val="0076326D"/>
    <w:rsid w:val="007633CC"/>
    <w:rsid w:val="00763B0D"/>
    <w:rsid w:val="00764076"/>
    <w:rsid w:val="0076411D"/>
    <w:rsid w:val="00764408"/>
    <w:rsid w:val="00764DAC"/>
    <w:rsid w:val="00764E3D"/>
    <w:rsid w:val="00764EF4"/>
    <w:rsid w:val="00765176"/>
    <w:rsid w:val="007655D9"/>
    <w:rsid w:val="00765841"/>
    <w:rsid w:val="00766C54"/>
    <w:rsid w:val="00766EC0"/>
    <w:rsid w:val="00767401"/>
    <w:rsid w:val="007674FA"/>
    <w:rsid w:val="00767AEB"/>
    <w:rsid w:val="00767EAC"/>
    <w:rsid w:val="00770ADD"/>
    <w:rsid w:val="00771569"/>
    <w:rsid w:val="00771A2E"/>
    <w:rsid w:val="00771B2B"/>
    <w:rsid w:val="00772BF2"/>
    <w:rsid w:val="00772E19"/>
    <w:rsid w:val="00772EAD"/>
    <w:rsid w:val="0077321D"/>
    <w:rsid w:val="00773303"/>
    <w:rsid w:val="00773AEA"/>
    <w:rsid w:val="00775684"/>
    <w:rsid w:val="0077577C"/>
    <w:rsid w:val="00775A1C"/>
    <w:rsid w:val="00775B1F"/>
    <w:rsid w:val="00775DE8"/>
    <w:rsid w:val="007762AF"/>
    <w:rsid w:val="00777555"/>
    <w:rsid w:val="00781407"/>
    <w:rsid w:val="00781EAA"/>
    <w:rsid w:val="0078283C"/>
    <w:rsid w:val="00782BAB"/>
    <w:rsid w:val="00782F61"/>
    <w:rsid w:val="00783DCD"/>
    <w:rsid w:val="00783DF3"/>
    <w:rsid w:val="007840EC"/>
    <w:rsid w:val="00784234"/>
    <w:rsid w:val="00784691"/>
    <w:rsid w:val="00784B10"/>
    <w:rsid w:val="00784B9A"/>
    <w:rsid w:val="007850FD"/>
    <w:rsid w:val="007851E5"/>
    <w:rsid w:val="0078535E"/>
    <w:rsid w:val="00785803"/>
    <w:rsid w:val="0078584A"/>
    <w:rsid w:val="00785850"/>
    <w:rsid w:val="00785A0E"/>
    <w:rsid w:val="0078654F"/>
    <w:rsid w:val="00790189"/>
    <w:rsid w:val="007901CF"/>
    <w:rsid w:val="00790371"/>
    <w:rsid w:val="00790378"/>
    <w:rsid w:val="0079042E"/>
    <w:rsid w:val="007904EC"/>
    <w:rsid w:val="00790F9A"/>
    <w:rsid w:val="00791735"/>
    <w:rsid w:val="0079197D"/>
    <w:rsid w:val="00791F46"/>
    <w:rsid w:val="00792AB5"/>
    <w:rsid w:val="00793223"/>
    <w:rsid w:val="00793241"/>
    <w:rsid w:val="007938CD"/>
    <w:rsid w:val="00793D24"/>
    <w:rsid w:val="00794182"/>
    <w:rsid w:val="00794B90"/>
    <w:rsid w:val="00795933"/>
    <w:rsid w:val="0079606F"/>
    <w:rsid w:val="007960CE"/>
    <w:rsid w:val="007960FB"/>
    <w:rsid w:val="0079643D"/>
    <w:rsid w:val="007964F1"/>
    <w:rsid w:val="00796962"/>
    <w:rsid w:val="00796D11"/>
    <w:rsid w:val="0079712A"/>
    <w:rsid w:val="007971CB"/>
    <w:rsid w:val="007974BB"/>
    <w:rsid w:val="0079785E"/>
    <w:rsid w:val="007A0402"/>
    <w:rsid w:val="007A0E5A"/>
    <w:rsid w:val="007A0EAC"/>
    <w:rsid w:val="007A2199"/>
    <w:rsid w:val="007A34EA"/>
    <w:rsid w:val="007A39CB"/>
    <w:rsid w:val="007A3BD5"/>
    <w:rsid w:val="007A4216"/>
    <w:rsid w:val="007A472B"/>
    <w:rsid w:val="007A564E"/>
    <w:rsid w:val="007A572A"/>
    <w:rsid w:val="007A5895"/>
    <w:rsid w:val="007A5EF2"/>
    <w:rsid w:val="007A5F67"/>
    <w:rsid w:val="007A6192"/>
    <w:rsid w:val="007A631E"/>
    <w:rsid w:val="007A6C71"/>
    <w:rsid w:val="007A7182"/>
    <w:rsid w:val="007A78B4"/>
    <w:rsid w:val="007A7C2C"/>
    <w:rsid w:val="007A7D32"/>
    <w:rsid w:val="007A7DFC"/>
    <w:rsid w:val="007A7FE9"/>
    <w:rsid w:val="007B0CD8"/>
    <w:rsid w:val="007B167C"/>
    <w:rsid w:val="007B23D3"/>
    <w:rsid w:val="007B2CB1"/>
    <w:rsid w:val="007B3D5A"/>
    <w:rsid w:val="007B40A8"/>
    <w:rsid w:val="007B44B3"/>
    <w:rsid w:val="007B5177"/>
    <w:rsid w:val="007B517A"/>
    <w:rsid w:val="007B5E34"/>
    <w:rsid w:val="007B60D2"/>
    <w:rsid w:val="007B6164"/>
    <w:rsid w:val="007B6423"/>
    <w:rsid w:val="007B6665"/>
    <w:rsid w:val="007B7625"/>
    <w:rsid w:val="007B7B63"/>
    <w:rsid w:val="007B7CBD"/>
    <w:rsid w:val="007C05FF"/>
    <w:rsid w:val="007C0932"/>
    <w:rsid w:val="007C1526"/>
    <w:rsid w:val="007C1AB5"/>
    <w:rsid w:val="007C1D28"/>
    <w:rsid w:val="007C1EE0"/>
    <w:rsid w:val="007C2340"/>
    <w:rsid w:val="007C2859"/>
    <w:rsid w:val="007C2BE7"/>
    <w:rsid w:val="007C3BE2"/>
    <w:rsid w:val="007C4540"/>
    <w:rsid w:val="007C4673"/>
    <w:rsid w:val="007C5040"/>
    <w:rsid w:val="007C56E7"/>
    <w:rsid w:val="007C571F"/>
    <w:rsid w:val="007C5E7A"/>
    <w:rsid w:val="007C5EB3"/>
    <w:rsid w:val="007C6E89"/>
    <w:rsid w:val="007D035E"/>
    <w:rsid w:val="007D1166"/>
    <w:rsid w:val="007D1C88"/>
    <w:rsid w:val="007D2829"/>
    <w:rsid w:val="007D28E7"/>
    <w:rsid w:val="007D2D78"/>
    <w:rsid w:val="007D31BE"/>
    <w:rsid w:val="007D363E"/>
    <w:rsid w:val="007D3B12"/>
    <w:rsid w:val="007D409E"/>
    <w:rsid w:val="007D43A6"/>
    <w:rsid w:val="007D551E"/>
    <w:rsid w:val="007D58F0"/>
    <w:rsid w:val="007D62B3"/>
    <w:rsid w:val="007D724E"/>
    <w:rsid w:val="007D7FA5"/>
    <w:rsid w:val="007E005A"/>
    <w:rsid w:val="007E0A4F"/>
    <w:rsid w:val="007E161A"/>
    <w:rsid w:val="007E1B20"/>
    <w:rsid w:val="007E2219"/>
    <w:rsid w:val="007E23C5"/>
    <w:rsid w:val="007E249F"/>
    <w:rsid w:val="007E2823"/>
    <w:rsid w:val="007E2A09"/>
    <w:rsid w:val="007E2F24"/>
    <w:rsid w:val="007E36CC"/>
    <w:rsid w:val="007E3711"/>
    <w:rsid w:val="007E3E04"/>
    <w:rsid w:val="007E3E4C"/>
    <w:rsid w:val="007E451D"/>
    <w:rsid w:val="007E4944"/>
    <w:rsid w:val="007E4FD0"/>
    <w:rsid w:val="007E506A"/>
    <w:rsid w:val="007E597A"/>
    <w:rsid w:val="007E5D58"/>
    <w:rsid w:val="007E6826"/>
    <w:rsid w:val="007E723A"/>
    <w:rsid w:val="007E7B96"/>
    <w:rsid w:val="007E7C77"/>
    <w:rsid w:val="007E7FDE"/>
    <w:rsid w:val="007F08A3"/>
    <w:rsid w:val="007F1538"/>
    <w:rsid w:val="007F1CD4"/>
    <w:rsid w:val="007F1F88"/>
    <w:rsid w:val="007F20FC"/>
    <w:rsid w:val="007F2296"/>
    <w:rsid w:val="007F345B"/>
    <w:rsid w:val="007F5115"/>
    <w:rsid w:val="007F5481"/>
    <w:rsid w:val="007F5500"/>
    <w:rsid w:val="007F5839"/>
    <w:rsid w:val="007F6197"/>
    <w:rsid w:val="007F62B0"/>
    <w:rsid w:val="007F662B"/>
    <w:rsid w:val="007F66D4"/>
    <w:rsid w:val="00800619"/>
    <w:rsid w:val="00800A23"/>
    <w:rsid w:val="00802897"/>
    <w:rsid w:val="00802921"/>
    <w:rsid w:val="00803510"/>
    <w:rsid w:val="008049E0"/>
    <w:rsid w:val="00805266"/>
    <w:rsid w:val="00806173"/>
    <w:rsid w:val="008068FF"/>
    <w:rsid w:val="00806C41"/>
    <w:rsid w:val="00807671"/>
    <w:rsid w:val="00810B1C"/>
    <w:rsid w:val="00810FA3"/>
    <w:rsid w:val="0081158D"/>
    <w:rsid w:val="008128EB"/>
    <w:rsid w:val="00812E9F"/>
    <w:rsid w:val="00812F12"/>
    <w:rsid w:val="00812F15"/>
    <w:rsid w:val="00814240"/>
    <w:rsid w:val="00814575"/>
    <w:rsid w:val="008146FE"/>
    <w:rsid w:val="0081499C"/>
    <w:rsid w:val="00814C11"/>
    <w:rsid w:val="00815432"/>
    <w:rsid w:val="00815DF7"/>
    <w:rsid w:val="0081605F"/>
    <w:rsid w:val="008162B0"/>
    <w:rsid w:val="0081669B"/>
    <w:rsid w:val="00816A4A"/>
    <w:rsid w:val="00817597"/>
    <w:rsid w:val="00817703"/>
    <w:rsid w:val="0082018B"/>
    <w:rsid w:val="00820983"/>
    <w:rsid w:val="00820D49"/>
    <w:rsid w:val="00820F17"/>
    <w:rsid w:val="008214C3"/>
    <w:rsid w:val="00821599"/>
    <w:rsid w:val="0082294B"/>
    <w:rsid w:val="00822DC0"/>
    <w:rsid w:val="00823878"/>
    <w:rsid w:val="00823B7B"/>
    <w:rsid w:val="00823F6B"/>
    <w:rsid w:val="00824309"/>
    <w:rsid w:val="008249E8"/>
    <w:rsid w:val="00824ED4"/>
    <w:rsid w:val="0082556B"/>
    <w:rsid w:val="00825886"/>
    <w:rsid w:val="0082595C"/>
    <w:rsid w:val="008261D3"/>
    <w:rsid w:val="008269F5"/>
    <w:rsid w:val="00826A8C"/>
    <w:rsid w:val="00827999"/>
    <w:rsid w:val="00830441"/>
    <w:rsid w:val="00830AB7"/>
    <w:rsid w:val="00831655"/>
    <w:rsid w:val="00832B7D"/>
    <w:rsid w:val="00833D76"/>
    <w:rsid w:val="0083437F"/>
    <w:rsid w:val="00834494"/>
    <w:rsid w:val="0083537D"/>
    <w:rsid w:val="00835B01"/>
    <w:rsid w:val="00836AD3"/>
    <w:rsid w:val="0083707D"/>
    <w:rsid w:val="008371F4"/>
    <w:rsid w:val="00837340"/>
    <w:rsid w:val="00837ABA"/>
    <w:rsid w:val="00840F15"/>
    <w:rsid w:val="00841C20"/>
    <w:rsid w:val="00841F81"/>
    <w:rsid w:val="008421BB"/>
    <w:rsid w:val="00842E06"/>
    <w:rsid w:val="00842F11"/>
    <w:rsid w:val="00842F69"/>
    <w:rsid w:val="00842FE6"/>
    <w:rsid w:val="00843708"/>
    <w:rsid w:val="0084464F"/>
    <w:rsid w:val="008452F9"/>
    <w:rsid w:val="00845851"/>
    <w:rsid w:val="008458C6"/>
    <w:rsid w:val="00845EED"/>
    <w:rsid w:val="00846284"/>
    <w:rsid w:val="00847003"/>
    <w:rsid w:val="00847D74"/>
    <w:rsid w:val="00847EE6"/>
    <w:rsid w:val="008503ED"/>
    <w:rsid w:val="0085093E"/>
    <w:rsid w:val="008517EB"/>
    <w:rsid w:val="0085188C"/>
    <w:rsid w:val="00853134"/>
    <w:rsid w:val="0085524B"/>
    <w:rsid w:val="008552C7"/>
    <w:rsid w:val="008564F1"/>
    <w:rsid w:val="0085689A"/>
    <w:rsid w:val="00856DD8"/>
    <w:rsid w:val="00856E8F"/>
    <w:rsid w:val="00857B14"/>
    <w:rsid w:val="00860D0D"/>
    <w:rsid w:val="008610E3"/>
    <w:rsid w:val="0086122B"/>
    <w:rsid w:val="008620D7"/>
    <w:rsid w:val="00863496"/>
    <w:rsid w:val="00863E21"/>
    <w:rsid w:val="00864144"/>
    <w:rsid w:val="00864553"/>
    <w:rsid w:val="00864968"/>
    <w:rsid w:val="00864C5B"/>
    <w:rsid w:val="00865BA8"/>
    <w:rsid w:val="00865CA3"/>
    <w:rsid w:val="00866E5B"/>
    <w:rsid w:val="00866F7C"/>
    <w:rsid w:val="008670C0"/>
    <w:rsid w:val="00867439"/>
    <w:rsid w:val="00867497"/>
    <w:rsid w:val="008675AB"/>
    <w:rsid w:val="00867EBA"/>
    <w:rsid w:val="008716FB"/>
    <w:rsid w:val="00871D95"/>
    <w:rsid w:val="008721E0"/>
    <w:rsid w:val="00872A1E"/>
    <w:rsid w:val="00873203"/>
    <w:rsid w:val="008747C1"/>
    <w:rsid w:val="00874DAF"/>
    <w:rsid w:val="00875C1B"/>
    <w:rsid w:val="00876167"/>
    <w:rsid w:val="008779F7"/>
    <w:rsid w:val="0088026C"/>
    <w:rsid w:val="008806F2"/>
    <w:rsid w:val="00880939"/>
    <w:rsid w:val="008810E0"/>
    <w:rsid w:val="00882168"/>
    <w:rsid w:val="00882255"/>
    <w:rsid w:val="008826A5"/>
    <w:rsid w:val="00882D4F"/>
    <w:rsid w:val="00883241"/>
    <w:rsid w:val="00883342"/>
    <w:rsid w:val="00883992"/>
    <w:rsid w:val="00884FC4"/>
    <w:rsid w:val="00885333"/>
    <w:rsid w:val="00885A42"/>
    <w:rsid w:val="00886ACF"/>
    <w:rsid w:val="008872FC"/>
    <w:rsid w:val="0088765E"/>
    <w:rsid w:val="00887A2C"/>
    <w:rsid w:val="0089070E"/>
    <w:rsid w:val="008907C5"/>
    <w:rsid w:val="00891373"/>
    <w:rsid w:val="0089178D"/>
    <w:rsid w:val="00891E3B"/>
    <w:rsid w:val="008923E5"/>
    <w:rsid w:val="0089255E"/>
    <w:rsid w:val="008925DB"/>
    <w:rsid w:val="0089288D"/>
    <w:rsid w:val="00893107"/>
    <w:rsid w:val="00893924"/>
    <w:rsid w:val="00894A37"/>
    <w:rsid w:val="00894C13"/>
    <w:rsid w:val="00894CBB"/>
    <w:rsid w:val="00894FC7"/>
    <w:rsid w:val="008960DB"/>
    <w:rsid w:val="00896322"/>
    <w:rsid w:val="00897485"/>
    <w:rsid w:val="008976AD"/>
    <w:rsid w:val="00897949"/>
    <w:rsid w:val="008A05A3"/>
    <w:rsid w:val="008A1206"/>
    <w:rsid w:val="008A16A9"/>
    <w:rsid w:val="008A1775"/>
    <w:rsid w:val="008A1C9F"/>
    <w:rsid w:val="008A1F7A"/>
    <w:rsid w:val="008A319B"/>
    <w:rsid w:val="008A33EB"/>
    <w:rsid w:val="008A3755"/>
    <w:rsid w:val="008A41EA"/>
    <w:rsid w:val="008A42D0"/>
    <w:rsid w:val="008A4899"/>
    <w:rsid w:val="008A4935"/>
    <w:rsid w:val="008A4B66"/>
    <w:rsid w:val="008A4F54"/>
    <w:rsid w:val="008A5CE6"/>
    <w:rsid w:val="008A660E"/>
    <w:rsid w:val="008A74A0"/>
    <w:rsid w:val="008A784D"/>
    <w:rsid w:val="008A7B45"/>
    <w:rsid w:val="008A7CE5"/>
    <w:rsid w:val="008B0347"/>
    <w:rsid w:val="008B03B3"/>
    <w:rsid w:val="008B0BD6"/>
    <w:rsid w:val="008B10B1"/>
    <w:rsid w:val="008B1185"/>
    <w:rsid w:val="008B138D"/>
    <w:rsid w:val="008B22FE"/>
    <w:rsid w:val="008B2425"/>
    <w:rsid w:val="008B2C09"/>
    <w:rsid w:val="008B38D2"/>
    <w:rsid w:val="008B3CD7"/>
    <w:rsid w:val="008B3E42"/>
    <w:rsid w:val="008B40A7"/>
    <w:rsid w:val="008B4A93"/>
    <w:rsid w:val="008B5225"/>
    <w:rsid w:val="008B527C"/>
    <w:rsid w:val="008B59E8"/>
    <w:rsid w:val="008B64EB"/>
    <w:rsid w:val="008B6C27"/>
    <w:rsid w:val="008B6F27"/>
    <w:rsid w:val="008B6F7B"/>
    <w:rsid w:val="008B71AF"/>
    <w:rsid w:val="008C07B9"/>
    <w:rsid w:val="008C0BF9"/>
    <w:rsid w:val="008C0F64"/>
    <w:rsid w:val="008C1941"/>
    <w:rsid w:val="008C1C21"/>
    <w:rsid w:val="008C223B"/>
    <w:rsid w:val="008C2C6E"/>
    <w:rsid w:val="008C31C8"/>
    <w:rsid w:val="008C36DE"/>
    <w:rsid w:val="008C3B7A"/>
    <w:rsid w:val="008C3D07"/>
    <w:rsid w:val="008C4418"/>
    <w:rsid w:val="008C48BB"/>
    <w:rsid w:val="008C4F60"/>
    <w:rsid w:val="008C57D1"/>
    <w:rsid w:val="008C5E24"/>
    <w:rsid w:val="008C5E40"/>
    <w:rsid w:val="008C5F42"/>
    <w:rsid w:val="008C6A0E"/>
    <w:rsid w:val="008C6A1D"/>
    <w:rsid w:val="008C6F9A"/>
    <w:rsid w:val="008C77F8"/>
    <w:rsid w:val="008D0841"/>
    <w:rsid w:val="008D0F0B"/>
    <w:rsid w:val="008D3312"/>
    <w:rsid w:val="008D3AFF"/>
    <w:rsid w:val="008D3EEB"/>
    <w:rsid w:val="008D418D"/>
    <w:rsid w:val="008D41B2"/>
    <w:rsid w:val="008D4595"/>
    <w:rsid w:val="008D4872"/>
    <w:rsid w:val="008D4B03"/>
    <w:rsid w:val="008D4F8C"/>
    <w:rsid w:val="008D5151"/>
    <w:rsid w:val="008D67FD"/>
    <w:rsid w:val="008D7086"/>
    <w:rsid w:val="008D72F4"/>
    <w:rsid w:val="008D7347"/>
    <w:rsid w:val="008D75BB"/>
    <w:rsid w:val="008D7638"/>
    <w:rsid w:val="008D7FB6"/>
    <w:rsid w:val="008E0414"/>
    <w:rsid w:val="008E0998"/>
    <w:rsid w:val="008E0BC0"/>
    <w:rsid w:val="008E0C21"/>
    <w:rsid w:val="008E230C"/>
    <w:rsid w:val="008E2511"/>
    <w:rsid w:val="008E34E1"/>
    <w:rsid w:val="008E3795"/>
    <w:rsid w:val="008E3AEF"/>
    <w:rsid w:val="008E4656"/>
    <w:rsid w:val="008E4D06"/>
    <w:rsid w:val="008E5A81"/>
    <w:rsid w:val="008E6227"/>
    <w:rsid w:val="008E63D6"/>
    <w:rsid w:val="008E65F4"/>
    <w:rsid w:val="008E6B96"/>
    <w:rsid w:val="008E7171"/>
    <w:rsid w:val="008E71BD"/>
    <w:rsid w:val="008E737F"/>
    <w:rsid w:val="008E743F"/>
    <w:rsid w:val="008E754E"/>
    <w:rsid w:val="008E7CC5"/>
    <w:rsid w:val="008F091A"/>
    <w:rsid w:val="008F0ACE"/>
    <w:rsid w:val="008F0C74"/>
    <w:rsid w:val="008F0DA9"/>
    <w:rsid w:val="008F160A"/>
    <w:rsid w:val="008F2669"/>
    <w:rsid w:val="008F27E6"/>
    <w:rsid w:val="008F2C14"/>
    <w:rsid w:val="008F2F18"/>
    <w:rsid w:val="008F376B"/>
    <w:rsid w:val="008F3924"/>
    <w:rsid w:val="008F3E13"/>
    <w:rsid w:val="008F41D1"/>
    <w:rsid w:val="008F45BC"/>
    <w:rsid w:val="008F4821"/>
    <w:rsid w:val="008F4A4F"/>
    <w:rsid w:val="008F4DEE"/>
    <w:rsid w:val="008F4E46"/>
    <w:rsid w:val="008F5992"/>
    <w:rsid w:val="008F5EA7"/>
    <w:rsid w:val="008F5F13"/>
    <w:rsid w:val="008F6462"/>
    <w:rsid w:val="008F66EA"/>
    <w:rsid w:val="008F7278"/>
    <w:rsid w:val="008F7B46"/>
    <w:rsid w:val="008F7BD3"/>
    <w:rsid w:val="008F7D03"/>
    <w:rsid w:val="0090010A"/>
    <w:rsid w:val="00901FD8"/>
    <w:rsid w:val="009025E4"/>
    <w:rsid w:val="00902897"/>
    <w:rsid w:val="009028E3"/>
    <w:rsid w:val="009028FC"/>
    <w:rsid w:val="00902BB4"/>
    <w:rsid w:val="009032E8"/>
    <w:rsid w:val="00903916"/>
    <w:rsid w:val="0090413F"/>
    <w:rsid w:val="0090432E"/>
    <w:rsid w:val="009046B9"/>
    <w:rsid w:val="00904AD1"/>
    <w:rsid w:val="00904DC0"/>
    <w:rsid w:val="00904F20"/>
    <w:rsid w:val="00905307"/>
    <w:rsid w:val="0090535F"/>
    <w:rsid w:val="009055B3"/>
    <w:rsid w:val="009064A0"/>
    <w:rsid w:val="0090651D"/>
    <w:rsid w:val="00906696"/>
    <w:rsid w:val="009077AC"/>
    <w:rsid w:val="00910056"/>
    <w:rsid w:val="00910175"/>
    <w:rsid w:val="00910420"/>
    <w:rsid w:val="009105E8"/>
    <w:rsid w:val="009110C1"/>
    <w:rsid w:val="00911292"/>
    <w:rsid w:val="009118E9"/>
    <w:rsid w:val="00911BFA"/>
    <w:rsid w:val="0091258E"/>
    <w:rsid w:val="009128A4"/>
    <w:rsid w:val="00913ABA"/>
    <w:rsid w:val="00913B8A"/>
    <w:rsid w:val="009144E7"/>
    <w:rsid w:val="009144F2"/>
    <w:rsid w:val="00914665"/>
    <w:rsid w:val="009163A8"/>
    <w:rsid w:val="0091743F"/>
    <w:rsid w:val="00917CDA"/>
    <w:rsid w:val="00917E99"/>
    <w:rsid w:val="00920A59"/>
    <w:rsid w:val="00920CC7"/>
    <w:rsid w:val="00921254"/>
    <w:rsid w:val="00922639"/>
    <w:rsid w:val="009231F7"/>
    <w:rsid w:val="00923483"/>
    <w:rsid w:val="0092367C"/>
    <w:rsid w:val="00923D5C"/>
    <w:rsid w:val="00923E02"/>
    <w:rsid w:val="00924349"/>
    <w:rsid w:val="00924A75"/>
    <w:rsid w:val="009251E3"/>
    <w:rsid w:val="009258BD"/>
    <w:rsid w:val="00925964"/>
    <w:rsid w:val="00925B17"/>
    <w:rsid w:val="009261B8"/>
    <w:rsid w:val="009261F1"/>
    <w:rsid w:val="00926292"/>
    <w:rsid w:val="0092690A"/>
    <w:rsid w:val="00926C28"/>
    <w:rsid w:val="00926E61"/>
    <w:rsid w:val="00927082"/>
    <w:rsid w:val="0092737B"/>
    <w:rsid w:val="0092744E"/>
    <w:rsid w:val="00927475"/>
    <w:rsid w:val="00927542"/>
    <w:rsid w:val="00930AC1"/>
    <w:rsid w:val="00930CDF"/>
    <w:rsid w:val="00930D13"/>
    <w:rsid w:val="00931521"/>
    <w:rsid w:val="009319CF"/>
    <w:rsid w:val="00931D0D"/>
    <w:rsid w:val="00931E54"/>
    <w:rsid w:val="00932091"/>
    <w:rsid w:val="00932114"/>
    <w:rsid w:val="0093264B"/>
    <w:rsid w:val="0093394E"/>
    <w:rsid w:val="00933D0B"/>
    <w:rsid w:val="009340AD"/>
    <w:rsid w:val="00935396"/>
    <w:rsid w:val="009357FE"/>
    <w:rsid w:val="00935C12"/>
    <w:rsid w:val="009362EE"/>
    <w:rsid w:val="009366DE"/>
    <w:rsid w:val="009377C6"/>
    <w:rsid w:val="0093782F"/>
    <w:rsid w:val="00937FC8"/>
    <w:rsid w:val="0094003D"/>
    <w:rsid w:val="0094071C"/>
    <w:rsid w:val="0094074C"/>
    <w:rsid w:val="00940910"/>
    <w:rsid w:val="0094155D"/>
    <w:rsid w:val="00942943"/>
    <w:rsid w:val="00942B40"/>
    <w:rsid w:val="00942E14"/>
    <w:rsid w:val="00943198"/>
    <w:rsid w:val="00943249"/>
    <w:rsid w:val="009432EB"/>
    <w:rsid w:val="009435CE"/>
    <w:rsid w:val="00943C56"/>
    <w:rsid w:val="00944384"/>
    <w:rsid w:val="009443BF"/>
    <w:rsid w:val="009454F5"/>
    <w:rsid w:val="00945A08"/>
    <w:rsid w:val="00946F4F"/>
    <w:rsid w:val="00947438"/>
    <w:rsid w:val="009474D8"/>
    <w:rsid w:val="009475B1"/>
    <w:rsid w:val="00950804"/>
    <w:rsid w:val="00951785"/>
    <w:rsid w:val="0095183B"/>
    <w:rsid w:val="009518EA"/>
    <w:rsid w:val="0095373B"/>
    <w:rsid w:val="00953893"/>
    <w:rsid w:val="00953CEE"/>
    <w:rsid w:val="009541E8"/>
    <w:rsid w:val="0095484D"/>
    <w:rsid w:val="00955A21"/>
    <w:rsid w:val="00955CDB"/>
    <w:rsid w:val="00956474"/>
    <w:rsid w:val="00956798"/>
    <w:rsid w:val="00956E7E"/>
    <w:rsid w:val="009574D0"/>
    <w:rsid w:val="009576B5"/>
    <w:rsid w:val="00957F6E"/>
    <w:rsid w:val="009604EA"/>
    <w:rsid w:val="009607F9"/>
    <w:rsid w:val="0096139F"/>
    <w:rsid w:val="009615EB"/>
    <w:rsid w:val="00961C33"/>
    <w:rsid w:val="00961E58"/>
    <w:rsid w:val="0096328D"/>
    <w:rsid w:val="00963AEC"/>
    <w:rsid w:val="009643A7"/>
    <w:rsid w:val="009645B1"/>
    <w:rsid w:val="00964BE3"/>
    <w:rsid w:val="00964FA9"/>
    <w:rsid w:val="00965305"/>
    <w:rsid w:val="009662A0"/>
    <w:rsid w:val="0096632A"/>
    <w:rsid w:val="00966DE3"/>
    <w:rsid w:val="00967246"/>
    <w:rsid w:val="0096797E"/>
    <w:rsid w:val="00967AF5"/>
    <w:rsid w:val="009701C8"/>
    <w:rsid w:val="009706D2"/>
    <w:rsid w:val="00970A23"/>
    <w:rsid w:val="00970FA2"/>
    <w:rsid w:val="00971964"/>
    <w:rsid w:val="00971981"/>
    <w:rsid w:val="00971C77"/>
    <w:rsid w:val="00971DDD"/>
    <w:rsid w:val="00971FCC"/>
    <w:rsid w:val="00972B66"/>
    <w:rsid w:val="0097386C"/>
    <w:rsid w:val="00973ECB"/>
    <w:rsid w:val="0097464D"/>
    <w:rsid w:val="0097531E"/>
    <w:rsid w:val="00975330"/>
    <w:rsid w:val="009758EA"/>
    <w:rsid w:val="00975966"/>
    <w:rsid w:val="00975DD1"/>
    <w:rsid w:val="009776F0"/>
    <w:rsid w:val="009800FC"/>
    <w:rsid w:val="00980D39"/>
    <w:rsid w:val="00980DFC"/>
    <w:rsid w:val="0098100A"/>
    <w:rsid w:val="00981191"/>
    <w:rsid w:val="0098124B"/>
    <w:rsid w:val="00981311"/>
    <w:rsid w:val="009824C6"/>
    <w:rsid w:val="009825F4"/>
    <w:rsid w:val="009826E3"/>
    <w:rsid w:val="00983029"/>
    <w:rsid w:val="00983782"/>
    <w:rsid w:val="0098384D"/>
    <w:rsid w:val="00984049"/>
    <w:rsid w:val="00984151"/>
    <w:rsid w:val="0098446C"/>
    <w:rsid w:val="009850B6"/>
    <w:rsid w:val="009853C4"/>
    <w:rsid w:val="00985796"/>
    <w:rsid w:val="00985C4B"/>
    <w:rsid w:val="00985E9E"/>
    <w:rsid w:val="0098624E"/>
    <w:rsid w:val="0098678A"/>
    <w:rsid w:val="00986AE5"/>
    <w:rsid w:val="00986C82"/>
    <w:rsid w:val="00986F27"/>
    <w:rsid w:val="00987DB4"/>
    <w:rsid w:val="00987F69"/>
    <w:rsid w:val="00987FA4"/>
    <w:rsid w:val="0099002F"/>
    <w:rsid w:val="00990150"/>
    <w:rsid w:val="00990D55"/>
    <w:rsid w:val="0099188E"/>
    <w:rsid w:val="00992AA8"/>
    <w:rsid w:val="00992EDA"/>
    <w:rsid w:val="00994057"/>
    <w:rsid w:val="009941F1"/>
    <w:rsid w:val="0099441F"/>
    <w:rsid w:val="00995476"/>
    <w:rsid w:val="00996574"/>
    <w:rsid w:val="009965AE"/>
    <w:rsid w:val="009968D5"/>
    <w:rsid w:val="00997142"/>
    <w:rsid w:val="009972C0"/>
    <w:rsid w:val="009A0559"/>
    <w:rsid w:val="009A09CD"/>
    <w:rsid w:val="009A10F8"/>
    <w:rsid w:val="009A11D2"/>
    <w:rsid w:val="009A21D0"/>
    <w:rsid w:val="009A265C"/>
    <w:rsid w:val="009A2ECA"/>
    <w:rsid w:val="009A3377"/>
    <w:rsid w:val="009A368A"/>
    <w:rsid w:val="009A46AC"/>
    <w:rsid w:val="009A5331"/>
    <w:rsid w:val="009A5516"/>
    <w:rsid w:val="009A6811"/>
    <w:rsid w:val="009A6C28"/>
    <w:rsid w:val="009A789B"/>
    <w:rsid w:val="009A7B73"/>
    <w:rsid w:val="009B038E"/>
    <w:rsid w:val="009B0E62"/>
    <w:rsid w:val="009B110D"/>
    <w:rsid w:val="009B1FB1"/>
    <w:rsid w:val="009B2B32"/>
    <w:rsid w:val="009B33C3"/>
    <w:rsid w:val="009B4065"/>
    <w:rsid w:val="009B41E8"/>
    <w:rsid w:val="009B4AC6"/>
    <w:rsid w:val="009B4BB0"/>
    <w:rsid w:val="009B51AF"/>
    <w:rsid w:val="009B52DC"/>
    <w:rsid w:val="009B530A"/>
    <w:rsid w:val="009B560C"/>
    <w:rsid w:val="009B5639"/>
    <w:rsid w:val="009B5A14"/>
    <w:rsid w:val="009B5F30"/>
    <w:rsid w:val="009B6029"/>
    <w:rsid w:val="009B692B"/>
    <w:rsid w:val="009B6937"/>
    <w:rsid w:val="009B6B3A"/>
    <w:rsid w:val="009B77ED"/>
    <w:rsid w:val="009C0239"/>
    <w:rsid w:val="009C05FC"/>
    <w:rsid w:val="009C10FC"/>
    <w:rsid w:val="009C1336"/>
    <w:rsid w:val="009C1339"/>
    <w:rsid w:val="009C1410"/>
    <w:rsid w:val="009C175B"/>
    <w:rsid w:val="009C24CD"/>
    <w:rsid w:val="009C29D1"/>
    <w:rsid w:val="009C2D9A"/>
    <w:rsid w:val="009C3658"/>
    <w:rsid w:val="009C489B"/>
    <w:rsid w:val="009C5C64"/>
    <w:rsid w:val="009C6193"/>
    <w:rsid w:val="009C7067"/>
    <w:rsid w:val="009C7088"/>
    <w:rsid w:val="009C74AD"/>
    <w:rsid w:val="009C755B"/>
    <w:rsid w:val="009C7D22"/>
    <w:rsid w:val="009C7F02"/>
    <w:rsid w:val="009C7FE5"/>
    <w:rsid w:val="009D027C"/>
    <w:rsid w:val="009D12D1"/>
    <w:rsid w:val="009D133B"/>
    <w:rsid w:val="009D1391"/>
    <w:rsid w:val="009D15B1"/>
    <w:rsid w:val="009D16E8"/>
    <w:rsid w:val="009D1DC5"/>
    <w:rsid w:val="009D332B"/>
    <w:rsid w:val="009D33F1"/>
    <w:rsid w:val="009D38A3"/>
    <w:rsid w:val="009D3BA7"/>
    <w:rsid w:val="009D3F35"/>
    <w:rsid w:val="009D4B0D"/>
    <w:rsid w:val="009D5399"/>
    <w:rsid w:val="009D5B38"/>
    <w:rsid w:val="009D6357"/>
    <w:rsid w:val="009D6407"/>
    <w:rsid w:val="009E058F"/>
    <w:rsid w:val="009E1052"/>
    <w:rsid w:val="009E1665"/>
    <w:rsid w:val="009E1C84"/>
    <w:rsid w:val="009E289B"/>
    <w:rsid w:val="009E386C"/>
    <w:rsid w:val="009E3EB8"/>
    <w:rsid w:val="009E4791"/>
    <w:rsid w:val="009E4C3C"/>
    <w:rsid w:val="009E4DE3"/>
    <w:rsid w:val="009E50E8"/>
    <w:rsid w:val="009E512B"/>
    <w:rsid w:val="009E5FB1"/>
    <w:rsid w:val="009E5FBD"/>
    <w:rsid w:val="009E629D"/>
    <w:rsid w:val="009E6852"/>
    <w:rsid w:val="009E6F96"/>
    <w:rsid w:val="009E71E6"/>
    <w:rsid w:val="009E7C70"/>
    <w:rsid w:val="009E7E17"/>
    <w:rsid w:val="009E7F4E"/>
    <w:rsid w:val="009F0384"/>
    <w:rsid w:val="009F078A"/>
    <w:rsid w:val="009F1057"/>
    <w:rsid w:val="009F22E3"/>
    <w:rsid w:val="009F2C17"/>
    <w:rsid w:val="009F2CD1"/>
    <w:rsid w:val="009F3136"/>
    <w:rsid w:val="009F335E"/>
    <w:rsid w:val="009F3A36"/>
    <w:rsid w:val="009F3A96"/>
    <w:rsid w:val="009F3B6A"/>
    <w:rsid w:val="009F3BC0"/>
    <w:rsid w:val="009F3E7C"/>
    <w:rsid w:val="009F46F7"/>
    <w:rsid w:val="009F4B7B"/>
    <w:rsid w:val="009F6B71"/>
    <w:rsid w:val="009F6BB8"/>
    <w:rsid w:val="009F6C13"/>
    <w:rsid w:val="009F6D9B"/>
    <w:rsid w:val="009F6E4D"/>
    <w:rsid w:val="009F70A4"/>
    <w:rsid w:val="009F7972"/>
    <w:rsid w:val="009F79C5"/>
    <w:rsid w:val="009F7B3E"/>
    <w:rsid w:val="00A00206"/>
    <w:rsid w:val="00A00EAC"/>
    <w:rsid w:val="00A01037"/>
    <w:rsid w:val="00A01810"/>
    <w:rsid w:val="00A01A00"/>
    <w:rsid w:val="00A01F50"/>
    <w:rsid w:val="00A021D2"/>
    <w:rsid w:val="00A022D0"/>
    <w:rsid w:val="00A0320F"/>
    <w:rsid w:val="00A03688"/>
    <w:rsid w:val="00A037F9"/>
    <w:rsid w:val="00A03C88"/>
    <w:rsid w:val="00A041FD"/>
    <w:rsid w:val="00A04875"/>
    <w:rsid w:val="00A04A0B"/>
    <w:rsid w:val="00A04C98"/>
    <w:rsid w:val="00A04D1E"/>
    <w:rsid w:val="00A05C7A"/>
    <w:rsid w:val="00A06224"/>
    <w:rsid w:val="00A06F43"/>
    <w:rsid w:val="00A10443"/>
    <w:rsid w:val="00A11778"/>
    <w:rsid w:val="00A11920"/>
    <w:rsid w:val="00A11931"/>
    <w:rsid w:val="00A11E0E"/>
    <w:rsid w:val="00A145E5"/>
    <w:rsid w:val="00A14DD1"/>
    <w:rsid w:val="00A151E9"/>
    <w:rsid w:val="00A1566C"/>
    <w:rsid w:val="00A1634A"/>
    <w:rsid w:val="00A16B5F"/>
    <w:rsid w:val="00A16B80"/>
    <w:rsid w:val="00A172E4"/>
    <w:rsid w:val="00A17422"/>
    <w:rsid w:val="00A17FA3"/>
    <w:rsid w:val="00A20EC2"/>
    <w:rsid w:val="00A2130E"/>
    <w:rsid w:val="00A21A68"/>
    <w:rsid w:val="00A22B61"/>
    <w:rsid w:val="00A231B3"/>
    <w:rsid w:val="00A239FA"/>
    <w:rsid w:val="00A23E00"/>
    <w:rsid w:val="00A24133"/>
    <w:rsid w:val="00A24661"/>
    <w:rsid w:val="00A246D9"/>
    <w:rsid w:val="00A2470F"/>
    <w:rsid w:val="00A248EE"/>
    <w:rsid w:val="00A252E8"/>
    <w:rsid w:val="00A252F8"/>
    <w:rsid w:val="00A25979"/>
    <w:rsid w:val="00A25E06"/>
    <w:rsid w:val="00A26E89"/>
    <w:rsid w:val="00A26F3A"/>
    <w:rsid w:val="00A26FEE"/>
    <w:rsid w:val="00A27113"/>
    <w:rsid w:val="00A271F7"/>
    <w:rsid w:val="00A27358"/>
    <w:rsid w:val="00A27CC3"/>
    <w:rsid w:val="00A3016A"/>
    <w:rsid w:val="00A309F4"/>
    <w:rsid w:val="00A30CEE"/>
    <w:rsid w:val="00A30D18"/>
    <w:rsid w:val="00A30EB6"/>
    <w:rsid w:val="00A33C50"/>
    <w:rsid w:val="00A33CEA"/>
    <w:rsid w:val="00A34C31"/>
    <w:rsid w:val="00A34D74"/>
    <w:rsid w:val="00A3531D"/>
    <w:rsid w:val="00A3576B"/>
    <w:rsid w:val="00A372A2"/>
    <w:rsid w:val="00A3753B"/>
    <w:rsid w:val="00A400F7"/>
    <w:rsid w:val="00A402DF"/>
    <w:rsid w:val="00A40633"/>
    <w:rsid w:val="00A422A9"/>
    <w:rsid w:val="00A425F8"/>
    <w:rsid w:val="00A42930"/>
    <w:rsid w:val="00A4364C"/>
    <w:rsid w:val="00A442DB"/>
    <w:rsid w:val="00A443C8"/>
    <w:rsid w:val="00A44624"/>
    <w:rsid w:val="00A44F7A"/>
    <w:rsid w:val="00A45138"/>
    <w:rsid w:val="00A45155"/>
    <w:rsid w:val="00A456E8"/>
    <w:rsid w:val="00A46E50"/>
    <w:rsid w:val="00A47516"/>
    <w:rsid w:val="00A50000"/>
    <w:rsid w:val="00A50205"/>
    <w:rsid w:val="00A5077A"/>
    <w:rsid w:val="00A50DAA"/>
    <w:rsid w:val="00A511BD"/>
    <w:rsid w:val="00A513A2"/>
    <w:rsid w:val="00A528D4"/>
    <w:rsid w:val="00A537D3"/>
    <w:rsid w:val="00A54827"/>
    <w:rsid w:val="00A552A3"/>
    <w:rsid w:val="00A5612E"/>
    <w:rsid w:val="00A562FC"/>
    <w:rsid w:val="00A56557"/>
    <w:rsid w:val="00A567D3"/>
    <w:rsid w:val="00A56959"/>
    <w:rsid w:val="00A56E6E"/>
    <w:rsid w:val="00A571F1"/>
    <w:rsid w:val="00A57C43"/>
    <w:rsid w:val="00A6137E"/>
    <w:rsid w:val="00A613EC"/>
    <w:rsid w:val="00A61697"/>
    <w:rsid w:val="00A61F21"/>
    <w:rsid w:val="00A6224F"/>
    <w:rsid w:val="00A62749"/>
    <w:rsid w:val="00A6291D"/>
    <w:rsid w:val="00A62CC9"/>
    <w:rsid w:val="00A62CF1"/>
    <w:rsid w:val="00A63A31"/>
    <w:rsid w:val="00A64259"/>
    <w:rsid w:val="00A64309"/>
    <w:rsid w:val="00A648B0"/>
    <w:rsid w:val="00A64BBD"/>
    <w:rsid w:val="00A65620"/>
    <w:rsid w:val="00A65A79"/>
    <w:rsid w:val="00A65B08"/>
    <w:rsid w:val="00A65D24"/>
    <w:rsid w:val="00A6619E"/>
    <w:rsid w:val="00A6663B"/>
    <w:rsid w:val="00A66661"/>
    <w:rsid w:val="00A66920"/>
    <w:rsid w:val="00A729EA"/>
    <w:rsid w:val="00A72DD3"/>
    <w:rsid w:val="00A736EC"/>
    <w:rsid w:val="00A7372B"/>
    <w:rsid w:val="00A74915"/>
    <w:rsid w:val="00A74BD3"/>
    <w:rsid w:val="00A74EEF"/>
    <w:rsid w:val="00A755CC"/>
    <w:rsid w:val="00A757CE"/>
    <w:rsid w:val="00A76209"/>
    <w:rsid w:val="00A76F5E"/>
    <w:rsid w:val="00A77308"/>
    <w:rsid w:val="00A7766F"/>
    <w:rsid w:val="00A77E12"/>
    <w:rsid w:val="00A80136"/>
    <w:rsid w:val="00A809F4"/>
    <w:rsid w:val="00A80B6B"/>
    <w:rsid w:val="00A80C69"/>
    <w:rsid w:val="00A80CAA"/>
    <w:rsid w:val="00A81B90"/>
    <w:rsid w:val="00A81DED"/>
    <w:rsid w:val="00A8229E"/>
    <w:rsid w:val="00A8281E"/>
    <w:rsid w:val="00A8308A"/>
    <w:rsid w:val="00A8359B"/>
    <w:rsid w:val="00A84025"/>
    <w:rsid w:val="00A8493D"/>
    <w:rsid w:val="00A85434"/>
    <w:rsid w:val="00A8576E"/>
    <w:rsid w:val="00A8637A"/>
    <w:rsid w:val="00A874A2"/>
    <w:rsid w:val="00A87813"/>
    <w:rsid w:val="00A879F5"/>
    <w:rsid w:val="00A90604"/>
    <w:rsid w:val="00A9145D"/>
    <w:rsid w:val="00A91809"/>
    <w:rsid w:val="00A91BC7"/>
    <w:rsid w:val="00A91BFA"/>
    <w:rsid w:val="00A91E2C"/>
    <w:rsid w:val="00A9290E"/>
    <w:rsid w:val="00A92FE9"/>
    <w:rsid w:val="00A942A3"/>
    <w:rsid w:val="00A94636"/>
    <w:rsid w:val="00A94948"/>
    <w:rsid w:val="00A94950"/>
    <w:rsid w:val="00A94B5B"/>
    <w:rsid w:val="00A95010"/>
    <w:rsid w:val="00A9564F"/>
    <w:rsid w:val="00A95C5E"/>
    <w:rsid w:val="00A95DCB"/>
    <w:rsid w:val="00A961A7"/>
    <w:rsid w:val="00A96657"/>
    <w:rsid w:val="00A970BA"/>
    <w:rsid w:val="00AA059E"/>
    <w:rsid w:val="00AA0A21"/>
    <w:rsid w:val="00AA1D8E"/>
    <w:rsid w:val="00AA2A47"/>
    <w:rsid w:val="00AA2CFA"/>
    <w:rsid w:val="00AA3064"/>
    <w:rsid w:val="00AA31B8"/>
    <w:rsid w:val="00AA37C3"/>
    <w:rsid w:val="00AA3BDB"/>
    <w:rsid w:val="00AA3D9F"/>
    <w:rsid w:val="00AA3E54"/>
    <w:rsid w:val="00AA415B"/>
    <w:rsid w:val="00AA4B13"/>
    <w:rsid w:val="00AA4E7C"/>
    <w:rsid w:val="00AA4F02"/>
    <w:rsid w:val="00AA5EB8"/>
    <w:rsid w:val="00AA60A7"/>
    <w:rsid w:val="00AA64A2"/>
    <w:rsid w:val="00AA68F9"/>
    <w:rsid w:val="00AA7122"/>
    <w:rsid w:val="00AB0122"/>
    <w:rsid w:val="00AB116F"/>
    <w:rsid w:val="00AB14C7"/>
    <w:rsid w:val="00AB1649"/>
    <w:rsid w:val="00AB191F"/>
    <w:rsid w:val="00AB2068"/>
    <w:rsid w:val="00AB2A22"/>
    <w:rsid w:val="00AB2C52"/>
    <w:rsid w:val="00AB3080"/>
    <w:rsid w:val="00AB312E"/>
    <w:rsid w:val="00AB3ED5"/>
    <w:rsid w:val="00AB5AE1"/>
    <w:rsid w:val="00AB692C"/>
    <w:rsid w:val="00AB76D0"/>
    <w:rsid w:val="00AB7808"/>
    <w:rsid w:val="00AB7A06"/>
    <w:rsid w:val="00AB7EA7"/>
    <w:rsid w:val="00AB7FBD"/>
    <w:rsid w:val="00AC0266"/>
    <w:rsid w:val="00AC0FA8"/>
    <w:rsid w:val="00AC105D"/>
    <w:rsid w:val="00AC10F2"/>
    <w:rsid w:val="00AC248B"/>
    <w:rsid w:val="00AC2E7B"/>
    <w:rsid w:val="00AC2FDC"/>
    <w:rsid w:val="00AC4163"/>
    <w:rsid w:val="00AC419C"/>
    <w:rsid w:val="00AC4748"/>
    <w:rsid w:val="00AC5082"/>
    <w:rsid w:val="00AC5320"/>
    <w:rsid w:val="00AC6073"/>
    <w:rsid w:val="00AC60EF"/>
    <w:rsid w:val="00AC64CB"/>
    <w:rsid w:val="00AC6845"/>
    <w:rsid w:val="00AC6947"/>
    <w:rsid w:val="00AC6ACC"/>
    <w:rsid w:val="00AC717E"/>
    <w:rsid w:val="00AC73E3"/>
    <w:rsid w:val="00AC7668"/>
    <w:rsid w:val="00AC78ED"/>
    <w:rsid w:val="00AC7CAE"/>
    <w:rsid w:val="00AD12C1"/>
    <w:rsid w:val="00AD17C5"/>
    <w:rsid w:val="00AD1CC9"/>
    <w:rsid w:val="00AD2341"/>
    <w:rsid w:val="00AD37EE"/>
    <w:rsid w:val="00AD42B3"/>
    <w:rsid w:val="00AD43D6"/>
    <w:rsid w:val="00AD441E"/>
    <w:rsid w:val="00AD44DC"/>
    <w:rsid w:val="00AD4D64"/>
    <w:rsid w:val="00AD4E3D"/>
    <w:rsid w:val="00AD5A15"/>
    <w:rsid w:val="00AD5D44"/>
    <w:rsid w:val="00AD644B"/>
    <w:rsid w:val="00AD6F1D"/>
    <w:rsid w:val="00AD71E1"/>
    <w:rsid w:val="00AE0549"/>
    <w:rsid w:val="00AE09F6"/>
    <w:rsid w:val="00AE0E5E"/>
    <w:rsid w:val="00AE1635"/>
    <w:rsid w:val="00AE1946"/>
    <w:rsid w:val="00AE1A2E"/>
    <w:rsid w:val="00AE1B2C"/>
    <w:rsid w:val="00AE1EB9"/>
    <w:rsid w:val="00AE2A7A"/>
    <w:rsid w:val="00AE2CBF"/>
    <w:rsid w:val="00AE339F"/>
    <w:rsid w:val="00AE3B3F"/>
    <w:rsid w:val="00AE52AC"/>
    <w:rsid w:val="00AE663E"/>
    <w:rsid w:val="00AE6BC9"/>
    <w:rsid w:val="00AE6F79"/>
    <w:rsid w:val="00AE7E04"/>
    <w:rsid w:val="00AF0750"/>
    <w:rsid w:val="00AF0C2E"/>
    <w:rsid w:val="00AF0CB9"/>
    <w:rsid w:val="00AF1189"/>
    <w:rsid w:val="00AF11B8"/>
    <w:rsid w:val="00AF1EAB"/>
    <w:rsid w:val="00AF1F8F"/>
    <w:rsid w:val="00AF29FE"/>
    <w:rsid w:val="00AF3ADE"/>
    <w:rsid w:val="00AF3C0B"/>
    <w:rsid w:val="00AF3F11"/>
    <w:rsid w:val="00AF43DA"/>
    <w:rsid w:val="00AF4E7F"/>
    <w:rsid w:val="00AF4F12"/>
    <w:rsid w:val="00AF548B"/>
    <w:rsid w:val="00AF661A"/>
    <w:rsid w:val="00AF6801"/>
    <w:rsid w:val="00AF6890"/>
    <w:rsid w:val="00AF742C"/>
    <w:rsid w:val="00AF7C1B"/>
    <w:rsid w:val="00AF7D20"/>
    <w:rsid w:val="00B0072C"/>
    <w:rsid w:val="00B00BAC"/>
    <w:rsid w:val="00B00E8D"/>
    <w:rsid w:val="00B01A99"/>
    <w:rsid w:val="00B0218B"/>
    <w:rsid w:val="00B021E2"/>
    <w:rsid w:val="00B02306"/>
    <w:rsid w:val="00B02479"/>
    <w:rsid w:val="00B0274A"/>
    <w:rsid w:val="00B02889"/>
    <w:rsid w:val="00B03954"/>
    <w:rsid w:val="00B03A8B"/>
    <w:rsid w:val="00B03E44"/>
    <w:rsid w:val="00B0428A"/>
    <w:rsid w:val="00B04699"/>
    <w:rsid w:val="00B0494F"/>
    <w:rsid w:val="00B04E8B"/>
    <w:rsid w:val="00B04ED3"/>
    <w:rsid w:val="00B04F2F"/>
    <w:rsid w:val="00B067D2"/>
    <w:rsid w:val="00B068F7"/>
    <w:rsid w:val="00B0747C"/>
    <w:rsid w:val="00B07B94"/>
    <w:rsid w:val="00B10210"/>
    <w:rsid w:val="00B10245"/>
    <w:rsid w:val="00B10382"/>
    <w:rsid w:val="00B105B3"/>
    <w:rsid w:val="00B10BCD"/>
    <w:rsid w:val="00B10FA4"/>
    <w:rsid w:val="00B11058"/>
    <w:rsid w:val="00B114A7"/>
    <w:rsid w:val="00B11B23"/>
    <w:rsid w:val="00B11B8D"/>
    <w:rsid w:val="00B122FE"/>
    <w:rsid w:val="00B1245D"/>
    <w:rsid w:val="00B129D8"/>
    <w:rsid w:val="00B13686"/>
    <w:rsid w:val="00B13CFE"/>
    <w:rsid w:val="00B13F58"/>
    <w:rsid w:val="00B14B18"/>
    <w:rsid w:val="00B14D1F"/>
    <w:rsid w:val="00B14EDF"/>
    <w:rsid w:val="00B169B1"/>
    <w:rsid w:val="00B16EA1"/>
    <w:rsid w:val="00B16F0D"/>
    <w:rsid w:val="00B17381"/>
    <w:rsid w:val="00B1759B"/>
    <w:rsid w:val="00B20268"/>
    <w:rsid w:val="00B20332"/>
    <w:rsid w:val="00B207F1"/>
    <w:rsid w:val="00B20C08"/>
    <w:rsid w:val="00B212A9"/>
    <w:rsid w:val="00B21559"/>
    <w:rsid w:val="00B231AC"/>
    <w:rsid w:val="00B2345D"/>
    <w:rsid w:val="00B2387B"/>
    <w:rsid w:val="00B2388E"/>
    <w:rsid w:val="00B23E0B"/>
    <w:rsid w:val="00B2452B"/>
    <w:rsid w:val="00B25038"/>
    <w:rsid w:val="00B2566E"/>
    <w:rsid w:val="00B266A1"/>
    <w:rsid w:val="00B2675A"/>
    <w:rsid w:val="00B26CFF"/>
    <w:rsid w:val="00B274A0"/>
    <w:rsid w:val="00B30AEE"/>
    <w:rsid w:val="00B30B8E"/>
    <w:rsid w:val="00B31160"/>
    <w:rsid w:val="00B3138E"/>
    <w:rsid w:val="00B31698"/>
    <w:rsid w:val="00B31CA0"/>
    <w:rsid w:val="00B31EDC"/>
    <w:rsid w:val="00B32802"/>
    <w:rsid w:val="00B32955"/>
    <w:rsid w:val="00B336EE"/>
    <w:rsid w:val="00B34131"/>
    <w:rsid w:val="00B342BE"/>
    <w:rsid w:val="00B34437"/>
    <w:rsid w:val="00B3497B"/>
    <w:rsid w:val="00B34C64"/>
    <w:rsid w:val="00B34E3B"/>
    <w:rsid w:val="00B356D9"/>
    <w:rsid w:val="00B358AC"/>
    <w:rsid w:val="00B35BFB"/>
    <w:rsid w:val="00B36824"/>
    <w:rsid w:val="00B37061"/>
    <w:rsid w:val="00B403FC"/>
    <w:rsid w:val="00B404AB"/>
    <w:rsid w:val="00B407B0"/>
    <w:rsid w:val="00B409D8"/>
    <w:rsid w:val="00B40A39"/>
    <w:rsid w:val="00B40DE3"/>
    <w:rsid w:val="00B40E0A"/>
    <w:rsid w:val="00B4151C"/>
    <w:rsid w:val="00B41626"/>
    <w:rsid w:val="00B4196D"/>
    <w:rsid w:val="00B41E9C"/>
    <w:rsid w:val="00B42ADD"/>
    <w:rsid w:val="00B43046"/>
    <w:rsid w:val="00B43058"/>
    <w:rsid w:val="00B431DA"/>
    <w:rsid w:val="00B4345A"/>
    <w:rsid w:val="00B4372B"/>
    <w:rsid w:val="00B4373D"/>
    <w:rsid w:val="00B43CEC"/>
    <w:rsid w:val="00B4403B"/>
    <w:rsid w:val="00B44683"/>
    <w:rsid w:val="00B44BC7"/>
    <w:rsid w:val="00B44D1D"/>
    <w:rsid w:val="00B450F8"/>
    <w:rsid w:val="00B45B38"/>
    <w:rsid w:val="00B45F21"/>
    <w:rsid w:val="00B47128"/>
    <w:rsid w:val="00B4772C"/>
    <w:rsid w:val="00B47765"/>
    <w:rsid w:val="00B479FD"/>
    <w:rsid w:val="00B50AEB"/>
    <w:rsid w:val="00B50E84"/>
    <w:rsid w:val="00B50FEC"/>
    <w:rsid w:val="00B512C0"/>
    <w:rsid w:val="00B51B9B"/>
    <w:rsid w:val="00B5218C"/>
    <w:rsid w:val="00B538A5"/>
    <w:rsid w:val="00B54D5B"/>
    <w:rsid w:val="00B55561"/>
    <w:rsid w:val="00B56089"/>
    <w:rsid w:val="00B5668B"/>
    <w:rsid w:val="00B56E61"/>
    <w:rsid w:val="00B56FD1"/>
    <w:rsid w:val="00B575D4"/>
    <w:rsid w:val="00B605F3"/>
    <w:rsid w:val="00B60A2C"/>
    <w:rsid w:val="00B60DF0"/>
    <w:rsid w:val="00B61206"/>
    <w:rsid w:val="00B61673"/>
    <w:rsid w:val="00B61BEC"/>
    <w:rsid w:val="00B625FA"/>
    <w:rsid w:val="00B63D5C"/>
    <w:rsid w:val="00B63FF2"/>
    <w:rsid w:val="00B6487E"/>
    <w:rsid w:val="00B64ACD"/>
    <w:rsid w:val="00B64D6E"/>
    <w:rsid w:val="00B65034"/>
    <w:rsid w:val="00B653BA"/>
    <w:rsid w:val="00B65941"/>
    <w:rsid w:val="00B659F0"/>
    <w:rsid w:val="00B67545"/>
    <w:rsid w:val="00B675A9"/>
    <w:rsid w:val="00B67D83"/>
    <w:rsid w:val="00B7065B"/>
    <w:rsid w:val="00B70A79"/>
    <w:rsid w:val="00B7148D"/>
    <w:rsid w:val="00B71B27"/>
    <w:rsid w:val="00B71D18"/>
    <w:rsid w:val="00B72478"/>
    <w:rsid w:val="00B72490"/>
    <w:rsid w:val="00B72775"/>
    <w:rsid w:val="00B73542"/>
    <w:rsid w:val="00B738ED"/>
    <w:rsid w:val="00B73ED0"/>
    <w:rsid w:val="00B74089"/>
    <w:rsid w:val="00B74873"/>
    <w:rsid w:val="00B750EF"/>
    <w:rsid w:val="00B75D45"/>
    <w:rsid w:val="00B75EB1"/>
    <w:rsid w:val="00B76500"/>
    <w:rsid w:val="00B76B4A"/>
    <w:rsid w:val="00B76F99"/>
    <w:rsid w:val="00B77057"/>
    <w:rsid w:val="00B779A0"/>
    <w:rsid w:val="00B803B2"/>
    <w:rsid w:val="00B807EC"/>
    <w:rsid w:val="00B80BDC"/>
    <w:rsid w:val="00B80C5C"/>
    <w:rsid w:val="00B81CD8"/>
    <w:rsid w:val="00B81D64"/>
    <w:rsid w:val="00B8213C"/>
    <w:rsid w:val="00B82D5D"/>
    <w:rsid w:val="00B831AF"/>
    <w:rsid w:val="00B833C3"/>
    <w:rsid w:val="00B8344E"/>
    <w:rsid w:val="00B83F97"/>
    <w:rsid w:val="00B84403"/>
    <w:rsid w:val="00B8444F"/>
    <w:rsid w:val="00B85671"/>
    <w:rsid w:val="00B863AF"/>
    <w:rsid w:val="00B86471"/>
    <w:rsid w:val="00B864AF"/>
    <w:rsid w:val="00B866B4"/>
    <w:rsid w:val="00B86B2C"/>
    <w:rsid w:val="00B86DDB"/>
    <w:rsid w:val="00B86FB8"/>
    <w:rsid w:val="00B8722D"/>
    <w:rsid w:val="00B91771"/>
    <w:rsid w:val="00B92F44"/>
    <w:rsid w:val="00B93127"/>
    <w:rsid w:val="00B9319B"/>
    <w:rsid w:val="00B93BF9"/>
    <w:rsid w:val="00B93C36"/>
    <w:rsid w:val="00B953AA"/>
    <w:rsid w:val="00B9549F"/>
    <w:rsid w:val="00B95CCB"/>
    <w:rsid w:val="00B96303"/>
    <w:rsid w:val="00B963C5"/>
    <w:rsid w:val="00B9689D"/>
    <w:rsid w:val="00B970BE"/>
    <w:rsid w:val="00B97C96"/>
    <w:rsid w:val="00B97FF1"/>
    <w:rsid w:val="00BA00BD"/>
    <w:rsid w:val="00BA0173"/>
    <w:rsid w:val="00BA07F6"/>
    <w:rsid w:val="00BA0945"/>
    <w:rsid w:val="00BA1707"/>
    <w:rsid w:val="00BA1FE9"/>
    <w:rsid w:val="00BA2589"/>
    <w:rsid w:val="00BA3241"/>
    <w:rsid w:val="00BA3D59"/>
    <w:rsid w:val="00BA4AA1"/>
    <w:rsid w:val="00BA4FF8"/>
    <w:rsid w:val="00BA51AF"/>
    <w:rsid w:val="00BA5276"/>
    <w:rsid w:val="00BA52AC"/>
    <w:rsid w:val="00BA56B6"/>
    <w:rsid w:val="00BA5A59"/>
    <w:rsid w:val="00BA66C1"/>
    <w:rsid w:val="00BA677D"/>
    <w:rsid w:val="00BA7168"/>
    <w:rsid w:val="00BA748F"/>
    <w:rsid w:val="00BA7C88"/>
    <w:rsid w:val="00BA7DDD"/>
    <w:rsid w:val="00BB0A66"/>
    <w:rsid w:val="00BB0D6D"/>
    <w:rsid w:val="00BB0F61"/>
    <w:rsid w:val="00BB1582"/>
    <w:rsid w:val="00BB26DD"/>
    <w:rsid w:val="00BB2FAF"/>
    <w:rsid w:val="00BB320D"/>
    <w:rsid w:val="00BB3267"/>
    <w:rsid w:val="00BB3E29"/>
    <w:rsid w:val="00BB4D6E"/>
    <w:rsid w:val="00BB4E72"/>
    <w:rsid w:val="00BB553D"/>
    <w:rsid w:val="00BB571A"/>
    <w:rsid w:val="00BB649B"/>
    <w:rsid w:val="00BB7EF8"/>
    <w:rsid w:val="00BC05F2"/>
    <w:rsid w:val="00BC0A69"/>
    <w:rsid w:val="00BC0E28"/>
    <w:rsid w:val="00BC114B"/>
    <w:rsid w:val="00BC1304"/>
    <w:rsid w:val="00BC15F5"/>
    <w:rsid w:val="00BC1757"/>
    <w:rsid w:val="00BC189A"/>
    <w:rsid w:val="00BC1A77"/>
    <w:rsid w:val="00BC211B"/>
    <w:rsid w:val="00BC263E"/>
    <w:rsid w:val="00BC2BFA"/>
    <w:rsid w:val="00BC31A1"/>
    <w:rsid w:val="00BC38AF"/>
    <w:rsid w:val="00BC3E9E"/>
    <w:rsid w:val="00BC41D6"/>
    <w:rsid w:val="00BC42DF"/>
    <w:rsid w:val="00BC4B03"/>
    <w:rsid w:val="00BC5165"/>
    <w:rsid w:val="00BC5C20"/>
    <w:rsid w:val="00BC6590"/>
    <w:rsid w:val="00BC6815"/>
    <w:rsid w:val="00BC7198"/>
    <w:rsid w:val="00BC7A5A"/>
    <w:rsid w:val="00BC7FFC"/>
    <w:rsid w:val="00BD036A"/>
    <w:rsid w:val="00BD0CB5"/>
    <w:rsid w:val="00BD16DF"/>
    <w:rsid w:val="00BD2648"/>
    <w:rsid w:val="00BD2925"/>
    <w:rsid w:val="00BD39CC"/>
    <w:rsid w:val="00BD3AE0"/>
    <w:rsid w:val="00BD420C"/>
    <w:rsid w:val="00BD46D2"/>
    <w:rsid w:val="00BD55C6"/>
    <w:rsid w:val="00BD5910"/>
    <w:rsid w:val="00BD5AB7"/>
    <w:rsid w:val="00BD5D8F"/>
    <w:rsid w:val="00BD663D"/>
    <w:rsid w:val="00BD66AD"/>
    <w:rsid w:val="00BD69B8"/>
    <w:rsid w:val="00BD69CA"/>
    <w:rsid w:val="00BD6E90"/>
    <w:rsid w:val="00BD710F"/>
    <w:rsid w:val="00BD747C"/>
    <w:rsid w:val="00BD77B1"/>
    <w:rsid w:val="00BD7C25"/>
    <w:rsid w:val="00BD7CDA"/>
    <w:rsid w:val="00BE00CC"/>
    <w:rsid w:val="00BE0230"/>
    <w:rsid w:val="00BE0AA0"/>
    <w:rsid w:val="00BE0F9E"/>
    <w:rsid w:val="00BE1166"/>
    <w:rsid w:val="00BE17B1"/>
    <w:rsid w:val="00BE19BA"/>
    <w:rsid w:val="00BE24FA"/>
    <w:rsid w:val="00BE36DB"/>
    <w:rsid w:val="00BE384E"/>
    <w:rsid w:val="00BE3873"/>
    <w:rsid w:val="00BE3E17"/>
    <w:rsid w:val="00BE4D8F"/>
    <w:rsid w:val="00BE527A"/>
    <w:rsid w:val="00BE5637"/>
    <w:rsid w:val="00BE5AC5"/>
    <w:rsid w:val="00BE5F12"/>
    <w:rsid w:val="00BE66D0"/>
    <w:rsid w:val="00BE6AB9"/>
    <w:rsid w:val="00BE6B3E"/>
    <w:rsid w:val="00BE6BFE"/>
    <w:rsid w:val="00BE6F4B"/>
    <w:rsid w:val="00BE738C"/>
    <w:rsid w:val="00BF06C1"/>
    <w:rsid w:val="00BF0951"/>
    <w:rsid w:val="00BF1116"/>
    <w:rsid w:val="00BF1734"/>
    <w:rsid w:val="00BF2472"/>
    <w:rsid w:val="00BF3D21"/>
    <w:rsid w:val="00BF3DEC"/>
    <w:rsid w:val="00BF4B16"/>
    <w:rsid w:val="00BF4F59"/>
    <w:rsid w:val="00BF4FC0"/>
    <w:rsid w:val="00BF54C6"/>
    <w:rsid w:val="00BF5571"/>
    <w:rsid w:val="00BF69CA"/>
    <w:rsid w:val="00BF6F64"/>
    <w:rsid w:val="00BF7206"/>
    <w:rsid w:val="00BF73B0"/>
    <w:rsid w:val="00BF744E"/>
    <w:rsid w:val="00BF7824"/>
    <w:rsid w:val="00BF7F1B"/>
    <w:rsid w:val="00C013DB"/>
    <w:rsid w:val="00C017AD"/>
    <w:rsid w:val="00C01886"/>
    <w:rsid w:val="00C01FDB"/>
    <w:rsid w:val="00C02413"/>
    <w:rsid w:val="00C030A0"/>
    <w:rsid w:val="00C034C4"/>
    <w:rsid w:val="00C03A6B"/>
    <w:rsid w:val="00C03BCE"/>
    <w:rsid w:val="00C04D8C"/>
    <w:rsid w:val="00C0522E"/>
    <w:rsid w:val="00C05484"/>
    <w:rsid w:val="00C054AB"/>
    <w:rsid w:val="00C055B4"/>
    <w:rsid w:val="00C05CB6"/>
    <w:rsid w:val="00C0650E"/>
    <w:rsid w:val="00C06A48"/>
    <w:rsid w:val="00C06AAD"/>
    <w:rsid w:val="00C06FD5"/>
    <w:rsid w:val="00C07800"/>
    <w:rsid w:val="00C07BB7"/>
    <w:rsid w:val="00C07BC4"/>
    <w:rsid w:val="00C07DF8"/>
    <w:rsid w:val="00C115C2"/>
    <w:rsid w:val="00C1224C"/>
    <w:rsid w:val="00C12842"/>
    <w:rsid w:val="00C1302A"/>
    <w:rsid w:val="00C13409"/>
    <w:rsid w:val="00C13856"/>
    <w:rsid w:val="00C13BF7"/>
    <w:rsid w:val="00C14033"/>
    <w:rsid w:val="00C14121"/>
    <w:rsid w:val="00C14A2C"/>
    <w:rsid w:val="00C14A3E"/>
    <w:rsid w:val="00C14A3F"/>
    <w:rsid w:val="00C15944"/>
    <w:rsid w:val="00C15F2B"/>
    <w:rsid w:val="00C15FE0"/>
    <w:rsid w:val="00C16514"/>
    <w:rsid w:val="00C17BE7"/>
    <w:rsid w:val="00C17DC3"/>
    <w:rsid w:val="00C2039A"/>
    <w:rsid w:val="00C20D77"/>
    <w:rsid w:val="00C20EC7"/>
    <w:rsid w:val="00C21767"/>
    <w:rsid w:val="00C21D5E"/>
    <w:rsid w:val="00C2240B"/>
    <w:rsid w:val="00C22758"/>
    <w:rsid w:val="00C235CF"/>
    <w:rsid w:val="00C24985"/>
    <w:rsid w:val="00C252EC"/>
    <w:rsid w:val="00C26224"/>
    <w:rsid w:val="00C264E5"/>
    <w:rsid w:val="00C26E32"/>
    <w:rsid w:val="00C26ECB"/>
    <w:rsid w:val="00C27D03"/>
    <w:rsid w:val="00C303F8"/>
    <w:rsid w:val="00C30484"/>
    <w:rsid w:val="00C308B5"/>
    <w:rsid w:val="00C31A20"/>
    <w:rsid w:val="00C31A2B"/>
    <w:rsid w:val="00C31C10"/>
    <w:rsid w:val="00C31D93"/>
    <w:rsid w:val="00C326E8"/>
    <w:rsid w:val="00C327AA"/>
    <w:rsid w:val="00C32A56"/>
    <w:rsid w:val="00C33768"/>
    <w:rsid w:val="00C33E10"/>
    <w:rsid w:val="00C34522"/>
    <w:rsid w:val="00C34C1F"/>
    <w:rsid w:val="00C34E91"/>
    <w:rsid w:val="00C35074"/>
    <w:rsid w:val="00C352B7"/>
    <w:rsid w:val="00C35F85"/>
    <w:rsid w:val="00C36AB0"/>
    <w:rsid w:val="00C36BAD"/>
    <w:rsid w:val="00C37140"/>
    <w:rsid w:val="00C371CF"/>
    <w:rsid w:val="00C37305"/>
    <w:rsid w:val="00C37B83"/>
    <w:rsid w:val="00C40B66"/>
    <w:rsid w:val="00C40FD4"/>
    <w:rsid w:val="00C4101A"/>
    <w:rsid w:val="00C41230"/>
    <w:rsid w:val="00C414EC"/>
    <w:rsid w:val="00C4158C"/>
    <w:rsid w:val="00C415D0"/>
    <w:rsid w:val="00C41891"/>
    <w:rsid w:val="00C41ACB"/>
    <w:rsid w:val="00C425F2"/>
    <w:rsid w:val="00C4272D"/>
    <w:rsid w:val="00C433AB"/>
    <w:rsid w:val="00C43497"/>
    <w:rsid w:val="00C44CB5"/>
    <w:rsid w:val="00C46383"/>
    <w:rsid w:val="00C46E6D"/>
    <w:rsid w:val="00C475E1"/>
    <w:rsid w:val="00C47924"/>
    <w:rsid w:val="00C47D44"/>
    <w:rsid w:val="00C47F54"/>
    <w:rsid w:val="00C503D0"/>
    <w:rsid w:val="00C50C10"/>
    <w:rsid w:val="00C51773"/>
    <w:rsid w:val="00C51E1C"/>
    <w:rsid w:val="00C52842"/>
    <w:rsid w:val="00C52AA2"/>
    <w:rsid w:val="00C53086"/>
    <w:rsid w:val="00C536EF"/>
    <w:rsid w:val="00C53883"/>
    <w:rsid w:val="00C53EE6"/>
    <w:rsid w:val="00C546D1"/>
    <w:rsid w:val="00C547E3"/>
    <w:rsid w:val="00C549B2"/>
    <w:rsid w:val="00C554A8"/>
    <w:rsid w:val="00C55A71"/>
    <w:rsid w:val="00C603C0"/>
    <w:rsid w:val="00C60852"/>
    <w:rsid w:val="00C60963"/>
    <w:rsid w:val="00C6176C"/>
    <w:rsid w:val="00C61B64"/>
    <w:rsid w:val="00C61B75"/>
    <w:rsid w:val="00C61D0A"/>
    <w:rsid w:val="00C61FAB"/>
    <w:rsid w:val="00C6234B"/>
    <w:rsid w:val="00C62729"/>
    <w:rsid w:val="00C62A52"/>
    <w:rsid w:val="00C6361F"/>
    <w:rsid w:val="00C637E4"/>
    <w:rsid w:val="00C6429C"/>
    <w:rsid w:val="00C6467E"/>
    <w:rsid w:val="00C648F5"/>
    <w:rsid w:val="00C64B28"/>
    <w:rsid w:val="00C65679"/>
    <w:rsid w:val="00C65A8A"/>
    <w:rsid w:val="00C66287"/>
    <w:rsid w:val="00C6656E"/>
    <w:rsid w:val="00C66E07"/>
    <w:rsid w:val="00C67243"/>
    <w:rsid w:val="00C67B09"/>
    <w:rsid w:val="00C67FFC"/>
    <w:rsid w:val="00C7052E"/>
    <w:rsid w:val="00C70916"/>
    <w:rsid w:val="00C70D9B"/>
    <w:rsid w:val="00C70FB2"/>
    <w:rsid w:val="00C712D0"/>
    <w:rsid w:val="00C71318"/>
    <w:rsid w:val="00C720AB"/>
    <w:rsid w:val="00C720DF"/>
    <w:rsid w:val="00C7229E"/>
    <w:rsid w:val="00C72795"/>
    <w:rsid w:val="00C72FE0"/>
    <w:rsid w:val="00C7302A"/>
    <w:rsid w:val="00C738DC"/>
    <w:rsid w:val="00C74125"/>
    <w:rsid w:val="00C7413B"/>
    <w:rsid w:val="00C74D69"/>
    <w:rsid w:val="00C754FB"/>
    <w:rsid w:val="00C75A04"/>
    <w:rsid w:val="00C75C00"/>
    <w:rsid w:val="00C761BE"/>
    <w:rsid w:val="00C761E4"/>
    <w:rsid w:val="00C7658C"/>
    <w:rsid w:val="00C76A88"/>
    <w:rsid w:val="00C76F51"/>
    <w:rsid w:val="00C77488"/>
    <w:rsid w:val="00C77985"/>
    <w:rsid w:val="00C806C8"/>
    <w:rsid w:val="00C8079D"/>
    <w:rsid w:val="00C80C52"/>
    <w:rsid w:val="00C81577"/>
    <w:rsid w:val="00C8196E"/>
    <w:rsid w:val="00C81E6E"/>
    <w:rsid w:val="00C81E92"/>
    <w:rsid w:val="00C82860"/>
    <w:rsid w:val="00C82EB2"/>
    <w:rsid w:val="00C82EB9"/>
    <w:rsid w:val="00C843E2"/>
    <w:rsid w:val="00C84DBE"/>
    <w:rsid w:val="00C84FE1"/>
    <w:rsid w:val="00C85967"/>
    <w:rsid w:val="00C85CB3"/>
    <w:rsid w:val="00C8665A"/>
    <w:rsid w:val="00C868DB"/>
    <w:rsid w:val="00C86A5C"/>
    <w:rsid w:val="00C874F3"/>
    <w:rsid w:val="00C90034"/>
    <w:rsid w:val="00C90462"/>
    <w:rsid w:val="00C9252C"/>
    <w:rsid w:val="00C9278E"/>
    <w:rsid w:val="00C92B22"/>
    <w:rsid w:val="00C93FEA"/>
    <w:rsid w:val="00C94A08"/>
    <w:rsid w:val="00C94CBB"/>
    <w:rsid w:val="00C950C9"/>
    <w:rsid w:val="00C9535F"/>
    <w:rsid w:val="00C95BC1"/>
    <w:rsid w:val="00C95DFB"/>
    <w:rsid w:val="00C96222"/>
    <w:rsid w:val="00C96870"/>
    <w:rsid w:val="00C96979"/>
    <w:rsid w:val="00CA0149"/>
    <w:rsid w:val="00CA05DB"/>
    <w:rsid w:val="00CA0750"/>
    <w:rsid w:val="00CA0882"/>
    <w:rsid w:val="00CA0B44"/>
    <w:rsid w:val="00CA0C0D"/>
    <w:rsid w:val="00CA0E1B"/>
    <w:rsid w:val="00CA0F9A"/>
    <w:rsid w:val="00CA1BFE"/>
    <w:rsid w:val="00CA1E50"/>
    <w:rsid w:val="00CA2B3E"/>
    <w:rsid w:val="00CA37DA"/>
    <w:rsid w:val="00CA3ADB"/>
    <w:rsid w:val="00CA4DD3"/>
    <w:rsid w:val="00CA5459"/>
    <w:rsid w:val="00CA6697"/>
    <w:rsid w:val="00CA675C"/>
    <w:rsid w:val="00CA6C1E"/>
    <w:rsid w:val="00CA75DF"/>
    <w:rsid w:val="00CA7F5A"/>
    <w:rsid w:val="00CA7FEA"/>
    <w:rsid w:val="00CB01B3"/>
    <w:rsid w:val="00CB089F"/>
    <w:rsid w:val="00CB0B06"/>
    <w:rsid w:val="00CB0FAC"/>
    <w:rsid w:val="00CB1BA4"/>
    <w:rsid w:val="00CB2636"/>
    <w:rsid w:val="00CB270B"/>
    <w:rsid w:val="00CB2C05"/>
    <w:rsid w:val="00CB2D41"/>
    <w:rsid w:val="00CB2FDA"/>
    <w:rsid w:val="00CB44B4"/>
    <w:rsid w:val="00CB4719"/>
    <w:rsid w:val="00CB48BE"/>
    <w:rsid w:val="00CB503D"/>
    <w:rsid w:val="00CB5099"/>
    <w:rsid w:val="00CB61DA"/>
    <w:rsid w:val="00CB6C23"/>
    <w:rsid w:val="00CB724C"/>
    <w:rsid w:val="00CB745B"/>
    <w:rsid w:val="00CB7790"/>
    <w:rsid w:val="00CB77D5"/>
    <w:rsid w:val="00CB78B1"/>
    <w:rsid w:val="00CB7A9F"/>
    <w:rsid w:val="00CC1549"/>
    <w:rsid w:val="00CC21A6"/>
    <w:rsid w:val="00CC2422"/>
    <w:rsid w:val="00CC28FE"/>
    <w:rsid w:val="00CC294E"/>
    <w:rsid w:val="00CC3B34"/>
    <w:rsid w:val="00CC4528"/>
    <w:rsid w:val="00CC577D"/>
    <w:rsid w:val="00CC5C9F"/>
    <w:rsid w:val="00CC5FE7"/>
    <w:rsid w:val="00CC61DB"/>
    <w:rsid w:val="00CC62DC"/>
    <w:rsid w:val="00CC6D25"/>
    <w:rsid w:val="00CC6E95"/>
    <w:rsid w:val="00CC7137"/>
    <w:rsid w:val="00CC76C1"/>
    <w:rsid w:val="00CC7ED7"/>
    <w:rsid w:val="00CD02A9"/>
    <w:rsid w:val="00CD1318"/>
    <w:rsid w:val="00CD273E"/>
    <w:rsid w:val="00CD2EAC"/>
    <w:rsid w:val="00CD3F15"/>
    <w:rsid w:val="00CD4254"/>
    <w:rsid w:val="00CD4539"/>
    <w:rsid w:val="00CD55D6"/>
    <w:rsid w:val="00CD5DCF"/>
    <w:rsid w:val="00CD5F32"/>
    <w:rsid w:val="00CD6969"/>
    <w:rsid w:val="00CD735E"/>
    <w:rsid w:val="00CE0660"/>
    <w:rsid w:val="00CE147F"/>
    <w:rsid w:val="00CE17F0"/>
    <w:rsid w:val="00CE1928"/>
    <w:rsid w:val="00CE1CA8"/>
    <w:rsid w:val="00CE2443"/>
    <w:rsid w:val="00CE2561"/>
    <w:rsid w:val="00CE2BB6"/>
    <w:rsid w:val="00CE33C7"/>
    <w:rsid w:val="00CE3BAD"/>
    <w:rsid w:val="00CE3DFF"/>
    <w:rsid w:val="00CE44B9"/>
    <w:rsid w:val="00CE451B"/>
    <w:rsid w:val="00CE4B63"/>
    <w:rsid w:val="00CE4E67"/>
    <w:rsid w:val="00CE5436"/>
    <w:rsid w:val="00CE5555"/>
    <w:rsid w:val="00CE579F"/>
    <w:rsid w:val="00CE583E"/>
    <w:rsid w:val="00CE58D2"/>
    <w:rsid w:val="00CE5EF3"/>
    <w:rsid w:val="00CE6983"/>
    <w:rsid w:val="00CE70CC"/>
    <w:rsid w:val="00CE722C"/>
    <w:rsid w:val="00CE7710"/>
    <w:rsid w:val="00CF034A"/>
    <w:rsid w:val="00CF059F"/>
    <w:rsid w:val="00CF0C2A"/>
    <w:rsid w:val="00CF1094"/>
    <w:rsid w:val="00CF1986"/>
    <w:rsid w:val="00CF1E63"/>
    <w:rsid w:val="00CF1FEC"/>
    <w:rsid w:val="00CF2481"/>
    <w:rsid w:val="00CF27BD"/>
    <w:rsid w:val="00CF34C4"/>
    <w:rsid w:val="00CF4740"/>
    <w:rsid w:val="00CF4B59"/>
    <w:rsid w:val="00CF4F0A"/>
    <w:rsid w:val="00CF4F4B"/>
    <w:rsid w:val="00CF59C5"/>
    <w:rsid w:val="00CF6013"/>
    <w:rsid w:val="00CF63AD"/>
    <w:rsid w:val="00CF66A7"/>
    <w:rsid w:val="00CF685B"/>
    <w:rsid w:val="00CF71C1"/>
    <w:rsid w:val="00CF7214"/>
    <w:rsid w:val="00CF7B02"/>
    <w:rsid w:val="00D003FE"/>
    <w:rsid w:val="00D00847"/>
    <w:rsid w:val="00D03170"/>
    <w:rsid w:val="00D03188"/>
    <w:rsid w:val="00D059AB"/>
    <w:rsid w:val="00D05A76"/>
    <w:rsid w:val="00D05A9F"/>
    <w:rsid w:val="00D05AFD"/>
    <w:rsid w:val="00D05D91"/>
    <w:rsid w:val="00D060E9"/>
    <w:rsid w:val="00D0610E"/>
    <w:rsid w:val="00D0691E"/>
    <w:rsid w:val="00D06B7F"/>
    <w:rsid w:val="00D070CB"/>
    <w:rsid w:val="00D076F3"/>
    <w:rsid w:val="00D0781D"/>
    <w:rsid w:val="00D10680"/>
    <w:rsid w:val="00D10968"/>
    <w:rsid w:val="00D10EC2"/>
    <w:rsid w:val="00D115F9"/>
    <w:rsid w:val="00D11747"/>
    <w:rsid w:val="00D12094"/>
    <w:rsid w:val="00D130F8"/>
    <w:rsid w:val="00D13900"/>
    <w:rsid w:val="00D15052"/>
    <w:rsid w:val="00D154FD"/>
    <w:rsid w:val="00D15A5B"/>
    <w:rsid w:val="00D15BD7"/>
    <w:rsid w:val="00D16801"/>
    <w:rsid w:val="00D17515"/>
    <w:rsid w:val="00D20013"/>
    <w:rsid w:val="00D205D2"/>
    <w:rsid w:val="00D20CA0"/>
    <w:rsid w:val="00D216E1"/>
    <w:rsid w:val="00D21C98"/>
    <w:rsid w:val="00D222BF"/>
    <w:rsid w:val="00D224BB"/>
    <w:rsid w:val="00D22579"/>
    <w:rsid w:val="00D22B6D"/>
    <w:rsid w:val="00D23C5C"/>
    <w:rsid w:val="00D2429F"/>
    <w:rsid w:val="00D24414"/>
    <w:rsid w:val="00D2448A"/>
    <w:rsid w:val="00D2487F"/>
    <w:rsid w:val="00D24B84"/>
    <w:rsid w:val="00D24CB0"/>
    <w:rsid w:val="00D2510E"/>
    <w:rsid w:val="00D25817"/>
    <w:rsid w:val="00D2590F"/>
    <w:rsid w:val="00D259C8"/>
    <w:rsid w:val="00D25B2E"/>
    <w:rsid w:val="00D25BB7"/>
    <w:rsid w:val="00D2653C"/>
    <w:rsid w:val="00D26E6E"/>
    <w:rsid w:val="00D26EE9"/>
    <w:rsid w:val="00D2711B"/>
    <w:rsid w:val="00D2745E"/>
    <w:rsid w:val="00D27593"/>
    <w:rsid w:val="00D277A4"/>
    <w:rsid w:val="00D30330"/>
    <w:rsid w:val="00D30CCF"/>
    <w:rsid w:val="00D3190F"/>
    <w:rsid w:val="00D31C5C"/>
    <w:rsid w:val="00D324FC"/>
    <w:rsid w:val="00D32882"/>
    <w:rsid w:val="00D32ED3"/>
    <w:rsid w:val="00D3337B"/>
    <w:rsid w:val="00D3366B"/>
    <w:rsid w:val="00D3394C"/>
    <w:rsid w:val="00D33CFF"/>
    <w:rsid w:val="00D34135"/>
    <w:rsid w:val="00D348B9"/>
    <w:rsid w:val="00D34D2C"/>
    <w:rsid w:val="00D35094"/>
    <w:rsid w:val="00D3544B"/>
    <w:rsid w:val="00D3561E"/>
    <w:rsid w:val="00D35820"/>
    <w:rsid w:val="00D358FB"/>
    <w:rsid w:val="00D35F9A"/>
    <w:rsid w:val="00D35FBA"/>
    <w:rsid w:val="00D36AAC"/>
    <w:rsid w:val="00D3784E"/>
    <w:rsid w:val="00D40279"/>
    <w:rsid w:val="00D40D4C"/>
    <w:rsid w:val="00D40DC6"/>
    <w:rsid w:val="00D41DC0"/>
    <w:rsid w:val="00D424A8"/>
    <w:rsid w:val="00D42BC6"/>
    <w:rsid w:val="00D42BC7"/>
    <w:rsid w:val="00D436BF"/>
    <w:rsid w:val="00D445B3"/>
    <w:rsid w:val="00D44733"/>
    <w:rsid w:val="00D44A72"/>
    <w:rsid w:val="00D44EAB"/>
    <w:rsid w:val="00D457AC"/>
    <w:rsid w:val="00D46657"/>
    <w:rsid w:val="00D46A2E"/>
    <w:rsid w:val="00D46A33"/>
    <w:rsid w:val="00D47852"/>
    <w:rsid w:val="00D47A3F"/>
    <w:rsid w:val="00D47C1D"/>
    <w:rsid w:val="00D5083B"/>
    <w:rsid w:val="00D5091E"/>
    <w:rsid w:val="00D5098C"/>
    <w:rsid w:val="00D50A17"/>
    <w:rsid w:val="00D50BA7"/>
    <w:rsid w:val="00D50F50"/>
    <w:rsid w:val="00D5121E"/>
    <w:rsid w:val="00D513A5"/>
    <w:rsid w:val="00D51B49"/>
    <w:rsid w:val="00D52110"/>
    <w:rsid w:val="00D52460"/>
    <w:rsid w:val="00D526AD"/>
    <w:rsid w:val="00D5530F"/>
    <w:rsid w:val="00D55509"/>
    <w:rsid w:val="00D55716"/>
    <w:rsid w:val="00D55725"/>
    <w:rsid w:val="00D569A5"/>
    <w:rsid w:val="00D573C2"/>
    <w:rsid w:val="00D575DA"/>
    <w:rsid w:val="00D57727"/>
    <w:rsid w:val="00D57BE1"/>
    <w:rsid w:val="00D57FAE"/>
    <w:rsid w:val="00D60582"/>
    <w:rsid w:val="00D6084D"/>
    <w:rsid w:val="00D614AA"/>
    <w:rsid w:val="00D617BB"/>
    <w:rsid w:val="00D618D1"/>
    <w:rsid w:val="00D61E03"/>
    <w:rsid w:val="00D62073"/>
    <w:rsid w:val="00D6281B"/>
    <w:rsid w:val="00D6287F"/>
    <w:rsid w:val="00D62C62"/>
    <w:rsid w:val="00D635C1"/>
    <w:rsid w:val="00D636D9"/>
    <w:rsid w:val="00D63AEA"/>
    <w:rsid w:val="00D64425"/>
    <w:rsid w:val="00D64543"/>
    <w:rsid w:val="00D64CA4"/>
    <w:rsid w:val="00D66E28"/>
    <w:rsid w:val="00D66FB6"/>
    <w:rsid w:val="00D7044C"/>
    <w:rsid w:val="00D70F1B"/>
    <w:rsid w:val="00D71992"/>
    <w:rsid w:val="00D74241"/>
    <w:rsid w:val="00D74451"/>
    <w:rsid w:val="00D75E62"/>
    <w:rsid w:val="00D763AB"/>
    <w:rsid w:val="00D76A98"/>
    <w:rsid w:val="00D76C1A"/>
    <w:rsid w:val="00D76F28"/>
    <w:rsid w:val="00D77EB1"/>
    <w:rsid w:val="00D80EB2"/>
    <w:rsid w:val="00D814D9"/>
    <w:rsid w:val="00D8244E"/>
    <w:rsid w:val="00D82893"/>
    <w:rsid w:val="00D837F3"/>
    <w:rsid w:val="00D83CAD"/>
    <w:rsid w:val="00D84E1E"/>
    <w:rsid w:val="00D85FB6"/>
    <w:rsid w:val="00D867CF"/>
    <w:rsid w:val="00D87067"/>
    <w:rsid w:val="00D8798F"/>
    <w:rsid w:val="00D87E9B"/>
    <w:rsid w:val="00D90275"/>
    <w:rsid w:val="00D903A1"/>
    <w:rsid w:val="00D90700"/>
    <w:rsid w:val="00D913C7"/>
    <w:rsid w:val="00D916C2"/>
    <w:rsid w:val="00D9174B"/>
    <w:rsid w:val="00D91965"/>
    <w:rsid w:val="00D91D61"/>
    <w:rsid w:val="00D927B1"/>
    <w:rsid w:val="00D92AEE"/>
    <w:rsid w:val="00D92C2A"/>
    <w:rsid w:val="00D92CC8"/>
    <w:rsid w:val="00D9323A"/>
    <w:rsid w:val="00D93407"/>
    <w:rsid w:val="00D93E09"/>
    <w:rsid w:val="00D946CD"/>
    <w:rsid w:val="00D948E9"/>
    <w:rsid w:val="00D94A8F"/>
    <w:rsid w:val="00D94CC0"/>
    <w:rsid w:val="00D9500F"/>
    <w:rsid w:val="00D95900"/>
    <w:rsid w:val="00D96162"/>
    <w:rsid w:val="00D96567"/>
    <w:rsid w:val="00D96CF5"/>
    <w:rsid w:val="00D9705A"/>
    <w:rsid w:val="00D9724D"/>
    <w:rsid w:val="00D9752D"/>
    <w:rsid w:val="00DA01EB"/>
    <w:rsid w:val="00DA18A7"/>
    <w:rsid w:val="00DA1EDB"/>
    <w:rsid w:val="00DA2279"/>
    <w:rsid w:val="00DA29F3"/>
    <w:rsid w:val="00DA4148"/>
    <w:rsid w:val="00DA442D"/>
    <w:rsid w:val="00DA476E"/>
    <w:rsid w:val="00DA4B3C"/>
    <w:rsid w:val="00DA52EC"/>
    <w:rsid w:val="00DA53FE"/>
    <w:rsid w:val="00DA59CF"/>
    <w:rsid w:val="00DA6435"/>
    <w:rsid w:val="00DA683A"/>
    <w:rsid w:val="00DA6E19"/>
    <w:rsid w:val="00DA7556"/>
    <w:rsid w:val="00DB06FE"/>
    <w:rsid w:val="00DB08D4"/>
    <w:rsid w:val="00DB0D5B"/>
    <w:rsid w:val="00DB0DA8"/>
    <w:rsid w:val="00DB15BA"/>
    <w:rsid w:val="00DB1F78"/>
    <w:rsid w:val="00DB28F1"/>
    <w:rsid w:val="00DB2BFC"/>
    <w:rsid w:val="00DB2CF3"/>
    <w:rsid w:val="00DB3918"/>
    <w:rsid w:val="00DB3C54"/>
    <w:rsid w:val="00DB3D23"/>
    <w:rsid w:val="00DB44A0"/>
    <w:rsid w:val="00DB49D7"/>
    <w:rsid w:val="00DB4D8E"/>
    <w:rsid w:val="00DB5308"/>
    <w:rsid w:val="00DB5ADE"/>
    <w:rsid w:val="00DB696D"/>
    <w:rsid w:val="00DB7935"/>
    <w:rsid w:val="00DB7D5B"/>
    <w:rsid w:val="00DC008B"/>
    <w:rsid w:val="00DC0AE2"/>
    <w:rsid w:val="00DC1E63"/>
    <w:rsid w:val="00DC2EFE"/>
    <w:rsid w:val="00DC34C4"/>
    <w:rsid w:val="00DC37DF"/>
    <w:rsid w:val="00DC3A48"/>
    <w:rsid w:val="00DC45E9"/>
    <w:rsid w:val="00DC46C1"/>
    <w:rsid w:val="00DC478E"/>
    <w:rsid w:val="00DC5B3D"/>
    <w:rsid w:val="00DC62F4"/>
    <w:rsid w:val="00DC6340"/>
    <w:rsid w:val="00DC6BEB"/>
    <w:rsid w:val="00DC7B9E"/>
    <w:rsid w:val="00DC7C3C"/>
    <w:rsid w:val="00DD0C19"/>
    <w:rsid w:val="00DD12A5"/>
    <w:rsid w:val="00DD1428"/>
    <w:rsid w:val="00DD1781"/>
    <w:rsid w:val="00DD1BBA"/>
    <w:rsid w:val="00DD2008"/>
    <w:rsid w:val="00DD2811"/>
    <w:rsid w:val="00DD2901"/>
    <w:rsid w:val="00DD3264"/>
    <w:rsid w:val="00DD3433"/>
    <w:rsid w:val="00DD3D7F"/>
    <w:rsid w:val="00DD4E00"/>
    <w:rsid w:val="00DD53D7"/>
    <w:rsid w:val="00DD56D2"/>
    <w:rsid w:val="00DD576C"/>
    <w:rsid w:val="00DD5902"/>
    <w:rsid w:val="00DD6268"/>
    <w:rsid w:val="00DD6BA2"/>
    <w:rsid w:val="00DD6E67"/>
    <w:rsid w:val="00DD74E6"/>
    <w:rsid w:val="00DD759B"/>
    <w:rsid w:val="00DD7634"/>
    <w:rsid w:val="00DD773F"/>
    <w:rsid w:val="00DD7DB6"/>
    <w:rsid w:val="00DE0306"/>
    <w:rsid w:val="00DE03C5"/>
    <w:rsid w:val="00DE061F"/>
    <w:rsid w:val="00DE06EC"/>
    <w:rsid w:val="00DE0FCD"/>
    <w:rsid w:val="00DE11C3"/>
    <w:rsid w:val="00DE13BD"/>
    <w:rsid w:val="00DE1CEE"/>
    <w:rsid w:val="00DE2196"/>
    <w:rsid w:val="00DE222D"/>
    <w:rsid w:val="00DE2336"/>
    <w:rsid w:val="00DE253A"/>
    <w:rsid w:val="00DE2A05"/>
    <w:rsid w:val="00DE3AC1"/>
    <w:rsid w:val="00DE3B95"/>
    <w:rsid w:val="00DE3BBC"/>
    <w:rsid w:val="00DE45E2"/>
    <w:rsid w:val="00DE486C"/>
    <w:rsid w:val="00DE489E"/>
    <w:rsid w:val="00DE4D5A"/>
    <w:rsid w:val="00DE4EE6"/>
    <w:rsid w:val="00DE4EEA"/>
    <w:rsid w:val="00DE56BB"/>
    <w:rsid w:val="00DE59E9"/>
    <w:rsid w:val="00DE6048"/>
    <w:rsid w:val="00DE604A"/>
    <w:rsid w:val="00DE6905"/>
    <w:rsid w:val="00DE6B0E"/>
    <w:rsid w:val="00DE7062"/>
    <w:rsid w:val="00DE7609"/>
    <w:rsid w:val="00DF03F8"/>
    <w:rsid w:val="00DF19F7"/>
    <w:rsid w:val="00DF1EE7"/>
    <w:rsid w:val="00DF1FD2"/>
    <w:rsid w:val="00DF2684"/>
    <w:rsid w:val="00DF275B"/>
    <w:rsid w:val="00DF28BC"/>
    <w:rsid w:val="00DF33D6"/>
    <w:rsid w:val="00DF376C"/>
    <w:rsid w:val="00DF42E0"/>
    <w:rsid w:val="00DF4CCD"/>
    <w:rsid w:val="00DF50C0"/>
    <w:rsid w:val="00DF5762"/>
    <w:rsid w:val="00DF629B"/>
    <w:rsid w:val="00DF64EF"/>
    <w:rsid w:val="00DF70A8"/>
    <w:rsid w:val="00DF7818"/>
    <w:rsid w:val="00DF7A38"/>
    <w:rsid w:val="00DF7EF2"/>
    <w:rsid w:val="00E003F4"/>
    <w:rsid w:val="00E00A5F"/>
    <w:rsid w:val="00E01490"/>
    <w:rsid w:val="00E01CD1"/>
    <w:rsid w:val="00E01CEA"/>
    <w:rsid w:val="00E022C9"/>
    <w:rsid w:val="00E02895"/>
    <w:rsid w:val="00E02A72"/>
    <w:rsid w:val="00E031F9"/>
    <w:rsid w:val="00E03569"/>
    <w:rsid w:val="00E03678"/>
    <w:rsid w:val="00E03795"/>
    <w:rsid w:val="00E0381D"/>
    <w:rsid w:val="00E03ECE"/>
    <w:rsid w:val="00E046B6"/>
    <w:rsid w:val="00E050D2"/>
    <w:rsid w:val="00E0529C"/>
    <w:rsid w:val="00E05AF0"/>
    <w:rsid w:val="00E0603B"/>
    <w:rsid w:val="00E068F8"/>
    <w:rsid w:val="00E074D6"/>
    <w:rsid w:val="00E1031F"/>
    <w:rsid w:val="00E10CF1"/>
    <w:rsid w:val="00E12613"/>
    <w:rsid w:val="00E12928"/>
    <w:rsid w:val="00E12A02"/>
    <w:rsid w:val="00E13369"/>
    <w:rsid w:val="00E13530"/>
    <w:rsid w:val="00E13B45"/>
    <w:rsid w:val="00E13F3D"/>
    <w:rsid w:val="00E1429E"/>
    <w:rsid w:val="00E14772"/>
    <w:rsid w:val="00E14B87"/>
    <w:rsid w:val="00E1571A"/>
    <w:rsid w:val="00E15A6A"/>
    <w:rsid w:val="00E15A93"/>
    <w:rsid w:val="00E16269"/>
    <w:rsid w:val="00E16DB7"/>
    <w:rsid w:val="00E16E24"/>
    <w:rsid w:val="00E171FF"/>
    <w:rsid w:val="00E17554"/>
    <w:rsid w:val="00E2037B"/>
    <w:rsid w:val="00E20D3C"/>
    <w:rsid w:val="00E2118F"/>
    <w:rsid w:val="00E21E1C"/>
    <w:rsid w:val="00E228DA"/>
    <w:rsid w:val="00E23E85"/>
    <w:rsid w:val="00E24573"/>
    <w:rsid w:val="00E24633"/>
    <w:rsid w:val="00E24CCB"/>
    <w:rsid w:val="00E24D7A"/>
    <w:rsid w:val="00E25BC6"/>
    <w:rsid w:val="00E25DEC"/>
    <w:rsid w:val="00E26706"/>
    <w:rsid w:val="00E26818"/>
    <w:rsid w:val="00E26893"/>
    <w:rsid w:val="00E26B88"/>
    <w:rsid w:val="00E26E7A"/>
    <w:rsid w:val="00E27113"/>
    <w:rsid w:val="00E276B0"/>
    <w:rsid w:val="00E27B9F"/>
    <w:rsid w:val="00E27E48"/>
    <w:rsid w:val="00E31437"/>
    <w:rsid w:val="00E31F2C"/>
    <w:rsid w:val="00E3229A"/>
    <w:rsid w:val="00E322EF"/>
    <w:rsid w:val="00E3237A"/>
    <w:rsid w:val="00E3255E"/>
    <w:rsid w:val="00E32C49"/>
    <w:rsid w:val="00E32DB3"/>
    <w:rsid w:val="00E333BD"/>
    <w:rsid w:val="00E34B07"/>
    <w:rsid w:val="00E353A9"/>
    <w:rsid w:val="00E35E16"/>
    <w:rsid w:val="00E3644D"/>
    <w:rsid w:val="00E3695E"/>
    <w:rsid w:val="00E36A74"/>
    <w:rsid w:val="00E36C60"/>
    <w:rsid w:val="00E373FA"/>
    <w:rsid w:val="00E375A9"/>
    <w:rsid w:val="00E37C0E"/>
    <w:rsid w:val="00E41230"/>
    <w:rsid w:val="00E428DA"/>
    <w:rsid w:val="00E4377A"/>
    <w:rsid w:val="00E4390E"/>
    <w:rsid w:val="00E43C74"/>
    <w:rsid w:val="00E43E61"/>
    <w:rsid w:val="00E453A8"/>
    <w:rsid w:val="00E46351"/>
    <w:rsid w:val="00E4689D"/>
    <w:rsid w:val="00E46A79"/>
    <w:rsid w:val="00E47836"/>
    <w:rsid w:val="00E508DF"/>
    <w:rsid w:val="00E514B2"/>
    <w:rsid w:val="00E5234E"/>
    <w:rsid w:val="00E52489"/>
    <w:rsid w:val="00E525E4"/>
    <w:rsid w:val="00E5399A"/>
    <w:rsid w:val="00E54488"/>
    <w:rsid w:val="00E54AFA"/>
    <w:rsid w:val="00E554BE"/>
    <w:rsid w:val="00E55940"/>
    <w:rsid w:val="00E55AD8"/>
    <w:rsid w:val="00E562B4"/>
    <w:rsid w:val="00E5653A"/>
    <w:rsid w:val="00E56DEE"/>
    <w:rsid w:val="00E603BA"/>
    <w:rsid w:val="00E60EAF"/>
    <w:rsid w:val="00E61E8E"/>
    <w:rsid w:val="00E61FC4"/>
    <w:rsid w:val="00E61FF1"/>
    <w:rsid w:val="00E624F9"/>
    <w:rsid w:val="00E62B9F"/>
    <w:rsid w:val="00E62E46"/>
    <w:rsid w:val="00E634E5"/>
    <w:rsid w:val="00E64CD3"/>
    <w:rsid w:val="00E651A0"/>
    <w:rsid w:val="00E65219"/>
    <w:rsid w:val="00E6546C"/>
    <w:rsid w:val="00E6558D"/>
    <w:rsid w:val="00E65A3B"/>
    <w:rsid w:val="00E662F8"/>
    <w:rsid w:val="00E6641E"/>
    <w:rsid w:val="00E66504"/>
    <w:rsid w:val="00E66826"/>
    <w:rsid w:val="00E66B82"/>
    <w:rsid w:val="00E66CE4"/>
    <w:rsid w:val="00E7001B"/>
    <w:rsid w:val="00E7054F"/>
    <w:rsid w:val="00E71317"/>
    <w:rsid w:val="00E741E5"/>
    <w:rsid w:val="00E74A87"/>
    <w:rsid w:val="00E761DC"/>
    <w:rsid w:val="00E76B71"/>
    <w:rsid w:val="00E77504"/>
    <w:rsid w:val="00E77BA7"/>
    <w:rsid w:val="00E8031B"/>
    <w:rsid w:val="00E81B3D"/>
    <w:rsid w:val="00E81F53"/>
    <w:rsid w:val="00E8255B"/>
    <w:rsid w:val="00E825D9"/>
    <w:rsid w:val="00E82B38"/>
    <w:rsid w:val="00E82FB8"/>
    <w:rsid w:val="00E83429"/>
    <w:rsid w:val="00E837ED"/>
    <w:rsid w:val="00E8392D"/>
    <w:rsid w:val="00E841F4"/>
    <w:rsid w:val="00E847A0"/>
    <w:rsid w:val="00E84A20"/>
    <w:rsid w:val="00E852B2"/>
    <w:rsid w:val="00E856B2"/>
    <w:rsid w:val="00E85F34"/>
    <w:rsid w:val="00E861A7"/>
    <w:rsid w:val="00E8768C"/>
    <w:rsid w:val="00E8781A"/>
    <w:rsid w:val="00E90C8C"/>
    <w:rsid w:val="00E91388"/>
    <w:rsid w:val="00E917C3"/>
    <w:rsid w:val="00E91B16"/>
    <w:rsid w:val="00E9243E"/>
    <w:rsid w:val="00E929D2"/>
    <w:rsid w:val="00E92BBE"/>
    <w:rsid w:val="00E93230"/>
    <w:rsid w:val="00E933D1"/>
    <w:rsid w:val="00E935C9"/>
    <w:rsid w:val="00E93AF6"/>
    <w:rsid w:val="00E941C7"/>
    <w:rsid w:val="00E94202"/>
    <w:rsid w:val="00E9458B"/>
    <w:rsid w:val="00E94621"/>
    <w:rsid w:val="00E94EB1"/>
    <w:rsid w:val="00E956C8"/>
    <w:rsid w:val="00E959F9"/>
    <w:rsid w:val="00E965B1"/>
    <w:rsid w:val="00E96AC2"/>
    <w:rsid w:val="00E96D6F"/>
    <w:rsid w:val="00E97224"/>
    <w:rsid w:val="00E972EF"/>
    <w:rsid w:val="00E97605"/>
    <w:rsid w:val="00E97B55"/>
    <w:rsid w:val="00E97F49"/>
    <w:rsid w:val="00E97F64"/>
    <w:rsid w:val="00EA153B"/>
    <w:rsid w:val="00EA1C30"/>
    <w:rsid w:val="00EA2567"/>
    <w:rsid w:val="00EA27E3"/>
    <w:rsid w:val="00EA29F4"/>
    <w:rsid w:val="00EA2BEA"/>
    <w:rsid w:val="00EA3814"/>
    <w:rsid w:val="00EA3BF4"/>
    <w:rsid w:val="00EA456C"/>
    <w:rsid w:val="00EA4B4B"/>
    <w:rsid w:val="00EA52B2"/>
    <w:rsid w:val="00EA5B11"/>
    <w:rsid w:val="00EA5DF5"/>
    <w:rsid w:val="00EA5E39"/>
    <w:rsid w:val="00EA6307"/>
    <w:rsid w:val="00EA655D"/>
    <w:rsid w:val="00EA6C3E"/>
    <w:rsid w:val="00EA6C6A"/>
    <w:rsid w:val="00EA6E2E"/>
    <w:rsid w:val="00EA6F71"/>
    <w:rsid w:val="00EA746F"/>
    <w:rsid w:val="00EA7FDD"/>
    <w:rsid w:val="00EB0CA6"/>
    <w:rsid w:val="00EB0ECD"/>
    <w:rsid w:val="00EB119D"/>
    <w:rsid w:val="00EB1384"/>
    <w:rsid w:val="00EB13CA"/>
    <w:rsid w:val="00EB1763"/>
    <w:rsid w:val="00EB1A1E"/>
    <w:rsid w:val="00EB1D9C"/>
    <w:rsid w:val="00EB1FF5"/>
    <w:rsid w:val="00EB2097"/>
    <w:rsid w:val="00EB2252"/>
    <w:rsid w:val="00EB34E8"/>
    <w:rsid w:val="00EB3739"/>
    <w:rsid w:val="00EB385A"/>
    <w:rsid w:val="00EB3DF9"/>
    <w:rsid w:val="00EB4912"/>
    <w:rsid w:val="00EB595A"/>
    <w:rsid w:val="00EB60CF"/>
    <w:rsid w:val="00EB7DB5"/>
    <w:rsid w:val="00EC03C2"/>
    <w:rsid w:val="00EC040A"/>
    <w:rsid w:val="00EC1BDC"/>
    <w:rsid w:val="00EC1CEB"/>
    <w:rsid w:val="00EC1D1B"/>
    <w:rsid w:val="00EC1E1F"/>
    <w:rsid w:val="00EC1EC7"/>
    <w:rsid w:val="00EC1F2F"/>
    <w:rsid w:val="00EC3EAD"/>
    <w:rsid w:val="00EC4269"/>
    <w:rsid w:val="00EC476E"/>
    <w:rsid w:val="00EC56B4"/>
    <w:rsid w:val="00EC58DA"/>
    <w:rsid w:val="00EC5A2F"/>
    <w:rsid w:val="00EC6045"/>
    <w:rsid w:val="00EC71D3"/>
    <w:rsid w:val="00EC73F8"/>
    <w:rsid w:val="00EC77E6"/>
    <w:rsid w:val="00EC7B56"/>
    <w:rsid w:val="00EC7E3B"/>
    <w:rsid w:val="00EC7FEC"/>
    <w:rsid w:val="00EC7FF4"/>
    <w:rsid w:val="00ED01F9"/>
    <w:rsid w:val="00ED02D8"/>
    <w:rsid w:val="00ED0469"/>
    <w:rsid w:val="00ED0963"/>
    <w:rsid w:val="00ED0990"/>
    <w:rsid w:val="00ED1C3B"/>
    <w:rsid w:val="00ED2326"/>
    <w:rsid w:val="00ED2336"/>
    <w:rsid w:val="00ED2D3B"/>
    <w:rsid w:val="00ED34C0"/>
    <w:rsid w:val="00ED40E5"/>
    <w:rsid w:val="00ED4633"/>
    <w:rsid w:val="00ED4E68"/>
    <w:rsid w:val="00ED5A74"/>
    <w:rsid w:val="00ED5DC5"/>
    <w:rsid w:val="00ED60EA"/>
    <w:rsid w:val="00ED66D2"/>
    <w:rsid w:val="00ED6A13"/>
    <w:rsid w:val="00ED72BB"/>
    <w:rsid w:val="00ED73B6"/>
    <w:rsid w:val="00ED7ADA"/>
    <w:rsid w:val="00ED7ADB"/>
    <w:rsid w:val="00ED7FAF"/>
    <w:rsid w:val="00EE04E3"/>
    <w:rsid w:val="00EE0794"/>
    <w:rsid w:val="00EE0F2F"/>
    <w:rsid w:val="00EE148F"/>
    <w:rsid w:val="00EE1B39"/>
    <w:rsid w:val="00EE1D66"/>
    <w:rsid w:val="00EE276F"/>
    <w:rsid w:val="00EE2803"/>
    <w:rsid w:val="00EE284B"/>
    <w:rsid w:val="00EE2BC2"/>
    <w:rsid w:val="00EE30AC"/>
    <w:rsid w:val="00EE30B9"/>
    <w:rsid w:val="00EE36F0"/>
    <w:rsid w:val="00EE4E85"/>
    <w:rsid w:val="00EE4F3A"/>
    <w:rsid w:val="00EE5A7E"/>
    <w:rsid w:val="00EE5B10"/>
    <w:rsid w:val="00EE5FD4"/>
    <w:rsid w:val="00EE6238"/>
    <w:rsid w:val="00EE649B"/>
    <w:rsid w:val="00EE6C92"/>
    <w:rsid w:val="00EE6DA3"/>
    <w:rsid w:val="00EE6E4A"/>
    <w:rsid w:val="00EE76F1"/>
    <w:rsid w:val="00EE7733"/>
    <w:rsid w:val="00EE791A"/>
    <w:rsid w:val="00EE7CA2"/>
    <w:rsid w:val="00EE7D41"/>
    <w:rsid w:val="00EF0E5A"/>
    <w:rsid w:val="00EF0F17"/>
    <w:rsid w:val="00EF111C"/>
    <w:rsid w:val="00EF174E"/>
    <w:rsid w:val="00EF2A9A"/>
    <w:rsid w:val="00EF2B03"/>
    <w:rsid w:val="00EF2D39"/>
    <w:rsid w:val="00EF31E4"/>
    <w:rsid w:val="00EF40D5"/>
    <w:rsid w:val="00EF4114"/>
    <w:rsid w:val="00EF4804"/>
    <w:rsid w:val="00EF4C4E"/>
    <w:rsid w:val="00EF5707"/>
    <w:rsid w:val="00EF5A72"/>
    <w:rsid w:val="00EF652D"/>
    <w:rsid w:val="00EF67F6"/>
    <w:rsid w:val="00EF6AB2"/>
    <w:rsid w:val="00EF6B99"/>
    <w:rsid w:val="00EF71BD"/>
    <w:rsid w:val="00EF7496"/>
    <w:rsid w:val="00EF756C"/>
    <w:rsid w:val="00EF75D5"/>
    <w:rsid w:val="00EF7DBD"/>
    <w:rsid w:val="00EF7EBD"/>
    <w:rsid w:val="00EF7F53"/>
    <w:rsid w:val="00F002F4"/>
    <w:rsid w:val="00F00726"/>
    <w:rsid w:val="00F00DFB"/>
    <w:rsid w:val="00F00E91"/>
    <w:rsid w:val="00F01590"/>
    <w:rsid w:val="00F01C2D"/>
    <w:rsid w:val="00F02B4A"/>
    <w:rsid w:val="00F030FE"/>
    <w:rsid w:val="00F03817"/>
    <w:rsid w:val="00F0433D"/>
    <w:rsid w:val="00F04355"/>
    <w:rsid w:val="00F04863"/>
    <w:rsid w:val="00F0494E"/>
    <w:rsid w:val="00F0501C"/>
    <w:rsid w:val="00F05B94"/>
    <w:rsid w:val="00F0639A"/>
    <w:rsid w:val="00F0672C"/>
    <w:rsid w:val="00F06848"/>
    <w:rsid w:val="00F06AE2"/>
    <w:rsid w:val="00F07425"/>
    <w:rsid w:val="00F07CC6"/>
    <w:rsid w:val="00F07CEE"/>
    <w:rsid w:val="00F105E6"/>
    <w:rsid w:val="00F1074C"/>
    <w:rsid w:val="00F10844"/>
    <w:rsid w:val="00F10C1A"/>
    <w:rsid w:val="00F10C93"/>
    <w:rsid w:val="00F10E31"/>
    <w:rsid w:val="00F1116F"/>
    <w:rsid w:val="00F12691"/>
    <w:rsid w:val="00F13244"/>
    <w:rsid w:val="00F1350C"/>
    <w:rsid w:val="00F13DE5"/>
    <w:rsid w:val="00F13FD6"/>
    <w:rsid w:val="00F144A4"/>
    <w:rsid w:val="00F146F6"/>
    <w:rsid w:val="00F14801"/>
    <w:rsid w:val="00F156C0"/>
    <w:rsid w:val="00F16285"/>
    <w:rsid w:val="00F17153"/>
    <w:rsid w:val="00F17AB6"/>
    <w:rsid w:val="00F17DC4"/>
    <w:rsid w:val="00F2026D"/>
    <w:rsid w:val="00F20342"/>
    <w:rsid w:val="00F208F7"/>
    <w:rsid w:val="00F20F4D"/>
    <w:rsid w:val="00F21327"/>
    <w:rsid w:val="00F2141B"/>
    <w:rsid w:val="00F2142C"/>
    <w:rsid w:val="00F21A16"/>
    <w:rsid w:val="00F22485"/>
    <w:rsid w:val="00F22766"/>
    <w:rsid w:val="00F228A4"/>
    <w:rsid w:val="00F231D4"/>
    <w:rsid w:val="00F239E5"/>
    <w:rsid w:val="00F24051"/>
    <w:rsid w:val="00F2564C"/>
    <w:rsid w:val="00F25E87"/>
    <w:rsid w:val="00F2643D"/>
    <w:rsid w:val="00F2665B"/>
    <w:rsid w:val="00F26A94"/>
    <w:rsid w:val="00F26F5E"/>
    <w:rsid w:val="00F273B7"/>
    <w:rsid w:val="00F27B69"/>
    <w:rsid w:val="00F27BD6"/>
    <w:rsid w:val="00F310D3"/>
    <w:rsid w:val="00F31710"/>
    <w:rsid w:val="00F334BF"/>
    <w:rsid w:val="00F33DD3"/>
    <w:rsid w:val="00F34244"/>
    <w:rsid w:val="00F35258"/>
    <w:rsid w:val="00F35323"/>
    <w:rsid w:val="00F35497"/>
    <w:rsid w:val="00F359D9"/>
    <w:rsid w:val="00F366EC"/>
    <w:rsid w:val="00F37C66"/>
    <w:rsid w:val="00F41368"/>
    <w:rsid w:val="00F4199B"/>
    <w:rsid w:val="00F41C5F"/>
    <w:rsid w:val="00F42CE5"/>
    <w:rsid w:val="00F42D8A"/>
    <w:rsid w:val="00F452B9"/>
    <w:rsid w:val="00F4582C"/>
    <w:rsid w:val="00F464D1"/>
    <w:rsid w:val="00F465D2"/>
    <w:rsid w:val="00F4684A"/>
    <w:rsid w:val="00F4687F"/>
    <w:rsid w:val="00F46C1C"/>
    <w:rsid w:val="00F46C65"/>
    <w:rsid w:val="00F472DD"/>
    <w:rsid w:val="00F474B5"/>
    <w:rsid w:val="00F47B14"/>
    <w:rsid w:val="00F47BEA"/>
    <w:rsid w:val="00F47C05"/>
    <w:rsid w:val="00F47C97"/>
    <w:rsid w:val="00F50899"/>
    <w:rsid w:val="00F50DC9"/>
    <w:rsid w:val="00F51679"/>
    <w:rsid w:val="00F52A9B"/>
    <w:rsid w:val="00F52CC9"/>
    <w:rsid w:val="00F52FB5"/>
    <w:rsid w:val="00F538EC"/>
    <w:rsid w:val="00F53EB4"/>
    <w:rsid w:val="00F53FAB"/>
    <w:rsid w:val="00F54548"/>
    <w:rsid w:val="00F545EC"/>
    <w:rsid w:val="00F54C72"/>
    <w:rsid w:val="00F54D68"/>
    <w:rsid w:val="00F551EB"/>
    <w:rsid w:val="00F56260"/>
    <w:rsid w:val="00F56A71"/>
    <w:rsid w:val="00F56C8A"/>
    <w:rsid w:val="00F57022"/>
    <w:rsid w:val="00F5716D"/>
    <w:rsid w:val="00F5797F"/>
    <w:rsid w:val="00F57CD3"/>
    <w:rsid w:val="00F6008F"/>
    <w:rsid w:val="00F600FC"/>
    <w:rsid w:val="00F6058C"/>
    <w:rsid w:val="00F60BC9"/>
    <w:rsid w:val="00F62678"/>
    <w:rsid w:val="00F6278B"/>
    <w:rsid w:val="00F62AF8"/>
    <w:rsid w:val="00F62ECB"/>
    <w:rsid w:val="00F6362E"/>
    <w:rsid w:val="00F63A00"/>
    <w:rsid w:val="00F64335"/>
    <w:rsid w:val="00F64839"/>
    <w:rsid w:val="00F64924"/>
    <w:rsid w:val="00F64C96"/>
    <w:rsid w:val="00F64F68"/>
    <w:rsid w:val="00F6503D"/>
    <w:rsid w:val="00F654C7"/>
    <w:rsid w:val="00F658D6"/>
    <w:rsid w:val="00F65FEA"/>
    <w:rsid w:val="00F667D7"/>
    <w:rsid w:val="00F66FA5"/>
    <w:rsid w:val="00F67965"/>
    <w:rsid w:val="00F67E44"/>
    <w:rsid w:val="00F70BC8"/>
    <w:rsid w:val="00F70C65"/>
    <w:rsid w:val="00F71D2E"/>
    <w:rsid w:val="00F71DF3"/>
    <w:rsid w:val="00F73245"/>
    <w:rsid w:val="00F739D9"/>
    <w:rsid w:val="00F740E6"/>
    <w:rsid w:val="00F7453C"/>
    <w:rsid w:val="00F74C0E"/>
    <w:rsid w:val="00F74EB8"/>
    <w:rsid w:val="00F75099"/>
    <w:rsid w:val="00F7531D"/>
    <w:rsid w:val="00F75D89"/>
    <w:rsid w:val="00F76EA3"/>
    <w:rsid w:val="00F77195"/>
    <w:rsid w:val="00F77650"/>
    <w:rsid w:val="00F77939"/>
    <w:rsid w:val="00F819C0"/>
    <w:rsid w:val="00F81CFB"/>
    <w:rsid w:val="00F823AF"/>
    <w:rsid w:val="00F82BE2"/>
    <w:rsid w:val="00F82EED"/>
    <w:rsid w:val="00F83055"/>
    <w:rsid w:val="00F83247"/>
    <w:rsid w:val="00F83EB3"/>
    <w:rsid w:val="00F842CD"/>
    <w:rsid w:val="00F848BC"/>
    <w:rsid w:val="00F8499D"/>
    <w:rsid w:val="00F84A26"/>
    <w:rsid w:val="00F84F97"/>
    <w:rsid w:val="00F8649E"/>
    <w:rsid w:val="00F86D61"/>
    <w:rsid w:val="00F86E77"/>
    <w:rsid w:val="00F87460"/>
    <w:rsid w:val="00F8769D"/>
    <w:rsid w:val="00F8789A"/>
    <w:rsid w:val="00F902B6"/>
    <w:rsid w:val="00F9036A"/>
    <w:rsid w:val="00F904EF"/>
    <w:rsid w:val="00F909AC"/>
    <w:rsid w:val="00F932DB"/>
    <w:rsid w:val="00F933F5"/>
    <w:rsid w:val="00F9353E"/>
    <w:rsid w:val="00F94216"/>
    <w:rsid w:val="00F95350"/>
    <w:rsid w:val="00F969B0"/>
    <w:rsid w:val="00F97042"/>
    <w:rsid w:val="00F97A97"/>
    <w:rsid w:val="00F97B5B"/>
    <w:rsid w:val="00FA0B8C"/>
    <w:rsid w:val="00FA0EE5"/>
    <w:rsid w:val="00FA189F"/>
    <w:rsid w:val="00FA18C6"/>
    <w:rsid w:val="00FA2678"/>
    <w:rsid w:val="00FA2FCD"/>
    <w:rsid w:val="00FA3E9F"/>
    <w:rsid w:val="00FA43CC"/>
    <w:rsid w:val="00FA47D4"/>
    <w:rsid w:val="00FA4DA4"/>
    <w:rsid w:val="00FA601B"/>
    <w:rsid w:val="00FA6222"/>
    <w:rsid w:val="00FA6D80"/>
    <w:rsid w:val="00FA71F4"/>
    <w:rsid w:val="00FB10C3"/>
    <w:rsid w:val="00FB1566"/>
    <w:rsid w:val="00FB1595"/>
    <w:rsid w:val="00FB15B6"/>
    <w:rsid w:val="00FB1DCE"/>
    <w:rsid w:val="00FB224F"/>
    <w:rsid w:val="00FB2253"/>
    <w:rsid w:val="00FB2684"/>
    <w:rsid w:val="00FB2928"/>
    <w:rsid w:val="00FB2C1D"/>
    <w:rsid w:val="00FB3365"/>
    <w:rsid w:val="00FB458E"/>
    <w:rsid w:val="00FB4901"/>
    <w:rsid w:val="00FB4C73"/>
    <w:rsid w:val="00FB7BAD"/>
    <w:rsid w:val="00FB7C01"/>
    <w:rsid w:val="00FC0AD9"/>
    <w:rsid w:val="00FC1CE6"/>
    <w:rsid w:val="00FC1DD1"/>
    <w:rsid w:val="00FC2953"/>
    <w:rsid w:val="00FC2AB6"/>
    <w:rsid w:val="00FC2EBB"/>
    <w:rsid w:val="00FC3AEC"/>
    <w:rsid w:val="00FC40BE"/>
    <w:rsid w:val="00FC54A0"/>
    <w:rsid w:val="00FC589A"/>
    <w:rsid w:val="00FC59A2"/>
    <w:rsid w:val="00FC5B34"/>
    <w:rsid w:val="00FC5B7C"/>
    <w:rsid w:val="00FC5C07"/>
    <w:rsid w:val="00FC6148"/>
    <w:rsid w:val="00FC65E7"/>
    <w:rsid w:val="00FC7065"/>
    <w:rsid w:val="00FC71EC"/>
    <w:rsid w:val="00FC74CA"/>
    <w:rsid w:val="00FC768A"/>
    <w:rsid w:val="00FC77A7"/>
    <w:rsid w:val="00FC7D31"/>
    <w:rsid w:val="00FD0044"/>
    <w:rsid w:val="00FD0AF5"/>
    <w:rsid w:val="00FD11C5"/>
    <w:rsid w:val="00FD23A7"/>
    <w:rsid w:val="00FD394A"/>
    <w:rsid w:val="00FD397D"/>
    <w:rsid w:val="00FD41D2"/>
    <w:rsid w:val="00FD4BF5"/>
    <w:rsid w:val="00FD4FFD"/>
    <w:rsid w:val="00FD5610"/>
    <w:rsid w:val="00FD56DC"/>
    <w:rsid w:val="00FD58EA"/>
    <w:rsid w:val="00FD5BA2"/>
    <w:rsid w:val="00FD5C1E"/>
    <w:rsid w:val="00FD7986"/>
    <w:rsid w:val="00FD7C23"/>
    <w:rsid w:val="00FE11DD"/>
    <w:rsid w:val="00FE1D35"/>
    <w:rsid w:val="00FE2158"/>
    <w:rsid w:val="00FE2C5C"/>
    <w:rsid w:val="00FE31AE"/>
    <w:rsid w:val="00FE3210"/>
    <w:rsid w:val="00FE33E1"/>
    <w:rsid w:val="00FE3893"/>
    <w:rsid w:val="00FE38B6"/>
    <w:rsid w:val="00FE3A65"/>
    <w:rsid w:val="00FE3AA4"/>
    <w:rsid w:val="00FE3E91"/>
    <w:rsid w:val="00FE4519"/>
    <w:rsid w:val="00FE4660"/>
    <w:rsid w:val="00FE47E9"/>
    <w:rsid w:val="00FE4FEB"/>
    <w:rsid w:val="00FE5451"/>
    <w:rsid w:val="00FE54FE"/>
    <w:rsid w:val="00FE5F55"/>
    <w:rsid w:val="00FE6639"/>
    <w:rsid w:val="00FE70AA"/>
    <w:rsid w:val="00FE78C7"/>
    <w:rsid w:val="00FF0477"/>
    <w:rsid w:val="00FF0D5C"/>
    <w:rsid w:val="00FF12B9"/>
    <w:rsid w:val="00FF138C"/>
    <w:rsid w:val="00FF1B0D"/>
    <w:rsid w:val="00FF1B3F"/>
    <w:rsid w:val="00FF1F1F"/>
    <w:rsid w:val="00FF2CCE"/>
    <w:rsid w:val="00FF37E8"/>
    <w:rsid w:val="00FF3A3B"/>
    <w:rsid w:val="00FF3D5C"/>
    <w:rsid w:val="00FF4FD7"/>
    <w:rsid w:val="00FF50C3"/>
    <w:rsid w:val="00FF534F"/>
    <w:rsid w:val="00FF5A5E"/>
    <w:rsid w:val="00FF5B75"/>
    <w:rsid w:val="00FF5E90"/>
    <w:rsid w:val="00FF6C0C"/>
    <w:rsid w:val="00FF6C9F"/>
    <w:rsid w:val="00FF6FEE"/>
    <w:rsid w:val="00FF717C"/>
    <w:rsid w:val="00FF77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01D9D3"/>
  <w15:docId w15:val="{2EECE74B-0575-46BB-A4CA-E6A5CB44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unhideWhenUsed="1" w:qFormat="1"/>
    <w:lsdException w:name="heading 7" w:unhideWhenUsed="1"/>
    <w:lsdException w:name="heading 8" w:unhideWhenUsed="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iPriority="9" w:unhideWhenUsed="1" w:qFormat="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qFormat="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iPriority="0" w:unhideWhenUsed="1" w:qFormat="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9" w:unhideWhenUsed="1" w:qFormat="1"/>
    <w:lsdException w:name="Hyperlink" w:locked="1" w:semiHidden="1" w:unhideWhenUsed="1"/>
    <w:lsdException w:name="FollowedHyperlink" w:locked="1" w:semiHidden="1" w:unhideWhenUsed="1"/>
    <w:lsdException w:name="Strong" w:uiPriority="0"/>
    <w:lsdException w:name="Emphasis" w:uiPriority="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E33"/>
    <w:pPr>
      <w:autoSpaceDE w:val="0"/>
      <w:autoSpaceDN w:val="0"/>
      <w:adjustRightInd w:val="0"/>
      <w:spacing w:line="360" w:lineRule="auto"/>
      <w:ind w:firstLine="709"/>
      <w:jc w:val="both"/>
    </w:pPr>
    <w:rPr>
      <w:rFonts w:ascii="Times New Roman" w:eastAsia="Times New Roman" w:hAnsi="Times New Roman"/>
      <w:sz w:val="24"/>
      <w:szCs w:val="24"/>
    </w:rPr>
  </w:style>
  <w:style w:type="paragraph" w:styleId="Ttulo1">
    <w:name w:val="heading 1"/>
    <w:basedOn w:val="Normal"/>
    <w:next w:val="Normal"/>
    <w:link w:val="Ttulo1Char"/>
    <w:uiPriority w:val="9"/>
    <w:qFormat/>
    <w:locked/>
    <w:rsid w:val="00205E33"/>
    <w:pPr>
      <w:keepNext/>
      <w:numPr>
        <w:numId w:val="21"/>
      </w:numPr>
      <w:spacing w:before="120" w:after="360"/>
      <w:jc w:val="left"/>
      <w:outlineLvl w:val="0"/>
    </w:pPr>
    <w:rPr>
      <w:b/>
      <w:bCs/>
      <w:caps/>
      <w:kern w:val="32"/>
      <w:szCs w:val="32"/>
    </w:rPr>
  </w:style>
  <w:style w:type="paragraph" w:styleId="Ttulo2">
    <w:name w:val="heading 2"/>
    <w:basedOn w:val="Normal"/>
    <w:next w:val="Normal"/>
    <w:link w:val="Ttulo2Char"/>
    <w:uiPriority w:val="9"/>
    <w:qFormat/>
    <w:locked/>
    <w:rsid w:val="00205E33"/>
    <w:pPr>
      <w:keepNext/>
      <w:numPr>
        <w:ilvl w:val="1"/>
        <w:numId w:val="21"/>
      </w:numPr>
      <w:spacing w:before="360" w:after="360"/>
      <w:jc w:val="left"/>
      <w:outlineLvl w:val="1"/>
    </w:pPr>
    <w:rPr>
      <w:b/>
      <w:bCs/>
      <w:iCs/>
    </w:rPr>
  </w:style>
  <w:style w:type="paragraph" w:styleId="Ttulo3">
    <w:name w:val="heading 3"/>
    <w:basedOn w:val="Normal"/>
    <w:next w:val="PargrafoTexto"/>
    <w:link w:val="Ttulo3Char"/>
    <w:uiPriority w:val="9"/>
    <w:qFormat/>
    <w:locked/>
    <w:rsid w:val="00043744"/>
    <w:pPr>
      <w:keepNext/>
      <w:numPr>
        <w:ilvl w:val="2"/>
        <w:numId w:val="21"/>
      </w:numPr>
      <w:spacing w:before="360" w:after="360"/>
      <w:jc w:val="left"/>
      <w:outlineLvl w:val="2"/>
    </w:pPr>
    <w:rPr>
      <w:bCs/>
      <w:szCs w:val="26"/>
    </w:rPr>
  </w:style>
  <w:style w:type="paragraph" w:styleId="Ttulo4">
    <w:name w:val="heading 4"/>
    <w:basedOn w:val="Normal"/>
    <w:next w:val="Normal"/>
    <w:link w:val="Ttulo4Char"/>
    <w:uiPriority w:val="9"/>
    <w:qFormat/>
    <w:locked/>
    <w:rsid w:val="007B7625"/>
    <w:pPr>
      <w:keepNext/>
      <w:numPr>
        <w:ilvl w:val="3"/>
        <w:numId w:val="21"/>
      </w:numPr>
      <w:spacing w:before="240" w:after="60"/>
      <w:outlineLvl w:val="3"/>
    </w:pPr>
    <w:rPr>
      <w:bCs/>
    </w:rPr>
  </w:style>
  <w:style w:type="paragraph" w:styleId="Ttulo5">
    <w:name w:val="heading 5"/>
    <w:basedOn w:val="Normal"/>
    <w:next w:val="Normal"/>
    <w:link w:val="Ttulo5Char"/>
    <w:uiPriority w:val="9"/>
    <w:qFormat/>
    <w:locked/>
    <w:rsid w:val="007B7625"/>
    <w:pPr>
      <w:numPr>
        <w:ilvl w:val="4"/>
        <w:numId w:val="21"/>
      </w:numPr>
      <w:spacing w:before="240" w:after="60"/>
      <w:outlineLvl w:val="4"/>
    </w:pPr>
    <w:rPr>
      <w:b/>
      <w:bCs/>
      <w:i/>
      <w:iCs/>
      <w:sz w:val="26"/>
      <w:szCs w:val="26"/>
    </w:rPr>
  </w:style>
  <w:style w:type="paragraph" w:styleId="Ttulo6">
    <w:name w:val="heading 6"/>
    <w:basedOn w:val="Normal"/>
    <w:next w:val="Normal"/>
    <w:link w:val="Ttulo6Char"/>
    <w:uiPriority w:val="9"/>
    <w:qFormat/>
    <w:locked/>
    <w:rsid w:val="007B7625"/>
    <w:pPr>
      <w:numPr>
        <w:ilvl w:val="5"/>
        <w:numId w:val="21"/>
      </w:numPr>
      <w:spacing w:before="240" w:after="60"/>
      <w:outlineLvl w:val="5"/>
    </w:pPr>
    <w:rPr>
      <w:b/>
      <w:bCs/>
      <w:sz w:val="20"/>
      <w:szCs w:val="20"/>
    </w:rPr>
  </w:style>
  <w:style w:type="paragraph" w:styleId="Ttulo7">
    <w:name w:val="heading 7"/>
    <w:basedOn w:val="Normal"/>
    <w:next w:val="Normal"/>
    <w:link w:val="Ttulo7Char"/>
    <w:uiPriority w:val="99"/>
    <w:locked/>
    <w:rsid w:val="007B7625"/>
    <w:pPr>
      <w:numPr>
        <w:ilvl w:val="6"/>
        <w:numId w:val="21"/>
      </w:numPr>
      <w:spacing w:before="240" w:after="60"/>
      <w:outlineLvl w:val="6"/>
    </w:pPr>
  </w:style>
  <w:style w:type="paragraph" w:styleId="Ttulo8">
    <w:name w:val="heading 8"/>
    <w:basedOn w:val="Normal"/>
    <w:next w:val="Normal"/>
    <w:link w:val="Ttulo8Char"/>
    <w:uiPriority w:val="99"/>
    <w:locked/>
    <w:rsid w:val="007B7625"/>
    <w:pPr>
      <w:numPr>
        <w:ilvl w:val="7"/>
        <w:numId w:val="21"/>
      </w:numPr>
      <w:spacing w:before="240" w:after="60"/>
      <w:outlineLvl w:val="7"/>
    </w:pPr>
    <w:rPr>
      <w:i/>
      <w:iCs/>
    </w:rPr>
  </w:style>
  <w:style w:type="paragraph" w:styleId="Ttulo9">
    <w:name w:val="heading 9"/>
    <w:basedOn w:val="Normal"/>
    <w:next w:val="Normal"/>
    <w:link w:val="Ttulo9Char"/>
    <w:uiPriority w:val="99"/>
    <w:locked/>
    <w:rsid w:val="007B7625"/>
    <w:pPr>
      <w:numPr>
        <w:ilvl w:val="8"/>
        <w:numId w:val="21"/>
      </w:numPr>
      <w:spacing w:before="240" w:after="60"/>
      <w:outlineLvl w:val="8"/>
    </w:pPr>
    <w:rPr>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uiPriority w:val="99"/>
    <w:locked/>
    <w:rsid w:val="00FB7BAD"/>
    <w:rPr>
      <w:rFonts w:ascii="Cambria" w:hAnsi="Cambria" w:cs="Times New Roman"/>
      <w:b/>
      <w:bCs/>
      <w:kern w:val="32"/>
      <w:sz w:val="32"/>
      <w:szCs w:val="32"/>
    </w:rPr>
  </w:style>
  <w:style w:type="character" w:customStyle="1" w:styleId="Heading2Char">
    <w:name w:val="Heading 2 Char"/>
    <w:uiPriority w:val="99"/>
    <w:semiHidden/>
    <w:locked/>
    <w:rsid w:val="00FB7BAD"/>
    <w:rPr>
      <w:rFonts w:ascii="Cambria" w:hAnsi="Cambria" w:cs="Times New Roman"/>
      <w:b/>
      <w:bCs/>
      <w:i/>
      <w:iCs/>
      <w:sz w:val="28"/>
      <w:szCs w:val="28"/>
    </w:rPr>
  </w:style>
  <w:style w:type="character" w:customStyle="1" w:styleId="Heading3Char">
    <w:name w:val="Heading 3 Char"/>
    <w:uiPriority w:val="99"/>
    <w:semiHidden/>
    <w:locked/>
    <w:rsid w:val="00FB7BAD"/>
    <w:rPr>
      <w:rFonts w:ascii="Cambria" w:hAnsi="Cambria" w:cs="Times New Roman"/>
      <w:b/>
      <w:bCs/>
      <w:sz w:val="26"/>
      <w:szCs w:val="26"/>
    </w:rPr>
  </w:style>
  <w:style w:type="character" w:customStyle="1" w:styleId="Ttulo4Char">
    <w:name w:val="Título 4 Char"/>
    <w:link w:val="Ttulo4"/>
    <w:uiPriority w:val="9"/>
    <w:locked/>
    <w:rsid w:val="007B7625"/>
    <w:rPr>
      <w:rFonts w:ascii="Times New Roman" w:eastAsia="Times New Roman" w:hAnsi="Times New Roman"/>
      <w:bCs/>
      <w:sz w:val="24"/>
      <w:szCs w:val="28"/>
    </w:rPr>
  </w:style>
  <w:style w:type="character" w:customStyle="1" w:styleId="Ttulo5Char">
    <w:name w:val="Título 5 Char"/>
    <w:link w:val="Ttulo5"/>
    <w:uiPriority w:val="9"/>
    <w:locked/>
    <w:rsid w:val="007B7625"/>
    <w:rPr>
      <w:rFonts w:ascii="Times New Roman" w:eastAsia="Times New Roman" w:hAnsi="Times New Roman"/>
      <w:b/>
      <w:bCs/>
      <w:i/>
      <w:iCs/>
      <w:sz w:val="26"/>
      <w:szCs w:val="26"/>
    </w:rPr>
  </w:style>
  <w:style w:type="character" w:customStyle="1" w:styleId="Ttulo6Char">
    <w:name w:val="Título 6 Char"/>
    <w:link w:val="Ttulo6"/>
    <w:uiPriority w:val="9"/>
    <w:locked/>
    <w:rsid w:val="007B7625"/>
    <w:rPr>
      <w:rFonts w:ascii="Times New Roman" w:eastAsia="Times New Roman" w:hAnsi="Times New Roman"/>
      <w:b/>
      <w:bCs/>
    </w:rPr>
  </w:style>
  <w:style w:type="character" w:customStyle="1" w:styleId="Ttulo7Char">
    <w:name w:val="Título 7 Char"/>
    <w:link w:val="Ttulo7"/>
    <w:uiPriority w:val="99"/>
    <w:locked/>
    <w:rsid w:val="007B7625"/>
    <w:rPr>
      <w:rFonts w:ascii="Times New Roman" w:eastAsia="Times New Roman" w:hAnsi="Times New Roman"/>
      <w:sz w:val="24"/>
      <w:szCs w:val="24"/>
    </w:rPr>
  </w:style>
  <w:style w:type="character" w:customStyle="1" w:styleId="Ttulo8Char">
    <w:name w:val="Título 8 Char"/>
    <w:link w:val="Ttulo8"/>
    <w:uiPriority w:val="99"/>
    <w:locked/>
    <w:rsid w:val="007B7625"/>
    <w:rPr>
      <w:rFonts w:ascii="Times New Roman" w:eastAsia="Times New Roman" w:hAnsi="Times New Roman"/>
      <w:i/>
      <w:iCs/>
      <w:sz w:val="24"/>
      <w:szCs w:val="24"/>
    </w:rPr>
  </w:style>
  <w:style w:type="character" w:customStyle="1" w:styleId="Ttulo9Char">
    <w:name w:val="Título 9 Char"/>
    <w:link w:val="Ttulo9"/>
    <w:uiPriority w:val="99"/>
    <w:locked/>
    <w:rsid w:val="007B7625"/>
    <w:rPr>
      <w:rFonts w:ascii="Arial" w:eastAsia="Times New Roman" w:hAnsi="Arial"/>
    </w:rPr>
  </w:style>
  <w:style w:type="character" w:customStyle="1" w:styleId="Ttulo1Char">
    <w:name w:val="Título 1 Char"/>
    <w:link w:val="Ttulo1"/>
    <w:uiPriority w:val="9"/>
    <w:locked/>
    <w:rsid w:val="00205E33"/>
    <w:rPr>
      <w:rFonts w:ascii="Times New Roman" w:eastAsia="Times New Roman" w:hAnsi="Times New Roman"/>
      <w:b/>
      <w:bCs/>
      <w:caps/>
      <w:kern w:val="32"/>
      <w:sz w:val="24"/>
      <w:szCs w:val="32"/>
    </w:rPr>
  </w:style>
  <w:style w:type="character" w:customStyle="1" w:styleId="Ttulo2Char">
    <w:name w:val="Título 2 Char"/>
    <w:link w:val="Ttulo2"/>
    <w:uiPriority w:val="9"/>
    <w:locked/>
    <w:rsid w:val="00205E33"/>
    <w:rPr>
      <w:rFonts w:ascii="Times New Roman" w:eastAsia="Times New Roman" w:hAnsi="Times New Roman"/>
      <w:b/>
      <w:bCs/>
      <w:iCs/>
      <w:sz w:val="24"/>
      <w:szCs w:val="24"/>
    </w:rPr>
  </w:style>
  <w:style w:type="character" w:customStyle="1" w:styleId="Ttulo3Char">
    <w:name w:val="Título 3 Char"/>
    <w:link w:val="Ttulo3"/>
    <w:uiPriority w:val="9"/>
    <w:locked/>
    <w:rsid w:val="00043744"/>
    <w:rPr>
      <w:rFonts w:ascii="Arial" w:eastAsia="Times New Roman" w:hAnsi="Arial" w:cs="Arial"/>
      <w:bCs/>
      <w:sz w:val="24"/>
      <w:szCs w:val="26"/>
    </w:rPr>
  </w:style>
  <w:style w:type="paragraph" w:customStyle="1" w:styleId="PargrafodaLista1">
    <w:name w:val="Parágrafo da Lista1"/>
    <w:basedOn w:val="Normal"/>
    <w:uiPriority w:val="99"/>
    <w:semiHidden/>
    <w:rsid w:val="007A7DFC"/>
    <w:pPr>
      <w:ind w:left="720"/>
    </w:pPr>
    <w:rPr>
      <w:rFonts w:eastAsia="Calibri"/>
    </w:rPr>
  </w:style>
  <w:style w:type="paragraph" w:customStyle="1" w:styleId="Default">
    <w:name w:val="Default"/>
    <w:rsid w:val="001E626B"/>
    <w:pPr>
      <w:autoSpaceDE w:val="0"/>
      <w:autoSpaceDN w:val="0"/>
      <w:adjustRightInd w:val="0"/>
      <w:spacing w:line="360" w:lineRule="auto"/>
      <w:ind w:firstLine="706"/>
      <w:jc w:val="both"/>
    </w:pPr>
    <w:rPr>
      <w:rFonts w:ascii="BLABDE+ArialNarrow" w:eastAsia="Times New Roman" w:hAnsi="BLABDE+ArialNarrow" w:cs="BLABDE+ArialNarrow"/>
      <w:color w:val="000000"/>
      <w:sz w:val="24"/>
      <w:szCs w:val="24"/>
    </w:rPr>
  </w:style>
  <w:style w:type="table" w:styleId="Tabelacomgrade">
    <w:name w:val="Table Grid"/>
    <w:basedOn w:val="Tabelanormal"/>
    <w:uiPriority w:val="99"/>
    <w:rsid w:val="00270E6A"/>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mentoClaro-nfase41">
    <w:name w:val="Sombreamento Claro - Ênfase 41"/>
    <w:uiPriority w:val="99"/>
    <w:semiHidden/>
    <w:rsid w:val="00270E6A"/>
    <w:rPr>
      <w:rFonts w:eastAsia="Times New Roman"/>
      <w:color w:val="5F497A"/>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style>
  <w:style w:type="table" w:customStyle="1" w:styleId="SombreamentoClaro-nfase31">
    <w:name w:val="Sombreamento Claro - Ênfase 31"/>
    <w:uiPriority w:val="99"/>
    <w:semiHidden/>
    <w:rsid w:val="00270E6A"/>
    <w:rPr>
      <w:rFonts w:eastAsia="Times New Roman"/>
      <w:color w:val="76923C"/>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table" w:customStyle="1" w:styleId="Estilo1">
    <w:name w:val="Estilo1"/>
    <w:basedOn w:val="TabeladaWeb2"/>
    <w:uiPriority w:val="99"/>
    <w:semiHidden/>
    <w:rsid w:val="00270E6A"/>
    <w:tbl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70E6A"/>
    <w:pPr>
      <w:autoSpaceDE w:val="0"/>
      <w:autoSpaceDN w:val="0"/>
      <w:adjustRightInd w:val="0"/>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SombreamentoClaro-nfase11">
    <w:name w:val="Sombreamento Claro - Ênfase 11"/>
    <w:uiPriority w:val="99"/>
    <w:semiHidden/>
    <w:rsid w:val="00270E6A"/>
    <w:rPr>
      <w:rFonts w:eastAsia="Times New Roman"/>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ombreamentoClaro1">
    <w:name w:val="Sombreamento Claro1"/>
    <w:uiPriority w:val="99"/>
    <w:semiHidden/>
    <w:rsid w:val="00270E6A"/>
    <w:rPr>
      <w:rFonts w:eastAsia="Times New Roman"/>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staColorida-nfase41">
    <w:name w:val="Lista Colorida - Ênfase 41"/>
    <w:uiPriority w:val="99"/>
    <w:semiHidden/>
    <w:rsid w:val="00270E6A"/>
    <w:rPr>
      <w:rFonts w:eastAsia="Times New Roman"/>
      <w:color w:val="000000"/>
    </w:rPr>
    <w:tblPr>
      <w:tblStyleRowBandSize w:val="1"/>
      <w:tblStyleColBandSize w:val="1"/>
      <w:tblCellMar>
        <w:top w:w="0" w:type="dxa"/>
        <w:left w:w="108" w:type="dxa"/>
        <w:bottom w:w="0" w:type="dxa"/>
        <w:right w:w="108" w:type="dxa"/>
      </w:tblCellMar>
    </w:tblPr>
    <w:tcPr>
      <w:shd w:val="clear" w:color="auto" w:fill="F2EFF6"/>
    </w:tcPr>
  </w:style>
  <w:style w:type="table" w:customStyle="1" w:styleId="Estilo2">
    <w:name w:val="Estilo2"/>
    <w:uiPriority w:val="99"/>
    <w:semiHidden/>
    <w:rsid w:val="00270E6A"/>
    <w:rPr>
      <w:rFonts w:eastAsia="Times New Roman"/>
    </w:rPr>
    <w:tblPr>
      <w:tblCellMar>
        <w:top w:w="0" w:type="dxa"/>
        <w:left w:w="108" w:type="dxa"/>
        <w:bottom w:w="0" w:type="dxa"/>
        <w:right w:w="108" w:type="dxa"/>
      </w:tblCellMar>
    </w:tblPr>
  </w:style>
  <w:style w:type="table" w:customStyle="1" w:styleId="Estilo3">
    <w:name w:val="Estilo3"/>
    <w:uiPriority w:val="99"/>
    <w:semiHidden/>
    <w:rsid w:val="005D48DD"/>
    <w:rPr>
      <w:rFonts w:eastAsia="Times New Roman"/>
    </w:rPr>
    <w:tblPr>
      <w:tblStyleRowBandSize w:val="1"/>
      <w:tblCellMar>
        <w:top w:w="0" w:type="dxa"/>
        <w:left w:w="108" w:type="dxa"/>
        <w:bottom w:w="0" w:type="dxa"/>
        <w:right w:w="108" w:type="dxa"/>
      </w:tblCellMar>
    </w:tblPr>
  </w:style>
  <w:style w:type="table" w:customStyle="1" w:styleId="Estilo4">
    <w:name w:val="Estilo4"/>
    <w:basedOn w:val="Tabelaprofissional"/>
    <w:uiPriority w:val="99"/>
    <w:semiHidden/>
    <w:rsid w:val="005D48DD"/>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profissional">
    <w:name w:val="Table Professional"/>
    <w:basedOn w:val="Tabelanormal"/>
    <w:uiPriority w:val="99"/>
    <w:semiHidden/>
    <w:rsid w:val="005D48DD"/>
    <w:pPr>
      <w:autoSpaceDE w:val="0"/>
      <w:autoSpaceDN w:val="0"/>
      <w:adjustRightInd w:val="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Estilo5">
    <w:name w:val="Estilo5"/>
    <w:basedOn w:val="Tabelaelegante"/>
    <w:uiPriority w:val="99"/>
    <w:semiHidden/>
    <w:rsid w:val="005D48DD"/>
    <w:tblPr/>
    <w:tblStylePr w:type="firstRow">
      <w:rPr>
        <w:rFonts w:cs="Times New Roman"/>
        <w:caps/>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5D48DD"/>
    <w:pPr>
      <w:autoSpaceDE w:val="0"/>
      <w:autoSpaceDN w:val="0"/>
      <w:adjustRightInd w:val="0"/>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Estilo6">
    <w:name w:val="Estilo6"/>
    <w:basedOn w:val="Tabelaemcolunas5"/>
    <w:uiPriority w:val="99"/>
    <w:semiHidden/>
    <w:rsid w:val="005D48DD"/>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colunas5">
    <w:name w:val="Table Columns 5"/>
    <w:basedOn w:val="Tabelanormal"/>
    <w:uiPriority w:val="99"/>
    <w:semiHidden/>
    <w:rsid w:val="005D48DD"/>
    <w:pPr>
      <w:autoSpaceDE w:val="0"/>
      <w:autoSpaceDN w:val="0"/>
      <w:adjustRightInd w:val="0"/>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Estilo7">
    <w:name w:val="Estilo7"/>
    <w:basedOn w:val="Tabelaemlista4"/>
    <w:uiPriority w:val="99"/>
    <w:semiHidden/>
    <w:rsid w:val="005D48DD"/>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4">
    <w:name w:val="Table List 4"/>
    <w:basedOn w:val="Tabelanormal"/>
    <w:uiPriority w:val="99"/>
    <w:semiHidden/>
    <w:rsid w:val="005D48DD"/>
    <w:pPr>
      <w:autoSpaceDE w:val="0"/>
      <w:autoSpaceDN w:val="0"/>
      <w:adjustRightInd w:val="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Estilo8">
    <w:name w:val="Estilo8"/>
    <w:basedOn w:val="Tabelaemlista5"/>
    <w:uiPriority w:val="99"/>
    <w:semiHidden/>
    <w:rsid w:val="005D48DD"/>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5">
    <w:name w:val="Table List 5"/>
    <w:basedOn w:val="Tabelanormal"/>
    <w:uiPriority w:val="99"/>
    <w:semiHidden/>
    <w:rsid w:val="005D48DD"/>
    <w:pPr>
      <w:autoSpaceDE w:val="0"/>
      <w:autoSpaceDN w:val="0"/>
      <w:adjustRightInd w:val="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Estilo9">
    <w:name w:val="Estilo9"/>
    <w:basedOn w:val="Tabelaemcolunas5"/>
    <w:uiPriority w:val="99"/>
    <w:semiHidden/>
    <w:rsid w:val="005D48DD"/>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Estilo10">
    <w:name w:val="Estilo10"/>
    <w:basedOn w:val="Tabelacomgrade4"/>
    <w:uiPriority w:val="99"/>
    <w:semiHidden/>
    <w:rsid w:val="005D48DD"/>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5D48DD"/>
    <w:pPr>
      <w:autoSpaceDE w:val="0"/>
      <w:autoSpaceDN w:val="0"/>
      <w:adjustRightInd w:val="0"/>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Estilo11">
    <w:name w:val="Estilo11"/>
    <w:uiPriority w:val="99"/>
    <w:semiHidden/>
    <w:rsid w:val="005D48DD"/>
    <w:rPr>
      <w:rFonts w:eastAsia="Times New Roman"/>
    </w:rPr>
    <w:tblPr>
      <w:tblCellMar>
        <w:top w:w="0" w:type="dxa"/>
        <w:left w:w="108" w:type="dxa"/>
        <w:bottom w:w="0" w:type="dxa"/>
        <w:right w:w="108" w:type="dxa"/>
      </w:tblCellMar>
    </w:tblPr>
  </w:style>
  <w:style w:type="table" w:customStyle="1" w:styleId="Estilo12">
    <w:name w:val="Estilo12"/>
    <w:uiPriority w:val="99"/>
    <w:semiHidden/>
    <w:rsid w:val="005D48DD"/>
    <w:rPr>
      <w:rFonts w:eastAsia="Times New Roman"/>
    </w:rPr>
    <w:tblPr>
      <w:tblCellMar>
        <w:top w:w="0" w:type="dxa"/>
        <w:left w:w="108" w:type="dxa"/>
        <w:bottom w:w="0" w:type="dxa"/>
        <w:right w:w="108" w:type="dxa"/>
      </w:tblCellMar>
    </w:tblPr>
  </w:style>
  <w:style w:type="table" w:customStyle="1" w:styleId="Estilo13">
    <w:name w:val="Estilo13"/>
    <w:uiPriority w:val="99"/>
    <w:semiHidden/>
    <w:rsid w:val="005D48DD"/>
    <w:rPr>
      <w:rFonts w:eastAsia="Times New Roman"/>
    </w:rPr>
    <w:tblPr>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style>
  <w:style w:type="table" w:customStyle="1" w:styleId="Estilo14">
    <w:name w:val="Estilo14"/>
    <w:uiPriority w:val="99"/>
    <w:semiHidden/>
    <w:rsid w:val="005D48DD"/>
    <w:rPr>
      <w:rFonts w:eastAsia="Times New Roman"/>
    </w:rPr>
    <w:tblPr>
      <w:tblBorders>
        <w:insideH w:val="single" w:sz="18" w:space="0" w:color="auto"/>
        <w:insideV w:val="single" w:sz="18" w:space="0" w:color="auto"/>
      </w:tblBorders>
      <w:tblCellMar>
        <w:top w:w="0" w:type="dxa"/>
        <w:left w:w="108" w:type="dxa"/>
        <w:bottom w:w="0" w:type="dxa"/>
        <w:right w:w="108" w:type="dxa"/>
      </w:tblCellMar>
    </w:tblPr>
  </w:style>
  <w:style w:type="table" w:customStyle="1" w:styleId="Estilo15">
    <w:name w:val="Estilo15"/>
    <w:uiPriority w:val="99"/>
    <w:semiHidden/>
    <w:rsid w:val="005D48DD"/>
    <w:rPr>
      <w:rFonts w:eastAsia="Times New Roman"/>
    </w:rPr>
    <w:tblPr>
      <w:tblBorders>
        <w:insideH w:val="single" w:sz="18" w:space="0" w:color="auto"/>
      </w:tblBorders>
      <w:tblCellMar>
        <w:top w:w="0" w:type="dxa"/>
        <w:left w:w="108" w:type="dxa"/>
        <w:bottom w:w="0" w:type="dxa"/>
        <w:right w:w="108" w:type="dxa"/>
      </w:tblCellMar>
    </w:tblPr>
  </w:style>
  <w:style w:type="table" w:customStyle="1" w:styleId="Estilo16">
    <w:name w:val="Estilo16"/>
    <w:basedOn w:val="Estilo7"/>
    <w:uiPriority w:val="99"/>
    <w:semiHidden/>
    <w:rsid w:val="005D48DD"/>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Estilo17">
    <w:name w:val="Estilo17"/>
    <w:basedOn w:val="Estilo5"/>
    <w:uiPriority w:val="99"/>
    <w:semiHidden/>
    <w:rsid w:val="00656C7C"/>
    <w:tblPr/>
    <w:tblStylePr w:type="firstRow">
      <w:rPr>
        <w:rFonts w:cs="Times New Roman"/>
        <w:caps/>
        <w:color w:val="auto"/>
      </w:rPr>
      <w:tblPr/>
      <w:tcPr>
        <w:tcBorders>
          <w:tl2br w:val="none" w:sz="0" w:space="0" w:color="auto"/>
          <w:tr2bl w:val="none" w:sz="0" w:space="0" w:color="auto"/>
        </w:tcBorders>
      </w:tcPr>
    </w:tblStylePr>
  </w:style>
  <w:style w:type="table" w:customStyle="1" w:styleId="Estilo18">
    <w:name w:val="Estilo18"/>
    <w:basedOn w:val="Estilo17"/>
    <w:uiPriority w:val="99"/>
    <w:semiHidden/>
    <w:rsid w:val="00656C7C"/>
    <w:tblPr/>
    <w:tblStylePr w:type="firstRow">
      <w:rPr>
        <w:rFonts w:cs="Times New Roman"/>
        <w:caps/>
        <w:color w:val="auto"/>
      </w:rPr>
      <w:tblPr/>
      <w:tcPr>
        <w:tcBorders>
          <w:tl2br w:val="none" w:sz="0" w:space="0" w:color="auto"/>
          <w:tr2bl w:val="none" w:sz="0" w:space="0" w:color="auto"/>
        </w:tcBorders>
      </w:tcPr>
    </w:tblStylePr>
  </w:style>
  <w:style w:type="table" w:customStyle="1" w:styleId="Estilo19">
    <w:name w:val="Estilo19"/>
    <w:basedOn w:val="Tabelaemlista5"/>
    <w:uiPriority w:val="99"/>
    <w:semiHidden/>
    <w:rsid w:val="00656C7C"/>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paragraph" w:styleId="Textodebalo">
    <w:name w:val="Balloon Text"/>
    <w:basedOn w:val="Normal"/>
    <w:link w:val="TextodebaloChar"/>
    <w:uiPriority w:val="99"/>
    <w:semiHidden/>
    <w:rsid w:val="00701874"/>
    <w:rPr>
      <w:rFonts w:ascii="Tahoma" w:eastAsia="Calibri" w:hAnsi="Tahoma"/>
      <w:sz w:val="16"/>
      <w:szCs w:val="16"/>
    </w:rPr>
  </w:style>
  <w:style w:type="character" w:customStyle="1" w:styleId="TextodebaloChar">
    <w:name w:val="Texto de balão Char"/>
    <w:link w:val="Textodebalo"/>
    <w:uiPriority w:val="99"/>
    <w:semiHidden/>
    <w:locked/>
    <w:rsid w:val="00701874"/>
    <w:rPr>
      <w:rFonts w:ascii="Tahoma" w:hAnsi="Tahoma" w:cs="Tahoma"/>
      <w:sz w:val="16"/>
      <w:szCs w:val="16"/>
    </w:rPr>
  </w:style>
  <w:style w:type="paragraph" w:styleId="MapadoDocumento">
    <w:name w:val="Document Map"/>
    <w:basedOn w:val="Normal"/>
    <w:link w:val="MapadoDocumentoChar"/>
    <w:uiPriority w:val="99"/>
    <w:semiHidden/>
    <w:rsid w:val="00AC6947"/>
    <w:pPr>
      <w:shd w:val="clear" w:color="auto" w:fill="000080"/>
    </w:pPr>
    <w:rPr>
      <w:rFonts w:eastAsia="Calibri"/>
      <w:sz w:val="2"/>
      <w:szCs w:val="20"/>
    </w:rPr>
  </w:style>
  <w:style w:type="character" w:customStyle="1" w:styleId="MapadoDocumentoChar">
    <w:name w:val="Mapa do Documento Char"/>
    <w:link w:val="MapadoDocumento"/>
    <w:uiPriority w:val="99"/>
    <w:semiHidden/>
    <w:locked/>
    <w:rsid w:val="00F64F68"/>
    <w:rPr>
      <w:rFonts w:ascii="Times New Roman" w:hAnsi="Times New Roman" w:cs="Times New Roman"/>
      <w:sz w:val="2"/>
    </w:rPr>
  </w:style>
  <w:style w:type="paragraph" w:styleId="Sumrio1">
    <w:name w:val="toc 1"/>
    <w:basedOn w:val="Normal"/>
    <w:next w:val="Normal"/>
    <w:autoRedefine/>
    <w:uiPriority w:val="39"/>
    <w:locked/>
    <w:rsid w:val="00E13369"/>
    <w:pPr>
      <w:tabs>
        <w:tab w:val="left" w:pos="567"/>
        <w:tab w:val="right" w:leader="dot" w:pos="9072"/>
      </w:tabs>
      <w:ind w:firstLine="0"/>
      <w:jc w:val="center"/>
    </w:pPr>
    <w:rPr>
      <w:rFonts w:cs="Calibri"/>
      <w:bCs/>
      <w:caps/>
      <w:szCs w:val="20"/>
    </w:rPr>
  </w:style>
  <w:style w:type="paragraph" w:styleId="Sumrio2">
    <w:name w:val="toc 2"/>
    <w:basedOn w:val="Normal"/>
    <w:next w:val="Normal"/>
    <w:autoRedefine/>
    <w:uiPriority w:val="39"/>
    <w:locked/>
    <w:rsid w:val="004C4F85"/>
    <w:pPr>
      <w:tabs>
        <w:tab w:val="left" w:pos="454"/>
        <w:tab w:val="right" w:leader="dot" w:pos="9072"/>
      </w:tabs>
      <w:ind w:firstLine="0"/>
      <w:jc w:val="left"/>
    </w:pPr>
    <w:rPr>
      <w:rFonts w:cs="Calibri"/>
      <w:b/>
      <w:szCs w:val="20"/>
    </w:rPr>
  </w:style>
  <w:style w:type="paragraph" w:styleId="Sumrio3">
    <w:name w:val="toc 3"/>
    <w:basedOn w:val="Normal"/>
    <w:next w:val="Normal"/>
    <w:autoRedefine/>
    <w:uiPriority w:val="39"/>
    <w:locked/>
    <w:rsid w:val="004C4F85"/>
    <w:pPr>
      <w:tabs>
        <w:tab w:val="left" w:pos="680"/>
        <w:tab w:val="right" w:leader="dot" w:pos="9061"/>
      </w:tabs>
      <w:ind w:firstLine="0"/>
      <w:jc w:val="left"/>
    </w:pPr>
    <w:rPr>
      <w:rFonts w:cs="Calibri"/>
      <w:iCs/>
      <w:szCs w:val="20"/>
    </w:rPr>
  </w:style>
  <w:style w:type="paragraph" w:styleId="Sumrio4">
    <w:name w:val="toc 4"/>
    <w:basedOn w:val="Normal"/>
    <w:next w:val="Normal"/>
    <w:autoRedefine/>
    <w:uiPriority w:val="99"/>
    <w:semiHidden/>
    <w:locked/>
    <w:rsid w:val="008D0F0B"/>
    <w:pPr>
      <w:ind w:left="720"/>
      <w:jc w:val="left"/>
    </w:pPr>
    <w:rPr>
      <w:rFonts w:ascii="Calibri" w:hAnsi="Calibri" w:cs="Calibri"/>
      <w:sz w:val="18"/>
      <w:szCs w:val="18"/>
    </w:rPr>
  </w:style>
  <w:style w:type="paragraph" w:customStyle="1" w:styleId="PargrafodaLista2">
    <w:name w:val="Parágrafo da Lista2"/>
    <w:basedOn w:val="Normal"/>
    <w:uiPriority w:val="99"/>
    <w:semiHidden/>
    <w:rsid w:val="00926E61"/>
    <w:pPr>
      <w:ind w:left="720"/>
      <w:contextualSpacing/>
    </w:pPr>
  </w:style>
  <w:style w:type="paragraph" w:customStyle="1" w:styleId="Bibliografiaingls">
    <w:name w:val="Bibliografia inglês"/>
    <w:basedOn w:val="Default"/>
    <w:next w:val="Default"/>
    <w:uiPriority w:val="99"/>
    <w:semiHidden/>
    <w:rsid w:val="006656FA"/>
    <w:pPr>
      <w:spacing w:line="240" w:lineRule="auto"/>
      <w:ind w:firstLine="0"/>
      <w:jc w:val="left"/>
    </w:pPr>
    <w:rPr>
      <w:rFonts w:eastAsia="Calibri" w:cs="Times New Roman"/>
      <w:color w:val="auto"/>
    </w:rPr>
  </w:style>
  <w:style w:type="paragraph" w:styleId="Legenda">
    <w:name w:val="caption"/>
    <w:basedOn w:val="Normal"/>
    <w:next w:val="Normal"/>
    <w:link w:val="LegendaChar"/>
    <w:qFormat/>
    <w:locked/>
    <w:rsid w:val="00944384"/>
    <w:pPr>
      <w:keepNext/>
      <w:spacing w:after="120" w:line="240" w:lineRule="auto"/>
      <w:ind w:firstLine="0"/>
      <w:jc w:val="center"/>
    </w:pPr>
    <w:rPr>
      <w:rFonts w:eastAsia="Calibri"/>
      <w:bCs/>
      <w:sz w:val="22"/>
      <w:szCs w:val="20"/>
    </w:rPr>
  </w:style>
  <w:style w:type="character" w:customStyle="1" w:styleId="LegendaChar">
    <w:name w:val="Legenda Char"/>
    <w:link w:val="Legenda"/>
    <w:locked/>
    <w:rsid w:val="00944384"/>
    <w:rPr>
      <w:rFonts w:ascii="Times New Roman" w:hAnsi="Times New Roman"/>
      <w:bCs/>
      <w:sz w:val="22"/>
    </w:rPr>
  </w:style>
  <w:style w:type="paragraph" w:customStyle="1" w:styleId="EstiloLegendaCentralizado">
    <w:name w:val="Estilo Legenda + Centralizado"/>
    <w:basedOn w:val="Legenda"/>
    <w:uiPriority w:val="99"/>
    <w:semiHidden/>
    <w:rsid w:val="00D03170"/>
    <w:rPr>
      <w:sz w:val="24"/>
    </w:rPr>
  </w:style>
  <w:style w:type="paragraph" w:customStyle="1" w:styleId="EstiloLegendaCentralizado1">
    <w:name w:val="Estilo Legenda + Centralizado1"/>
    <w:basedOn w:val="Legenda"/>
    <w:uiPriority w:val="99"/>
    <w:semiHidden/>
    <w:rsid w:val="00C806C8"/>
    <w:rPr>
      <w:sz w:val="24"/>
    </w:rPr>
  </w:style>
  <w:style w:type="paragraph" w:customStyle="1" w:styleId="Estilo20">
    <w:name w:val="Estilo20"/>
    <w:basedOn w:val="Ttulo2"/>
    <w:uiPriority w:val="99"/>
    <w:semiHidden/>
    <w:rsid w:val="002A41A3"/>
  </w:style>
  <w:style w:type="paragraph" w:styleId="ndicedeilustraes">
    <w:name w:val="table of figures"/>
    <w:basedOn w:val="Normal"/>
    <w:next w:val="Normal"/>
    <w:uiPriority w:val="99"/>
    <w:rsid w:val="008A33EB"/>
    <w:pPr>
      <w:ind w:firstLine="0"/>
      <w:jc w:val="left"/>
    </w:pPr>
  </w:style>
  <w:style w:type="character" w:styleId="Nmerodepgina">
    <w:name w:val="page number"/>
    <w:uiPriority w:val="99"/>
    <w:semiHidden/>
    <w:rsid w:val="00325238"/>
    <w:rPr>
      <w:rFonts w:ascii="Arial" w:hAnsi="Arial" w:cs="Times New Roman"/>
      <w:b w:val="0"/>
      <w:i w:val="0"/>
      <w:sz w:val="22"/>
    </w:rPr>
  </w:style>
  <w:style w:type="paragraph" w:customStyle="1" w:styleId="Item">
    <w:name w:val="Item"/>
    <w:basedOn w:val="Normal"/>
    <w:uiPriority w:val="99"/>
    <w:semiHidden/>
    <w:rsid w:val="00796D11"/>
    <w:pPr>
      <w:numPr>
        <w:numId w:val="11"/>
      </w:numPr>
    </w:pPr>
  </w:style>
  <w:style w:type="paragraph" w:styleId="Assinatura">
    <w:name w:val="Signature"/>
    <w:basedOn w:val="Normal"/>
    <w:link w:val="AssinaturaChar"/>
    <w:uiPriority w:val="99"/>
    <w:semiHidden/>
    <w:rsid w:val="00F4684A"/>
    <w:pPr>
      <w:ind w:left="4252"/>
    </w:pPr>
    <w:rPr>
      <w:rFonts w:eastAsia="Calibri"/>
      <w:sz w:val="28"/>
    </w:rPr>
  </w:style>
  <w:style w:type="character" w:customStyle="1" w:styleId="AssinaturaChar">
    <w:name w:val="Assinatura Char"/>
    <w:link w:val="Assinatura"/>
    <w:uiPriority w:val="99"/>
    <w:semiHidden/>
    <w:locked/>
    <w:rsid w:val="00F64F68"/>
    <w:rPr>
      <w:rFonts w:ascii="Times New Roman" w:hAnsi="Times New Roman" w:cs="Times New Roman"/>
      <w:sz w:val="28"/>
      <w:szCs w:val="28"/>
    </w:rPr>
  </w:style>
  <w:style w:type="paragraph" w:customStyle="1" w:styleId="PargrdeFigura">
    <w:name w:val="Parágr de Figura"/>
    <w:basedOn w:val="Normal"/>
    <w:link w:val="PargrdeFiguraChar"/>
    <w:autoRedefine/>
    <w:uiPriority w:val="99"/>
    <w:semiHidden/>
    <w:rsid w:val="00B4772C"/>
    <w:pPr>
      <w:keepNext/>
      <w:spacing w:before="240" w:after="120"/>
      <w:jc w:val="center"/>
    </w:pPr>
    <w:rPr>
      <w:rFonts w:eastAsia="Calibri"/>
      <w:noProof/>
      <w:sz w:val="28"/>
    </w:rPr>
  </w:style>
  <w:style w:type="character" w:customStyle="1" w:styleId="PargrdeFiguraChar">
    <w:name w:val="Parágr de Figura Char"/>
    <w:link w:val="PargrdeFigura"/>
    <w:uiPriority w:val="99"/>
    <w:locked/>
    <w:rsid w:val="00B4772C"/>
    <w:rPr>
      <w:rFonts w:ascii="Times New Roman" w:hAnsi="Times New Roman" w:cs="Times New Roman"/>
      <w:noProof/>
      <w:sz w:val="28"/>
      <w:szCs w:val="28"/>
    </w:rPr>
  </w:style>
  <w:style w:type="paragraph" w:styleId="Sumrio5">
    <w:name w:val="toc 5"/>
    <w:basedOn w:val="Normal"/>
    <w:next w:val="Normal"/>
    <w:autoRedefine/>
    <w:uiPriority w:val="99"/>
    <w:semiHidden/>
    <w:locked/>
    <w:rsid w:val="00672177"/>
    <w:pPr>
      <w:ind w:left="960"/>
      <w:jc w:val="left"/>
    </w:pPr>
    <w:rPr>
      <w:rFonts w:ascii="Calibri" w:hAnsi="Calibri" w:cs="Calibri"/>
      <w:sz w:val="18"/>
      <w:szCs w:val="18"/>
    </w:rPr>
  </w:style>
  <w:style w:type="paragraph" w:styleId="Sumrio6">
    <w:name w:val="toc 6"/>
    <w:basedOn w:val="Normal"/>
    <w:next w:val="Normal"/>
    <w:autoRedefine/>
    <w:uiPriority w:val="99"/>
    <w:semiHidden/>
    <w:locked/>
    <w:rsid w:val="00A729EA"/>
    <w:pPr>
      <w:tabs>
        <w:tab w:val="right" w:leader="dot" w:pos="9072"/>
      </w:tabs>
      <w:jc w:val="left"/>
    </w:pPr>
    <w:rPr>
      <w:rFonts w:cs="Calibri"/>
      <w:szCs w:val="18"/>
    </w:rPr>
  </w:style>
  <w:style w:type="paragraph" w:styleId="Sumrio7">
    <w:name w:val="toc 7"/>
    <w:basedOn w:val="Normal"/>
    <w:next w:val="Normal"/>
    <w:autoRedefine/>
    <w:uiPriority w:val="99"/>
    <w:semiHidden/>
    <w:locked/>
    <w:rsid w:val="00672177"/>
    <w:pPr>
      <w:ind w:left="1440"/>
      <w:jc w:val="left"/>
    </w:pPr>
    <w:rPr>
      <w:rFonts w:ascii="Calibri" w:hAnsi="Calibri" w:cs="Calibri"/>
      <w:sz w:val="18"/>
      <w:szCs w:val="18"/>
    </w:rPr>
  </w:style>
  <w:style w:type="paragraph" w:styleId="Sumrio8">
    <w:name w:val="toc 8"/>
    <w:basedOn w:val="Normal"/>
    <w:next w:val="Normal"/>
    <w:autoRedefine/>
    <w:uiPriority w:val="99"/>
    <w:semiHidden/>
    <w:locked/>
    <w:rsid w:val="00672177"/>
    <w:pPr>
      <w:ind w:left="1680"/>
      <w:jc w:val="left"/>
    </w:pPr>
    <w:rPr>
      <w:rFonts w:ascii="Calibri" w:hAnsi="Calibri" w:cs="Calibri"/>
      <w:sz w:val="18"/>
      <w:szCs w:val="18"/>
    </w:rPr>
  </w:style>
  <w:style w:type="paragraph" w:styleId="Sumrio9">
    <w:name w:val="toc 9"/>
    <w:basedOn w:val="Normal"/>
    <w:next w:val="Normal"/>
    <w:autoRedefine/>
    <w:uiPriority w:val="99"/>
    <w:semiHidden/>
    <w:locked/>
    <w:rsid w:val="00672177"/>
    <w:pPr>
      <w:ind w:left="1920"/>
      <w:jc w:val="left"/>
    </w:pPr>
    <w:rPr>
      <w:rFonts w:ascii="Calibri" w:hAnsi="Calibri" w:cs="Calibri"/>
      <w:sz w:val="18"/>
      <w:szCs w:val="18"/>
    </w:rPr>
  </w:style>
  <w:style w:type="paragraph" w:styleId="Ttulo">
    <w:name w:val="Title"/>
    <w:basedOn w:val="Normal"/>
    <w:next w:val="Normal"/>
    <w:link w:val="TtuloChar"/>
    <w:qFormat/>
    <w:locked/>
    <w:rsid w:val="00034350"/>
    <w:pPr>
      <w:spacing w:after="360"/>
      <w:contextualSpacing/>
      <w:jc w:val="center"/>
    </w:pPr>
    <w:rPr>
      <w:rFonts w:ascii="Calibri" w:hAnsi="Calibri"/>
      <w:b/>
      <w:caps/>
      <w:spacing w:val="5"/>
      <w:kern w:val="28"/>
      <w:sz w:val="52"/>
      <w:szCs w:val="52"/>
    </w:rPr>
  </w:style>
  <w:style w:type="character" w:customStyle="1" w:styleId="TtuloChar">
    <w:name w:val="Título Char"/>
    <w:link w:val="Ttulo"/>
    <w:uiPriority w:val="10"/>
    <w:locked/>
    <w:rsid w:val="00034350"/>
    <w:rPr>
      <w:rFonts w:eastAsia="Times New Roman" w:cs="Times New Roman"/>
      <w:b/>
      <w:caps/>
      <w:spacing w:val="5"/>
      <w:kern w:val="28"/>
      <w:sz w:val="52"/>
      <w:szCs w:val="52"/>
      <w:lang w:val="pt-BR" w:eastAsia="pt-BR" w:bidi="ar-SA"/>
    </w:rPr>
  </w:style>
  <w:style w:type="paragraph" w:customStyle="1" w:styleId="PPGEClinhaembranco">
    <w:name w:val="PPGEC: linha em branco"/>
    <w:basedOn w:val="Normal"/>
    <w:uiPriority w:val="99"/>
    <w:semiHidden/>
    <w:rsid w:val="00EF652D"/>
    <w:pPr>
      <w:autoSpaceDE/>
      <w:autoSpaceDN/>
      <w:adjustRightInd/>
    </w:pPr>
    <w:rPr>
      <w:szCs w:val="20"/>
    </w:rPr>
  </w:style>
  <w:style w:type="paragraph" w:customStyle="1" w:styleId="PPGECautorfichacatalogrfica">
    <w:name w:val="PPGEC: autor ficha catalográfica"/>
    <w:basedOn w:val="PPGEClinhaembranco"/>
    <w:uiPriority w:val="99"/>
    <w:semiHidden/>
    <w:rsid w:val="00EF652D"/>
    <w:pPr>
      <w:spacing w:before="480"/>
      <w:ind w:left="567" w:right="284"/>
    </w:pPr>
  </w:style>
  <w:style w:type="paragraph" w:customStyle="1" w:styleId="PPGECdadosfichacatalogrfica">
    <w:name w:val="PPGEC: dados ficha catalográfica"/>
    <w:basedOn w:val="PPGEClinhaembranco"/>
    <w:uiPriority w:val="99"/>
    <w:semiHidden/>
    <w:rsid w:val="00EF652D"/>
    <w:pPr>
      <w:spacing w:before="120"/>
      <w:ind w:left="1021" w:right="284"/>
      <w:jc w:val="left"/>
    </w:pPr>
  </w:style>
  <w:style w:type="paragraph" w:customStyle="1" w:styleId="PPGECcdigofichacatalogrfica">
    <w:name w:val="PPGEC: código ficha catalográfica"/>
    <w:basedOn w:val="PPGECdadosfichacatalogrfica"/>
    <w:uiPriority w:val="99"/>
    <w:semiHidden/>
    <w:rsid w:val="00EF652D"/>
    <w:pPr>
      <w:spacing w:before="240"/>
      <w:ind w:left="4820"/>
      <w:jc w:val="both"/>
    </w:pPr>
  </w:style>
  <w:style w:type="paragraph" w:customStyle="1" w:styleId="TextoTabela">
    <w:name w:val="TextoTabela"/>
    <w:basedOn w:val="Normal"/>
    <w:uiPriority w:val="99"/>
    <w:semiHidden/>
    <w:rsid w:val="00931D0D"/>
    <w:pPr>
      <w:keepNext/>
      <w:keepLines/>
      <w:jc w:val="center"/>
    </w:pPr>
    <w:rPr>
      <w:sz w:val="20"/>
      <w:szCs w:val="20"/>
    </w:rPr>
  </w:style>
  <w:style w:type="paragraph" w:customStyle="1" w:styleId="PargrafoTexto">
    <w:name w:val="Parágrafo Texto"/>
    <w:basedOn w:val="Normal"/>
    <w:link w:val="PargrafoTextoChar"/>
    <w:uiPriority w:val="99"/>
    <w:semiHidden/>
    <w:rsid w:val="00034350"/>
    <w:rPr>
      <w:rFonts w:ascii="Calibri" w:hAnsi="Calibri"/>
      <w:sz w:val="28"/>
    </w:rPr>
  </w:style>
  <w:style w:type="character" w:customStyle="1" w:styleId="PargrafoTextoChar">
    <w:name w:val="Parágrafo Texto Char"/>
    <w:link w:val="PargrafoTexto"/>
    <w:uiPriority w:val="99"/>
    <w:locked/>
    <w:rsid w:val="00034350"/>
    <w:rPr>
      <w:rFonts w:eastAsia="Times New Roman" w:cs="Times New Roman"/>
      <w:sz w:val="28"/>
      <w:szCs w:val="28"/>
      <w:lang w:val="pt-BR" w:eastAsia="pt-BR" w:bidi="ar-SA"/>
    </w:rPr>
  </w:style>
  <w:style w:type="paragraph" w:customStyle="1" w:styleId="Citao-recuado">
    <w:name w:val="Citação-recuado"/>
    <w:basedOn w:val="Normal"/>
    <w:uiPriority w:val="99"/>
    <w:rsid w:val="00321C7B"/>
    <w:pPr>
      <w:spacing w:before="360" w:after="360" w:line="240" w:lineRule="auto"/>
      <w:ind w:left="2268" w:firstLine="0"/>
    </w:pPr>
    <w:rPr>
      <w:sz w:val="20"/>
    </w:rPr>
  </w:style>
  <w:style w:type="paragraph" w:customStyle="1" w:styleId="LegendaTabela">
    <w:name w:val="Legenda Tabela"/>
    <w:basedOn w:val="Legenda"/>
    <w:uiPriority w:val="99"/>
    <w:rsid w:val="00931D0D"/>
    <w:pPr>
      <w:spacing w:before="240" w:after="60"/>
    </w:pPr>
  </w:style>
  <w:style w:type="paragraph" w:customStyle="1" w:styleId="ParagFonte">
    <w:name w:val="Parag_Fonte"/>
    <w:basedOn w:val="Normal"/>
    <w:uiPriority w:val="99"/>
    <w:semiHidden/>
    <w:rsid w:val="00931D0D"/>
    <w:pPr>
      <w:spacing w:after="240"/>
      <w:jc w:val="center"/>
    </w:pPr>
    <w:rPr>
      <w:sz w:val="20"/>
    </w:rPr>
  </w:style>
  <w:style w:type="character" w:styleId="Hyperlink">
    <w:name w:val="Hyperlink"/>
    <w:uiPriority w:val="99"/>
    <w:rsid w:val="006C02B6"/>
    <w:rPr>
      <w:rFonts w:cs="Times New Roman"/>
      <w:color w:val="0000FF"/>
      <w:u w:val="single"/>
    </w:rPr>
  </w:style>
  <w:style w:type="paragraph" w:styleId="Cabealho">
    <w:name w:val="header"/>
    <w:basedOn w:val="Normal"/>
    <w:link w:val="CabealhoChar"/>
    <w:uiPriority w:val="99"/>
    <w:rsid w:val="005F126A"/>
    <w:pPr>
      <w:tabs>
        <w:tab w:val="center" w:pos="4513"/>
        <w:tab w:val="right" w:pos="9026"/>
      </w:tabs>
    </w:pPr>
    <w:rPr>
      <w:rFonts w:eastAsia="Calibri"/>
      <w:sz w:val="28"/>
    </w:rPr>
  </w:style>
  <w:style w:type="character" w:customStyle="1" w:styleId="CabealhoChar">
    <w:name w:val="Cabeçalho Char"/>
    <w:link w:val="Cabealho"/>
    <w:uiPriority w:val="99"/>
    <w:locked/>
    <w:rsid w:val="007964F1"/>
    <w:rPr>
      <w:rFonts w:ascii="Times New Roman" w:hAnsi="Times New Roman" w:cs="Times New Roman"/>
      <w:sz w:val="28"/>
      <w:szCs w:val="28"/>
    </w:rPr>
  </w:style>
  <w:style w:type="paragraph" w:styleId="Rodap">
    <w:name w:val="footer"/>
    <w:basedOn w:val="Normal"/>
    <w:link w:val="RodapChar"/>
    <w:uiPriority w:val="99"/>
    <w:rsid w:val="005F126A"/>
    <w:pPr>
      <w:tabs>
        <w:tab w:val="center" w:pos="4513"/>
        <w:tab w:val="right" w:pos="9026"/>
      </w:tabs>
    </w:pPr>
    <w:rPr>
      <w:rFonts w:eastAsia="Calibri"/>
      <w:sz w:val="28"/>
    </w:rPr>
  </w:style>
  <w:style w:type="character" w:customStyle="1" w:styleId="RodapChar">
    <w:name w:val="Rodapé Char"/>
    <w:link w:val="Rodap"/>
    <w:uiPriority w:val="99"/>
    <w:locked/>
    <w:rsid w:val="005F126A"/>
    <w:rPr>
      <w:rFonts w:ascii="Times New Roman" w:hAnsi="Times New Roman" w:cs="Times New Roman"/>
      <w:sz w:val="28"/>
      <w:szCs w:val="28"/>
    </w:rPr>
  </w:style>
  <w:style w:type="paragraph" w:customStyle="1" w:styleId="PargItens">
    <w:name w:val="Parág_Itens"/>
    <w:basedOn w:val="PargrafoTexto"/>
    <w:uiPriority w:val="99"/>
    <w:semiHidden/>
    <w:rsid w:val="00007CF2"/>
    <w:pPr>
      <w:numPr>
        <w:numId w:val="13"/>
      </w:numPr>
      <w:ind w:left="981" w:hanging="57"/>
    </w:pPr>
  </w:style>
  <w:style w:type="character" w:styleId="Refdecomentrio">
    <w:name w:val="annotation reference"/>
    <w:uiPriority w:val="99"/>
    <w:semiHidden/>
    <w:rsid w:val="009D1DC5"/>
    <w:rPr>
      <w:rFonts w:cs="Times New Roman"/>
      <w:sz w:val="16"/>
      <w:szCs w:val="16"/>
    </w:rPr>
  </w:style>
  <w:style w:type="paragraph" w:styleId="Textodecomentrio">
    <w:name w:val="annotation text"/>
    <w:basedOn w:val="Normal"/>
    <w:link w:val="TextodecomentrioChar"/>
    <w:uiPriority w:val="99"/>
    <w:semiHidden/>
    <w:rsid w:val="009D1DC5"/>
    <w:rPr>
      <w:rFonts w:eastAsia="Calibri"/>
      <w:sz w:val="20"/>
      <w:szCs w:val="20"/>
    </w:rPr>
  </w:style>
  <w:style w:type="character" w:customStyle="1" w:styleId="TextodecomentrioChar">
    <w:name w:val="Texto de comentário Char"/>
    <w:link w:val="Textodecomentrio"/>
    <w:uiPriority w:val="99"/>
    <w:semiHidden/>
    <w:locked/>
    <w:rsid w:val="00F64F68"/>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rsid w:val="009D1DC5"/>
    <w:rPr>
      <w:b/>
      <w:bCs/>
    </w:rPr>
  </w:style>
  <w:style w:type="character" w:customStyle="1" w:styleId="AssuntodocomentrioChar">
    <w:name w:val="Assunto do comentário Char"/>
    <w:link w:val="Assuntodocomentrio"/>
    <w:uiPriority w:val="99"/>
    <w:semiHidden/>
    <w:locked/>
    <w:rsid w:val="00F64F68"/>
    <w:rPr>
      <w:rFonts w:ascii="Times New Roman" w:hAnsi="Times New Roman" w:cs="Times New Roman"/>
      <w:b/>
      <w:bCs/>
      <w:sz w:val="20"/>
      <w:szCs w:val="20"/>
    </w:rPr>
  </w:style>
  <w:style w:type="paragraph" w:customStyle="1" w:styleId="TtuloApendAnexo">
    <w:name w:val="TítuloApend_Anexo"/>
    <w:basedOn w:val="Ttulo"/>
    <w:link w:val="TtuloApendAnexoChar"/>
    <w:uiPriority w:val="99"/>
    <w:rsid w:val="00E9458B"/>
  </w:style>
  <w:style w:type="paragraph" w:customStyle="1" w:styleId="TRABDIPreferencia">
    <w:name w:val="TRAB_DIP: referencia"/>
    <w:basedOn w:val="Normal"/>
    <w:uiPriority w:val="99"/>
    <w:rsid w:val="00FF0477"/>
    <w:pPr>
      <w:tabs>
        <w:tab w:val="left" w:pos="8505"/>
      </w:tabs>
      <w:autoSpaceDE/>
      <w:autoSpaceDN/>
      <w:adjustRightInd/>
      <w:spacing w:after="240"/>
      <w:jc w:val="left"/>
    </w:pPr>
    <w:rPr>
      <w:szCs w:val="20"/>
    </w:rPr>
  </w:style>
  <w:style w:type="paragraph" w:customStyle="1" w:styleId="Ttuloreferncias">
    <w:name w:val="Título_referências"/>
    <w:basedOn w:val="Normal"/>
    <w:next w:val="Normal"/>
    <w:uiPriority w:val="99"/>
    <w:rsid w:val="00E9458B"/>
    <w:pPr>
      <w:spacing w:after="360"/>
      <w:jc w:val="center"/>
    </w:pPr>
    <w:rPr>
      <w:b/>
      <w:caps/>
    </w:rPr>
  </w:style>
  <w:style w:type="paragraph" w:customStyle="1" w:styleId="EstiloTRABDIPttuloapndiceAntes0pt">
    <w:name w:val="Estilo TRAB_DIP: título apêndice + Antes:  0 pt"/>
    <w:basedOn w:val="Normal"/>
    <w:uiPriority w:val="99"/>
    <w:semiHidden/>
    <w:rsid w:val="00E9458B"/>
    <w:pPr>
      <w:keepNext/>
      <w:autoSpaceDE/>
      <w:autoSpaceDN/>
      <w:adjustRightInd/>
      <w:spacing w:after="120"/>
      <w:jc w:val="center"/>
      <w:outlineLvl w:val="1"/>
    </w:pPr>
    <w:rPr>
      <w:rFonts w:eastAsia="Calibri"/>
      <w:bCs/>
      <w:szCs w:val="20"/>
    </w:rPr>
  </w:style>
  <w:style w:type="paragraph" w:customStyle="1" w:styleId="ALINEA">
    <w:name w:val="ALINEA"/>
    <w:basedOn w:val="Normal"/>
    <w:next w:val="Normal"/>
    <w:uiPriority w:val="99"/>
    <w:rsid w:val="003000B5"/>
    <w:pPr>
      <w:numPr>
        <w:numId w:val="14"/>
      </w:numPr>
    </w:pPr>
  </w:style>
  <w:style w:type="character" w:styleId="AcrnimoHTML">
    <w:name w:val="HTML Acronym"/>
    <w:uiPriority w:val="99"/>
    <w:semiHidden/>
    <w:locked/>
    <w:rsid w:val="003000B5"/>
    <w:rPr>
      <w:rFonts w:cs="Times New Roman"/>
    </w:rPr>
  </w:style>
  <w:style w:type="paragraph" w:styleId="AssinaturadeEmail">
    <w:name w:val="E-mail Signature"/>
    <w:basedOn w:val="Normal"/>
    <w:link w:val="AssinaturadeEmailChar"/>
    <w:uiPriority w:val="99"/>
    <w:semiHidden/>
    <w:locked/>
    <w:rsid w:val="003000B5"/>
    <w:rPr>
      <w:rFonts w:eastAsia="Calibri"/>
      <w:sz w:val="28"/>
    </w:rPr>
  </w:style>
  <w:style w:type="character" w:customStyle="1" w:styleId="AssinaturadeEmailChar">
    <w:name w:val="Assinatura de Email Char"/>
    <w:link w:val="AssinaturadeEmail"/>
    <w:uiPriority w:val="99"/>
    <w:semiHidden/>
    <w:locked/>
    <w:rsid w:val="002049B0"/>
    <w:rPr>
      <w:rFonts w:ascii="Times New Roman" w:hAnsi="Times New Roman" w:cs="Times New Roman"/>
      <w:sz w:val="28"/>
      <w:szCs w:val="28"/>
    </w:rPr>
  </w:style>
  <w:style w:type="paragraph" w:styleId="Cabealhodamensagem">
    <w:name w:val="Message Header"/>
    <w:basedOn w:val="Normal"/>
    <w:link w:val="CabealhodamensagemChar"/>
    <w:uiPriority w:val="99"/>
    <w:semiHidden/>
    <w:locked/>
    <w:rsid w:val="00325238"/>
    <w:pPr>
      <w:pBdr>
        <w:top w:val="single" w:sz="6" w:space="1" w:color="auto"/>
        <w:left w:val="single" w:sz="6" w:space="1" w:color="auto"/>
        <w:bottom w:val="single" w:sz="6" w:space="1" w:color="auto"/>
        <w:right w:val="single" w:sz="6" w:space="1" w:color="auto"/>
      </w:pBdr>
      <w:shd w:val="pct20" w:color="auto" w:fill="auto"/>
      <w:tabs>
        <w:tab w:val="right" w:leader="dot" w:pos="9072"/>
      </w:tabs>
      <w:ind w:left="1134" w:hanging="1134"/>
    </w:pPr>
  </w:style>
  <w:style w:type="character" w:customStyle="1" w:styleId="CabealhodamensagemChar">
    <w:name w:val="Cabeçalho da mensagem Char"/>
    <w:link w:val="Cabealhodamensagem"/>
    <w:uiPriority w:val="99"/>
    <w:semiHidden/>
    <w:locked/>
    <w:rsid w:val="00325238"/>
    <w:rPr>
      <w:rFonts w:ascii="Arial" w:eastAsia="Times New Roman" w:hAnsi="Arial" w:cs="Arial"/>
      <w:sz w:val="24"/>
      <w:szCs w:val="24"/>
      <w:shd w:val="pct20" w:color="auto" w:fill="auto"/>
    </w:rPr>
  </w:style>
  <w:style w:type="character" w:styleId="CitaoHTML">
    <w:name w:val="HTML Cite"/>
    <w:uiPriority w:val="99"/>
    <w:semiHidden/>
    <w:locked/>
    <w:rsid w:val="003000B5"/>
    <w:rPr>
      <w:rFonts w:cs="Times New Roman"/>
      <w:i/>
      <w:iCs/>
    </w:rPr>
  </w:style>
  <w:style w:type="character" w:styleId="CdigoHTML">
    <w:name w:val="HTML Code"/>
    <w:uiPriority w:val="99"/>
    <w:semiHidden/>
    <w:locked/>
    <w:rsid w:val="003000B5"/>
    <w:rPr>
      <w:rFonts w:ascii="Courier New" w:hAnsi="Courier New" w:cs="Courier New"/>
      <w:sz w:val="20"/>
      <w:szCs w:val="20"/>
    </w:rPr>
  </w:style>
  <w:style w:type="paragraph" w:styleId="Commarcadores">
    <w:name w:val="List Bullet"/>
    <w:basedOn w:val="Normal"/>
    <w:uiPriority w:val="99"/>
    <w:semiHidden/>
    <w:locked/>
    <w:rsid w:val="003000B5"/>
    <w:pPr>
      <w:numPr>
        <w:numId w:val="1"/>
      </w:numPr>
      <w:ind w:left="360"/>
    </w:pPr>
  </w:style>
  <w:style w:type="paragraph" w:styleId="Commarcadores2">
    <w:name w:val="List Bullet 2"/>
    <w:basedOn w:val="Normal"/>
    <w:uiPriority w:val="99"/>
    <w:semiHidden/>
    <w:locked/>
    <w:rsid w:val="003000B5"/>
    <w:pPr>
      <w:numPr>
        <w:numId w:val="2"/>
      </w:numPr>
      <w:tabs>
        <w:tab w:val="num" w:pos="643"/>
      </w:tabs>
      <w:ind w:left="643"/>
    </w:pPr>
  </w:style>
  <w:style w:type="paragraph" w:styleId="Commarcadores3">
    <w:name w:val="List Bullet 3"/>
    <w:basedOn w:val="Normal"/>
    <w:uiPriority w:val="99"/>
    <w:semiHidden/>
    <w:locked/>
    <w:rsid w:val="003000B5"/>
    <w:pPr>
      <w:numPr>
        <w:numId w:val="3"/>
      </w:numPr>
      <w:tabs>
        <w:tab w:val="num" w:pos="926"/>
      </w:tabs>
      <w:ind w:left="926"/>
    </w:pPr>
  </w:style>
  <w:style w:type="paragraph" w:styleId="Commarcadores4">
    <w:name w:val="List Bullet 4"/>
    <w:basedOn w:val="Normal"/>
    <w:uiPriority w:val="99"/>
    <w:semiHidden/>
    <w:locked/>
    <w:rsid w:val="003000B5"/>
    <w:pPr>
      <w:numPr>
        <w:numId w:val="4"/>
      </w:numPr>
      <w:tabs>
        <w:tab w:val="clear" w:pos="360"/>
        <w:tab w:val="num" w:pos="1209"/>
        <w:tab w:val="num" w:pos="1786"/>
      </w:tabs>
      <w:ind w:left="1209"/>
    </w:pPr>
  </w:style>
  <w:style w:type="paragraph" w:styleId="Commarcadores5">
    <w:name w:val="List Bullet 5"/>
    <w:basedOn w:val="Normal"/>
    <w:uiPriority w:val="99"/>
    <w:semiHidden/>
    <w:locked/>
    <w:rsid w:val="003000B5"/>
    <w:pPr>
      <w:numPr>
        <w:numId w:val="5"/>
      </w:numPr>
      <w:tabs>
        <w:tab w:val="clear" w:pos="643"/>
        <w:tab w:val="num" w:pos="0"/>
        <w:tab w:val="num" w:pos="1492"/>
      </w:tabs>
      <w:ind w:left="1492"/>
    </w:pPr>
  </w:style>
  <w:style w:type="paragraph" w:styleId="Corpodetexto">
    <w:name w:val="Body Text"/>
    <w:basedOn w:val="Normal"/>
    <w:link w:val="CorpodetextoChar"/>
    <w:qFormat/>
    <w:locked/>
    <w:rsid w:val="003000B5"/>
    <w:pPr>
      <w:spacing w:after="120"/>
    </w:pPr>
    <w:rPr>
      <w:rFonts w:eastAsia="Calibri"/>
      <w:sz w:val="28"/>
    </w:rPr>
  </w:style>
  <w:style w:type="character" w:customStyle="1" w:styleId="CorpodetextoChar">
    <w:name w:val="Corpo de texto Char"/>
    <w:link w:val="Corpodetexto"/>
    <w:locked/>
    <w:rsid w:val="002049B0"/>
    <w:rPr>
      <w:rFonts w:ascii="Times New Roman" w:hAnsi="Times New Roman" w:cs="Times New Roman"/>
      <w:sz w:val="28"/>
      <w:szCs w:val="28"/>
    </w:rPr>
  </w:style>
  <w:style w:type="paragraph" w:styleId="Corpodetexto2">
    <w:name w:val="Body Text 2"/>
    <w:basedOn w:val="Normal"/>
    <w:link w:val="Corpodetexto2Char"/>
    <w:uiPriority w:val="99"/>
    <w:semiHidden/>
    <w:locked/>
    <w:rsid w:val="003000B5"/>
    <w:pPr>
      <w:spacing w:after="120" w:line="480" w:lineRule="auto"/>
    </w:pPr>
    <w:rPr>
      <w:rFonts w:eastAsia="Calibri"/>
      <w:sz w:val="28"/>
    </w:rPr>
  </w:style>
  <w:style w:type="character" w:customStyle="1" w:styleId="Corpodetexto2Char">
    <w:name w:val="Corpo de texto 2 Char"/>
    <w:link w:val="Corpodetexto2"/>
    <w:uiPriority w:val="99"/>
    <w:semiHidden/>
    <w:locked/>
    <w:rsid w:val="002049B0"/>
    <w:rPr>
      <w:rFonts w:ascii="Times New Roman" w:hAnsi="Times New Roman" w:cs="Times New Roman"/>
      <w:sz w:val="28"/>
      <w:szCs w:val="28"/>
    </w:rPr>
  </w:style>
  <w:style w:type="paragraph" w:styleId="Corpodetexto3">
    <w:name w:val="Body Text 3"/>
    <w:basedOn w:val="Normal"/>
    <w:link w:val="Corpodetexto3Char"/>
    <w:uiPriority w:val="99"/>
    <w:semiHidden/>
    <w:locked/>
    <w:rsid w:val="003000B5"/>
    <w:pPr>
      <w:spacing w:after="120"/>
    </w:pPr>
    <w:rPr>
      <w:rFonts w:eastAsia="Calibri"/>
      <w:sz w:val="16"/>
      <w:szCs w:val="16"/>
    </w:rPr>
  </w:style>
  <w:style w:type="character" w:customStyle="1" w:styleId="Corpodetexto3Char">
    <w:name w:val="Corpo de texto 3 Char"/>
    <w:link w:val="Corpodetexto3"/>
    <w:uiPriority w:val="99"/>
    <w:semiHidden/>
    <w:locked/>
    <w:rsid w:val="002049B0"/>
    <w:rPr>
      <w:rFonts w:ascii="Times New Roman" w:hAnsi="Times New Roman" w:cs="Times New Roman"/>
      <w:sz w:val="16"/>
      <w:szCs w:val="16"/>
    </w:rPr>
  </w:style>
  <w:style w:type="paragraph" w:styleId="Data">
    <w:name w:val="Date"/>
    <w:basedOn w:val="Normal"/>
    <w:next w:val="Normal"/>
    <w:link w:val="DataChar"/>
    <w:qFormat/>
    <w:locked/>
    <w:rsid w:val="003000B5"/>
    <w:rPr>
      <w:rFonts w:eastAsia="Calibri"/>
      <w:sz w:val="28"/>
    </w:rPr>
  </w:style>
  <w:style w:type="character" w:customStyle="1" w:styleId="DataChar">
    <w:name w:val="Data Char"/>
    <w:link w:val="Data"/>
    <w:locked/>
    <w:rsid w:val="002049B0"/>
    <w:rPr>
      <w:rFonts w:ascii="Times New Roman" w:hAnsi="Times New Roman" w:cs="Times New Roman"/>
      <w:sz w:val="28"/>
      <w:szCs w:val="28"/>
    </w:rPr>
  </w:style>
  <w:style w:type="character" w:styleId="DefinioHTML">
    <w:name w:val="HTML Definition"/>
    <w:uiPriority w:val="99"/>
    <w:semiHidden/>
    <w:locked/>
    <w:rsid w:val="003000B5"/>
    <w:rPr>
      <w:rFonts w:cs="Times New Roman"/>
      <w:i/>
      <w:iCs/>
    </w:rPr>
  </w:style>
  <w:style w:type="paragraph" w:styleId="Destinatrio">
    <w:name w:val="envelope address"/>
    <w:basedOn w:val="Normal"/>
    <w:uiPriority w:val="99"/>
    <w:semiHidden/>
    <w:locked/>
    <w:rsid w:val="003000B5"/>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locked/>
    <w:rsid w:val="003000B5"/>
    <w:pPr>
      <w:ind w:left="4252"/>
    </w:pPr>
    <w:rPr>
      <w:rFonts w:eastAsia="Calibri"/>
      <w:sz w:val="28"/>
    </w:rPr>
  </w:style>
  <w:style w:type="character" w:customStyle="1" w:styleId="EncerramentoChar">
    <w:name w:val="Encerramento Char"/>
    <w:link w:val="Encerramento"/>
    <w:uiPriority w:val="99"/>
    <w:semiHidden/>
    <w:locked/>
    <w:rsid w:val="002049B0"/>
    <w:rPr>
      <w:rFonts w:ascii="Times New Roman" w:hAnsi="Times New Roman" w:cs="Times New Roman"/>
      <w:sz w:val="28"/>
      <w:szCs w:val="28"/>
    </w:rPr>
  </w:style>
  <w:style w:type="paragraph" w:styleId="EndereoHTML">
    <w:name w:val="HTML Address"/>
    <w:basedOn w:val="Normal"/>
    <w:link w:val="EndereoHTMLChar"/>
    <w:uiPriority w:val="99"/>
    <w:semiHidden/>
    <w:locked/>
    <w:rsid w:val="003000B5"/>
    <w:rPr>
      <w:rFonts w:eastAsia="Calibri"/>
      <w:i/>
      <w:iCs/>
      <w:sz w:val="28"/>
    </w:rPr>
  </w:style>
  <w:style w:type="character" w:customStyle="1" w:styleId="EndereoHTMLChar">
    <w:name w:val="Endereço HTML Char"/>
    <w:link w:val="EndereoHTML"/>
    <w:uiPriority w:val="99"/>
    <w:semiHidden/>
    <w:locked/>
    <w:rsid w:val="002049B0"/>
    <w:rPr>
      <w:rFonts w:ascii="Times New Roman" w:hAnsi="Times New Roman" w:cs="Times New Roman"/>
      <w:i/>
      <w:iCs/>
      <w:sz w:val="28"/>
      <w:szCs w:val="28"/>
    </w:rPr>
  </w:style>
  <w:style w:type="character" w:styleId="nfase">
    <w:name w:val="Emphasis"/>
    <w:uiPriority w:val="99"/>
    <w:locked/>
    <w:rsid w:val="003000B5"/>
    <w:rPr>
      <w:rFonts w:cs="Times New Roman"/>
      <w:i/>
      <w:iCs/>
    </w:rPr>
  </w:style>
  <w:style w:type="character" w:styleId="ExemploHTML">
    <w:name w:val="HTML Sample"/>
    <w:uiPriority w:val="99"/>
    <w:semiHidden/>
    <w:locked/>
    <w:rsid w:val="003000B5"/>
    <w:rPr>
      <w:rFonts w:ascii="Courier New" w:hAnsi="Courier New" w:cs="Courier New"/>
    </w:rPr>
  </w:style>
  <w:style w:type="character" w:styleId="Forte">
    <w:name w:val="Strong"/>
    <w:uiPriority w:val="99"/>
    <w:locked/>
    <w:rsid w:val="003000B5"/>
    <w:rPr>
      <w:rFonts w:cs="Times New Roman"/>
      <w:b/>
      <w:bCs/>
    </w:rPr>
  </w:style>
  <w:style w:type="character" w:styleId="HiperlinkVisitado">
    <w:name w:val="FollowedHyperlink"/>
    <w:uiPriority w:val="99"/>
    <w:semiHidden/>
    <w:locked/>
    <w:rsid w:val="003000B5"/>
    <w:rPr>
      <w:rFonts w:cs="Times New Roman"/>
      <w:color w:val="800080"/>
      <w:u w:val="single"/>
    </w:rPr>
  </w:style>
  <w:style w:type="paragraph" w:styleId="Lista">
    <w:name w:val="List"/>
    <w:basedOn w:val="Normal"/>
    <w:uiPriority w:val="99"/>
    <w:semiHidden/>
    <w:locked/>
    <w:rsid w:val="003000B5"/>
    <w:pPr>
      <w:ind w:left="283" w:hanging="283"/>
    </w:pPr>
  </w:style>
  <w:style w:type="paragraph" w:styleId="Lista2">
    <w:name w:val="List 2"/>
    <w:basedOn w:val="Normal"/>
    <w:uiPriority w:val="99"/>
    <w:semiHidden/>
    <w:locked/>
    <w:rsid w:val="003000B5"/>
    <w:pPr>
      <w:ind w:left="566" w:hanging="283"/>
    </w:pPr>
  </w:style>
  <w:style w:type="paragraph" w:styleId="Lista3">
    <w:name w:val="List 3"/>
    <w:basedOn w:val="Normal"/>
    <w:uiPriority w:val="99"/>
    <w:semiHidden/>
    <w:locked/>
    <w:rsid w:val="003000B5"/>
    <w:pPr>
      <w:ind w:left="849" w:hanging="283"/>
    </w:pPr>
  </w:style>
  <w:style w:type="paragraph" w:styleId="Lista4">
    <w:name w:val="List 4"/>
    <w:basedOn w:val="Normal"/>
    <w:uiPriority w:val="99"/>
    <w:semiHidden/>
    <w:locked/>
    <w:rsid w:val="003000B5"/>
    <w:pPr>
      <w:ind w:left="1132" w:hanging="283"/>
    </w:pPr>
  </w:style>
  <w:style w:type="paragraph" w:styleId="Lista5">
    <w:name w:val="List 5"/>
    <w:basedOn w:val="Normal"/>
    <w:uiPriority w:val="99"/>
    <w:semiHidden/>
    <w:locked/>
    <w:rsid w:val="003000B5"/>
    <w:pPr>
      <w:ind w:left="1415" w:hanging="283"/>
    </w:pPr>
  </w:style>
  <w:style w:type="paragraph" w:styleId="Listadecontinuao">
    <w:name w:val="List Continue"/>
    <w:basedOn w:val="Normal"/>
    <w:uiPriority w:val="99"/>
    <w:semiHidden/>
    <w:locked/>
    <w:rsid w:val="003000B5"/>
    <w:pPr>
      <w:spacing w:after="120"/>
      <w:ind w:left="283"/>
    </w:pPr>
  </w:style>
  <w:style w:type="paragraph" w:styleId="Listadecontinuao2">
    <w:name w:val="List Continue 2"/>
    <w:basedOn w:val="Normal"/>
    <w:uiPriority w:val="99"/>
    <w:semiHidden/>
    <w:locked/>
    <w:rsid w:val="003000B5"/>
    <w:pPr>
      <w:spacing w:after="120"/>
      <w:ind w:left="566"/>
    </w:pPr>
  </w:style>
  <w:style w:type="paragraph" w:styleId="Listadecontinuao3">
    <w:name w:val="List Continue 3"/>
    <w:basedOn w:val="Normal"/>
    <w:uiPriority w:val="99"/>
    <w:semiHidden/>
    <w:locked/>
    <w:rsid w:val="003000B5"/>
    <w:pPr>
      <w:spacing w:after="120"/>
      <w:ind w:left="849"/>
    </w:pPr>
  </w:style>
  <w:style w:type="paragraph" w:styleId="Listadecontinuao4">
    <w:name w:val="List Continue 4"/>
    <w:basedOn w:val="Normal"/>
    <w:uiPriority w:val="99"/>
    <w:semiHidden/>
    <w:locked/>
    <w:rsid w:val="003000B5"/>
    <w:pPr>
      <w:spacing w:after="120"/>
      <w:ind w:left="1132"/>
    </w:pPr>
  </w:style>
  <w:style w:type="paragraph" w:styleId="Listadecontinuao5">
    <w:name w:val="List Continue 5"/>
    <w:basedOn w:val="Normal"/>
    <w:uiPriority w:val="99"/>
    <w:semiHidden/>
    <w:locked/>
    <w:rsid w:val="003000B5"/>
    <w:pPr>
      <w:spacing w:after="120"/>
      <w:ind w:left="1415"/>
    </w:pPr>
  </w:style>
  <w:style w:type="character" w:styleId="MquinadeescreverHTML">
    <w:name w:val="HTML Typewriter"/>
    <w:uiPriority w:val="99"/>
    <w:semiHidden/>
    <w:locked/>
    <w:rsid w:val="003000B5"/>
    <w:rPr>
      <w:rFonts w:ascii="Courier New" w:hAnsi="Courier New" w:cs="Courier New"/>
      <w:sz w:val="20"/>
      <w:szCs w:val="20"/>
    </w:rPr>
  </w:style>
  <w:style w:type="paragraph" w:styleId="NormalWeb">
    <w:name w:val="Normal (Web)"/>
    <w:basedOn w:val="Normal"/>
    <w:uiPriority w:val="99"/>
    <w:semiHidden/>
    <w:locked/>
    <w:rsid w:val="003000B5"/>
  </w:style>
  <w:style w:type="paragraph" w:styleId="Numerada">
    <w:name w:val="List Number"/>
    <w:basedOn w:val="Normal"/>
    <w:uiPriority w:val="99"/>
    <w:semiHidden/>
    <w:locked/>
    <w:rsid w:val="003000B5"/>
    <w:pPr>
      <w:numPr>
        <w:numId w:val="6"/>
      </w:numPr>
      <w:tabs>
        <w:tab w:val="clear" w:pos="926"/>
      </w:tabs>
      <w:ind w:left="360"/>
    </w:pPr>
  </w:style>
  <w:style w:type="paragraph" w:styleId="Numerada2">
    <w:name w:val="List Number 2"/>
    <w:basedOn w:val="Normal"/>
    <w:uiPriority w:val="99"/>
    <w:semiHidden/>
    <w:locked/>
    <w:rsid w:val="003000B5"/>
    <w:pPr>
      <w:numPr>
        <w:numId w:val="7"/>
      </w:numPr>
      <w:tabs>
        <w:tab w:val="clear" w:pos="1209"/>
        <w:tab w:val="num" w:pos="643"/>
        <w:tab w:val="num" w:pos="1021"/>
      </w:tabs>
      <w:ind w:left="643"/>
    </w:pPr>
  </w:style>
  <w:style w:type="paragraph" w:styleId="Numerada3">
    <w:name w:val="List Number 3"/>
    <w:basedOn w:val="Normal"/>
    <w:uiPriority w:val="99"/>
    <w:semiHidden/>
    <w:locked/>
    <w:rsid w:val="003000B5"/>
    <w:pPr>
      <w:numPr>
        <w:numId w:val="8"/>
      </w:numPr>
      <w:tabs>
        <w:tab w:val="clear" w:pos="1492"/>
        <w:tab w:val="num" w:pos="926"/>
      </w:tabs>
      <w:ind w:left="926"/>
    </w:pPr>
  </w:style>
  <w:style w:type="paragraph" w:styleId="Numerada4">
    <w:name w:val="List Number 4"/>
    <w:basedOn w:val="Normal"/>
    <w:uiPriority w:val="99"/>
    <w:semiHidden/>
    <w:locked/>
    <w:rsid w:val="003000B5"/>
    <w:pPr>
      <w:numPr>
        <w:numId w:val="9"/>
      </w:numPr>
      <w:tabs>
        <w:tab w:val="clear" w:pos="360"/>
        <w:tab w:val="num" w:pos="1209"/>
      </w:tabs>
      <w:ind w:left="1209"/>
    </w:pPr>
  </w:style>
  <w:style w:type="paragraph" w:styleId="Numerada5">
    <w:name w:val="List Number 5"/>
    <w:basedOn w:val="Normal"/>
    <w:uiPriority w:val="99"/>
    <w:semiHidden/>
    <w:locked/>
    <w:rsid w:val="003000B5"/>
    <w:pPr>
      <w:numPr>
        <w:numId w:val="10"/>
      </w:numPr>
      <w:tabs>
        <w:tab w:val="clear" w:pos="643"/>
        <w:tab w:val="num" w:pos="1492"/>
        <w:tab w:val="num" w:pos="1800"/>
      </w:tabs>
      <w:ind w:left="1492"/>
    </w:pPr>
  </w:style>
  <w:style w:type="character" w:styleId="Nmerodelinha">
    <w:name w:val="line number"/>
    <w:uiPriority w:val="99"/>
    <w:semiHidden/>
    <w:locked/>
    <w:rsid w:val="003000B5"/>
    <w:rPr>
      <w:rFonts w:cs="Times New Roman"/>
    </w:rPr>
  </w:style>
  <w:style w:type="paragraph" w:styleId="Pr-formataoHTML">
    <w:name w:val="HTML Preformatted"/>
    <w:basedOn w:val="Normal"/>
    <w:link w:val="Pr-formataoHTMLChar"/>
    <w:uiPriority w:val="99"/>
    <w:semiHidden/>
    <w:locked/>
    <w:rsid w:val="003000B5"/>
    <w:rPr>
      <w:rFonts w:ascii="Courier New" w:eastAsia="Calibri" w:hAnsi="Courier New"/>
      <w:sz w:val="20"/>
      <w:szCs w:val="20"/>
    </w:rPr>
  </w:style>
  <w:style w:type="character" w:customStyle="1" w:styleId="Pr-formataoHTMLChar">
    <w:name w:val="Pré-formatação HTML Char"/>
    <w:link w:val="Pr-formataoHTML"/>
    <w:uiPriority w:val="99"/>
    <w:semiHidden/>
    <w:locked/>
    <w:rsid w:val="002049B0"/>
    <w:rPr>
      <w:rFonts w:ascii="Courier New" w:hAnsi="Courier New" w:cs="Courier New"/>
      <w:sz w:val="20"/>
      <w:szCs w:val="20"/>
    </w:rPr>
  </w:style>
  <w:style w:type="paragraph" w:styleId="Primeirorecuodecorpodetexto">
    <w:name w:val="Body Text First Indent"/>
    <w:basedOn w:val="Corpodetexto"/>
    <w:link w:val="PrimeirorecuodecorpodetextoChar"/>
    <w:uiPriority w:val="99"/>
    <w:semiHidden/>
    <w:locked/>
    <w:rsid w:val="003000B5"/>
    <w:pPr>
      <w:ind w:firstLine="210"/>
    </w:pPr>
  </w:style>
  <w:style w:type="character" w:customStyle="1" w:styleId="PrimeirorecuodecorpodetextoChar">
    <w:name w:val="Primeiro recuo de corpo de texto Char"/>
    <w:link w:val="Primeirorecuodecorpodetexto"/>
    <w:uiPriority w:val="99"/>
    <w:semiHidden/>
    <w:locked/>
    <w:rsid w:val="002049B0"/>
    <w:rPr>
      <w:rFonts w:ascii="Times New Roman" w:hAnsi="Times New Roman" w:cs="Times New Roman"/>
      <w:sz w:val="28"/>
      <w:szCs w:val="28"/>
    </w:rPr>
  </w:style>
  <w:style w:type="paragraph" w:styleId="Recuodecorpodetexto">
    <w:name w:val="Body Text Indent"/>
    <w:basedOn w:val="Normal"/>
    <w:link w:val="RecuodecorpodetextoChar"/>
    <w:uiPriority w:val="99"/>
    <w:semiHidden/>
    <w:locked/>
    <w:rsid w:val="003000B5"/>
    <w:pPr>
      <w:spacing w:after="120"/>
      <w:ind w:left="283"/>
    </w:pPr>
    <w:rPr>
      <w:rFonts w:eastAsia="Calibri"/>
      <w:sz w:val="28"/>
    </w:rPr>
  </w:style>
  <w:style w:type="character" w:customStyle="1" w:styleId="RecuodecorpodetextoChar">
    <w:name w:val="Recuo de corpo de texto Char"/>
    <w:link w:val="Recuodecorpodetexto"/>
    <w:uiPriority w:val="99"/>
    <w:semiHidden/>
    <w:locked/>
    <w:rsid w:val="002049B0"/>
    <w:rPr>
      <w:rFonts w:ascii="Times New Roman" w:hAnsi="Times New Roman" w:cs="Times New Roman"/>
      <w:sz w:val="28"/>
      <w:szCs w:val="28"/>
    </w:rPr>
  </w:style>
  <w:style w:type="paragraph" w:styleId="Primeirorecuodecorpodetexto2">
    <w:name w:val="Body Text First Indent 2"/>
    <w:basedOn w:val="Recuodecorpodetexto"/>
    <w:link w:val="Primeirorecuodecorpodetexto2Char"/>
    <w:uiPriority w:val="99"/>
    <w:semiHidden/>
    <w:locked/>
    <w:rsid w:val="003000B5"/>
    <w:pPr>
      <w:ind w:firstLine="210"/>
    </w:pPr>
  </w:style>
  <w:style w:type="character" w:customStyle="1" w:styleId="Primeirorecuodecorpodetexto2Char">
    <w:name w:val="Primeiro recuo de corpo de texto 2 Char"/>
    <w:link w:val="Primeirorecuodecorpodetexto2"/>
    <w:uiPriority w:val="99"/>
    <w:semiHidden/>
    <w:locked/>
    <w:rsid w:val="002049B0"/>
    <w:rPr>
      <w:rFonts w:ascii="Times New Roman" w:hAnsi="Times New Roman" w:cs="Times New Roman"/>
      <w:sz w:val="28"/>
      <w:szCs w:val="28"/>
    </w:rPr>
  </w:style>
  <w:style w:type="paragraph" w:styleId="Recuodecorpodetexto2">
    <w:name w:val="Body Text Indent 2"/>
    <w:basedOn w:val="Normal"/>
    <w:link w:val="Recuodecorpodetexto2Char"/>
    <w:uiPriority w:val="99"/>
    <w:semiHidden/>
    <w:locked/>
    <w:rsid w:val="003000B5"/>
    <w:pPr>
      <w:spacing w:after="120" w:line="480" w:lineRule="auto"/>
      <w:ind w:left="283"/>
    </w:pPr>
    <w:rPr>
      <w:rFonts w:eastAsia="Calibri"/>
      <w:sz w:val="28"/>
    </w:rPr>
  </w:style>
  <w:style w:type="character" w:customStyle="1" w:styleId="Recuodecorpodetexto2Char">
    <w:name w:val="Recuo de corpo de texto 2 Char"/>
    <w:link w:val="Recuodecorpodetexto2"/>
    <w:uiPriority w:val="99"/>
    <w:semiHidden/>
    <w:locked/>
    <w:rsid w:val="002049B0"/>
    <w:rPr>
      <w:rFonts w:ascii="Times New Roman" w:hAnsi="Times New Roman" w:cs="Times New Roman"/>
      <w:sz w:val="28"/>
      <w:szCs w:val="28"/>
    </w:rPr>
  </w:style>
  <w:style w:type="paragraph" w:styleId="Recuodecorpodetexto3">
    <w:name w:val="Body Text Indent 3"/>
    <w:basedOn w:val="Normal"/>
    <w:link w:val="Recuodecorpodetexto3Char"/>
    <w:uiPriority w:val="99"/>
    <w:semiHidden/>
    <w:locked/>
    <w:rsid w:val="003000B5"/>
    <w:pPr>
      <w:spacing w:after="120"/>
      <w:ind w:left="283"/>
    </w:pPr>
    <w:rPr>
      <w:rFonts w:eastAsia="Calibri"/>
      <w:sz w:val="16"/>
      <w:szCs w:val="16"/>
    </w:rPr>
  </w:style>
  <w:style w:type="character" w:customStyle="1" w:styleId="Recuodecorpodetexto3Char">
    <w:name w:val="Recuo de corpo de texto 3 Char"/>
    <w:link w:val="Recuodecorpodetexto3"/>
    <w:uiPriority w:val="99"/>
    <w:semiHidden/>
    <w:locked/>
    <w:rsid w:val="002049B0"/>
    <w:rPr>
      <w:rFonts w:ascii="Times New Roman" w:hAnsi="Times New Roman" w:cs="Times New Roman"/>
      <w:sz w:val="16"/>
      <w:szCs w:val="16"/>
    </w:rPr>
  </w:style>
  <w:style w:type="paragraph" w:styleId="Recuonormal">
    <w:name w:val="Normal Indent"/>
    <w:basedOn w:val="Normal"/>
    <w:uiPriority w:val="99"/>
    <w:semiHidden/>
    <w:locked/>
    <w:rsid w:val="003000B5"/>
    <w:pPr>
      <w:ind w:left="708"/>
    </w:pPr>
  </w:style>
  <w:style w:type="character" w:styleId="Refdenotaderodap">
    <w:name w:val="footnote reference"/>
    <w:qFormat/>
    <w:locked/>
    <w:rsid w:val="00043744"/>
    <w:rPr>
      <w:rFonts w:ascii="Arial" w:hAnsi="Arial" w:cs="Times New Roman"/>
      <w:b w:val="0"/>
      <w:i w:val="0"/>
      <w:sz w:val="20"/>
      <w:vertAlign w:val="superscript"/>
    </w:rPr>
  </w:style>
  <w:style w:type="paragraph" w:styleId="Remetente">
    <w:name w:val="envelope return"/>
    <w:basedOn w:val="Normal"/>
    <w:uiPriority w:val="99"/>
    <w:semiHidden/>
    <w:locked/>
    <w:rsid w:val="003000B5"/>
    <w:rPr>
      <w:rFonts w:cs="Arial"/>
      <w:sz w:val="20"/>
      <w:szCs w:val="20"/>
    </w:rPr>
  </w:style>
  <w:style w:type="paragraph" w:styleId="Saudao">
    <w:name w:val="Salutation"/>
    <w:basedOn w:val="Normal"/>
    <w:next w:val="Normal"/>
    <w:link w:val="SaudaoChar"/>
    <w:uiPriority w:val="99"/>
    <w:semiHidden/>
    <w:locked/>
    <w:rsid w:val="003000B5"/>
    <w:rPr>
      <w:rFonts w:eastAsia="Calibri"/>
      <w:sz w:val="28"/>
    </w:rPr>
  </w:style>
  <w:style w:type="character" w:customStyle="1" w:styleId="SaudaoChar">
    <w:name w:val="Saudação Char"/>
    <w:link w:val="Saudao"/>
    <w:uiPriority w:val="99"/>
    <w:semiHidden/>
    <w:locked/>
    <w:rsid w:val="002049B0"/>
    <w:rPr>
      <w:rFonts w:ascii="Times New Roman" w:hAnsi="Times New Roman" w:cs="Times New Roman"/>
      <w:sz w:val="28"/>
      <w:szCs w:val="28"/>
    </w:rPr>
  </w:style>
  <w:style w:type="paragraph" w:styleId="Subttulo">
    <w:name w:val="Subtitle"/>
    <w:basedOn w:val="Normal"/>
    <w:link w:val="SubttuloChar"/>
    <w:qFormat/>
    <w:locked/>
    <w:rsid w:val="003000B5"/>
    <w:pPr>
      <w:spacing w:after="60"/>
      <w:jc w:val="center"/>
      <w:outlineLvl w:val="1"/>
    </w:pPr>
    <w:rPr>
      <w:rFonts w:ascii="Cambria" w:eastAsia="Calibri" w:hAnsi="Cambria"/>
    </w:rPr>
  </w:style>
  <w:style w:type="character" w:customStyle="1" w:styleId="SubttuloChar">
    <w:name w:val="Subtítulo Char"/>
    <w:link w:val="Subttulo"/>
    <w:locked/>
    <w:rsid w:val="002049B0"/>
    <w:rPr>
      <w:rFonts w:ascii="Cambria" w:hAnsi="Cambria" w:cs="Times New Roman"/>
      <w:sz w:val="24"/>
      <w:szCs w:val="24"/>
    </w:rPr>
  </w:style>
  <w:style w:type="table" w:styleId="Tabelaclssica1">
    <w:name w:val="Table Classic 1"/>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lssica2">
    <w:name w:val="Table Classic 2"/>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elaclssica3">
    <w:name w:val="Table Classic 3"/>
    <w:basedOn w:val="Tabelanormal"/>
    <w:uiPriority w:val="99"/>
    <w:semiHidden/>
    <w:locked/>
    <w:rsid w:val="003000B5"/>
    <w:pPr>
      <w:autoSpaceDE w:val="0"/>
      <w:autoSpaceDN w:val="0"/>
      <w:adjustRightInd w:val="0"/>
      <w:jc w:val="both"/>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elaclssica4">
    <w:name w:val="Table Classic 4"/>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lorida1">
    <w:name w:val="Table Colorful 1"/>
    <w:basedOn w:val="Tabelanormal"/>
    <w:uiPriority w:val="99"/>
    <w:semiHidden/>
    <w:locked/>
    <w:rsid w:val="003000B5"/>
    <w:pPr>
      <w:autoSpaceDE w:val="0"/>
      <w:autoSpaceDN w:val="0"/>
      <w:adjustRightInd w:val="0"/>
      <w:jc w:val="both"/>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elacolorida2">
    <w:name w:val="Table Colorful 2"/>
    <w:basedOn w:val="Tabelanormal"/>
    <w:uiPriority w:val="99"/>
    <w:semiHidden/>
    <w:locked/>
    <w:rsid w:val="003000B5"/>
    <w:pPr>
      <w:autoSpaceDE w:val="0"/>
      <w:autoSpaceDN w:val="0"/>
      <w:adjustRightInd w:val="0"/>
      <w:jc w:val="both"/>
    </w:pPr>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elacolorida3">
    <w:name w:val="Table Colorful 3"/>
    <w:basedOn w:val="Tabelanormal"/>
    <w:uiPriority w:val="99"/>
    <w:semiHidden/>
    <w:locked/>
    <w:rsid w:val="003000B5"/>
    <w:pPr>
      <w:autoSpaceDE w:val="0"/>
      <w:autoSpaceDN w:val="0"/>
      <w:adjustRightInd w:val="0"/>
      <w:jc w:val="both"/>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locked/>
    <w:rsid w:val="003000B5"/>
    <w:pPr>
      <w:autoSpaceDE w:val="0"/>
      <w:autoSpaceDN w:val="0"/>
      <w:adjustRightInd w:val="0"/>
      <w:jc w:val="both"/>
    </w:pPr>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locked/>
    <w:rsid w:val="003000B5"/>
    <w:pPr>
      <w:autoSpaceDE w:val="0"/>
      <w:autoSpaceDN w:val="0"/>
      <w:adjustRightInd w:val="0"/>
      <w:jc w:val="both"/>
    </w:pPr>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mefeitos3D3">
    <w:name w:val="Table 3D effects 3"/>
    <w:basedOn w:val="Tabelanormal"/>
    <w:uiPriority w:val="99"/>
    <w:semiHidden/>
    <w:locked/>
    <w:rsid w:val="003000B5"/>
    <w:pPr>
      <w:autoSpaceDE w:val="0"/>
      <w:autoSpaceDN w:val="0"/>
      <w:adjustRightInd w:val="0"/>
      <w:jc w:val="both"/>
    </w:pPr>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mgrade1">
    <w:name w:val="Table Grid 1"/>
    <w:basedOn w:val="Tabelanormal"/>
    <w:uiPriority w:val="99"/>
    <w:semiHidden/>
    <w:locked/>
    <w:rsid w:val="003000B5"/>
    <w:pPr>
      <w:autoSpaceDE w:val="0"/>
      <w:autoSpaceDN w:val="0"/>
      <w:adjustRightInd w:val="0"/>
      <w:jc w:val="both"/>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2">
    <w:name w:val="Table Grid 2"/>
    <w:basedOn w:val="Tabelanormal"/>
    <w:uiPriority w:val="99"/>
    <w:semiHidden/>
    <w:locked/>
    <w:rsid w:val="003000B5"/>
    <w:pPr>
      <w:autoSpaceDE w:val="0"/>
      <w:autoSpaceDN w:val="0"/>
      <w:adjustRightInd w:val="0"/>
      <w:jc w:val="both"/>
    </w:pPr>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3">
    <w:name w:val="Table Grid 3"/>
    <w:basedOn w:val="Tabelanormal"/>
    <w:uiPriority w:val="99"/>
    <w:semiHidden/>
    <w:locked/>
    <w:rsid w:val="003000B5"/>
    <w:pPr>
      <w:autoSpaceDE w:val="0"/>
      <w:autoSpaceDN w:val="0"/>
      <w:adjustRightInd w:val="0"/>
      <w:jc w:val="both"/>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5">
    <w:name w:val="Table Grid 5"/>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locked/>
    <w:rsid w:val="003000B5"/>
    <w:pPr>
      <w:autoSpaceDE w:val="0"/>
      <w:autoSpaceDN w:val="0"/>
      <w:adjustRightInd w:val="0"/>
      <w:jc w:val="both"/>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locked/>
    <w:rsid w:val="003000B5"/>
    <w:pPr>
      <w:autoSpaceDE w:val="0"/>
      <w:autoSpaceDN w:val="0"/>
      <w:adjustRightInd w:val="0"/>
      <w:jc w:val="both"/>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tema">
    <w:name w:val="Table Theme"/>
    <w:basedOn w:val="Tabelanormal"/>
    <w:uiPriority w:val="99"/>
    <w:semiHidden/>
    <w:locked/>
    <w:rsid w:val="003000B5"/>
    <w:pPr>
      <w:autoSpaceDE w:val="0"/>
      <w:autoSpaceDN w:val="0"/>
      <w:adjustRightInd w:val="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locked/>
    <w:rsid w:val="003000B5"/>
    <w:pPr>
      <w:autoSpaceDE w:val="0"/>
      <w:autoSpaceDN w:val="0"/>
      <w:adjustRightInd w:val="0"/>
      <w:jc w:val="both"/>
    </w:pPr>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locked/>
    <w:rsid w:val="003000B5"/>
    <w:pPr>
      <w:autoSpaceDE w:val="0"/>
      <w:autoSpaceDN w:val="0"/>
      <w:adjustRightInd w:val="0"/>
      <w:jc w:val="both"/>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eladaWeb3">
    <w:name w:val="Table Web 3"/>
    <w:basedOn w:val="Tabelanormal"/>
    <w:uiPriority w:val="99"/>
    <w:semiHidden/>
    <w:locked/>
    <w:rsid w:val="003000B5"/>
    <w:pPr>
      <w:autoSpaceDE w:val="0"/>
      <w:autoSpaceDN w:val="0"/>
      <w:adjustRightInd w:val="0"/>
      <w:jc w:val="both"/>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elaemcolunas1">
    <w:name w:val="Table Columns 1"/>
    <w:basedOn w:val="Tabelanormal"/>
    <w:uiPriority w:val="99"/>
    <w:semiHidden/>
    <w:locked/>
    <w:rsid w:val="003000B5"/>
    <w:pPr>
      <w:autoSpaceDE w:val="0"/>
      <w:autoSpaceDN w:val="0"/>
      <w:adjustRightInd w:val="0"/>
      <w:jc w:val="both"/>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colunas2">
    <w:name w:val="Table Columns 2"/>
    <w:basedOn w:val="Tabelanormal"/>
    <w:uiPriority w:val="99"/>
    <w:semiHidden/>
    <w:locked/>
    <w:rsid w:val="003000B5"/>
    <w:pPr>
      <w:autoSpaceDE w:val="0"/>
      <w:autoSpaceDN w:val="0"/>
      <w:adjustRightInd w:val="0"/>
      <w:jc w:val="both"/>
    </w:pPr>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colunas3">
    <w:name w:val="Table Columns 3"/>
    <w:basedOn w:val="Tabelanormal"/>
    <w:uiPriority w:val="99"/>
    <w:semiHidden/>
    <w:locked/>
    <w:rsid w:val="003000B5"/>
    <w:pPr>
      <w:autoSpaceDE w:val="0"/>
      <w:autoSpaceDN w:val="0"/>
      <w:adjustRightInd w:val="0"/>
      <w:jc w:val="both"/>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elaemcolunas4">
    <w:name w:val="Table Columns 4"/>
    <w:basedOn w:val="Tabelanormal"/>
    <w:uiPriority w:val="99"/>
    <w:semiHidden/>
    <w:locked/>
    <w:rsid w:val="003000B5"/>
    <w:pPr>
      <w:autoSpaceDE w:val="0"/>
      <w:autoSpaceDN w:val="0"/>
      <w:adjustRightInd w:val="0"/>
      <w:jc w:val="both"/>
    </w:pPr>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elaemlista1">
    <w:name w:val="Table List 1"/>
    <w:basedOn w:val="Tabelanormal"/>
    <w:uiPriority w:val="99"/>
    <w:semiHidden/>
    <w:locked/>
    <w:rsid w:val="003000B5"/>
    <w:pPr>
      <w:autoSpaceDE w:val="0"/>
      <w:autoSpaceDN w:val="0"/>
      <w:adjustRightInd w:val="0"/>
      <w:jc w:val="both"/>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2">
    <w:name w:val="Table List 2"/>
    <w:basedOn w:val="Tabelanormal"/>
    <w:uiPriority w:val="99"/>
    <w:semiHidden/>
    <w:locked/>
    <w:rsid w:val="003000B5"/>
    <w:pPr>
      <w:autoSpaceDE w:val="0"/>
      <w:autoSpaceDN w:val="0"/>
      <w:adjustRightInd w:val="0"/>
      <w:jc w:val="both"/>
    </w:pPr>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3">
    <w:name w:val="Table List 3"/>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6">
    <w:name w:val="Table List 6"/>
    <w:basedOn w:val="Tabelanormal"/>
    <w:uiPriority w:val="99"/>
    <w:semiHidden/>
    <w:locked/>
    <w:rsid w:val="003000B5"/>
    <w:pPr>
      <w:autoSpaceDE w:val="0"/>
      <w:autoSpaceDN w:val="0"/>
      <w:adjustRightInd w:val="0"/>
      <w:jc w:val="both"/>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locked/>
    <w:rsid w:val="003000B5"/>
    <w:pPr>
      <w:autoSpaceDE w:val="0"/>
      <w:autoSpaceDN w:val="0"/>
      <w:adjustRightInd w:val="0"/>
      <w:jc w:val="both"/>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locked/>
    <w:rsid w:val="003000B5"/>
    <w:pPr>
      <w:autoSpaceDE w:val="0"/>
      <w:autoSpaceDN w:val="0"/>
      <w:adjustRightInd w:val="0"/>
      <w:jc w:val="both"/>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simples1">
    <w:name w:val="Table Simple 1"/>
    <w:basedOn w:val="Tabelanormal"/>
    <w:uiPriority w:val="99"/>
    <w:semiHidden/>
    <w:locked/>
    <w:rsid w:val="003000B5"/>
    <w:pPr>
      <w:autoSpaceDE w:val="0"/>
      <w:autoSpaceDN w:val="0"/>
      <w:adjustRightInd w:val="0"/>
      <w:jc w:val="both"/>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locked/>
    <w:rsid w:val="003000B5"/>
    <w:pPr>
      <w:autoSpaceDE w:val="0"/>
      <w:autoSpaceDN w:val="0"/>
      <w:adjustRightInd w:val="0"/>
      <w:jc w:val="both"/>
    </w:pPr>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locked/>
    <w:rsid w:val="003000B5"/>
    <w:pPr>
      <w:autoSpaceDE w:val="0"/>
      <w:autoSpaceDN w:val="0"/>
      <w:adjustRightInd w:val="0"/>
      <w:jc w:val="both"/>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sutil2">
    <w:name w:val="Table Subtle 2"/>
    <w:basedOn w:val="Tabelanormal"/>
    <w:uiPriority w:val="99"/>
    <w:semiHidden/>
    <w:locked/>
    <w:rsid w:val="003000B5"/>
    <w:pPr>
      <w:autoSpaceDE w:val="0"/>
      <w:autoSpaceDN w:val="0"/>
      <w:adjustRightInd w:val="0"/>
      <w:jc w:val="both"/>
    </w:pPr>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styleId="TecladoHTML">
    <w:name w:val="HTML Keyboard"/>
    <w:uiPriority w:val="99"/>
    <w:semiHidden/>
    <w:locked/>
    <w:rsid w:val="003000B5"/>
    <w:rPr>
      <w:rFonts w:ascii="Courier New" w:hAnsi="Courier New" w:cs="Courier New"/>
      <w:sz w:val="20"/>
      <w:szCs w:val="20"/>
    </w:rPr>
  </w:style>
  <w:style w:type="paragraph" w:styleId="Textodenotaderodap">
    <w:name w:val="footnote text"/>
    <w:basedOn w:val="Normal"/>
    <w:link w:val="TextodenotaderodapChar"/>
    <w:uiPriority w:val="9"/>
    <w:qFormat/>
    <w:locked/>
    <w:rsid w:val="00043744"/>
    <w:pPr>
      <w:spacing w:line="240" w:lineRule="auto"/>
      <w:ind w:firstLine="0"/>
    </w:pPr>
    <w:rPr>
      <w:sz w:val="20"/>
      <w:szCs w:val="20"/>
    </w:rPr>
  </w:style>
  <w:style w:type="character" w:customStyle="1" w:styleId="TextodenotaderodapChar">
    <w:name w:val="Texto de nota de rodapé Char"/>
    <w:link w:val="Textodenotaderodap"/>
    <w:uiPriority w:val="99"/>
    <w:locked/>
    <w:rsid w:val="00043744"/>
    <w:rPr>
      <w:rFonts w:ascii="Arial" w:eastAsia="Times New Roman" w:hAnsi="Arial"/>
      <w:sz w:val="20"/>
      <w:szCs w:val="20"/>
    </w:rPr>
  </w:style>
  <w:style w:type="paragraph" w:styleId="Textoembloco">
    <w:name w:val="Block Text"/>
    <w:basedOn w:val="Normal"/>
    <w:uiPriority w:val="9"/>
    <w:qFormat/>
    <w:locked/>
    <w:rsid w:val="003000B5"/>
    <w:pPr>
      <w:spacing w:after="120"/>
      <w:ind w:left="1440" w:right="1440"/>
    </w:pPr>
  </w:style>
  <w:style w:type="paragraph" w:styleId="TextosemFormatao">
    <w:name w:val="Plain Text"/>
    <w:basedOn w:val="Normal"/>
    <w:link w:val="TextosemFormataoChar"/>
    <w:uiPriority w:val="99"/>
    <w:semiHidden/>
    <w:locked/>
    <w:rsid w:val="003000B5"/>
    <w:rPr>
      <w:rFonts w:ascii="Courier New" w:eastAsia="Calibri" w:hAnsi="Courier New"/>
      <w:sz w:val="20"/>
      <w:szCs w:val="20"/>
    </w:rPr>
  </w:style>
  <w:style w:type="character" w:customStyle="1" w:styleId="TextosemFormataoChar">
    <w:name w:val="Texto sem Formatação Char"/>
    <w:link w:val="TextosemFormatao"/>
    <w:uiPriority w:val="99"/>
    <w:semiHidden/>
    <w:locked/>
    <w:rsid w:val="002049B0"/>
    <w:rPr>
      <w:rFonts w:ascii="Courier New" w:hAnsi="Courier New" w:cs="Courier New"/>
      <w:sz w:val="20"/>
      <w:szCs w:val="20"/>
    </w:rPr>
  </w:style>
  <w:style w:type="paragraph" w:styleId="Ttulodanota">
    <w:name w:val="Note Heading"/>
    <w:basedOn w:val="Normal"/>
    <w:next w:val="Normal"/>
    <w:link w:val="TtulodanotaChar"/>
    <w:uiPriority w:val="99"/>
    <w:semiHidden/>
    <w:locked/>
    <w:rsid w:val="003000B5"/>
    <w:rPr>
      <w:rFonts w:eastAsia="Calibri"/>
      <w:sz w:val="28"/>
    </w:rPr>
  </w:style>
  <w:style w:type="character" w:customStyle="1" w:styleId="TtulodanotaChar">
    <w:name w:val="Título da nota Char"/>
    <w:link w:val="Ttulodanota"/>
    <w:uiPriority w:val="99"/>
    <w:semiHidden/>
    <w:locked/>
    <w:rsid w:val="002049B0"/>
    <w:rPr>
      <w:rFonts w:ascii="Times New Roman" w:hAnsi="Times New Roman" w:cs="Times New Roman"/>
      <w:sz w:val="28"/>
      <w:szCs w:val="28"/>
    </w:rPr>
  </w:style>
  <w:style w:type="character" w:styleId="VarivelHTML">
    <w:name w:val="HTML Variable"/>
    <w:uiPriority w:val="99"/>
    <w:semiHidden/>
    <w:locked/>
    <w:rsid w:val="003000B5"/>
    <w:rPr>
      <w:rFonts w:cs="Times New Roman"/>
      <w:i/>
      <w:iCs/>
    </w:rPr>
  </w:style>
  <w:style w:type="character" w:customStyle="1" w:styleId="TtuloApendAnexoChar">
    <w:name w:val="TítuloApend_Anexo Char"/>
    <w:link w:val="TtuloApendAnexo"/>
    <w:uiPriority w:val="99"/>
    <w:locked/>
    <w:rsid w:val="003000B5"/>
    <w:rPr>
      <w:rFonts w:eastAsia="Times New Roman" w:cs="Times New Roman"/>
      <w:b/>
      <w:caps/>
      <w:spacing w:val="5"/>
      <w:kern w:val="28"/>
      <w:sz w:val="52"/>
      <w:szCs w:val="52"/>
      <w:lang w:val="pt-BR" w:eastAsia="pt-BR" w:bidi="ar-SA"/>
    </w:rPr>
  </w:style>
  <w:style w:type="numbering" w:customStyle="1" w:styleId="Artigoseo1">
    <w:name w:val="Artigo / seção1"/>
    <w:rsid w:val="00C250ED"/>
    <w:pPr>
      <w:numPr>
        <w:numId w:val="17"/>
      </w:numPr>
    </w:pPr>
  </w:style>
  <w:style w:type="numbering" w:styleId="111111">
    <w:name w:val="Outline List 2"/>
    <w:basedOn w:val="Semlista"/>
    <w:uiPriority w:val="99"/>
    <w:semiHidden/>
    <w:unhideWhenUsed/>
    <w:locked/>
    <w:rsid w:val="00C250ED"/>
    <w:pPr>
      <w:numPr>
        <w:numId w:val="15"/>
      </w:numPr>
    </w:pPr>
  </w:style>
  <w:style w:type="numbering" w:styleId="1ai">
    <w:name w:val="Outline List 1"/>
    <w:basedOn w:val="Semlista"/>
    <w:uiPriority w:val="99"/>
    <w:semiHidden/>
    <w:unhideWhenUsed/>
    <w:locked/>
    <w:rsid w:val="00C250ED"/>
    <w:pPr>
      <w:numPr>
        <w:numId w:val="16"/>
      </w:numPr>
    </w:pPr>
  </w:style>
  <w:style w:type="paragraph" w:styleId="Citao">
    <w:name w:val="Quote"/>
    <w:aliases w:val="CITAÇÃO LONGA"/>
    <w:basedOn w:val="Normal"/>
    <w:next w:val="Normal"/>
    <w:link w:val="CitaoChar"/>
    <w:qFormat/>
    <w:rsid w:val="00043744"/>
    <w:pPr>
      <w:spacing w:before="360" w:after="360" w:line="240" w:lineRule="auto"/>
      <w:ind w:left="2268" w:firstLine="0"/>
    </w:pPr>
    <w:rPr>
      <w:iCs/>
      <w:color w:val="000000"/>
      <w:sz w:val="20"/>
    </w:rPr>
  </w:style>
  <w:style w:type="character" w:customStyle="1" w:styleId="CitaoChar">
    <w:name w:val="Citação Char"/>
    <w:aliases w:val="CITAÇÃO LONGA Char"/>
    <w:link w:val="Citao"/>
    <w:uiPriority w:val="29"/>
    <w:rsid w:val="00043744"/>
    <w:rPr>
      <w:rFonts w:ascii="Arial" w:eastAsia="Times New Roman" w:hAnsi="Arial"/>
      <w:iCs/>
      <w:color w:val="000000"/>
      <w:sz w:val="20"/>
      <w:szCs w:val="28"/>
    </w:rPr>
  </w:style>
  <w:style w:type="character" w:styleId="RefernciaSutil">
    <w:name w:val="Subtle Reference"/>
    <w:uiPriority w:val="31"/>
    <w:rsid w:val="00A62CF1"/>
    <w:rPr>
      <w:smallCaps/>
      <w:color w:val="C0504D"/>
      <w:u w:val="single"/>
    </w:rPr>
  </w:style>
  <w:style w:type="character" w:styleId="RefernciaIntensa">
    <w:name w:val="Intense Reference"/>
    <w:uiPriority w:val="32"/>
    <w:rsid w:val="00A62CF1"/>
    <w:rPr>
      <w:b/>
      <w:bCs/>
      <w:smallCaps/>
      <w:color w:val="C0504D"/>
      <w:spacing w:val="5"/>
      <w:u w:val="single"/>
    </w:rPr>
  </w:style>
  <w:style w:type="paragraph" w:customStyle="1" w:styleId="REFERNCIA">
    <w:name w:val="REFERÊNCIA"/>
    <w:basedOn w:val="Normal"/>
    <w:next w:val="Normal"/>
    <w:rsid w:val="00A62CF1"/>
    <w:pPr>
      <w:spacing w:after="240" w:line="240" w:lineRule="auto"/>
      <w:ind w:firstLine="0"/>
      <w:jc w:val="left"/>
    </w:pPr>
  </w:style>
  <w:style w:type="character" w:customStyle="1" w:styleId="CommentTextChar">
    <w:name w:val="Comment Text Char"/>
    <w:semiHidden/>
    <w:locked/>
    <w:rsid w:val="00E428DA"/>
    <w:rPr>
      <w:rFonts w:ascii="Arial" w:eastAsia="Calibri" w:hAnsi="Arial" w:cs="Comic Sans MS"/>
      <w:szCs w:val="24"/>
      <w:lang w:val="pt-BR" w:eastAsia="en-US" w:bidi="ar-SA"/>
    </w:rPr>
  </w:style>
  <w:style w:type="character" w:customStyle="1" w:styleId="CharChar20">
    <w:name w:val="Char Char20"/>
    <w:semiHidden/>
    <w:locked/>
    <w:rsid w:val="00666B13"/>
    <w:rPr>
      <w:rFonts w:ascii="Arial" w:hAnsi="Arial" w:cs="Arial"/>
      <w:lang w:val="pt-BR" w:eastAsia="pt-BR" w:bidi="ar-SA"/>
    </w:rPr>
  </w:style>
  <w:style w:type="character" w:customStyle="1" w:styleId="hps">
    <w:name w:val="hps"/>
    <w:rsid w:val="00CD2EAC"/>
  </w:style>
  <w:style w:type="paragraph" w:styleId="Textodenotadefim">
    <w:name w:val="endnote text"/>
    <w:basedOn w:val="Normal"/>
    <w:link w:val="TextodenotadefimChar"/>
    <w:uiPriority w:val="99"/>
    <w:semiHidden/>
    <w:unhideWhenUsed/>
    <w:locked/>
    <w:rsid w:val="009F6D9B"/>
    <w:rPr>
      <w:sz w:val="20"/>
      <w:szCs w:val="20"/>
    </w:rPr>
  </w:style>
  <w:style w:type="character" w:customStyle="1" w:styleId="TextodenotadefimChar">
    <w:name w:val="Texto de nota de fim Char"/>
    <w:link w:val="Textodenotadefim"/>
    <w:uiPriority w:val="99"/>
    <w:semiHidden/>
    <w:rsid w:val="009F6D9B"/>
    <w:rPr>
      <w:rFonts w:ascii="Arial" w:eastAsia="Times New Roman" w:hAnsi="Arial"/>
    </w:rPr>
  </w:style>
  <w:style w:type="character" w:styleId="Refdenotadefim">
    <w:name w:val="endnote reference"/>
    <w:uiPriority w:val="99"/>
    <w:semiHidden/>
    <w:unhideWhenUsed/>
    <w:locked/>
    <w:rsid w:val="009F6D9B"/>
    <w:rPr>
      <w:vertAlign w:val="superscript"/>
    </w:rPr>
  </w:style>
  <w:style w:type="paragraph" w:styleId="CabealhodoSumrio">
    <w:name w:val="TOC Heading"/>
    <w:basedOn w:val="Ttulo1"/>
    <w:next w:val="Normal"/>
    <w:uiPriority w:val="39"/>
    <w:unhideWhenUsed/>
    <w:qFormat/>
    <w:rsid w:val="000C464F"/>
    <w:pPr>
      <w:keepLines/>
      <w:autoSpaceDE/>
      <w:autoSpaceDN/>
      <w:adjustRightInd/>
      <w:spacing w:before="480" w:after="0" w:line="276" w:lineRule="auto"/>
      <w:outlineLvl w:val="9"/>
    </w:pPr>
    <w:rPr>
      <w:rFonts w:ascii="Cambria" w:hAnsi="Cambria"/>
      <w:caps w:val="0"/>
      <w:color w:val="365F91"/>
      <w:kern w:val="0"/>
      <w:sz w:val="28"/>
      <w:szCs w:val="28"/>
      <w:lang w:eastAsia="en-US"/>
    </w:rPr>
  </w:style>
  <w:style w:type="paragraph" w:styleId="PargrafodaLista">
    <w:name w:val="List Paragraph"/>
    <w:basedOn w:val="Normal"/>
    <w:uiPriority w:val="34"/>
    <w:rsid w:val="00421B46"/>
    <w:pPr>
      <w:ind w:left="720"/>
      <w:contextualSpacing/>
    </w:pPr>
  </w:style>
  <w:style w:type="paragraph" w:customStyle="1" w:styleId="Tabletitle">
    <w:name w:val="Table title"/>
    <w:basedOn w:val="Normal"/>
    <w:next w:val="Normal"/>
    <w:qFormat/>
    <w:rsid w:val="00456261"/>
    <w:pPr>
      <w:autoSpaceDE/>
      <w:autoSpaceDN/>
      <w:adjustRightInd/>
      <w:spacing w:before="240"/>
      <w:ind w:firstLine="0"/>
      <w:jc w:val="left"/>
    </w:pPr>
    <w:rPr>
      <w:lang w:val="en-GB" w:eastAsia="en-GB"/>
    </w:rPr>
  </w:style>
  <w:style w:type="paragraph" w:customStyle="1" w:styleId="Newparagraph">
    <w:name w:val="New paragraph"/>
    <w:basedOn w:val="Normal"/>
    <w:qFormat/>
    <w:rsid w:val="00456261"/>
    <w:pPr>
      <w:autoSpaceDE/>
      <w:autoSpaceDN/>
      <w:adjustRightInd/>
      <w:spacing w:line="480" w:lineRule="auto"/>
      <w:ind w:firstLine="720"/>
      <w:jc w:val="left"/>
    </w:pPr>
    <w:rPr>
      <w:lang w:val="en-GB" w:eastAsia="en-GB"/>
    </w:rPr>
  </w:style>
  <w:style w:type="paragraph" w:customStyle="1" w:styleId="CitaoLonga">
    <w:name w:val="Citação Longa"/>
    <w:basedOn w:val="Normal"/>
    <w:next w:val="Normal"/>
    <w:qFormat/>
    <w:rsid w:val="00C51E1C"/>
    <w:pPr>
      <w:autoSpaceDE/>
      <w:autoSpaceDN/>
      <w:adjustRightInd/>
      <w:spacing w:before="360" w:after="360" w:line="240" w:lineRule="auto"/>
      <w:ind w:left="2268" w:firstLine="0"/>
      <w:contextualSpacing/>
    </w:pPr>
    <w:rPr>
      <w:rFonts w:cs="Comic Sans MS"/>
      <w:sz w:val="20"/>
    </w:rPr>
  </w:style>
  <w:style w:type="paragraph" w:customStyle="1" w:styleId="ALNEAS">
    <w:name w:val="ALÍNEAS"/>
    <w:basedOn w:val="Normal"/>
    <w:semiHidden/>
    <w:rsid w:val="001F2D20"/>
    <w:pPr>
      <w:numPr>
        <w:numId w:val="24"/>
      </w:numPr>
      <w:autoSpaceDE/>
      <w:autoSpaceDN/>
      <w:adjustRightInd/>
    </w:pPr>
    <w:rPr>
      <w:rFonts w:ascii="Arial" w:eastAsia="Calibri" w:hAnsi="Arial"/>
      <w:szCs w:val="22"/>
      <w:lang w:eastAsia="en-US"/>
    </w:rPr>
  </w:style>
  <w:style w:type="paragraph" w:customStyle="1" w:styleId="FONTEDASILUSTRAES">
    <w:name w:val="FONTE DAS ILUSTRAÇÕES"/>
    <w:basedOn w:val="Normal"/>
    <w:next w:val="Normal"/>
    <w:qFormat/>
    <w:rsid w:val="001F2D20"/>
    <w:pPr>
      <w:autoSpaceDE/>
      <w:autoSpaceDN/>
      <w:adjustRightInd/>
      <w:spacing w:before="120" w:after="360" w:line="240" w:lineRule="auto"/>
      <w:ind w:firstLine="0"/>
      <w:contextualSpacing/>
      <w:jc w:val="center"/>
    </w:pPr>
    <w:rPr>
      <w:rFonts w:ascii="Arial" w:eastAsia="Calibri" w:hAnsi="Arial" w:cs="Arial"/>
      <w:sz w:val="22"/>
      <w:szCs w:val="22"/>
      <w:lang w:eastAsia="en-US"/>
    </w:rPr>
  </w:style>
  <w:style w:type="paragraph" w:customStyle="1" w:styleId="REFERNCIAS">
    <w:name w:val="REFERÊNCIAS"/>
    <w:semiHidden/>
    <w:rsid w:val="001F2D20"/>
    <w:pPr>
      <w:spacing w:after="240"/>
    </w:pPr>
    <w:rPr>
      <w:rFonts w:ascii="Arial" w:eastAsia="Times New Roman" w:hAnsi="Arial"/>
      <w:sz w:val="24"/>
      <w:szCs w:val="28"/>
      <w:lang w:eastAsia="en-US"/>
    </w:rPr>
  </w:style>
  <w:style w:type="character" w:styleId="TextodoEspaoReservado">
    <w:name w:val="Placeholder Text"/>
    <w:basedOn w:val="Fontepargpadro"/>
    <w:uiPriority w:val="99"/>
    <w:semiHidden/>
    <w:rsid w:val="001F2D20"/>
    <w:rPr>
      <w:color w:val="808080"/>
    </w:rPr>
  </w:style>
  <w:style w:type="table" w:styleId="TabelaSimples30">
    <w:name w:val="Plain Table 3"/>
    <w:basedOn w:val="Tabelanormal"/>
    <w:uiPriority w:val="43"/>
    <w:rsid w:val="001F2D20"/>
    <w:rPr>
      <w:rFonts w:asciiTheme="minorHAnsi" w:eastAsiaTheme="minorHAnsi" w:hAnsiTheme="minorHAnsi" w:cstheme="minorBidi"/>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1F2D20"/>
    <w:rPr>
      <w:rFonts w:asciiTheme="minorHAnsi" w:eastAsiaTheme="minorHAnsi" w:hAnsiTheme="minorHAnsi" w:cstheme="minorBidi"/>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mpact">
    <w:name w:val="Compact"/>
    <w:basedOn w:val="Corpodetexto"/>
    <w:qFormat/>
    <w:rsid w:val="001F2D20"/>
    <w:pPr>
      <w:autoSpaceDE/>
      <w:autoSpaceDN/>
      <w:adjustRightInd/>
      <w:spacing w:before="36" w:after="36" w:line="240" w:lineRule="auto"/>
      <w:ind w:firstLine="0"/>
      <w:jc w:val="left"/>
    </w:pPr>
    <w:rPr>
      <w:rFonts w:asciiTheme="minorHAnsi" w:eastAsiaTheme="minorHAnsi" w:hAnsiTheme="minorHAnsi" w:cstheme="minorBidi"/>
      <w:sz w:val="24"/>
      <w:lang w:val="en-US" w:eastAsia="en-US"/>
    </w:rPr>
  </w:style>
  <w:style w:type="paragraph" w:customStyle="1" w:styleId="TableCaption">
    <w:name w:val="Table Caption"/>
    <w:basedOn w:val="Legenda"/>
    <w:rsid w:val="001F2D20"/>
    <w:pPr>
      <w:autoSpaceDE/>
      <w:autoSpaceDN/>
      <w:adjustRightInd/>
      <w:jc w:val="left"/>
    </w:pPr>
    <w:rPr>
      <w:rFonts w:asciiTheme="minorHAnsi" w:eastAsiaTheme="minorHAnsi" w:hAnsiTheme="minorHAnsi" w:cstheme="minorBidi"/>
      <w:bCs w:val="0"/>
      <w:i/>
      <w:sz w:val="24"/>
      <w:szCs w:val="24"/>
      <w:lang w:val="en-US" w:eastAsia="en-US"/>
    </w:rPr>
  </w:style>
  <w:style w:type="paragraph" w:customStyle="1" w:styleId="FirstParagraph">
    <w:name w:val="First Paragraph"/>
    <w:basedOn w:val="Corpodetexto"/>
    <w:next w:val="Corpodetexto"/>
    <w:qFormat/>
    <w:rsid w:val="001F2D20"/>
    <w:pPr>
      <w:autoSpaceDE/>
      <w:autoSpaceDN/>
      <w:adjustRightInd/>
      <w:spacing w:before="180" w:after="180" w:line="240" w:lineRule="auto"/>
      <w:ind w:firstLine="0"/>
      <w:jc w:val="left"/>
    </w:pPr>
    <w:rPr>
      <w:rFonts w:asciiTheme="minorHAnsi" w:eastAsiaTheme="minorHAnsi" w:hAnsiTheme="minorHAnsi" w:cstheme="minorBidi"/>
      <w:sz w:val="24"/>
      <w:lang w:val="en-US" w:eastAsia="en-US"/>
    </w:rPr>
  </w:style>
  <w:style w:type="paragraph" w:customStyle="1" w:styleId="Author">
    <w:name w:val="Author"/>
    <w:next w:val="Corpodetexto"/>
    <w:qFormat/>
    <w:rsid w:val="001F2D20"/>
    <w:pPr>
      <w:keepNext/>
      <w:keepLines/>
      <w:spacing w:after="200"/>
      <w:jc w:val="center"/>
    </w:pPr>
    <w:rPr>
      <w:rFonts w:asciiTheme="minorHAnsi" w:eastAsiaTheme="minorHAnsi" w:hAnsiTheme="minorHAnsi" w:cstheme="minorBidi"/>
      <w:sz w:val="24"/>
      <w:szCs w:val="24"/>
      <w:lang w:val="en-US" w:eastAsia="en-US"/>
    </w:rPr>
  </w:style>
  <w:style w:type="paragraph" w:customStyle="1" w:styleId="Abstract">
    <w:name w:val="Abstract"/>
    <w:basedOn w:val="Normal"/>
    <w:next w:val="Corpodetexto"/>
    <w:qFormat/>
    <w:rsid w:val="001F2D20"/>
    <w:pPr>
      <w:keepNext/>
      <w:keepLines/>
      <w:autoSpaceDE/>
      <w:autoSpaceDN/>
      <w:adjustRightInd/>
      <w:spacing w:before="300" w:after="300" w:line="240" w:lineRule="auto"/>
      <w:ind w:firstLine="0"/>
      <w:jc w:val="left"/>
    </w:pPr>
    <w:rPr>
      <w:rFonts w:asciiTheme="minorHAnsi" w:eastAsiaTheme="minorHAnsi" w:hAnsiTheme="minorHAnsi" w:cstheme="minorBidi"/>
      <w:sz w:val="20"/>
      <w:szCs w:val="20"/>
      <w:lang w:val="en-US" w:eastAsia="en-US"/>
    </w:rPr>
  </w:style>
  <w:style w:type="paragraph" w:styleId="Bibliografia">
    <w:name w:val="Bibliography"/>
    <w:basedOn w:val="Normal"/>
    <w:qFormat/>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DefinitionTerm">
    <w:name w:val="Definition Term"/>
    <w:basedOn w:val="Normal"/>
    <w:next w:val="Definition"/>
    <w:rsid w:val="001F2D20"/>
    <w:pPr>
      <w:keepNext/>
      <w:keepLines/>
      <w:autoSpaceDE/>
      <w:autoSpaceDN/>
      <w:adjustRightInd/>
      <w:spacing w:line="240" w:lineRule="auto"/>
      <w:ind w:firstLine="0"/>
      <w:jc w:val="left"/>
    </w:pPr>
    <w:rPr>
      <w:rFonts w:asciiTheme="minorHAnsi" w:eastAsiaTheme="minorHAnsi" w:hAnsiTheme="minorHAnsi" w:cstheme="minorBidi"/>
      <w:b/>
      <w:lang w:val="en-US" w:eastAsia="en-US"/>
    </w:rPr>
  </w:style>
  <w:style w:type="paragraph" w:customStyle="1" w:styleId="Definition">
    <w:name w:val="Definition"/>
    <w:basedOn w:val="Normal"/>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ImageCaption">
    <w:name w:val="Image Caption"/>
    <w:basedOn w:val="Legenda"/>
    <w:rsid w:val="001F2D20"/>
    <w:pPr>
      <w:keepNext w:val="0"/>
      <w:autoSpaceDE/>
      <w:autoSpaceDN/>
      <w:adjustRightInd/>
      <w:jc w:val="left"/>
    </w:pPr>
    <w:rPr>
      <w:rFonts w:asciiTheme="minorHAnsi" w:eastAsiaTheme="minorHAnsi" w:hAnsiTheme="minorHAnsi" w:cstheme="minorBidi"/>
      <w:bCs w:val="0"/>
      <w:i/>
      <w:sz w:val="24"/>
      <w:szCs w:val="24"/>
      <w:lang w:val="en-US" w:eastAsia="en-US"/>
    </w:rPr>
  </w:style>
  <w:style w:type="paragraph" w:customStyle="1" w:styleId="Figure">
    <w:name w:val="Figure"/>
    <w:basedOn w:val="Normal"/>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FigurewithCaption">
    <w:name w:val="Figure with Caption"/>
    <w:basedOn w:val="Figure"/>
    <w:rsid w:val="001F2D20"/>
    <w:pPr>
      <w:keepNext/>
    </w:pPr>
  </w:style>
  <w:style w:type="character" w:customStyle="1" w:styleId="VerbatimChar">
    <w:name w:val="Verbatim Char"/>
    <w:basedOn w:val="LegendaChar"/>
    <w:link w:val="SourceCode"/>
    <w:rsid w:val="001F2D20"/>
    <w:rPr>
      <w:rFonts w:ascii="Consolas" w:eastAsia="Times New Roman" w:hAnsi="Consolas"/>
      <w:bCs w:val="0"/>
      <w:color w:val="000000"/>
      <w:sz w:val="24"/>
      <w:szCs w:val="18"/>
      <w:shd w:val="clear" w:color="auto" w:fill="F8F8F8"/>
    </w:rPr>
  </w:style>
  <w:style w:type="paragraph" w:customStyle="1" w:styleId="SourceCode">
    <w:name w:val="Source Code"/>
    <w:basedOn w:val="Normal"/>
    <w:link w:val="VerbatimChar"/>
    <w:rsid w:val="001F2D20"/>
    <w:pPr>
      <w:shd w:val="clear" w:color="auto" w:fill="F8F8F8"/>
      <w:wordWrap w:val="0"/>
      <w:autoSpaceDE/>
      <w:autoSpaceDN/>
      <w:adjustRightInd/>
      <w:spacing w:after="200" w:line="240" w:lineRule="auto"/>
      <w:ind w:firstLine="0"/>
      <w:jc w:val="left"/>
    </w:pPr>
    <w:rPr>
      <w:rFonts w:ascii="Consolas" w:hAnsi="Consolas"/>
      <w:color w:val="000000"/>
      <w:szCs w:val="18"/>
    </w:rPr>
  </w:style>
  <w:style w:type="character" w:customStyle="1" w:styleId="KeywordTok">
    <w:name w:val="KeywordTok"/>
    <w:basedOn w:val="VerbatimChar"/>
    <w:rsid w:val="001F2D20"/>
    <w:rPr>
      <w:rFonts w:ascii="Consolas" w:eastAsia="Times New Roman" w:hAnsi="Consolas"/>
      <w:bCs w:val="0"/>
      <w:color w:val="000000"/>
      <w:sz w:val="24"/>
      <w:szCs w:val="18"/>
      <w:shd w:val="clear" w:color="auto" w:fill="F8F8F8"/>
    </w:rPr>
  </w:style>
  <w:style w:type="character" w:customStyle="1" w:styleId="DataTypeTok">
    <w:name w:val="DataTypeTok"/>
    <w:basedOn w:val="VerbatimChar"/>
    <w:rsid w:val="001F2D20"/>
    <w:rPr>
      <w:rFonts w:ascii="Consolas" w:eastAsia="Times New Roman" w:hAnsi="Consolas"/>
      <w:bCs w:val="0"/>
      <w:color w:val="000000"/>
      <w:sz w:val="24"/>
      <w:szCs w:val="18"/>
      <w:shd w:val="clear" w:color="auto" w:fill="F8F8F8"/>
    </w:rPr>
  </w:style>
  <w:style w:type="character" w:customStyle="1" w:styleId="DecValTok">
    <w:name w:val="DecValTok"/>
    <w:basedOn w:val="VerbatimChar"/>
    <w:rsid w:val="001F2D20"/>
    <w:rPr>
      <w:rFonts w:ascii="Consolas" w:eastAsia="Times New Roman" w:hAnsi="Consolas"/>
      <w:bCs w:val="0"/>
      <w:color w:val="000000"/>
      <w:sz w:val="24"/>
      <w:szCs w:val="18"/>
      <w:shd w:val="clear" w:color="auto" w:fill="F8F8F8"/>
    </w:rPr>
  </w:style>
  <w:style w:type="character" w:customStyle="1" w:styleId="BaseNTok">
    <w:name w:val="BaseNTok"/>
    <w:basedOn w:val="VerbatimChar"/>
    <w:rsid w:val="001F2D20"/>
    <w:rPr>
      <w:rFonts w:ascii="Consolas" w:eastAsia="Times New Roman" w:hAnsi="Consolas"/>
      <w:bCs w:val="0"/>
      <w:color w:val="000000"/>
      <w:sz w:val="24"/>
      <w:szCs w:val="18"/>
      <w:shd w:val="clear" w:color="auto" w:fill="F8F8F8"/>
    </w:rPr>
  </w:style>
  <w:style w:type="character" w:customStyle="1" w:styleId="FloatTok">
    <w:name w:val="FloatTok"/>
    <w:basedOn w:val="VerbatimChar"/>
    <w:rsid w:val="001F2D20"/>
    <w:rPr>
      <w:rFonts w:ascii="Consolas" w:eastAsia="Times New Roman" w:hAnsi="Consolas"/>
      <w:bCs w:val="0"/>
      <w:color w:val="000000"/>
      <w:sz w:val="24"/>
      <w:szCs w:val="18"/>
      <w:shd w:val="clear" w:color="auto" w:fill="F8F8F8"/>
    </w:rPr>
  </w:style>
  <w:style w:type="character" w:customStyle="1" w:styleId="ConstantTok">
    <w:name w:val="ConstantTok"/>
    <w:basedOn w:val="VerbatimChar"/>
    <w:rsid w:val="001F2D20"/>
    <w:rPr>
      <w:rFonts w:ascii="Consolas" w:eastAsia="Times New Roman" w:hAnsi="Consolas"/>
      <w:bCs w:val="0"/>
      <w:color w:val="000000"/>
      <w:sz w:val="24"/>
      <w:szCs w:val="18"/>
      <w:shd w:val="clear" w:color="auto" w:fill="F8F8F8"/>
    </w:rPr>
  </w:style>
  <w:style w:type="character" w:customStyle="1" w:styleId="CharTok">
    <w:name w:val="CharTok"/>
    <w:basedOn w:val="VerbatimChar"/>
    <w:rsid w:val="001F2D20"/>
    <w:rPr>
      <w:rFonts w:ascii="Consolas" w:eastAsia="Times New Roman" w:hAnsi="Consolas"/>
      <w:bCs w:val="0"/>
      <w:color w:val="000000"/>
      <w:sz w:val="24"/>
      <w:szCs w:val="18"/>
      <w:shd w:val="clear" w:color="auto" w:fill="F8F8F8"/>
    </w:rPr>
  </w:style>
  <w:style w:type="character" w:customStyle="1" w:styleId="SpecialCharTok">
    <w:name w:val="SpecialCharTok"/>
    <w:basedOn w:val="VerbatimChar"/>
    <w:rsid w:val="001F2D20"/>
    <w:rPr>
      <w:rFonts w:ascii="Consolas" w:eastAsia="Times New Roman" w:hAnsi="Consolas"/>
      <w:bCs w:val="0"/>
      <w:color w:val="000000"/>
      <w:sz w:val="24"/>
      <w:szCs w:val="18"/>
      <w:shd w:val="clear" w:color="auto" w:fill="F8F8F8"/>
    </w:rPr>
  </w:style>
  <w:style w:type="character" w:customStyle="1" w:styleId="StringTok">
    <w:name w:val="StringTok"/>
    <w:basedOn w:val="VerbatimChar"/>
    <w:rsid w:val="001F2D20"/>
    <w:rPr>
      <w:rFonts w:ascii="Consolas" w:eastAsia="Times New Roman" w:hAnsi="Consolas"/>
      <w:bCs w:val="0"/>
      <w:color w:val="000000"/>
      <w:sz w:val="24"/>
      <w:szCs w:val="18"/>
      <w:shd w:val="clear" w:color="auto" w:fill="F8F8F8"/>
    </w:rPr>
  </w:style>
  <w:style w:type="character" w:customStyle="1" w:styleId="VerbatimStringTok">
    <w:name w:val="VerbatimStringTok"/>
    <w:basedOn w:val="VerbatimChar"/>
    <w:rsid w:val="001F2D20"/>
    <w:rPr>
      <w:rFonts w:ascii="Consolas" w:eastAsia="Times New Roman" w:hAnsi="Consolas"/>
      <w:bCs w:val="0"/>
      <w:color w:val="000000"/>
      <w:sz w:val="24"/>
      <w:szCs w:val="18"/>
      <w:shd w:val="clear" w:color="auto" w:fill="F8F8F8"/>
    </w:rPr>
  </w:style>
  <w:style w:type="character" w:customStyle="1" w:styleId="SpecialStringTok">
    <w:name w:val="SpecialStringTok"/>
    <w:basedOn w:val="VerbatimChar"/>
    <w:rsid w:val="001F2D20"/>
    <w:rPr>
      <w:rFonts w:ascii="Consolas" w:eastAsia="Times New Roman" w:hAnsi="Consolas"/>
      <w:bCs w:val="0"/>
      <w:color w:val="000000"/>
      <w:sz w:val="24"/>
      <w:szCs w:val="18"/>
      <w:shd w:val="clear" w:color="auto" w:fill="F8F8F8"/>
    </w:rPr>
  </w:style>
  <w:style w:type="character" w:customStyle="1" w:styleId="ImportTok">
    <w:name w:val="ImportTok"/>
    <w:basedOn w:val="VerbatimChar"/>
    <w:rsid w:val="001F2D20"/>
    <w:rPr>
      <w:rFonts w:ascii="Consolas" w:eastAsia="Times New Roman" w:hAnsi="Consolas"/>
      <w:bCs w:val="0"/>
      <w:color w:val="000000"/>
      <w:sz w:val="24"/>
      <w:szCs w:val="18"/>
      <w:shd w:val="clear" w:color="auto" w:fill="F8F8F8"/>
    </w:rPr>
  </w:style>
  <w:style w:type="character" w:customStyle="1" w:styleId="CommentTok">
    <w:name w:val="CommentTok"/>
    <w:basedOn w:val="VerbatimChar"/>
    <w:rsid w:val="001F2D20"/>
    <w:rPr>
      <w:rFonts w:ascii="Consolas" w:eastAsia="Times New Roman" w:hAnsi="Consolas"/>
      <w:bCs w:val="0"/>
      <w:color w:val="000000"/>
      <w:sz w:val="24"/>
      <w:szCs w:val="18"/>
      <w:shd w:val="clear" w:color="auto" w:fill="F8F8F8"/>
    </w:rPr>
  </w:style>
  <w:style w:type="character" w:customStyle="1" w:styleId="DocumentationTok">
    <w:name w:val="DocumentationTok"/>
    <w:basedOn w:val="VerbatimChar"/>
    <w:rsid w:val="001F2D20"/>
    <w:rPr>
      <w:rFonts w:ascii="Consolas" w:eastAsia="Times New Roman" w:hAnsi="Consolas"/>
      <w:bCs w:val="0"/>
      <w:color w:val="000000"/>
      <w:sz w:val="24"/>
      <w:szCs w:val="18"/>
      <w:shd w:val="clear" w:color="auto" w:fill="F8F8F8"/>
    </w:rPr>
  </w:style>
  <w:style w:type="character" w:customStyle="1" w:styleId="AnnotationTok">
    <w:name w:val="AnnotationTok"/>
    <w:basedOn w:val="VerbatimChar"/>
    <w:rsid w:val="001F2D20"/>
    <w:rPr>
      <w:rFonts w:ascii="Consolas" w:eastAsia="Times New Roman" w:hAnsi="Consolas"/>
      <w:bCs w:val="0"/>
      <w:color w:val="000000"/>
      <w:sz w:val="24"/>
      <w:szCs w:val="18"/>
      <w:shd w:val="clear" w:color="auto" w:fill="F8F8F8"/>
    </w:rPr>
  </w:style>
  <w:style w:type="character" w:customStyle="1" w:styleId="CommentVarTok">
    <w:name w:val="CommentVarTok"/>
    <w:basedOn w:val="VerbatimChar"/>
    <w:rsid w:val="001F2D20"/>
    <w:rPr>
      <w:rFonts w:ascii="Consolas" w:eastAsia="Times New Roman" w:hAnsi="Consolas"/>
      <w:bCs w:val="0"/>
      <w:color w:val="000000"/>
      <w:sz w:val="24"/>
      <w:szCs w:val="18"/>
      <w:shd w:val="clear" w:color="auto" w:fill="F8F8F8"/>
    </w:rPr>
  </w:style>
  <w:style w:type="character" w:customStyle="1" w:styleId="OtherTok">
    <w:name w:val="OtherTok"/>
    <w:basedOn w:val="VerbatimChar"/>
    <w:rsid w:val="001F2D20"/>
    <w:rPr>
      <w:rFonts w:ascii="Consolas" w:eastAsia="Times New Roman" w:hAnsi="Consolas"/>
      <w:bCs w:val="0"/>
      <w:color w:val="000000"/>
      <w:sz w:val="24"/>
      <w:szCs w:val="18"/>
      <w:shd w:val="clear" w:color="auto" w:fill="F8F8F8"/>
    </w:rPr>
  </w:style>
  <w:style w:type="character" w:customStyle="1" w:styleId="FunctionTok">
    <w:name w:val="FunctionTok"/>
    <w:basedOn w:val="VerbatimChar"/>
    <w:rsid w:val="001F2D20"/>
    <w:rPr>
      <w:rFonts w:ascii="Consolas" w:eastAsia="Times New Roman" w:hAnsi="Consolas"/>
      <w:bCs w:val="0"/>
      <w:color w:val="000000"/>
      <w:sz w:val="24"/>
      <w:szCs w:val="18"/>
      <w:shd w:val="clear" w:color="auto" w:fill="F8F8F8"/>
    </w:rPr>
  </w:style>
  <w:style w:type="character" w:customStyle="1" w:styleId="VariableTok">
    <w:name w:val="VariableTok"/>
    <w:basedOn w:val="VerbatimChar"/>
    <w:rsid w:val="001F2D20"/>
    <w:rPr>
      <w:rFonts w:ascii="Consolas" w:eastAsia="Times New Roman" w:hAnsi="Consolas"/>
      <w:bCs w:val="0"/>
      <w:color w:val="000000"/>
      <w:sz w:val="24"/>
      <w:szCs w:val="18"/>
      <w:shd w:val="clear" w:color="auto" w:fill="F8F8F8"/>
    </w:rPr>
  </w:style>
  <w:style w:type="character" w:customStyle="1" w:styleId="ControlFlowTok">
    <w:name w:val="ControlFlowTok"/>
    <w:basedOn w:val="VerbatimChar"/>
    <w:rsid w:val="001F2D20"/>
    <w:rPr>
      <w:rFonts w:ascii="Consolas" w:eastAsia="Times New Roman" w:hAnsi="Consolas"/>
      <w:bCs w:val="0"/>
      <w:color w:val="000000"/>
      <w:sz w:val="24"/>
      <w:szCs w:val="18"/>
      <w:shd w:val="clear" w:color="auto" w:fill="F8F8F8"/>
    </w:rPr>
  </w:style>
  <w:style w:type="character" w:customStyle="1" w:styleId="OperatorTok">
    <w:name w:val="OperatorTok"/>
    <w:basedOn w:val="VerbatimChar"/>
    <w:rsid w:val="001F2D20"/>
    <w:rPr>
      <w:rFonts w:ascii="Consolas" w:eastAsia="Times New Roman" w:hAnsi="Consolas"/>
      <w:bCs w:val="0"/>
      <w:color w:val="000000"/>
      <w:sz w:val="24"/>
      <w:szCs w:val="18"/>
      <w:shd w:val="clear" w:color="auto" w:fill="F8F8F8"/>
    </w:rPr>
  </w:style>
  <w:style w:type="character" w:customStyle="1" w:styleId="BuiltInTok">
    <w:name w:val="BuiltInTok"/>
    <w:basedOn w:val="VerbatimChar"/>
    <w:rsid w:val="001F2D20"/>
    <w:rPr>
      <w:rFonts w:ascii="Consolas" w:eastAsia="Times New Roman" w:hAnsi="Consolas"/>
      <w:bCs w:val="0"/>
      <w:color w:val="000000"/>
      <w:sz w:val="24"/>
      <w:szCs w:val="18"/>
      <w:shd w:val="clear" w:color="auto" w:fill="F8F8F8"/>
    </w:rPr>
  </w:style>
  <w:style w:type="character" w:customStyle="1" w:styleId="ExtensionTok">
    <w:name w:val="ExtensionTok"/>
    <w:basedOn w:val="VerbatimChar"/>
    <w:rsid w:val="001F2D20"/>
    <w:rPr>
      <w:rFonts w:ascii="Consolas" w:eastAsia="Times New Roman" w:hAnsi="Consolas"/>
      <w:bCs w:val="0"/>
      <w:color w:val="000000"/>
      <w:sz w:val="24"/>
      <w:szCs w:val="18"/>
      <w:shd w:val="clear" w:color="auto" w:fill="F8F8F8"/>
    </w:rPr>
  </w:style>
  <w:style w:type="character" w:customStyle="1" w:styleId="PreprocessorTok">
    <w:name w:val="PreprocessorTok"/>
    <w:basedOn w:val="VerbatimChar"/>
    <w:rsid w:val="001F2D20"/>
    <w:rPr>
      <w:rFonts w:ascii="Consolas" w:eastAsia="Times New Roman" w:hAnsi="Consolas"/>
      <w:bCs w:val="0"/>
      <w:color w:val="000000"/>
      <w:sz w:val="24"/>
      <w:szCs w:val="18"/>
      <w:shd w:val="clear" w:color="auto" w:fill="F8F8F8"/>
    </w:rPr>
  </w:style>
  <w:style w:type="character" w:customStyle="1" w:styleId="AttributeTok">
    <w:name w:val="AttributeTok"/>
    <w:basedOn w:val="VerbatimChar"/>
    <w:rsid w:val="001F2D20"/>
    <w:rPr>
      <w:rFonts w:ascii="Consolas" w:eastAsia="Times New Roman" w:hAnsi="Consolas"/>
      <w:bCs w:val="0"/>
      <w:color w:val="000000"/>
      <w:sz w:val="24"/>
      <w:szCs w:val="18"/>
      <w:shd w:val="clear" w:color="auto" w:fill="F8F8F8"/>
    </w:rPr>
  </w:style>
  <w:style w:type="character" w:customStyle="1" w:styleId="RegionMarkerTok">
    <w:name w:val="RegionMarkerTok"/>
    <w:basedOn w:val="VerbatimChar"/>
    <w:rsid w:val="001F2D20"/>
    <w:rPr>
      <w:rFonts w:ascii="Consolas" w:eastAsia="Times New Roman" w:hAnsi="Consolas"/>
      <w:bCs w:val="0"/>
      <w:color w:val="000000"/>
      <w:sz w:val="24"/>
      <w:szCs w:val="18"/>
      <w:shd w:val="clear" w:color="auto" w:fill="F8F8F8"/>
    </w:rPr>
  </w:style>
  <w:style w:type="character" w:customStyle="1" w:styleId="InformationTok">
    <w:name w:val="InformationTok"/>
    <w:basedOn w:val="VerbatimChar"/>
    <w:rsid w:val="001F2D20"/>
    <w:rPr>
      <w:rFonts w:ascii="Consolas" w:eastAsia="Times New Roman" w:hAnsi="Consolas"/>
      <w:bCs w:val="0"/>
      <w:color w:val="000000"/>
      <w:sz w:val="24"/>
      <w:szCs w:val="18"/>
      <w:shd w:val="clear" w:color="auto" w:fill="F8F8F8"/>
    </w:rPr>
  </w:style>
  <w:style w:type="character" w:customStyle="1" w:styleId="WarningTok">
    <w:name w:val="WarningTok"/>
    <w:basedOn w:val="VerbatimChar"/>
    <w:rsid w:val="001F2D20"/>
    <w:rPr>
      <w:rFonts w:ascii="Consolas" w:eastAsia="Times New Roman" w:hAnsi="Consolas"/>
      <w:bCs w:val="0"/>
      <w:color w:val="000000"/>
      <w:sz w:val="24"/>
      <w:szCs w:val="18"/>
      <w:shd w:val="clear" w:color="auto" w:fill="F8F8F8"/>
    </w:rPr>
  </w:style>
  <w:style w:type="character" w:customStyle="1" w:styleId="AlertTok">
    <w:name w:val="AlertTok"/>
    <w:basedOn w:val="VerbatimChar"/>
    <w:rsid w:val="001F2D20"/>
    <w:rPr>
      <w:rFonts w:ascii="Consolas" w:eastAsia="Times New Roman" w:hAnsi="Consolas"/>
      <w:bCs w:val="0"/>
      <w:color w:val="000000"/>
      <w:sz w:val="24"/>
      <w:szCs w:val="18"/>
      <w:shd w:val="clear" w:color="auto" w:fill="F8F8F8"/>
    </w:rPr>
  </w:style>
  <w:style w:type="character" w:customStyle="1" w:styleId="ErrorTok">
    <w:name w:val="ErrorTok"/>
    <w:basedOn w:val="VerbatimChar"/>
    <w:rsid w:val="001F2D20"/>
    <w:rPr>
      <w:rFonts w:ascii="Consolas" w:eastAsia="Times New Roman" w:hAnsi="Consolas"/>
      <w:bCs w:val="0"/>
      <w:color w:val="000000"/>
      <w:sz w:val="24"/>
      <w:szCs w:val="18"/>
      <w:shd w:val="clear" w:color="auto" w:fill="F8F8F8"/>
    </w:rPr>
  </w:style>
  <w:style w:type="character" w:customStyle="1" w:styleId="NormalTok">
    <w:name w:val="NormalTok"/>
    <w:basedOn w:val="VerbatimChar"/>
    <w:rsid w:val="001F2D20"/>
    <w:rPr>
      <w:rFonts w:ascii="Consolas" w:eastAsia="Times New Roman" w:hAnsi="Consolas"/>
      <w:bCs w:val="0"/>
      <w:color w:val="000000"/>
      <w:sz w:val="24"/>
      <w:szCs w:val="18"/>
      <w:shd w:val="clear" w:color="auto" w:fill="F8F8F8"/>
    </w:rPr>
  </w:style>
  <w:style w:type="paragraph" w:styleId="Reviso">
    <w:name w:val="Revision"/>
    <w:hidden/>
    <w:uiPriority w:val="99"/>
    <w:semiHidden/>
    <w:rsid w:val="001F2D20"/>
    <w:rPr>
      <w:rFonts w:ascii="Arial" w:eastAsia="Times New Roman" w:hAnsi="Arial"/>
      <w:sz w:val="24"/>
      <w:szCs w:val="28"/>
    </w:rPr>
  </w:style>
  <w:style w:type="table" w:styleId="TabelaSimples4">
    <w:name w:val="Plain Table 4"/>
    <w:basedOn w:val="Tabelanormal"/>
    <w:uiPriority w:val="44"/>
    <w:rsid w:val="001F2D20"/>
    <w:rPr>
      <w:rFonts w:asciiTheme="minorHAnsi" w:eastAsiaTheme="minorHAnsi" w:hAnsiTheme="minorHAnsi" w:cstheme="minorBid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stiloTabelaDissertaoPedro">
    <w:name w:val="Estilo Tabela Dissertação Pedro"/>
    <w:basedOn w:val="Tabelanormal"/>
    <w:uiPriority w:val="99"/>
    <w:rsid w:val="001F2D20"/>
    <w:rPr>
      <w:rFonts w:asciiTheme="minorHAnsi" w:eastAsiaTheme="minorHAnsi" w:hAnsiTheme="minorHAnsi" w:cstheme="minorBidi"/>
      <w:sz w:val="22"/>
      <w:szCs w:val="22"/>
      <w:lang w:eastAsia="en-US"/>
    </w:rPr>
    <w:tblPr>
      <w:tblStyleRowBandSize w:val="1"/>
      <w:tblStyleColBandSize w:val="1"/>
    </w:tblPr>
    <w:tblStylePr w:type="band2Vert">
      <w:rPr>
        <w:color w:val="auto"/>
      </w:rPr>
    </w:tblStylePr>
    <w:tblStylePr w:type="band2Horz">
      <w:tblPr/>
      <w:tcPr>
        <w:shd w:val="clear" w:color="auto" w:fill="F2F2F2" w:themeFill="background1" w:themeFillShade="F2"/>
      </w:tcPr>
    </w:tblStylePr>
  </w:style>
  <w:style w:type="paragraph" w:customStyle="1" w:styleId="msonormal0">
    <w:name w:val="msonormal"/>
    <w:basedOn w:val="Normal"/>
    <w:rsid w:val="001F2D20"/>
    <w:pPr>
      <w:autoSpaceDE/>
      <w:autoSpaceDN/>
      <w:adjustRightInd/>
      <w:spacing w:before="100" w:beforeAutospacing="1" w:after="100" w:afterAutospacing="1" w:line="240" w:lineRule="auto"/>
      <w:ind w:firstLine="0"/>
      <w:jc w:val="left"/>
    </w:pPr>
  </w:style>
  <w:style w:type="paragraph" w:customStyle="1" w:styleId="sc1">
    <w:name w:val="sc1"/>
    <w:basedOn w:val="Normal"/>
    <w:rsid w:val="001F2D20"/>
    <w:pPr>
      <w:autoSpaceDE/>
      <w:autoSpaceDN/>
      <w:adjustRightInd/>
      <w:spacing w:before="100" w:beforeAutospacing="1" w:after="100" w:afterAutospacing="1" w:line="240" w:lineRule="auto"/>
      <w:ind w:firstLine="0"/>
      <w:jc w:val="left"/>
    </w:pPr>
    <w:rPr>
      <w:color w:val="008000"/>
    </w:rPr>
  </w:style>
  <w:style w:type="paragraph" w:customStyle="1" w:styleId="sc2">
    <w:name w:val="sc2"/>
    <w:basedOn w:val="Normal"/>
    <w:rsid w:val="001F2D20"/>
    <w:pPr>
      <w:autoSpaceDE/>
      <w:autoSpaceDN/>
      <w:adjustRightInd/>
      <w:spacing w:before="100" w:beforeAutospacing="1" w:after="100" w:afterAutospacing="1" w:line="240" w:lineRule="auto"/>
      <w:ind w:firstLine="0"/>
      <w:jc w:val="left"/>
    </w:pPr>
    <w:rPr>
      <w:b/>
      <w:bCs/>
      <w:color w:val="0000FF"/>
    </w:rPr>
  </w:style>
  <w:style w:type="paragraph" w:customStyle="1" w:styleId="sc3">
    <w:name w:val="sc3"/>
    <w:basedOn w:val="Normal"/>
    <w:rsid w:val="001F2D20"/>
    <w:pPr>
      <w:autoSpaceDE/>
      <w:autoSpaceDN/>
      <w:adjustRightInd/>
      <w:spacing w:before="100" w:beforeAutospacing="1" w:after="100" w:afterAutospacing="1" w:line="240" w:lineRule="auto"/>
      <w:ind w:firstLine="0"/>
      <w:jc w:val="left"/>
    </w:pPr>
    <w:rPr>
      <w:color w:val="8000FF"/>
    </w:rPr>
  </w:style>
  <w:style w:type="paragraph" w:customStyle="1" w:styleId="sc5">
    <w:name w:val="sc5"/>
    <w:basedOn w:val="Normal"/>
    <w:rsid w:val="001F2D20"/>
    <w:pPr>
      <w:autoSpaceDE/>
      <w:autoSpaceDN/>
      <w:adjustRightInd/>
      <w:spacing w:before="100" w:beforeAutospacing="1" w:after="100" w:afterAutospacing="1" w:line="240" w:lineRule="auto"/>
      <w:ind w:firstLine="0"/>
      <w:jc w:val="left"/>
    </w:pPr>
    <w:rPr>
      <w:color w:val="FF8000"/>
    </w:rPr>
  </w:style>
  <w:style w:type="paragraph" w:customStyle="1" w:styleId="sc6">
    <w:name w:val="sc6"/>
    <w:basedOn w:val="Normal"/>
    <w:rsid w:val="001F2D20"/>
    <w:pPr>
      <w:autoSpaceDE/>
      <w:autoSpaceDN/>
      <w:adjustRightInd/>
      <w:spacing w:before="100" w:beforeAutospacing="1" w:after="100" w:afterAutospacing="1" w:line="240" w:lineRule="auto"/>
      <w:ind w:firstLine="0"/>
      <w:jc w:val="left"/>
    </w:pPr>
    <w:rPr>
      <w:color w:val="808080"/>
    </w:rPr>
  </w:style>
  <w:style w:type="paragraph" w:customStyle="1" w:styleId="sc8">
    <w:name w:val="sc8"/>
    <w:basedOn w:val="Normal"/>
    <w:rsid w:val="001F2D20"/>
    <w:pPr>
      <w:autoSpaceDE/>
      <w:autoSpaceDN/>
      <w:adjustRightInd/>
      <w:spacing w:before="100" w:beforeAutospacing="1" w:after="100" w:afterAutospacing="1" w:line="240" w:lineRule="auto"/>
      <w:ind w:firstLine="0"/>
      <w:jc w:val="left"/>
    </w:pPr>
    <w:rPr>
      <w:b/>
      <w:bCs/>
      <w:color w:val="000080"/>
    </w:rPr>
  </w:style>
  <w:style w:type="character" w:customStyle="1" w:styleId="sc11">
    <w:name w:val="sc11"/>
    <w:basedOn w:val="Fontepargpadro"/>
    <w:rsid w:val="001F2D20"/>
    <w:rPr>
      <w:rFonts w:ascii="Courier New" w:hAnsi="Courier New" w:cs="Courier New" w:hint="default"/>
      <w:color w:val="008000"/>
      <w:sz w:val="20"/>
      <w:szCs w:val="20"/>
    </w:rPr>
  </w:style>
  <w:style w:type="character" w:customStyle="1" w:styleId="sc0">
    <w:name w:val="sc0"/>
    <w:basedOn w:val="Fontepargpadro"/>
    <w:rsid w:val="001F2D20"/>
    <w:rPr>
      <w:rFonts w:ascii="Courier New" w:hAnsi="Courier New" w:cs="Courier New" w:hint="default"/>
      <w:color w:val="000000"/>
      <w:sz w:val="20"/>
      <w:szCs w:val="20"/>
    </w:rPr>
  </w:style>
  <w:style w:type="character" w:customStyle="1" w:styleId="sc9">
    <w:name w:val="sc9"/>
    <w:basedOn w:val="Fontepargpadro"/>
    <w:rsid w:val="001F2D20"/>
    <w:rPr>
      <w:rFonts w:ascii="Courier New" w:hAnsi="Courier New" w:cs="Courier New" w:hint="default"/>
      <w:color w:val="000000"/>
      <w:sz w:val="20"/>
      <w:szCs w:val="20"/>
    </w:rPr>
  </w:style>
  <w:style w:type="character" w:customStyle="1" w:styleId="sc81">
    <w:name w:val="sc81"/>
    <w:basedOn w:val="Fontepargpadro"/>
    <w:rsid w:val="001F2D20"/>
    <w:rPr>
      <w:rFonts w:ascii="Courier New" w:hAnsi="Courier New" w:cs="Courier New" w:hint="default"/>
      <w:b/>
      <w:bCs/>
      <w:color w:val="000080"/>
      <w:sz w:val="20"/>
      <w:szCs w:val="20"/>
    </w:rPr>
  </w:style>
  <w:style w:type="character" w:customStyle="1" w:styleId="sc61">
    <w:name w:val="sc61"/>
    <w:basedOn w:val="Fontepargpadro"/>
    <w:rsid w:val="001F2D20"/>
    <w:rPr>
      <w:rFonts w:ascii="Courier New" w:hAnsi="Courier New" w:cs="Courier New" w:hint="default"/>
      <w:color w:val="808080"/>
      <w:sz w:val="20"/>
      <w:szCs w:val="20"/>
    </w:rPr>
  </w:style>
  <w:style w:type="character" w:customStyle="1" w:styleId="sc21">
    <w:name w:val="sc21"/>
    <w:basedOn w:val="Fontepargpadro"/>
    <w:rsid w:val="001F2D20"/>
    <w:rPr>
      <w:rFonts w:ascii="Courier New" w:hAnsi="Courier New" w:cs="Courier New" w:hint="default"/>
      <w:b/>
      <w:bCs/>
      <w:color w:val="0000FF"/>
      <w:sz w:val="20"/>
      <w:szCs w:val="20"/>
    </w:rPr>
  </w:style>
  <w:style w:type="character" w:customStyle="1" w:styleId="sc51">
    <w:name w:val="sc51"/>
    <w:basedOn w:val="Fontepargpadro"/>
    <w:rsid w:val="001F2D20"/>
    <w:rPr>
      <w:rFonts w:ascii="Courier New" w:hAnsi="Courier New" w:cs="Courier New" w:hint="default"/>
      <w:color w:val="FF8000"/>
      <w:sz w:val="20"/>
      <w:szCs w:val="20"/>
    </w:rPr>
  </w:style>
  <w:style w:type="character" w:customStyle="1" w:styleId="sc31">
    <w:name w:val="sc31"/>
    <w:basedOn w:val="Fontepargpadro"/>
    <w:rsid w:val="001F2D20"/>
    <w:rPr>
      <w:rFonts w:ascii="Courier New" w:hAnsi="Courier New" w:cs="Courier New" w:hint="default"/>
      <w:color w:val="8000FF"/>
      <w:sz w:val="20"/>
      <w:szCs w:val="20"/>
    </w:rPr>
  </w:style>
  <w:style w:type="character" w:styleId="MenoPendente">
    <w:name w:val="Unresolved Mention"/>
    <w:basedOn w:val="Fontepargpadro"/>
    <w:uiPriority w:val="99"/>
    <w:semiHidden/>
    <w:unhideWhenUsed/>
    <w:rsid w:val="001F2D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0588">
      <w:bodyDiv w:val="1"/>
      <w:marLeft w:val="0"/>
      <w:marRight w:val="0"/>
      <w:marTop w:val="0"/>
      <w:marBottom w:val="0"/>
      <w:divBdr>
        <w:top w:val="none" w:sz="0" w:space="0" w:color="auto"/>
        <w:left w:val="none" w:sz="0" w:space="0" w:color="auto"/>
        <w:bottom w:val="none" w:sz="0" w:space="0" w:color="auto"/>
        <w:right w:val="none" w:sz="0" w:space="0" w:color="auto"/>
      </w:divBdr>
      <w:divsChild>
        <w:div w:id="1666544168">
          <w:marLeft w:val="0"/>
          <w:marRight w:val="0"/>
          <w:marTop w:val="0"/>
          <w:marBottom w:val="0"/>
          <w:divBdr>
            <w:top w:val="none" w:sz="0" w:space="0" w:color="auto"/>
            <w:left w:val="none" w:sz="0" w:space="0" w:color="auto"/>
            <w:bottom w:val="none" w:sz="0" w:space="0" w:color="auto"/>
            <w:right w:val="none" w:sz="0" w:space="0" w:color="auto"/>
          </w:divBdr>
          <w:divsChild>
            <w:div w:id="361638934">
              <w:marLeft w:val="0"/>
              <w:marRight w:val="0"/>
              <w:marTop w:val="0"/>
              <w:marBottom w:val="0"/>
              <w:divBdr>
                <w:top w:val="none" w:sz="0" w:space="0" w:color="auto"/>
                <w:left w:val="none" w:sz="0" w:space="0" w:color="auto"/>
                <w:bottom w:val="none" w:sz="0" w:space="0" w:color="auto"/>
                <w:right w:val="none" w:sz="0" w:space="0" w:color="auto"/>
              </w:divBdr>
              <w:divsChild>
                <w:div w:id="15406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9247">
      <w:bodyDiv w:val="1"/>
      <w:marLeft w:val="0"/>
      <w:marRight w:val="0"/>
      <w:marTop w:val="0"/>
      <w:marBottom w:val="0"/>
      <w:divBdr>
        <w:top w:val="none" w:sz="0" w:space="0" w:color="auto"/>
        <w:left w:val="none" w:sz="0" w:space="0" w:color="auto"/>
        <w:bottom w:val="none" w:sz="0" w:space="0" w:color="auto"/>
        <w:right w:val="none" w:sz="0" w:space="0" w:color="auto"/>
      </w:divBdr>
    </w:div>
    <w:div w:id="210382943">
      <w:bodyDiv w:val="1"/>
      <w:marLeft w:val="0"/>
      <w:marRight w:val="0"/>
      <w:marTop w:val="0"/>
      <w:marBottom w:val="0"/>
      <w:divBdr>
        <w:top w:val="none" w:sz="0" w:space="0" w:color="auto"/>
        <w:left w:val="none" w:sz="0" w:space="0" w:color="auto"/>
        <w:bottom w:val="none" w:sz="0" w:space="0" w:color="auto"/>
        <w:right w:val="none" w:sz="0" w:space="0" w:color="auto"/>
      </w:divBdr>
      <w:divsChild>
        <w:div w:id="179197448">
          <w:marLeft w:val="0"/>
          <w:marRight w:val="0"/>
          <w:marTop w:val="0"/>
          <w:marBottom w:val="0"/>
          <w:divBdr>
            <w:top w:val="none" w:sz="0" w:space="0" w:color="auto"/>
            <w:left w:val="none" w:sz="0" w:space="0" w:color="auto"/>
            <w:bottom w:val="none" w:sz="0" w:space="0" w:color="auto"/>
            <w:right w:val="none" w:sz="0" w:space="0" w:color="auto"/>
          </w:divBdr>
          <w:divsChild>
            <w:div w:id="1064254605">
              <w:marLeft w:val="0"/>
              <w:marRight w:val="0"/>
              <w:marTop w:val="0"/>
              <w:marBottom w:val="0"/>
              <w:divBdr>
                <w:top w:val="none" w:sz="0" w:space="0" w:color="auto"/>
                <w:left w:val="none" w:sz="0" w:space="0" w:color="auto"/>
                <w:bottom w:val="none" w:sz="0" w:space="0" w:color="auto"/>
                <w:right w:val="none" w:sz="0" w:space="0" w:color="auto"/>
              </w:divBdr>
              <w:divsChild>
                <w:div w:id="5127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0929">
      <w:bodyDiv w:val="1"/>
      <w:marLeft w:val="0"/>
      <w:marRight w:val="0"/>
      <w:marTop w:val="0"/>
      <w:marBottom w:val="0"/>
      <w:divBdr>
        <w:top w:val="none" w:sz="0" w:space="0" w:color="auto"/>
        <w:left w:val="none" w:sz="0" w:space="0" w:color="auto"/>
        <w:bottom w:val="none" w:sz="0" w:space="0" w:color="auto"/>
        <w:right w:val="none" w:sz="0" w:space="0" w:color="auto"/>
      </w:divBdr>
      <w:divsChild>
        <w:div w:id="344523773">
          <w:marLeft w:val="0"/>
          <w:marRight w:val="0"/>
          <w:marTop w:val="0"/>
          <w:marBottom w:val="0"/>
          <w:divBdr>
            <w:top w:val="none" w:sz="0" w:space="0" w:color="auto"/>
            <w:left w:val="none" w:sz="0" w:space="0" w:color="auto"/>
            <w:bottom w:val="none" w:sz="0" w:space="0" w:color="auto"/>
            <w:right w:val="none" w:sz="0" w:space="0" w:color="auto"/>
          </w:divBdr>
          <w:divsChild>
            <w:div w:id="967779611">
              <w:marLeft w:val="0"/>
              <w:marRight w:val="0"/>
              <w:marTop w:val="0"/>
              <w:marBottom w:val="0"/>
              <w:divBdr>
                <w:top w:val="none" w:sz="0" w:space="0" w:color="auto"/>
                <w:left w:val="none" w:sz="0" w:space="0" w:color="auto"/>
                <w:bottom w:val="none" w:sz="0" w:space="0" w:color="auto"/>
                <w:right w:val="none" w:sz="0" w:space="0" w:color="auto"/>
              </w:divBdr>
              <w:divsChild>
                <w:div w:id="18125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4982">
      <w:bodyDiv w:val="1"/>
      <w:marLeft w:val="0"/>
      <w:marRight w:val="0"/>
      <w:marTop w:val="0"/>
      <w:marBottom w:val="0"/>
      <w:divBdr>
        <w:top w:val="none" w:sz="0" w:space="0" w:color="auto"/>
        <w:left w:val="none" w:sz="0" w:space="0" w:color="auto"/>
        <w:bottom w:val="none" w:sz="0" w:space="0" w:color="auto"/>
        <w:right w:val="none" w:sz="0" w:space="0" w:color="auto"/>
      </w:divBdr>
      <w:divsChild>
        <w:div w:id="236671486">
          <w:marLeft w:val="0"/>
          <w:marRight w:val="0"/>
          <w:marTop w:val="0"/>
          <w:marBottom w:val="0"/>
          <w:divBdr>
            <w:top w:val="none" w:sz="0" w:space="0" w:color="auto"/>
            <w:left w:val="none" w:sz="0" w:space="0" w:color="auto"/>
            <w:bottom w:val="none" w:sz="0" w:space="0" w:color="auto"/>
            <w:right w:val="none" w:sz="0" w:space="0" w:color="auto"/>
          </w:divBdr>
          <w:divsChild>
            <w:div w:id="735277798">
              <w:marLeft w:val="0"/>
              <w:marRight w:val="0"/>
              <w:marTop w:val="0"/>
              <w:marBottom w:val="0"/>
              <w:divBdr>
                <w:top w:val="none" w:sz="0" w:space="0" w:color="auto"/>
                <w:left w:val="none" w:sz="0" w:space="0" w:color="auto"/>
                <w:bottom w:val="none" w:sz="0" w:space="0" w:color="auto"/>
                <w:right w:val="none" w:sz="0" w:space="0" w:color="auto"/>
              </w:divBdr>
              <w:divsChild>
                <w:div w:id="4262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99378">
      <w:bodyDiv w:val="1"/>
      <w:marLeft w:val="0"/>
      <w:marRight w:val="0"/>
      <w:marTop w:val="0"/>
      <w:marBottom w:val="0"/>
      <w:divBdr>
        <w:top w:val="none" w:sz="0" w:space="0" w:color="auto"/>
        <w:left w:val="none" w:sz="0" w:space="0" w:color="auto"/>
        <w:bottom w:val="none" w:sz="0" w:space="0" w:color="auto"/>
        <w:right w:val="none" w:sz="0" w:space="0" w:color="auto"/>
      </w:divBdr>
    </w:div>
    <w:div w:id="519705366">
      <w:bodyDiv w:val="1"/>
      <w:marLeft w:val="0"/>
      <w:marRight w:val="0"/>
      <w:marTop w:val="0"/>
      <w:marBottom w:val="0"/>
      <w:divBdr>
        <w:top w:val="none" w:sz="0" w:space="0" w:color="auto"/>
        <w:left w:val="none" w:sz="0" w:space="0" w:color="auto"/>
        <w:bottom w:val="none" w:sz="0" w:space="0" w:color="auto"/>
        <w:right w:val="none" w:sz="0" w:space="0" w:color="auto"/>
      </w:divBdr>
    </w:div>
    <w:div w:id="580717328">
      <w:bodyDiv w:val="1"/>
      <w:marLeft w:val="0"/>
      <w:marRight w:val="0"/>
      <w:marTop w:val="0"/>
      <w:marBottom w:val="0"/>
      <w:divBdr>
        <w:top w:val="none" w:sz="0" w:space="0" w:color="auto"/>
        <w:left w:val="none" w:sz="0" w:space="0" w:color="auto"/>
        <w:bottom w:val="none" w:sz="0" w:space="0" w:color="auto"/>
        <w:right w:val="none" w:sz="0" w:space="0" w:color="auto"/>
      </w:divBdr>
    </w:div>
    <w:div w:id="638993884">
      <w:bodyDiv w:val="1"/>
      <w:marLeft w:val="0"/>
      <w:marRight w:val="0"/>
      <w:marTop w:val="0"/>
      <w:marBottom w:val="0"/>
      <w:divBdr>
        <w:top w:val="none" w:sz="0" w:space="0" w:color="auto"/>
        <w:left w:val="none" w:sz="0" w:space="0" w:color="auto"/>
        <w:bottom w:val="none" w:sz="0" w:space="0" w:color="auto"/>
        <w:right w:val="none" w:sz="0" w:space="0" w:color="auto"/>
      </w:divBdr>
    </w:div>
    <w:div w:id="664744689">
      <w:bodyDiv w:val="1"/>
      <w:marLeft w:val="0"/>
      <w:marRight w:val="0"/>
      <w:marTop w:val="0"/>
      <w:marBottom w:val="0"/>
      <w:divBdr>
        <w:top w:val="none" w:sz="0" w:space="0" w:color="auto"/>
        <w:left w:val="none" w:sz="0" w:space="0" w:color="auto"/>
        <w:bottom w:val="none" w:sz="0" w:space="0" w:color="auto"/>
        <w:right w:val="none" w:sz="0" w:space="0" w:color="auto"/>
      </w:divBdr>
    </w:div>
    <w:div w:id="667711840">
      <w:bodyDiv w:val="1"/>
      <w:marLeft w:val="0"/>
      <w:marRight w:val="0"/>
      <w:marTop w:val="0"/>
      <w:marBottom w:val="0"/>
      <w:divBdr>
        <w:top w:val="none" w:sz="0" w:space="0" w:color="auto"/>
        <w:left w:val="none" w:sz="0" w:space="0" w:color="auto"/>
        <w:bottom w:val="none" w:sz="0" w:space="0" w:color="auto"/>
        <w:right w:val="none" w:sz="0" w:space="0" w:color="auto"/>
      </w:divBdr>
    </w:div>
    <w:div w:id="686761463">
      <w:bodyDiv w:val="1"/>
      <w:marLeft w:val="0"/>
      <w:marRight w:val="0"/>
      <w:marTop w:val="0"/>
      <w:marBottom w:val="0"/>
      <w:divBdr>
        <w:top w:val="none" w:sz="0" w:space="0" w:color="auto"/>
        <w:left w:val="none" w:sz="0" w:space="0" w:color="auto"/>
        <w:bottom w:val="none" w:sz="0" w:space="0" w:color="auto"/>
        <w:right w:val="none" w:sz="0" w:space="0" w:color="auto"/>
      </w:divBdr>
    </w:div>
    <w:div w:id="699090533">
      <w:bodyDiv w:val="1"/>
      <w:marLeft w:val="0"/>
      <w:marRight w:val="0"/>
      <w:marTop w:val="0"/>
      <w:marBottom w:val="0"/>
      <w:divBdr>
        <w:top w:val="none" w:sz="0" w:space="0" w:color="auto"/>
        <w:left w:val="none" w:sz="0" w:space="0" w:color="auto"/>
        <w:bottom w:val="none" w:sz="0" w:space="0" w:color="auto"/>
        <w:right w:val="none" w:sz="0" w:space="0" w:color="auto"/>
      </w:divBdr>
      <w:divsChild>
        <w:div w:id="1179589088">
          <w:marLeft w:val="0"/>
          <w:marRight w:val="0"/>
          <w:marTop w:val="0"/>
          <w:marBottom w:val="0"/>
          <w:divBdr>
            <w:top w:val="none" w:sz="0" w:space="0" w:color="auto"/>
            <w:left w:val="none" w:sz="0" w:space="0" w:color="auto"/>
            <w:bottom w:val="none" w:sz="0" w:space="0" w:color="auto"/>
            <w:right w:val="none" w:sz="0" w:space="0" w:color="auto"/>
          </w:divBdr>
          <w:divsChild>
            <w:div w:id="1919747301">
              <w:marLeft w:val="0"/>
              <w:marRight w:val="0"/>
              <w:marTop w:val="0"/>
              <w:marBottom w:val="0"/>
              <w:divBdr>
                <w:top w:val="none" w:sz="0" w:space="0" w:color="auto"/>
                <w:left w:val="none" w:sz="0" w:space="0" w:color="auto"/>
                <w:bottom w:val="none" w:sz="0" w:space="0" w:color="auto"/>
                <w:right w:val="none" w:sz="0" w:space="0" w:color="auto"/>
              </w:divBdr>
              <w:divsChild>
                <w:div w:id="650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10031">
      <w:bodyDiv w:val="1"/>
      <w:marLeft w:val="0"/>
      <w:marRight w:val="0"/>
      <w:marTop w:val="0"/>
      <w:marBottom w:val="0"/>
      <w:divBdr>
        <w:top w:val="none" w:sz="0" w:space="0" w:color="auto"/>
        <w:left w:val="none" w:sz="0" w:space="0" w:color="auto"/>
        <w:bottom w:val="none" w:sz="0" w:space="0" w:color="auto"/>
        <w:right w:val="none" w:sz="0" w:space="0" w:color="auto"/>
      </w:divBdr>
    </w:div>
    <w:div w:id="813253509">
      <w:bodyDiv w:val="1"/>
      <w:marLeft w:val="0"/>
      <w:marRight w:val="0"/>
      <w:marTop w:val="0"/>
      <w:marBottom w:val="0"/>
      <w:divBdr>
        <w:top w:val="none" w:sz="0" w:space="0" w:color="auto"/>
        <w:left w:val="none" w:sz="0" w:space="0" w:color="auto"/>
        <w:bottom w:val="none" w:sz="0" w:space="0" w:color="auto"/>
        <w:right w:val="none" w:sz="0" w:space="0" w:color="auto"/>
      </w:divBdr>
    </w:div>
    <w:div w:id="823085786">
      <w:bodyDiv w:val="1"/>
      <w:marLeft w:val="0"/>
      <w:marRight w:val="0"/>
      <w:marTop w:val="0"/>
      <w:marBottom w:val="0"/>
      <w:divBdr>
        <w:top w:val="none" w:sz="0" w:space="0" w:color="auto"/>
        <w:left w:val="none" w:sz="0" w:space="0" w:color="auto"/>
        <w:bottom w:val="none" w:sz="0" w:space="0" w:color="auto"/>
        <w:right w:val="none" w:sz="0" w:space="0" w:color="auto"/>
      </w:divBdr>
    </w:div>
    <w:div w:id="882911376">
      <w:bodyDiv w:val="1"/>
      <w:marLeft w:val="0"/>
      <w:marRight w:val="0"/>
      <w:marTop w:val="0"/>
      <w:marBottom w:val="0"/>
      <w:divBdr>
        <w:top w:val="none" w:sz="0" w:space="0" w:color="auto"/>
        <w:left w:val="none" w:sz="0" w:space="0" w:color="auto"/>
        <w:bottom w:val="none" w:sz="0" w:space="0" w:color="auto"/>
        <w:right w:val="none" w:sz="0" w:space="0" w:color="auto"/>
      </w:divBdr>
      <w:divsChild>
        <w:div w:id="1572882442">
          <w:marLeft w:val="0"/>
          <w:marRight w:val="0"/>
          <w:marTop w:val="0"/>
          <w:marBottom w:val="0"/>
          <w:divBdr>
            <w:top w:val="none" w:sz="0" w:space="0" w:color="auto"/>
            <w:left w:val="none" w:sz="0" w:space="0" w:color="auto"/>
            <w:bottom w:val="none" w:sz="0" w:space="0" w:color="auto"/>
            <w:right w:val="none" w:sz="0" w:space="0" w:color="auto"/>
          </w:divBdr>
          <w:divsChild>
            <w:div w:id="371655049">
              <w:marLeft w:val="0"/>
              <w:marRight w:val="0"/>
              <w:marTop w:val="0"/>
              <w:marBottom w:val="0"/>
              <w:divBdr>
                <w:top w:val="none" w:sz="0" w:space="0" w:color="auto"/>
                <w:left w:val="none" w:sz="0" w:space="0" w:color="auto"/>
                <w:bottom w:val="none" w:sz="0" w:space="0" w:color="auto"/>
                <w:right w:val="none" w:sz="0" w:space="0" w:color="auto"/>
              </w:divBdr>
              <w:divsChild>
                <w:div w:id="7199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5571">
      <w:bodyDiv w:val="1"/>
      <w:marLeft w:val="0"/>
      <w:marRight w:val="0"/>
      <w:marTop w:val="0"/>
      <w:marBottom w:val="0"/>
      <w:divBdr>
        <w:top w:val="none" w:sz="0" w:space="0" w:color="auto"/>
        <w:left w:val="none" w:sz="0" w:space="0" w:color="auto"/>
        <w:bottom w:val="none" w:sz="0" w:space="0" w:color="auto"/>
        <w:right w:val="none" w:sz="0" w:space="0" w:color="auto"/>
      </w:divBdr>
    </w:div>
    <w:div w:id="983659126">
      <w:bodyDiv w:val="1"/>
      <w:marLeft w:val="0"/>
      <w:marRight w:val="0"/>
      <w:marTop w:val="0"/>
      <w:marBottom w:val="0"/>
      <w:divBdr>
        <w:top w:val="none" w:sz="0" w:space="0" w:color="auto"/>
        <w:left w:val="none" w:sz="0" w:space="0" w:color="auto"/>
        <w:bottom w:val="none" w:sz="0" w:space="0" w:color="auto"/>
        <w:right w:val="none" w:sz="0" w:space="0" w:color="auto"/>
      </w:divBdr>
    </w:div>
    <w:div w:id="1213346677">
      <w:bodyDiv w:val="1"/>
      <w:marLeft w:val="0"/>
      <w:marRight w:val="0"/>
      <w:marTop w:val="0"/>
      <w:marBottom w:val="0"/>
      <w:divBdr>
        <w:top w:val="none" w:sz="0" w:space="0" w:color="auto"/>
        <w:left w:val="none" w:sz="0" w:space="0" w:color="auto"/>
        <w:bottom w:val="none" w:sz="0" w:space="0" w:color="auto"/>
        <w:right w:val="none" w:sz="0" w:space="0" w:color="auto"/>
      </w:divBdr>
    </w:div>
    <w:div w:id="1347829325">
      <w:bodyDiv w:val="1"/>
      <w:marLeft w:val="0"/>
      <w:marRight w:val="0"/>
      <w:marTop w:val="0"/>
      <w:marBottom w:val="0"/>
      <w:divBdr>
        <w:top w:val="none" w:sz="0" w:space="0" w:color="auto"/>
        <w:left w:val="none" w:sz="0" w:space="0" w:color="auto"/>
        <w:bottom w:val="none" w:sz="0" w:space="0" w:color="auto"/>
        <w:right w:val="none" w:sz="0" w:space="0" w:color="auto"/>
      </w:divBdr>
      <w:divsChild>
        <w:div w:id="261914251">
          <w:marLeft w:val="0"/>
          <w:marRight w:val="0"/>
          <w:marTop w:val="0"/>
          <w:marBottom w:val="0"/>
          <w:divBdr>
            <w:top w:val="none" w:sz="0" w:space="0" w:color="auto"/>
            <w:left w:val="none" w:sz="0" w:space="0" w:color="auto"/>
            <w:bottom w:val="none" w:sz="0" w:space="0" w:color="auto"/>
            <w:right w:val="none" w:sz="0" w:space="0" w:color="auto"/>
          </w:divBdr>
          <w:divsChild>
            <w:div w:id="1240863712">
              <w:marLeft w:val="0"/>
              <w:marRight w:val="0"/>
              <w:marTop w:val="0"/>
              <w:marBottom w:val="0"/>
              <w:divBdr>
                <w:top w:val="none" w:sz="0" w:space="0" w:color="auto"/>
                <w:left w:val="none" w:sz="0" w:space="0" w:color="auto"/>
                <w:bottom w:val="none" w:sz="0" w:space="0" w:color="auto"/>
                <w:right w:val="none" w:sz="0" w:space="0" w:color="auto"/>
              </w:divBdr>
              <w:divsChild>
                <w:div w:id="13228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0476">
      <w:bodyDiv w:val="1"/>
      <w:marLeft w:val="0"/>
      <w:marRight w:val="0"/>
      <w:marTop w:val="0"/>
      <w:marBottom w:val="0"/>
      <w:divBdr>
        <w:top w:val="none" w:sz="0" w:space="0" w:color="auto"/>
        <w:left w:val="none" w:sz="0" w:space="0" w:color="auto"/>
        <w:bottom w:val="none" w:sz="0" w:space="0" w:color="auto"/>
        <w:right w:val="none" w:sz="0" w:space="0" w:color="auto"/>
      </w:divBdr>
      <w:divsChild>
        <w:div w:id="1166087805">
          <w:marLeft w:val="0"/>
          <w:marRight w:val="0"/>
          <w:marTop w:val="0"/>
          <w:marBottom w:val="0"/>
          <w:divBdr>
            <w:top w:val="none" w:sz="0" w:space="0" w:color="auto"/>
            <w:left w:val="none" w:sz="0" w:space="0" w:color="auto"/>
            <w:bottom w:val="none" w:sz="0" w:space="0" w:color="auto"/>
            <w:right w:val="none" w:sz="0" w:space="0" w:color="auto"/>
          </w:divBdr>
          <w:divsChild>
            <w:div w:id="863178678">
              <w:marLeft w:val="0"/>
              <w:marRight w:val="0"/>
              <w:marTop w:val="0"/>
              <w:marBottom w:val="0"/>
              <w:divBdr>
                <w:top w:val="none" w:sz="0" w:space="0" w:color="auto"/>
                <w:left w:val="none" w:sz="0" w:space="0" w:color="auto"/>
                <w:bottom w:val="none" w:sz="0" w:space="0" w:color="auto"/>
                <w:right w:val="none" w:sz="0" w:space="0" w:color="auto"/>
              </w:divBdr>
              <w:divsChild>
                <w:div w:id="20975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7654">
      <w:bodyDiv w:val="1"/>
      <w:marLeft w:val="0"/>
      <w:marRight w:val="0"/>
      <w:marTop w:val="0"/>
      <w:marBottom w:val="0"/>
      <w:divBdr>
        <w:top w:val="none" w:sz="0" w:space="0" w:color="auto"/>
        <w:left w:val="none" w:sz="0" w:space="0" w:color="auto"/>
        <w:bottom w:val="none" w:sz="0" w:space="0" w:color="auto"/>
        <w:right w:val="none" w:sz="0" w:space="0" w:color="auto"/>
      </w:divBdr>
      <w:divsChild>
        <w:div w:id="86268409">
          <w:marLeft w:val="547"/>
          <w:marRight w:val="0"/>
          <w:marTop w:val="0"/>
          <w:marBottom w:val="0"/>
          <w:divBdr>
            <w:top w:val="none" w:sz="0" w:space="0" w:color="auto"/>
            <w:left w:val="none" w:sz="0" w:space="0" w:color="auto"/>
            <w:bottom w:val="none" w:sz="0" w:space="0" w:color="auto"/>
            <w:right w:val="none" w:sz="0" w:space="0" w:color="auto"/>
          </w:divBdr>
        </w:div>
      </w:divsChild>
    </w:div>
    <w:div w:id="1485851433">
      <w:marLeft w:val="0"/>
      <w:marRight w:val="0"/>
      <w:marTop w:val="0"/>
      <w:marBottom w:val="0"/>
      <w:divBdr>
        <w:top w:val="none" w:sz="0" w:space="0" w:color="auto"/>
        <w:left w:val="none" w:sz="0" w:space="0" w:color="auto"/>
        <w:bottom w:val="none" w:sz="0" w:space="0" w:color="auto"/>
        <w:right w:val="none" w:sz="0" w:space="0" w:color="auto"/>
      </w:divBdr>
    </w:div>
    <w:div w:id="1485851434">
      <w:marLeft w:val="0"/>
      <w:marRight w:val="0"/>
      <w:marTop w:val="0"/>
      <w:marBottom w:val="0"/>
      <w:divBdr>
        <w:top w:val="none" w:sz="0" w:space="0" w:color="auto"/>
        <w:left w:val="none" w:sz="0" w:space="0" w:color="auto"/>
        <w:bottom w:val="none" w:sz="0" w:space="0" w:color="auto"/>
        <w:right w:val="none" w:sz="0" w:space="0" w:color="auto"/>
      </w:divBdr>
    </w:div>
    <w:div w:id="1485851437">
      <w:marLeft w:val="0"/>
      <w:marRight w:val="0"/>
      <w:marTop w:val="0"/>
      <w:marBottom w:val="0"/>
      <w:divBdr>
        <w:top w:val="none" w:sz="0" w:space="0" w:color="auto"/>
        <w:left w:val="none" w:sz="0" w:space="0" w:color="auto"/>
        <w:bottom w:val="none" w:sz="0" w:space="0" w:color="auto"/>
        <w:right w:val="none" w:sz="0" w:space="0" w:color="auto"/>
      </w:divBdr>
      <w:divsChild>
        <w:div w:id="1485851435">
          <w:marLeft w:val="547"/>
          <w:marRight w:val="0"/>
          <w:marTop w:val="0"/>
          <w:marBottom w:val="0"/>
          <w:divBdr>
            <w:top w:val="none" w:sz="0" w:space="0" w:color="auto"/>
            <w:left w:val="none" w:sz="0" w:space="0" w:color="auto"/>
            <w:bottom w:val="none" w:sz="0" w:space="0" w:color="auto"/>
            <w:right w:val="none" w:sz="0" w:space="0" w:color="auto"/>
          </w:divBdr>
        </w:div>
      </w:divsChild>
    </w:div>
    <w:div w:id="1485851438">
      <w:marLeft w:val="0"/>
      <w:marRight w:val="0"/>
      <w:marTop w:val="0"/>
      <w:marBottom w:val="0"/>
      <w:divBdr>
        <w:top w:val="none" w:sz="0" w:space="0" w:color="auto"/>
        <w:left w:val="none" w:sz="0" w:space="0" w:color="auto"/>
        <w:bottom w:val="none" w:sz="0" w:space="0" w:color="auto"/>
        <w:right w:val="none" w:sz="0" w:space="0" w:color="auto"/>
      </w:divBdr>
      <w:divsChild>
        <w:div w:id="1485851436">
          <w:marLeft w:val="547"/>
          <w:marRight w:val="0"/>
          <w:marTop w:val="0"/>
          <w:marBottom w:val="0"/>
          <w:divBdr>
            <w:top w:val="none" w:sz="0" w:space="0" w:color="auto"/>
            <w:left w:val="none" w:sz="0" w:space="0" w:color="auto"/>
            <w:bottom w:val="none" w:sz="0" w:space="0" w:color="auto"/>
            <w:right w:val="none" w:sz="0" w:space="0" w:color="auto"/>
          </w:divBdr>
        </w:div>
      </w:divsChild>
    </w:div>
    <w:div w:id="1485851439">
      <w:marLeft w:val="0"/>
      <w:marRight w:val="0"/>
      <w:marTop w:val="0"/>
      <w:marBottom w:val="0"/>
      <w:divBdr>
        <w:top w:val="none" w:sz="0" w:space="0" w:color="auto"/>
        <w:left w:val="none" w:sz="0" w:space="0" w:color="auto"/>
        <w:bottom w:val="none" w:sz="0" w:space="0" w:color="auto"/>
        <w:right w:val="none" w:sz="0" w:space="0" w:color="auto"/>
      </w:divBdr>
    </w:div>
    <w:div w:id="1485851440">
      <w:marLeft w:val="0"/>
      <w:marRight w:val="0"/>
      <w:marTop w:val="0"/>
      <w:marBottom w:val="0"/>
      <w:divBdr>
        <w:top w:val="none" w:sz="0" w:space="0" w:color="auto"/>
        <w:left w:val="none" w:sz="0" w:space="0" w:color="auto"/>
        <w:bottom w:val="none" w:sz="0" w:space="0" w:color="auto"/>
        <w:right w:val="none" w:sz="0" w:space="0" w:color="auto"/>
      </w:divBdr>
    </w:div>
    <w:div w:id="1485851441">
      <w:marLeft w:val="0"/>
      <w:marRight w:val="0"/>
      <w:marTop w:val="0"/>
      <w:marBottom w:val="0"/>
      <w:divBdr>
        <w:top w:val="none" w:sz="0" w:space="0" w:color="auto"/>
        <w:left w:val="none" w:sz="0" w:space="0" w:color="auto"/>
        <w:bottom w:val="none" w:sz="0" w:space="0" w:color="auto"/>
        <w:right w:val="none" w:sz="0" w:space="0" w:color="auto"/>
      </w:divBdr>
    </w:div>
    <w:div w:id="1485851442">
      <w:marLeft w:val="0"/>
      <w:marRight w:val="0"/>
      <w:marTop w:val="0"/>
      <w:marBottom w:val="0"/>
      <w:divBdr>
        <w:top w:val="none" w:sz="0" w:space="0" w:color="auto"/>
        <w:left w:val="none" w:sz="0" w:space="0" w:color="auto"/>
        <w:bottom w:val="none" w:sz="0" w:space="0" w:color="auto"/>
        <w:right w:val="none" w:sz="0" w:space="0" w:color="auto"/>
      </w:divBdr>
    </w:div>
    <w:div w:id="1485851443">
      <w:marLeft w:val="0"/>
      <w:marRight w:val="0"/>
      <w:marTop w:val="0"/>
      <w:marBottom w:val="0"/>
      <w:divBdr>
        <w:top w:val="none" w:sz="0" w:space="0" w:color="auto"/>
        <w:left w:val="none" w:sz="0" w:space="0" w:color="auto"/>
        <w:bottom w:val="none" w:sz="0" w:space="0" w:color="auto"/>
        <w:right w:val="none" w:sz="0" w:space="0" w:color="auto"/>
      </w:divBdr>
    </w:div>
    <w:div w:id="1485851444">
      <w:marLeft w:val="0"/>
      <w:marRight w:val="0"/>
      <w:marTop w:val="0"/>
      <w:marBottom w:val="0"/>
      <w:divBdr>
        <w:top w:val="none" w:sz="0" w:space="0" w:color="auto"/>
        <w:left w:val="none" w:sz="0" w:space="0" w:color="auto"/>
        <w:bottom w:val="none" w:sz="0" w:space="0" w:color="auto"/>
        <w:right w:val="none" w:sz="0" w:space="0" w:color="auto"/>
      </w:divBdr>
    </w:div>
    <w:div w:id="1485851445">
      <w:marLeft w:val="0"/>
      <w:marRight w:val="0"/>
      <w:marTop w:val="0"/>
      <w:marBottom w:val="0"/>
      <w:divBdr>
        <w:top w:val="none" w:sz="0" w:space="0" w:color="auto"/>
        <w:left w:val="none" w:sz="0" w:space="0" w:color="auto"/>
        <w:bottom w:val="none" w:sz="0" w:space="0" w:color="auto"/>
        <w:right w:val="none" w:sz="0" w:space="0" w:color="auto"/>
      </w:divBdr>
    </w:div>
    <w:div w:id="1485851446">
      <w:marLeft w:val="0"/>
      <w:marRight w:val="0"/>
      <w:marTop w:val="0"/>
      <w:marBottom w:val="0"/>
      <w:divBdr>
        <w:top w:val="none" w:sz="0" w:space="0" w:color="auto"/>
        <w:left w:val="none" w:sz="0" w:space="0" w:color="auto"/>
        <w:bottom w:val="none" w:sz="0" w:space="0" w:color="auto"/>
        <w:right w:val="none" w:sz="0" w:space="0" w:color="auto"/>
      </w:divBdr>
    </w:div>
    <w:div w:id="1485851447">
      <w:marLeft w:val="0"/>
      <w:marRight w:val="0"/>
      <w:marTop w:val="0"/>
      <w:marBottom w:val="0"/>
      <w:divBdr>
        <w:top w:val="none" w:sz="0" w:space="0" w:color="auto"/>
        <w:left w:val="none" w:sz="0" w:space="0" w:color="auto"/>
        <w:bottom w:val="none" w:sz="0" w:space="0" w:color="auto"/>
        <w:right w:val="none" w:sz="0" w:space="0" w:color="auto"/>
      </w:divBdr>
    </w:div>
    <w:div w:id="1485851448">
      <w:marLeft w:val="0"/>
      <w:marRight w:val="0"/>
      <w:marTop w:val="0"/>
      <w:marBottom w:val="0"/>
      <w:divBdr>
        <w:top w:val="none" w:sz="0" w:space="0" w:color="auto"/>
        <w:left w:val="none" w:sz="0" w:space="0" w:color="auto"/>
        <w:bottom w:val="none" w:sz="0" w:space="0" w:color="auto"/>
        <w:right w:val="none" w:sz="0" w:space="0" w:color="auto"/>
      </w:divBdr>
    </w:div>
    <w:div w:id="1485851449">
      <w:marLeft w:val="0"/>
      <w:marRight w:val="0"/>
      <w:marTop w:val="0"/>
      <w:marBottom w:val="0"/>
      <w:divBdr>
        <w:top w:val="none" w:sz="0" w:space="0" w:color="auto"/>
        <w:left w:val="none" w:sz="0" w:space="0" w:color="auto"/>
        <w:bottom w:val="none" w:sz="0" w:space="0" w:color="auto"/>
        <w:right w:val="none" w:sz="0" w:space="0" w:color="auto"/>
      </w:divBdr>
    </w:div>
    <w:div w:id="1485851450">
      <w:marLeft w:val="0"/>
      <w:marRight w:val="0"/>
      <w:marTop w:val="0"/>
      <w:marBottom w:val="0"/>
      <w:divBdr>
        <w:top w:val="none" w:sz="0" w:space="0" w:color="auto"/>
        <w:left w:val="none" w:sz="0" w:space="0" w:color="auto"/>
        <w:bottom w:val="none" w:sz="0" w:space="0" w:color="auto"/>
        <w:right w:val="none" w:sz="0" w:space="0" w:color="auto"/>
      </w:divBdr>
    </w:div>
    <w:div w:id="1485851451">
      <w:marLeft w:val="0"/>
      <w:marRight w:val="0"/>
      <w:marTop w:val="0"/>
      <w:marBottom w:val="0"/>
      <w:divBdr>
        <w:top w:val="none" w:sz="0" w:space="0" w:color="auto"/>
        <w:left w:val="none" w:sz="0" w:space="0" w:color="auto"/>
        <w:bottom w:val="none" w:sz="0" w:space="0" w:color="auto"/>
        <w:right w:val="none" w:sz="0" w:space="0" w:color="auto"/>
      </w:divBdr>
    </w:div>
    <w:div w:id="1485851452">
      <w:marLeft w:val="0"/>
      <w:marRight w:val="0"/>
      <w:marTop w:val="0"/>
      <w:marBottom w:val="0"/>
      <w:divBdr>
        <w:top w:val="none" w:sz="0" w:space="0" w:color="auto"/>
        <w:left w:val="none" w:sz="0" w:space="0" w:color="auto"/>
        <w:bottom w:val="none" w:sz="0" w:space="0" w:color="auto"/>
        <w:right w:val="none" w:sz="0" w:space="0" w:color="auto"/>
      </w:divBdr>
    </w:div>
    <w:div w:id="1485851453">
      <w:marLeft w:val="0"/>
      <w:marRight w:val="0"/>
      <w:marTop w:val="0"/>
      <w:marBottom w:val="0"/>
      <w:divBdr>
        <w:top w:val="none" w:sz="0" w:space="0" w:color="auto"/>
        <w:left w:val="none" w:sz="0" w:space="0" w:color="auto"/>
        <w:bottom w:val="none" w:sz="0" w:space="0" w:color="auto"/>
        <w:right w:val="none" w:sz="0" w:space="0" w:color="auto"/>
      </w:divBdr>
    </w:div>
    <w:div w:id="1485851454">
      <w:marLeft w:val="0"/>
      <w:marRight w:val="0"/>
      <w:marTop w:val="0"/>
      <w:marBottom w:val="0"/>
      <w:divBdr>
        <w:top w:val="none" w:sz="0" w:space="0" w:color="auto"/>
        <w:left w:val="none" w:sz="0" w:space="0" w:color="auto"/>
        <w:bottom w:val="none" w:sz="0" w:space="0" w:color="auto"/>
        <w:right w:val="none" w:sz="0" w:space="0" w:color="auto"/>
      </w:divBdr>
    </w:div>
    <w:div w:id="1485851455">
      <w:marLeft w:val="0"/>
      <w:marRight w:val="0"/>
      <w:marTop w:val="0"/>
      <w:marBottom w:val="0"/>
      <w:divBdr>
        <w:top w:val="none" w:sz="0" w:space="0" w:color="auto"/>
        <w:left w:val="none" w:sz="0" w:space="0" w:color="auto"/>
        <w:bottom w:val="none" w:sz="0" w:space="0" w:color="auto"/>
        <w:right w:val="none" w:sz="0" w:space="0" w:color="auto"/>
      </w:divBdr>
    </w:div>
    <w:div w:id="1485851456">
      <w:marLeft w:val="0"/>
      <w:marRight w:val="0"/>
      <w:marTop w:val="0"/>
      <w:marBottom w:val="0"/>
      <w:divBdr>
        <w:top w:val="none" w:sz="0" w:space="0" w:color="auto"/>
        <w:left w:val="none" w:sz="0" w:space="0" w:color="auto"/>
        <w:bottom w:val="none" w:sz="0" w:space="0" w:color="auto"/>
        <w:right w:val="none" w:sz="0" w:space="0" w:color="auto"/>
      </w:divBdr>
    </w:div>
    <w:div w:id="1485851457">
      <w:marLeft w:val="0"/>
      <w:marRight w:val="0"/>
      <w:marTop w:val="0"/>
      <w:marBottom w:val="0"/>
      <w:divBdr>
        <w:top w:val="none" w:sz="0" w:space="0" w:color="auto"/>
        <w:left w:val="none" w:sz="0" w:space="0" w:color="auto"/>
        <w:bottom w:val="none" w:sz="0" w:space="0" w:color="auto"/>
        <w:right w:val="none" w:sz="0" w:space="0" w:color="auto"/>
      </w:divBdr>
    </w:div>
    <w:div w:id="1485851458">
      <w:marLeft w:val="0"/>
      <w:marRight w:val="0"/>
      <w:marTop w:val="0"/>
      <w:marBottom w:val="0"/>
      <w:divBdr>
        <w:top w:val="none" w:sz="0" w:space="0" w:color="auto"/>
        <w:left w:val="none" w:sz="0" w:space="0" w:color="auto"/>
        <w:bottom w:val="none" w:sz="0" w:space="0" w:color="auto"/>
        <w:right w:val="none" w:sz="0" w:space="0" w:color="auto"/>
      </w:divBdr>
    </w:div>
    <w:div w:id="1485851459">
      <w:marLeft w:val="0"/>
      <w:marRight w:val="0"/>
      <w:marTop w:val="0"/>
      <w:marBottom w:val="0"/>
      <w:divBdr>
        <w:top w:val="none" w:sz="0" w:space="0" w:color="auto"/>
        <w:left w:val="none" w:sz="0" w:space="0" w:color="auto"/>
        <w:bottom w:val="none" w:sz="0" w:space="0" w:color="auto"/>
        <w:right w:val="none" w:sz="0" w:space="0" w:color="auto"/>
      </w:divBdr>
    </w:div>
    <w:div w:id="1485851460">
      <w:marLeft w:val="0"/>
      <w:marRight w:val="0"/>
      <w:marTop w:val="0"/>
      <w:marBottom w:val="0"/>
      <w:divBdr>
        <w:top w:val="none" w:sz="0" w:space="0" w:color="auto"/>
        <w:left w:val="none" w:sz="0" w:space="0" w:color="auto"/>
        <w:bottom w:val="none" w:sz="0" w:space="0" w:color="auto"/>
        <w:right w:val="none" w:sz="0" w:space="0" w:color="auto"/>
      </w:divBdr>
    </w:div>
    <w:div w:id="1485851461">
      <w:marLeft w:val="0"/>
      <w:marRight w:val="0"/>
      <w:marTop w:val="0"/>
      <w:marBottom w:val="0"/>
      <w:divBdr>
        <w:top w:val="none" w:sz="0" w:space="0" w:color="auto"/>
        <w:left w:val="none" w:sz="0" w:space="0" w:color="auto"/>
        <w:bottom w:val="none" w:sz="0" w:space="0" w:color="auto"/>
        <w:right w:val="none" w:sz="0" w:space="0" w:color="auto"/>
      </w:divBdr>
    </w:div>
    <w:div w:id="1485851462">
      <w:marLeft w:val="0"/>
      <w:marRight w:val="0"/>
      <w:marTop w:val="0"/>
      <w:marBottom w:val="0"/>
      <w:divBdr>
        <w:top w:val="none" w:sz="0" w:space="0" w:color="auto"/>
        <w:left w:val="none" w:sz="0" w:space="0" w:color="auto"/>
        <w:bottom w:val="none" w:sz="0" w:space="0" w:color="auto"/>
        <w:right w:val="none" w:sz="0" w:space="0" w:color="auto"/>
      </w:divBdr>
    </w:div>
    <w:div w:id="1494834912">
      <w:bodyDiv w:val="1"/>
      <w:marLeft w:val="0"/>
      <w:marRight w:val="0"/>
      <w:marTop w:val="0"/>
      <w:marBottom w:val="0"/>
      <w:divBdr>
        <w:top w:val="none" w:sz="0" w:space="0" w:color="auto"/>
        <w:left w:val="none" w:sz="0" w:space="0" w:color="auto"/>
        <w:bottom w:val="none" w:sz="0" w:space="0" w:color="auto"/>
        <w:right w:val="none" w:sz="0" w:space="0" w:color="auto"/>
      </w:divBdr>
    </w:div>
    <w:div w:id="1509172801">
      <w:bodyDiv w:val="1"/>
      <w:marLeft w:val="0"/>
      <w:marRight w:val="0"/>
      <w:marTop w:val="0"/>
      <w:marBottom w:val="0"/>
      <w:divBdr>
        <w:top w:val="none" w:sz="0" w:space="0" w:color="auto"/>
        <w:left w:val="none" w:sz="0" w:space="0" w:color="auto"/>
        <w:bottom w:val="none" w:sz="0" w:space="0" w:color="auto"/>
        <w:right w:val="none" w:sz="0" w:space="0" w:color="auto"/>
      </w:divBdr>
    </w:div>
    <w:div w:id="1513375445">
      <w:bodyDiv w:val="1"/>
      <w:marLeft w:val="0"/>
      <w:marRight w:val="0"/>
      <w:marTop w:val="0"/>
      <w:marBottom w:val="0"/>
      <w:divBdr>
        <w:top w:val="none" w:sz="0" w:space="0" w:color="auto"/>
        <w:left w:val="none" w:sz="0" w:space="0" w:color="auto"/>
        <w:bottom w:val="none" w:sz="0" w:space="0" w:color="auto"/>
        <w:right w:val="none" w:sz="0" w:space="0" w:color="auto"/>
      </w:divBdr>
    </w:div>
    <w:div w:id="1515730174">
      <w:bodyDiv w:val="1"/>
      <w:marLeft w:val="0"/>
      <w:marRight w:val="0"/>
      <w:marTop w:val="0"/>
      <w:marBottom w:val="0"/>
      <w:divBdr>
        <w:top w:val="none" w:sz="0" w:space="0" w:color="auto"/>
        <w:left w:val="none" w:sz="0" w:space="0" w:color="auto"/>
        <w:bottom w:val="none" w:sz="0" w:space="0" w:color="auto"/>
        <w:right w:val="none" w:sz="0" w:space="0" w:color="auto"/>
      </w:divBdr>
    </w:div>
    <w:div w:id="1538346353">
      <w:bodyDiv w:val="1"/>
      <w:marLeft w:val="0"/>
      <w:marRight w:val="0"/>
      <w:marTop w:val="0"/>
      <w:marBottom w:val="0"/>
      <w:divBdr>
        <w:top w:val="none" w:sz="0" w:space="0" w:color="auto"/>
        <w:left w:val="none" w:sz="0" w:space="0" w:color="auto"/>
        <w:bottom w:val="none" w:sz="0" w:space="0" w:color="auto"/>
        <w:right w:val="none" w:sz="0" w:space="0" w:color="auto"/>
      </w:divBdr>
      <w:divsChild>
        <w:div w:id="1832284774">
          <w:marLeft w:val="0"/>
          <w:marRight w:val="0"/>
          <w:marTop w:val="0"/>
          <w:marBottom w:val="0"/>
          <w:divBdr>
            <w:top w:val="none" w:sz="0" w:space="0" w:color="auto"/>
            <w:left w:val="none" w:sz="0" w:space="0" w:color="auto"/>
            <w:bottom w:val="none" w:sz="0" w:space="0" w:color="auto"/>
            <w:right w:val="none" w:sz="0" w:space="0" w:color="auto"/>
          </w:divBdr>
          <w:divsChild>
            <w:div w:id="501429618">
              <w:marLeft w:val="0"/>
              <w:marRight w:val="0"/>
              <w:marTop w:val="0"/>
              <w:marBottom w:val="0"/>
              <w:divBdr>
                <w:top w:val="none" w:sz="0" w:space="0" w:color="auto"/>
                <w:left w:val="none" w:sz="0" w:space="0" w:color="auto"/>
                <w:bottom w:val="none" w:sz="0" w:space="0" w:color="auto"/>
                <w:right w:val="none" w:sz="0" w:space="0" w:color="auto"/>
              </w:divBdr>
              <w:divsChild>
                <w:div w:id="1510826362">
                  <w:marLeft w:val="0"/>
                  <w:marRight w:val="0"/>
                  <w:marTop w:val="0"/>
                  <w:marBottom w:val="0"/>
                  <w:divBdr>
                    <w:top w:val="none" w:sz="0" w:space="0" w:color="auto"/>
                    <w:left w:val="none" w:sz="0" w:space="0" w:color="auto"/>
                    <w:bottom w:val="none" w:sz="0" w:space="0" w:color="auto"/>
                    <w:right w:val="none" w:sz="0" w:space="0" w:color="auto"/>
                  </w:divBdr>
                  <w:divsChild>
                    <w:div w:id="829322437">
                      <w:marLeft w:val="0"/>
                      <w:marRight w:val="0"/>
                      <w:marTop w:val="0"/>
                      <w:marBottom w:val="0"/>
                      <w:divBdr>
                        <w:top w:val="none" w:sz="0" w:space="0" w:color="auto"/>
                        <w:left w:val="none" w:sz="0" w:space="0" w:color="auto"/>
                        <w:bottom w:val="none" w:sz="0" w:space="0" w:color="auto"/>
                        <w:right w:val="none" w:sz="0" w:space="0" w:color="auto"/>
                      </w:divBdr>
                      <w:divsChild>
                        <w:div w:id="98642641">
                          <w:marLeft w:val="0"/>
                          <w:marRight w:val="0"/>
                          <w:marTop w:val="0"/>
                          <w:marBottom w:val="0"/>
                          <w:divBdr>
                            <w:top w:val="none" w:sz="0" w:space="0" w:color="auto"/>
                            <w:left w:val="none" w:sz="0" w:space="0" w:color="auto"/>
                            <w:bottom w:val="none" w:sz="0" w:space="0" w:color="auto"/>
                            <w:right w:val="none" w:sz="0" w:space="0" w:color="auto"/>
                          </w:divBdr>
                          <w:divsChild>
                            <w:div w:id="16742172">
                              <w:marLeft w:val="0"/>
                              <w:marRight w:val="0"/>
                              <w:marTop w:val="0"/>
                              <w:marBottom w:val="0"/>
                              <w:divBdr>
                                <w:top w:val="none" w:sz="0" w:space="0" w:color="auto"/>
                                <w:left w:val="none" w:sz="0" w:space="0" w:color="auto"/>
                                <w:bottom w:val="none" w:sz="0" w:space="0" w:color="auto"/>
                                <w:right w:val="none" w:sz="0" w:space="0" w:color="auto"/>
                              </w:divBdr>
                              <w:divsChild>
                                <w:div w:id="1447776492">
                                  <w:marLeft w:val="0"/>
                                  <w:marRight w:val="0"/>
                                  <w:marTop w:val="0"/>
                                  <w:marBottom w:val="0"/>
                                  <w:divBdr>
                                    <w:top w:val="none" w:sz="0" w:space="0" w:color="auto"/>
                                    <w:left w:val="none" w:sz="0" w:space="0" w:color="auto"/>
                                    <w:bottom w:val="none" w:sz="0" w:space="0" w:color="auto"/>
                                    <w:right w:val="none" w:sz="0" w:space="0" w:color="auto"/>
                                  </w:divBdr>
                                  <w:divsChild>
                                    <w:div w:id="988050422">
                                      <w:marLeft w:val="0"/>
                                      <w:marRight w:val="0"/>
                                      <w:marTop w:val="0"/>
                                      <w:marBottom w:val="0"/>
                                      <w:divBdr>
                                        <w:top w:val="none" w:sz="0" w:space="0" w:color="auto"/>
                                        <w:left w:val="none" w:sz="0" w:space="0" w:color="auto"/>
                                        <w:bottom w:val="none" w:sz="0" w:space="0" w:color="auto"/>
                                        <w:right w:val="none" w:sz="0" w:space="0" w:color="auto"/>
                                      </w:divBdr>
                                      <w:divsChild>
                                        <w:div w:id="993068954">
                                          <w:marLeft w:val="0"/>
                                          <w:marRight w:val="0"/>
                                          <w:marTop w:val="0"/>
                                          <w:marBottom w:val="0"/>
                                          <w:divBdr>
                                            <w:top w:val="none" w:sz="0" w:space="0" w:color="auto"/>
                                            <w:left w:val="none" w:sz="0" w:space="0" w:color="auto"/>
                                            <w:bottom w:val="none" w:sz="0" w:space="0" w:color="auto"/>
                                            <w:right w:val="none" w:sz="0" w:space="0" w:color="auto"/>
                                          </w:divBdr>
                                          <w:divsChild>
                                            <w:div w:id="499318809">
                                              <w:marLeft w:val="0"/>
                                              <w:marRight w:val="0"/>
                                              <w:marTop w:val="0"/>
                                              <w:marBottom w:val="0"/>
                                              <w:divBdr>
                                                <w:top w:val="none" w:sz="0" w:space="0" w:color="auto"/>
                                                <w:left w:val="none" w:sz="0" w:space="0" w:color="auto"/>
                                                <w:bottom w:val="none" w:sz="0" w:space="0" w:color="auto"/>
                                                <w:right w:val="none" w:sz="0" w:space="0" w:color="auto"/>
                                              </w:divBdr>
                                              <w:divsChild>
                                                <w:div w:id="5153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0096101">
      <w:bodyDiv w:val="1"/>
      <w:marLeft w:val="0"/>
      <w:marRight w:val="0"/>
      <w:marTop w:val="0"/>
      <w:marBottom w:val="0"/>
      <w:divBdr>
        <w:top w:val="none" w:sz="0" w:space="0" w:color="auto"/>
        <w:left w:val="none" w:sz="0" w:space="0" w:color="auto"/>
        <w:bottom w:val="none" w:sz="0" w:space="0" w:color="auto"/>
        <w:right w:val="none" w:sz="0" w:space="0" w:color="auto"/>
      </w:divBdr>
      <w:divsChild>
        <w:div w:id="1074283961">
          <w:marLeft w:val="0"/>
          <w:marRight w:val="0"/>
          <w:marTop w:val="0"/>
          <w:marBottom w:val="0"/>
          <w:divBdr>
            <w:top w:val="none" w:sz="0" w:space="0" w:color="auto"/>
            <w:left w:val="none" w:sz="0" w:space="0" w:color="auto"/>
            <w:bottom w:val="none" w:sz="0" w:space="0" w:color="auto"/>
            <w:right w:val="none" w:sz="0" w:space="0" w:color="auto"/>
          </w:divBdr>
          <w:divsChild>
            <w:div w:id="1326590724">
              <w:marLeft w:val="0"/>
              <w:marRight w:val="0"/>
              <w:marTop w:val="0"/>
              <w:marBottom w:val="0"/>
              <w:divBdr>
                <w:top w:val="none" w:sz="0" w:space="0" w:color="auto"/>
                <w:left w:val="none" w:sz="0" w:space="0" w:color="auto"/>
                <w:bottom w:val="none" w:sz="0" w:space="0" w:color="auto"/>
                <w:right w:val="none" w:sz="0" w:space="0" w:color="auto"/>
              </w:divBdr>
              <w:divsChild>
                <w:div w:id="19846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4660">
      <w:bodyDiv w:val="1"/>
      <w:marLeft w:val="0"/>
      <w:marRight w:val="0"/>
      <w:marTop w:val="0"/>
      <w:marBottom w:val="0"/>
      <w:divBdr>
        <w:top w:val="none" w:sz="0" w:space="0" w:color="auto"/>
        <w:left w:val="none" w:sz="0" w:space="0" w:color="auto"/>
        <w:bottom w:val="none" w:sz="0" w:space="0" w:color="auto"/>
        <w:right w:val="none" w:sz="0" w:space="0" w:color="auto"/>
      </w:divBdr>
    </w:div>
    <w:div w:id="1615943225">
      <w:bodyDiv w:val="1"/>
      <w:marLeft w:val="0"/>
      <w:marRight w:val="0"/>
      <w:marTop w:val="0"/>
      <w:marBottom w:val="0"/>
      <w:divBdr>
        <w:top w:val="none" w:sz="0" w:space="0" w:color="auto"/>
        <w:left w:val="none" w:sz="0" w:space="0" w:color="auto"/>
        <w:bottom w:val="none" w:sz="0" w:space="0" w:color="auto"/>
        <w:right w:val="none" w:sz="0" w:space="0" w:color="auto"/>
      </w:divBdr>
    </w:div>
    <w:div w:id="1624383517">
      <w:bodyDiv w:val="1"/>
      <w:marLeft w:val="0"/>
      <w:marRight w:val="0"/>
      <w:marTop w:val="0"/>
      <w:marBottom w:val="0"/>
      <w:divBdr>
        <w:top w:val="none" w:sz="0" w:space="0" w:color="auto"/>
        <w:left w:val="none" w:sz="0" w:space="0" w:color="auto"/>
        <w:bottom w:val="none" w:sz="0" w:space="0" w:color="auto"/>
        <w:right w:val="none" w:sz="0" w:space="0" w:color="auto"/>
      </w:divBdr>
    </w:div>
    <w:div w:id="1722554803">
      <w:bodyDiv w:val="1"/>
      <w:marLeft w:val="0"/>
      <w:marRight w:val="0"/>
      <w:marTop w:val="0"/>
      <w:marBottom w:val="0"/>
      <w:divBdr>
        <w:top w:val="none" w:sz="0" w:space="0" w:color="auto"/>
        <w:left w:val="none" w:sz="0" w:space="0" w:color="auto"/>
        <w:bottom w:val="none" w:sz="0" w:space="0" w:color="auto"/>
        <w:right w:val="none" w:sz="0" w:space="0" w:color="auto"/>
      </w:divBdr>
    </w:div>
    <w:div w:id="1733429333">
      <w:bodyDiv w:val="1"/>
      <w:marLeft w:val="0"/>
      <w:marRight w:val="0"/>
      <w:marTop w:val="0"/>
      <w:marBottom w:val="0"/>
      <w:divBdr>
        <w:top w:val="none" w:sz="0" w:space="0" w:color="auto"/>
        <w:left w:val="none" w:sz="0" w:space="0" w:color="auto"/>
        <w:bottom w:val="none" w:sz="0" w:space="0" w:color="auto"/>
        <w:right w:val="none" w:sz="0" w:space="0" w:color="auto"/>
      </w:divBdr>
      <w:divsChild>
        <w:div w:id="1403259751">
          <w:marLeft w:val="0"/>
          <w:marRight w:val="0"/>
          <w:marTop w:val="0"/>
          <w:marBottom w:val="0"/>
          <w:divBdr>
            <w:top w:val="none" w:sz="0" w:space="0" w:color="auto"/>
            <w:left w:val="none" w:sz="0" w:space="0" w:color="auto"/>
            <w:bottom w:val="none" w:sz="0" w:space="0" w:color="auto"/>
            <w:right w:val="none" w:sz="0" w:space="0" w:color="auto"/>
          </w:divBdr>
          <w:divsChild>
            <w:div w:id="2040203410">
              <w:marLeft w:val="0"/>
              <w:marRight w:val="0"/>
              <w:marTop w:val="0"/>
              <w:marBottom w:val="0"/>
              <w:divBdr>
                <w:top w:val="none" w:sz="0" w:space="0" w:color="auto"/>
                <w:left w:val="none" w:sz="0" w:space="0" w:color="auto"/>
                <w:bottom w:val="none" w:sz="0" w:space="0" w:color="auto"/>
                <w:right w:val="none" w:sz="0" w:space="0" w:color="auto"/>
              </w:divBdr>
              <w:divsChild>
                <w:div w:id="16467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8869">
      <w:bodyDiv w:val="1"/>
      <w:marLeft w:val="0"/>
      <w:marRight w:val="0"/>
      <w:marTop w:val="0"/>
      <w:marBottom w:val="0"/>
      <w:divBdr>
        <w:top w:val="none" w:sz="0" w:space="0" w:color="auto"/>
        <w:left w:val="none" w:sz="0" w:space="0" w:color="auto"/>
        <w:bottom w:val="none" w:sz="0" w:space="0" w:color="auto"/>
        <w:right w:val="none" w:sz="0" w:space="0" w:color="auto"/>
      </w:divBdr>
    </w:div>
    <w:div w:id="1854999506">
      <w:bodyDiv w:val="1"/>
      <w:marLeft w:val="0"/>
      <w:marRight w:val="0"/>
      <w:marTop w:val="0"/>
      <w:marBottom w:val="0"/>
      <w:divBdr>
        <w:top w:val="none" w:sz="0" w:space="0" w:color="auto"/>
        <w:left w:val="none" w:sz="0" w:space="0" w:color="auto"/>
        <w:bottom w:val="none" w:sz="0" w:space="0" w:color="auto"/>
        <w:right w:val="none" w:sz="0" w:space="0" w:color="auto"/>
      </w:divBdr>
      <w:divsChild>
        <w:div w:id="1435444323">
          <w:marLeft w:val="547"/>
          <w:marRight w:val="0"/>
          <w:marTop w:val="0"/>
          <w:marBottom w:val="0"/>
          <w:divBdr>
            <w:top w:val="none" w:sz="0" w:space="0" w:color="auto"/>
            <w:left w:val="none" w:sz="0" w:space="0" w:color="auto"/>
            <w:bottom w:val="none" w:sz="0" w:space="0" w:color="auto"/>
            <w:right w:val="none" w:sz="0" w:space="0" w:color="auto"/>
          </w:divBdr>
        </w:div>
      </w:divsChild>
    </w:div>
    <w:div w:id="1960214309">
      <w:bodyDiv w:val="1"/>
      <w:marLeft w:val="0"/>
      <w:marRight w:val="0"/>
      <w:marTop w:val="0"/>
      <w:marBottom w:val="0"/>
      <w:divBdr>
        <w:top w:val="none" w:sz="0" w:space="0" w:color="auto"/>
        <w:left w:val="none" w:sz="0" w:space="0" w:color="auto"/>
        <w:bottom w:val="none" w:sz="0" w:space="0" w:color="auto"/>
        <w:right w:val="none" w:sz="0" w:space="0" w:color="auto"/>
      </w:divBdr>
      <w:divsChild>
        <w:div w:id="1644046962">
          <w:marLeft w:val="0"/>
          <w:marRight w:val="0"/>
          <w:marTop w:val="0"/>
          <w:marBottom w:val="0"/>
          <w:divBdr>
            <w:top w:val="none" w:sz="0" w:space="0" w:color="auto"/>
            <w:left w:val="none" w:sz="0" w:space="0" w:color="auto"/>
            <w:bottom w:val="none" w:sz="0" w:space="0" w:color="auto"/>
            <w:right w:val="none" w:sz="0" w:space="0" w:color="auto"/>
          </w:divBdr>
          <w:divsChild>
            <w:div w:id="1872955638">
              <w:marLeft w:val="0"/>
              <w:marRight w:val="0"/>
              <w:marTop w:val="0"/>
              <w:marBottom w:val="0"/>
              <w:divBdr>
                <w:top w:val="none" w:sz="0" w:space="0" w:color="auto"/>
                <w:left w:val="none" w:sz="0" w:space="0" w:color="auto"/>
                <w:bottom w:val="none" w:sz="0" w:space="0" w:color="auto"/>
                <w:right w:val="none" w:sz="0" w:space="0" w:color="auto"/>
              </w:divBdr>
              <w:divsChild>
                <w:div w:id="9658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p\CONFIG~1\Temp\XPgrpwise\Template_Diss_PPGEC_2011V12_final_Out201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47AD7-EDC8-49D3-BE15-B0D38185A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Template_Diss_PPGEC_2011V12_final_Out2011.dot</Template>
  <TotalTime>888</TotalTime>
  <Pages>29</Pages>
  <Words>34700</Words>
  <Characters>187384</Characters>
  <Application>Microsoft Office Word</Application>
  <DocSecurity>0</DocSecurity>
  <Lines>1561</Lines>
  <Paragraphs>443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TCC</vt:lpstr>
      <vt:lpstr>TCC</vt:lpstr>
    </vt:vector>
  </TitlesOfParts>
  <Company>Toshiba</Company>
  <LinksUpToDate>false</LinksUpToDate>
  <CharactersWithSpaces>221641</CharactersWithSpaces>
  <SharedDoc>false</SharedDoc>
  <HLinks>
    <vt:vector size="186" baseType="variant">
      <vt:variant>
        <vt:i4>2424916</vt:i4>
      </vt:variant>
      <vt:variant>
        <vt:i4>201</vt:i4>
      </vt:variant>
      <vt:variant>
        <vt:i4>0</vt:i4>
      </vt:variant>
      <vt:variant>
        <vt:i4>5</vt:i4>
      </vt:variant>
      <vt:variant>
        <vt:lpwstr>http://www.tripadvisor.com.br/Hotels-g303546-Porto_Alegre_State_of_Rio_Grande_do_Sul-Hotels.html</vt:lpwstr>
      </vt:variant>
      <vt:variant>
        <vt:lpwstr/>
      </vt:variant>
      <vt:variant>
        <vt:i4>4522049</vt:i4>
      </vt:variant>
      <vt:variant>
        <vt:i4>198</vt:i4>
      </vt:variant>
      <vt:variant>
        <vt:i4>0</vt:i4>
      </vt:variant>
      <vt:variant>
        <vt:i4>5</vt:i4>
      </vt:variant>
      <vt:variant>
        <vt:lpwstr>http://reviewskeptic.com/</vt:lpwstr>
      </vt:variant>
      <vt:variant>
        <vt:lpwstr/>
      </vt:variant>
      <vt:variant>
        <vt:i4>3539062</vt:i4>
      </vt:variant>
      <vt:variant>
        <vt:i4>195</vt:i4>
      </vt:variant>
      <vt:variant>
        <vt:i4>0</vt:i4>
      </vt:variant>
      <vt:variant>
        <vt:i4>5</vt:i4>
      </vt:variant>
      <vt:variant>
        <vt:lpwstr>http://www.abepro.org.br/interna.asp?p=399&amp;m=424&amp;ss=1&amp;c=362</vt:lpwstr>
      </vt:variant>
      <vt:variant>
        <vt:lpwstr/>
      </vt:variant>
      <vt:variant>
        <vt:i4>1638452</vt:i4>
      </vt:variant>
      <vt:variant>
        <vt:i4>164</vt:i4>
      </vt:variant>
      <vt:variant>
        <vt:i4>0</vt:i4>
      </vt:variant>
      <vt:variant>
        <vt:i4>5</vt:i4>
      </vt:variant>
      <vt:variant>
        <vt:lpwstr/>
      </vt:variant>
      <vt:variant>
        <vt:lpwstr>_Toc403750695</vt:lpwstr>
      </vt:variant>
      <vt:variant>
        <vt:i4>1638452</vt:i4>
      </vt:variant>
      <vt:variant>
        <vt:i4>158</vt:i4>
      </vt:variant>
      <vt:variant>
        <vt:i4>0</vt:i4>
      </vt:variant>
      <vt:variant>
        <vt:i4>5</vt:i4>
      </vt:variant>
      <vt:variant>
        <vt:lpwstr/>
      </vt:variant>
      <vt:variant>
        <vt:lpwstr>_Toc403750694</vt:lpwstr>
      </vt:variant>
      <vt:variant>
        <vt:i4>1638452</vt:i4>
      </vt:variant>
      <vt:variant>
        <vt:i4>152</vt:i4>
      </vt:variant>
      <vt:variant>
        <vt:i4>0</vt:i4>
      </vt:variant>
      <vt:variant>
        <vt:i4>5</vt:i4>
      </vt:variant>
      <vt:variant>
        <vt:lpwstr/>
      </vt:variant>
      <vt:variant>
        <vt:lpwstr>_Toc403750693</vt:lpwstr>
      </vt:variant>
      <vt:variant>
        <vt:i4>1638452</vt:i4>
      </vt:variant>
      <vt:variant>
        <vt:i4>146</vt:i4>
      </vt:variant>
      <vt:variant>
        <vt:i4>0</vt:i4>
      </vt:variant>
      <vt:variant>
        <vt:i4>5</vt:i4>
      </vt:variant>
      <vt:variant>
        <vt:lpwstr/>
      </vt:variant>
      <vt:variant>
        <vt:lpwstr>_Toc403750692</vt:lpwstr>
      </vt:variant>
      <vt:variant>
        <vt:i4>1638452</vt:i4>
      </vt:variant>
      <vt:variant>
        <vt:i4>140</vt:i4>
      </vt:variant>
      <vt:variant>
        <vt:i4>0</vt:i4>
      </vt:variant>
      <vt:variant>
        <vt:i4>5</vt:i4>
      </vt:variant>
      <vt:variant>
        <vt:lpwstr/>
      </vt:variant>
      <vt:variant>
        <vt:lpwstr>_Toc403750690</vt:lpwstr>
      </vt:variant>
      <vt:variant>
        <vt:i4>1572916</vt:i4>
      </vt:variant>
      <vt:variant>
        <vt:i4>134</vt:i4>
      </vt:variant>
      <vt:variant>
        <vt:i4>0</vt:i4>
      </vt:variant>
      <vt:variant>
        <vt:i4>5</vt:i4>
      </vt:variant>
      <vt:variant>
        <vt:lpwstr/>
      </vt:variant>
      <vt:variant>
        <vt:lpwstr>_Toc403750689</vt:lpwstr>
      </vt:variant>
      <vt:variant>
        <vt:i4>1572916</vt:i4>
      </vt:variant>
      <vt:variant>
        <vt:i4>128</vt:i4>
      </vt:variant>
      <vt:variant>
        <vt:i4>0</vt:i4>
      </vt:variant>
      <vt:variant>
        <vt:i4>5</vt:i4>
      </vt:variant>
      <vt:variant>
        <vt:lpwstr/>
      </vt:variant>
      <vt:variant>
        <vt:lpwstr>_Toc403750688</vt:lpwstr>
      </vt:variant>
      <vt:variant>
        <vt:i4>1572916</vt:i4>
      </vt:variant>
      <vt:variant>
        <vt:i4>122</vt:i4>
      </vt:variant>
      <vt:variant>
        <vt:i4>0</vt:i4>
      </vt:variant>
      <vt:variant>
        <vt:i4>5</vt:i4>
      </vt:variant>
      <vt:variant>
        <vt:lpwstr/>
      </vt:variant>
      <vt:variant>
        <vt:lpwstr>_Toc403750687</vt:lpwstr>
      </vt:variant>
      <vt:variant>
        <vt:i4>1572916</vt:i4>
      </vt:variant>
      <vt:variant>
        <vt:i4>116</vt:i4>
      </vt:variant>
      <vt:variant>
        <vt:i4>0</vt:i4>
      </vt:variant>
      <vt:variant>
        <vt:i4>5</vt:i4>
      </vt:variant>
      <vt:variant>
        <vt:lpwstr/>
      </vt:variant>
      <vt:variant>
        <vt:lpwstr>_Toc403750686</vt:lpwstr>
      </vt:variant>
      <vt:variant>
        <vt:i4>1572916</vt:i4>
      </vt:variant>
      <vt:variant>
        <vt:i4>110</vt:i4>
      </vt:variant>
      <vt:variant>
        <vt:i4>0</vt:i4>
      </vt:variant>
      <vt:variant>
        <vt:i4>5</vt:i4>
      </vt:variant>
      <vt:variant>
        <vt:lpwstr/>
      </vt:variant>
      <vt:variant>
        <vt:lpwstr>_Toc403750685</vt:lpwstr>
      </vt:variant>
      <vt:variant>
        <vt:i4>1572916</vt:i4>
      </vt:variant>
      <vt:variant>
        <vt:i4>104</vt:i4>
      </vt:variant>
      <vt:variant>
        <vt:i4>0</vt:i4>
      </vt:variant>
      <vt:variant>
        <vt:i4>5</vt:i4>
      </vt:variant>
      <vt:variant>
        <vt:lpwstr/>
      </vt:variant>
      <vt:variant>
        <vt:lpwstr>_Toc403750684</vt:lpwstr>
      </vt:variant>
      <vt:variant>
        <vt:i4>1572916</vt:i4>
      </vt:variant>
      <vt:variant>
        <vt:i4>98</vt:i4>
      </vt:variant>
      <vt:variant>
        <vt:i4>0</vt:i4>
      </vt:variant>
      <vt:variant>
        <vt:i4>5</vt:i4>
      </vt:variant>
      <vt:variant>
        <vt:lpwstr/>
      </vt:variant>
      <vt:variant>
        <vt:lpwstr>_Toc403750683</vt:lpwstr>
      </vt:variant>
      <vt:variant>
        <vt:i4>1572916</vt:i4>
      </vt:variant>
      <vt:variant>
        <vt:i4>92</vt:i4>
      </vt:variant>
      <vt:variant>
        <vt:i4>0</vt:i4>
      </vt:variant>
      <vt:variant>
        <vt:i4>5</vt:i4>
      </vt:variant>
      <vt:variant>
        <vt:lpwstr/>
      </vt:variant>
      <vt:variant>
        <vt:lpwstr>_Toc403750682</vt:lpwstr>
      </vt:variant>
      <vt:variant>
        <vt:i4>1572916</vt:i4>
      </vt:variant>
      <vt:variant>
        <vt:i4>86</vt:i4>
      </vt:variant>
      <vt:variant>
        <vt:i4>0</vt:i4>
      </vt:variant>
      <vt:variant>
        <vt:i4>5</vt:i4>
      </vt:variant>
      <vt:variant>
        <vt:lpwstr/>
      </vt:variant>
      <vt:variant>
        <vt:lpwstr>_Toc403750681</vt:lpwstr>
      </vt:variant>
      <vt:variant>
        <vt:i4>1572916</vt:i4>
      </vt:variant>
      <vt:variant>
        <vt:i4>80</vt:i4>
      </vt:variant>
      <vt:variant>
        <vt:i4>0</vt:i4>
      </vt:variant>
      <vt:variant>
        <vt:i4>5</vt:i4>
      </vt:variant>
      <vt:variant>
        <vt:lpwstr/>
      </vt:variant>
      <vt:variant>
        <vt:lpwstr>_Toc403750680</vt:lpwstr>
      </vt:variant>
      <vt:variant>
        <vt:i4>1507380</vt:i4>
      </vt:variant>
      <vt:variant>
        <vt:i4>74</vt:i4>
      </vt:variant>
      <vt:variant>
        <vt:i4>0</vt:i4>
      </vt:variant>
      <vt:variant>
        <vt:i4>5</vt:i4>
      </vt:variant>
      <vt:variant>
        <vt:lpwstr/>
      </vt:variant>
      <vt:variant>
        <vt:lpwstr>_Toc403750679</vt:lpwstr>
      </vt:variant>
      <vt:variant>
        <vt:i4>1507380</vt:i4>
      </vt:variant>
      <vt:variant>
        <vt:i4>68</vt:i4>
      </vt:variant>
      <vt:variant>
        <vt:i4>0</vt:i4>
      </vt:variant>
      <vt:variant>
        <vt:i4>5</vt:i4>
      </vt:variant>
      <vt:variant>
        <vt:lpwstr/>
      </vt:variant>
      <vt:variant>
        <vt:lpwstr>_Toc403750678</vt:lpwstr>
      </vt:variant>
      <vt:variant>
        <vt:i4>1507380</vt:i4>
      </vt:variant>
      <vt:variant>
        <vt:i4>62</vt:i4>
      </vt:variant>
      <vt:variant>
        <vt:i4>0</vt:i4>
      </vt:variant>
      <vt:variant>
        <vt:i4>5</vt:i4>
      </vt:variant>
      <vt:variant>
        <vt:lpwstr/>
      </vt:variant>
      <vt:variant>
        <vt:lpwstr>_Toc403750677</vt:lpwstr>
      </vt:variant>
      <vt:variant>
        <vt:i4>1507380</vt:i4>
      </vt:variant>
      <vt:variant>
        <vt:i4>56</vt:i4>
      </vt:variant>
      <vt:variant>
        <vt:i4>0</vt:i4>
      </vt:variant>
      <vt:variant>
        <vt:i4>5</vt:i4>
      </vt:variant>
      <vt:variant>
        <vt:lpwstr/>
      </vt:variant>
      <vt:variant>
        <vt:lpwstr>_Toc403750676</vt:lpwstr>
      </vt:variant>
      <vt:variant>
        <vt:i4>1507380</vt:i4>
      </vt:variant>
      <vt:variant>
        <vt:i4>50</vt:i4>
      </vt:variant>
      <vt:variant>
        <vt:i4>0</vt:i4>
      </vt:variant>
      <vt:variant>
        <vt:i4>5</vt:i4>
      </vt:variant>
      <vt:variant>
        <vt:lpwstr/>
      </vt:variant>
      <vt:variant>
        <vt:lpwstr>_Toc403750675</vt:lpwstr>
      </vt:variant>
      <vt:variant>
        <vt:i4>1507380</vt:i4>
      </vt:variant>
      <vt:variant>
        <vt:i4>44</vt:i4>
      </vt:variant>
      <vt:variant>
        <vt:i4>0</vt:i4>
      </vt:variant>
      <vt:variant>
        <vt:i4>5</vt:i4>
      </vt:variant>
      <vt:variant>
        <vt:lpwstr/>
      </vt:variant>
      <vt:variant>
        <vt:lpwstr>_Toc403750674</vt:lpwstr>
      </vt:variant>
      <vt:variant>
        <vt:i4>1507380</vt:i4>
      </vt:variant>
      <vt:variant>
        <vt:i4>38</vt:i4>
      </vt:variant>
      <vt:variant>
        <vt:i4>0</vt:i4>
      </vt:variant>
      <vt:variant>
        <vt:i4>5</vt:i4>
      </vt:variant>
      <vt:variant>
        <vt:lpwstr/>
      </vt:variant>
      <vt:variant>
        <vt:lpwstr>_Toc403750673</vt:lpwstr>
      </vt:variant>
      <vt:variant>
        <vt:i4>1507380</vt:i4>
      </vt:variant>
      <vt:variant>
        <vt:i4>32</vt:i4>
      </vt:variant>
      <vt:variant>
        <vt:i4>0</vt:i4>
      </vt:variant>
      <vt:variant>
        <vt:i4>5</vt:i4>
      </vt:variant>
      <vt:variant>
        <vt:lpwstr/>
      </vt:variant>
      <vt:variant>
        <vt:lpwstr>_Toc403750672</vt:lpwstr>
      </vt:variant>
      <vt:variant>
        <vt:i4>1507380</vt:i4>
      </vt:variant>
      <vt:variant>
        <vt:i4>26</vt:i4>
      </vt:variant>
      <vt:variant>
        <vt:i4>0</vt:i4>
      </vt:variant>
      <vt:variant>
        <vt:i4>5</vt:i4>
      </vt:variant>
      <vt:variant>
        <vt:lpwstr/>
      </vt:variant>
      <vt:variant>
        <vt:lpwstr>_Toc403750671</vt:lpwstr>
      </vt:variant>
      <vt:variant>
        <vt:i4>1507380</vt:i4>
      </vt:variant>
      <vt:variant>
        <vt:i4>20</vt:i4>
      </vt:variant>
      <vt:variant>
        <vt:i4>0</vt:i4>
      </vt:variant>
      <vt:variant>
        <vt:i4>5</vt:i4>
      </vt:variant>
      <vt:variant>
        <vt:lpwstr/>
      </vt:variant>
      <vt:variant>
        <vt:lpwstr>_Toc403750670</vt:lpwstr>
      </vt:variant>
      <vt:variant>
        <vt:i4>1441844</vt:i4>
      </vt:variant>
      <vt:variant>
        <vt:i4>14</vt:i4>
      </vt:variant>
      <vt:variant>
        <vt:i4>0</vt:i4>
      </vt:variant>
      <vt:variant>
        <vt:i4>5</vt:i4>
      </vt:variant>
      <vt:variant>
        <vt:lpwstr/>
      </vt:variant>
      <vt:variant>
        <vt:lpwstr>_Toc403750669</vt:lpwstr>
      </vt:variant>
      <vt:variant>
        <vt:i4>1441844</vt:i4>
      </vt:variant>
      <vt:variant>
        <vt:i4>8</vt:i4>
      </vt:variant>
      <vt:variant>
        <vt:i4>0</vt:i4>
      </vt:variant>
      <vt:variant>
        <vt:i4>5</vt:i4>
      </vt:variant>
      <vt:variant>
        <vt:lpwstr/>
      </vt:variant>
      <vt:variant>
        <vt:lpwstr>_Toc403750668</vt:lpwstr>
      </vt:variant>
      <vt:variant>
        <vt:i4>1441844</vt:i4>
      </vt:variant>
      <vt:variant>
        <vt:i4>2</vt:i4>
      </vt:variant>
      <vt:variant>
        <vt:i4>0</vt:i4>
      </vt:variant>
      <vt:variant>
        <vt:i4>5</vt:i4>
      </vt:variant>
      <vt:variant>
        <vt:lpwstr/>
      </vt:variant>
      <vt:variant>
        <vt:lpwstr>_Toc403750667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creator>Pedro Lima</dc:creator>
  <cp:lastModifiedBy>Pedro Lima</cp:lastModifiedBy>
  <cp:revision>166</cp:revision>
  <cp:lastPrinted>2018-02-02T14:04:00Z</cp:lastPrinted>
  <dcterms:created xsi:type="dcterms:W3CDTF">2017-01-04T11:15:00Z</dcterms:created>
  <dcterms:modified xsi:type="dcterms:W3CDTF">2018-02-02T14:24:00Z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http://www.zotero.org/styles/associacao-brasileira-de-normas-tecnicas</vt:lpwstr>
  </property>
  <property fmtid="{D5CDD505-2E9C-101B-9397-08002B2CF9AE}" pid="13" name="Mendeley Recent Style Name 4_1">
    <vt:lpwstr>Associação Brasileira de Normas Técnicas (Portuguese - Brazil)</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http://www.zotero.org/styles/springer-basic-author-date</vt:lpwstr>
  </property>
  <property fmtid="{D5CDD505-2E9C-101B-9397-08002B2CF9AE}" pid="23" name="Mendeley Recent Style Name 9_1">
    <vt:lpwstr>Springer - Basic (author-date)</vt:lpwstr>
  </property>
  <property fmtid="{D5CDD505-2E9C-101B-9397-08002B2CF9AE}" pid="24" name="Mendeley Unique User Id_1">
    <vt:lpwstr>de84a397-ef48-3377-aa3b-156061da1433</vt:lpwstr>
  </property>
</Properties>
</file>