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2" w:rsidRDefault="001207D1" w:rsidP="008F160A">
      <w:pPr>
        <w:pStyle w:val="Newparagraph"/>
        <w:jc w:val="center"/>
        <w:rPr>
          <w:b/>
          <w:lang w:val="pt-BR"/>
        </w:rPr>
      </w:pPr>
      <w:bookmarkStart w:id="0" w:name="_Toc347931668"/>
      <w:bookmarkStart w:id="1" w:name="_Toc397099205"/>
      <w:bookmarkStart w:id="2" w:name="_Toc398480825"/>
      <w:bookmarkStart w:id="3" w:name="_Toc403750667"/>
      <w:r w:rsidRPr="001207D1">
        <w:rPr>
          <w:b/>
          <w:lang w:val="pt-BR"/>
        </w:rPr>
        <w:t>Avaliação de Decisões Estratégicas sob Incerteza Profunda na Indústria da Manufatura Aditiva</w:t>
      </w:r>
      <w:r w:rsidR="0073639A">
        <w:rPr>
          <w:b/>
          <w:lang w:val="pt-BR"/>
        </w:rPr>
        <w:t xml:space="preserve"> -</w:t>
      </w:r>
      <w:r w:rsidRPr="001207D1">
        <w:rPr>
          <w:b/>
          <w:lang w:val="pt-BR"/>
        </w:rPr>
        <w:t xml:space="preserve"> Uma Análise a partir do método Robust Decision Making (RDM)</w:t>
      </w:r>
    </w:p>
    <w:p w:rsidR="00EC58DA" w:rsidRDefault="001207D1" w:rsidP="00F86D61">
      <w:pPr>
        <w:pStyle w:val="Newparagraph"/>
        <w:jc w:val="center"/>
        <w:rPr>
          <w:b/>
          <w:lang w:val="en-US"/>
        </w:rPr>
      </w:pPr>
      <w:r w:rsidRPr="001207D1">
        <w:rPr>
          <w:b/>
          <w:lang w:val="en-US"/>
        </w:rPr>
        <w:t>Strategic Decision Making in the 3D Printing Industry – A Robust Decision Making (RDM) Analysis</w:t>
      </w:r>
    </w:p>
    <w:p w:rsidR="006E3B91" w:rsidRPr="00892605" w:rsidRDefault="006E3B91" w:rsidP="00F86D61">
      <w:pPr>
        <w:pStyle w:val="Newparagraph"/>
        <w:jc w:val="center"/>
        <w:rPr>
          <w:lang w:val="pt-BR"/>
        </w:rPr>
      </w:pPr>
      <w:r w:rsidRPr="00892605">
        <w:rPr>
          <w:lang w:val="pt-BR"/>
        </w:rPr>
        <w:t>Pedro Nascimento de Lima</w:t>
      </w:r>
      <w:r w:rsidR="00E55B46">
        <w:rPr>
          <w:lang w:val="pt-BR"/>
        </w:rPr>
        <w:t xml:space="preserve"> – pedrolima.n@gmail.com</w:t>
      </w:r>
    </w:p>
    <w:p w:rsidR="006E3B91" w:rsidRPr="00892605" w:rsidRDefault="006E3B91" w:rsidP="00F86D61">
      <w:pPr>
        <w:pStyle w:val="Newparagraph"/>
        <w:jc w:val="center"/>
        <w:rPr>
          <w:lang w:val="pt-BR"/>
        </w:rPr>
      </w:pPr>
      <w:r w:rsidRPr="00892605">
        <w:rPr>
          <w:lang w:val="pt-BR"/>
        </w:rPr>
        <w:t>Daniel Pacheco Lacerda</w:t>
      </w:r>
      <w:r w:rsidR="00E55B46">
        <w:rPr>
          <w:lang w:val="pt-BR"/>
        </w:rPr>
        <w:t xml:space="preserve"> – dlacerda@unisinos.br</w:t>
      </w:r>
    </w:p>
    <w:p w:rsidR="006E3B91" w:rsidRDefault="006E3B91" w:rsidP="00F86D61">
      <w:pPr>
        <w:pStyle w:val="Newparagraph"/>
        <w:jc w:val="center"/>
        <w:rPr>
          <w:lang w:val="pt-BR"/>
        </w:rPr>
      </w:pPr>
      <w:r w:rsidRPr="00892605">
        <w:rPr>
          <w:lang w:val="pt-BR"/>
        </w:rPr>
        <w:t>Maria Isabel Wolf Motta Morandi</w:t>
      </w:r>
      <w:r w:rsidR="00E55B46">
        <w:rPr>
          <w:lang w:val="pt-BR"/>
        </w:rPr>
        <w:t xml:space="preserve"> – mmorandi@unisinos.br</w:t>
      </w:r>
      <w:bookmarkStart w:id="4" w:name="_GoBack"/>
      <w:bookmarkEnd w:id="4"/>
    </w:p>
    <w:p w:rsidR="00892605" w:rsidRDefault="00892605" w:rsidP="00892605">
      <w:pPr>
        <w:pStyle w:val="Newparagraph"/>
        <w:jc w:val="center"/>
        <w:rPr>
          <w:lang w:val="pt-BR"/>
        </w:rPr>
      </w:pPr>
      <w:r w:rsidRPr="00892605">
        <w:rPr>
          <w:lang w:val="pt-BR"/>
        </w:rPr>
        <w:t>UNISINOS - Universidade do Vale do Rio dos Sinos (GMAP | UNISINOS - Grupo de</w:t>
      </w:r>
      <w:r>
        <w:rPr>
          <w:lang w:val="pt-BR"/>
        </w:rPr>
        <w:t xml:space="preserve"> </w:t>
      </w:r>
      <w:r w:rsidRPr="00892605">
        <w:rPr>
          <w:lang w:val="pt-BR"/>
        </w:rPr>
        <w:t>Pesquisa em Modelagem para Aprendizagem</w:t>
      </w:r>
      <w:proofErr w:type="gramStart"/>
      <w:r w:rsidRPr="00892605">
        <w:rPr>
          <w:lang w:val="pt-BR"/>
        </w:rPr>
        <w:t xml:space="preserve">), </w:t>
      </w:r>
      <w:r>
        <w:rPr>
          <w:lang w:val="pt-BR"/>
        </w:rPr>
        <w:t xml:space="preserve"> </w:t>
      </w:r>
      <w:r w:rsidRPr="00892605">
        <w:rPr>
          <w:lang w:val="pt-BR"/>
        </w:rPr>
        <w:t>93022750</w:t>
      </w:r>
      <w:proofErr w:type="gramEnd"/>
      <w:r w:rsidRPr="00892605">
        <w:rPr>
          <w:lang w:val="pt-BR"/>
        </w:rPr>
        <w:t xml:space="preserve"> São Leopoldo - Rio Grande do Sul, Brasil</w:t>
      </w:r>
    </w:p>
    <w:p w:rsidR="00892605" w:rsidRPr="00892605" w:rsidRDefault="00892605" w:rsidP="00F86D61">
      <w:pPr>
        <w:pStyle w:val="Newparagraph"/>
        <w:jc w:val="center"/>
        <w:rPr>
          <w:lang w:val="pt-BR"/>
        </w:rPr>
      </w:pPr>
      <w:r>
        <w:rPr>
          <w:lang w:val="pt-BR"/>
        </w:rPr>
        <w:t>.</w:t>
      </w:r>
    </w:p>
    <w:p w:rsidR="00357EAF" w:rsidRPr="00BD5910" w:rsidRDefault="0048537D" w:rsidP="00BD5910">
      <w:pPr>
        <w:rPr>
          <w:i/>
        </w:rPr>
      </w:pPr>
      <w:r>
        <w:rPr>
          <w:b/>
        </w:rPr>
        <w:t>Resumo</w:t>
      </w:r>
      <w:r w:rsidRPr="0043027E">
        <w:rPr>
          <w:b/>
        </w:rPr>
        <w:t>:</w:t>
      </w:r>
      <w:r>
        <w:t xml:space="preserve"> </w:t>
      </w:r>
      <w:r w:rsidR="00980D39">
        <w:t xml:space="preserve"> </w:t>
      </w:r>
      <w:r w:rsidR="00BD5910" w:rsidRPr="00BD5910">
        <w:rPr>
          <w:i/>
        </w:rPr>
        <w:t xml:space="preserve">A avaliação de decisões estratégicas em condições de profunda incerteza é um desafio significativo para as organizações. Tais condições de incerteza frequentemente ocorrem em mercados nascentes, onde há alta incerteza relacionada ao processo de difusão de um novo produto. Na Indústria da Manufatura Aditiva, enquanto alguns especialistas estimam que a indústria pode chegar a faturar 21 bilhões de dólares em 2020, outros estimam que este mercado pode valer até 550 bilhões até 2025. Esta pesquisa emprega a simulação computacional de dinâmica de sistemas utilizando o método Robust Decision Making (RDM) para avaliar decisões estratégicas de fabricantes de sistemas de impressão 3D profissional. </w:t>
      </w:r>
      <w:r w:rsidR="00BD5910">
        <w:rPr>
          <w:i/>
        </w:rPr>
        <w:t>A</w:t>
      </w:r>
      <w:r w:rsidR="00BD5910" w:rsidRPr="00BD5910">
        <w:rPr>
          <w:i/>
        </w:rPr>
        <w:t xml:space="preserve"> robustez d</w:t>
      </w:r>
      <w:r w:rsidR="00BD5910">
        <w:rPr>
          <w:i/>
        </w:rPr>
        <w:t>e 54</w:t>
      </w:r>
      <w:r w:rsidR="00BD5910" w:rsidRPr="00BD5910">
        <w:rPr>
          <w:i/>
        </w:rPr>
        <w:t xml:space="preserve"> estratégias avaliadas é </w:t>
      </w:r>
      <w:r w:rsidR="00BD5910">
        <w:rPr>
          <w:i/>
        </w:rPr>
        <w:t>avaliada</w:t>
      </w:r>
      <w:r w:rsidR="00BD5910" w:rsidRPr="00BD5910">
        <w:rPr>
          <w:i/>
        </w:rPr>
        <w:t>, e as vulnerabilidades da estratégia mais robusta localizada são examinadas utilizando técnicas estatísticas. Os resultados da simulação sugerem que fabricantes de sistemas de impressão 3D profissional deveriam perseguir uma estratégia de dominação do mercado agressiva, com um modelo de Pesquisa e Desenvolvimento e proteção intelectual fechado. Finalmente, o trabalho discute implicações gerenciais e teóricas relacionadas à avaliação de decisões estratégicas em condições de incerteza profunda.</w:t>
      </w:r>
    </w:p>
    <w:p w:rsidR="008A05A3" w:rsidRPr="005F3D11" w:rsidRDefault="00DD5902" w:rsidP="00F86D61">
      <w:r w:rsidRPr="0043027E">
        <w:rPr>
          <w:b/>
        </w:rPr>
        <w:t>Palavras-chave:</w:t>
      </w:r>
      <w:r>
        <w:t xml:space="preserve"> </w:t>
      </w:r>
      <w:r w:rsidR="00BD5910" w:rsidRPr="00BD5910">
        <w:t>Avaliação de Decisões Estratégicas. Difusão de Novos Produtos. Manufatura Aditiva. Robust Decision Making.</w:t>
      </w:r>
    </w:p>
    <w:bookmarkEnd w:id="0"/>
    <w:bookmarkEnd w:id="1"/>
    <w:bookmarkEnd w:id="2"/>
    <w:bookmarkEnd w:id="3"/>
    <w:p w:rsidR="00CF2481" w:rsidRDefault="008F3E13" w:rsidP="00205E33">
      <w:pPr>
        <w:pStyle w:val="Ttulo1"/>
      </w:pPr>
      <w:r>
        <w:lastRenderedPageBreak/>
        <w:t>INTRODUÇÃO</w:t>
      </w:r>
    </w:p>
    <w:p w:rsidR="00BD5910" w:rsidRDefault="00BD5910" w:rsidP="007C1AB5">
      <w:r>
        <w:t xml:space="preserve">Uma decisão, em sua forma mais simples, pode ser considerada uma ação instantânea, uma escolha feita entre duas ou mais alternativas por um grupo ou indivíduo. </w:t>
      </w:r>
      <w:r>
        <w:fldChar w:fldCharType="begin" w:fldLock="1"/>
      </w:r>
      <w:r w:rsidR="00024DAB">
        <w:instrText>ADDIN CSL_CITATION { "citationItems" : [ { "id" : "ITEM-1", "itemData" : { "DOI" : "10.1108/09596111111129977", "ISBN" : "9780077645069", "ISSN" : "0959-6119", "PMID" : "121463", "author" : [ { "dropping-particle" : "", "family" : "Wilson", "given" : "David", "non-dropping-particle" : "", "parse-names" : false, "suffix" : "" } ], "container-title" : "Wiley Encyclopedia of Management", "id" : "ITEM-1", "issued" : { "date-parts" : [ [ "2015" ] ] }, "page" : "12:1-4", "title" : "Strategic Decision Making", "type" : "chapter" }, "uris" : [ "http://www.mendeley.com/documents/?uuid=29815124-a06b-42f1-9a0a-c76cb644504c" ] } ], "mendeley" : { "formattedCitation" : "(Wilson, 2015)", "plainTextFormattedCitation" : "(Wilson, 2015)", "previouslyFormattedCitation" : "(Wilson, 2015)" }, "properties" : {  }, "schema" : "https://github.com/citation-style-language/schema/raw/master/csl-citation.json" }</w:instrText>
      </w:r>
      <w:r>
        <w:fldChar w:fldCharType="separate"/>
      </w:r>
      <w:r w:rsidR="00B34C64" w:rsidRPr="00B34C64">
        <w:rPr>
          <w:noProof/>
        </w:rPr>
        <w:t>(Wilson, 2015)</w:t>
      </w:r>
      <w:r>
        <w:fldChar w:fldCharType="end"/>
      </w:r>
      <w:r>
        <w:t xml:space="preserve">. Uma decisão representa um comprometimento de recursos que não é reversível, exceto por uma outra decisão futura.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&amp; Gupta, 1973)", "plainTextFormattedCitation" : "(Rosenhead, Elton, &amp; Gupta, 1973)", "previouslyFormattedCitation" : "(Rosenhead, Elton, &amp; Gupta, 1973)" }, "properties" : {  }, "schema" : "https://github.com/citation-style-language/schema/raw/master/csl-citation.json" }</w:instrText>
      </w:r>
      <w:r>
        <w:fldChar w:fldCharType="separate"/>
      </w:r>
      <w:r w:rsidR="00B34C64" w:rsidRPr="00B34C64">
        <w:rPr>
          <w:noProof/>
        </w:rPr>
        <w:t>(Rosenhead, Elton, &amp; Gupta, 1973)</w:t>
      </w:r>
      <w:r>
        <w:fldChar w:fldCharType="end"/>
      </w:r>
      <w:r>
        <w:t xml:space="preserve">. </w:t>
      </w:r>
      <w:r w:rsidRPr="00937337">
        <w:t>A</w:t>
      </w:r>
      <w:r>
        <w:t>s Decisões Estratégicas</w:t>
      </w:r>
      <w:r w:rsidRPr="00937337">
        <w:t xml:space="preserve"> </w:t>
      </w:r>
      <w:r>
        <w:t>(</w:t>
      </w:r>
      <w:proofErr w:type="spellStart"/>
      <w:r w:rsidRPr="00B7483F">
        <w:rPr>
          <w:i/>
        </w:rPr>
        <w:t>Strategic</w:t>
      </w:r>
      <w:proofErr w:type="spellEnd"/>
      <w:r w:rsidRPr="00937337">
        <w:rPr>
          <w:i/>
        </w:rPr>
        <w:t xml:space="preserve"> Decision Making</w:t>
      </w:r>
      <w:r>
        <w:rPr>
          <w:i/>
        </w:rPr>
        <w:t xml:space="preserve"> – SDM</w:t>
      </w:r>
      <w:r>
        <w:t>) podem ser consideradas</w:t>
      </w:r>
      <w:r w:rsidRPr="00937337">
        <w:t xml:space="preserve"> </w:t>
      </w:r>
      <w:r>
        <w:t xml:space="preserve">como um aspecto central da estratégia de uma empresa, pois moldam o seu futuro. </w:t>
      </w:r>
      <w:r>
        <w:fldChar w:fldCharType="begin" w:fldLock="1"/>
      </w:r>
      <w:r w:rsidR="00024DAB">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"uris" : [ "http://www.mendeley.com/documents/?uuid=e313b4e0-a8ae-45d6-984f-b15be022f698" ] }, { "id" : "ITEM-2", "itemData" : { "DOI" : "10.1108/09596111111129977", "ISBN" : "9780077645069", "ISSN" : "0959-6119", "PMID" : "121463", "author" : [ { "dropping-particle" : "", "family" : "Wilson", "given" : "David", "non-dropping-particle" : "", "parse-names" : false, "suffix" : "" } ], "container-title" : "Wiley Encyclopedia of Management", "id" : "ITEM-2", "issued" : { "date-parts" : [ [ "2015" ] ] }, "page" : "12:1-4", "title" : "Strategic Decision Making", "type" : "chapter" }, "uris" : [ "http://www.mendeley.com/documents/?uuid=29815124-a06b-42f1-9a0a-c76cb644504c" ] } ], "mendeley" : { "formattedCitation" : "(Eisenhardt &amp; Zbaracki, 1992; Wilson, 2015)", "plainTextFormattedCitation" : "(Eisenhardt &amp; Zbaracki, 1992; Wilson, 2015)", "previouslyFormattedCitation" : "(Eisenhardt &amp; Zbaracki, 1992; Wilson, 2015)" }, "properties" : {  }, "schema" : "https://github.com/citation-style-language/schema/raw/master/csl-citation.json" }</w:instrText>
      </w:r>
      <w:r>
        <w:fldChar w:fldCharType="separate"/>
      </w:r>
      <w:r w:rsidR="00B34C64" w:rsidRPr="00B34C64">
        <w:rPr>
          <w:noProof/>
        </w:rPr>
        <w:t>(Eisenhardt &amp; Zbaracki, 1992; Wilson, 2015)</w:t>
      </w:r>
      <w:r>
        <w:fldChar w:fldCharType="end"/>
      </w:r>
      <w:r>
        <w:t xml:space="preserve">. </w:t>
      </w:r>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caracterizam as decisões estratégicas como importantes em termos das ações realizadas, recursos comprometidos ou pelos precedentes que define.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infrequentes, tomadas pelos líderes de uma organização, que  afetam criticamente a saúde da organização e sua sobrevivência.</w:t>
      </w:r>
    </w:p>
    <w:p w:rsidR="00BD5910" w:rsidRDefault="00BD5910" w:rsidP="007C1AB5">
      <w:r>
        <w:t xml:space="preserve">Um fator crítico e controverso em relação ao uso de processos formais para suporte à avaliação de decisões estratégicas é a incerteza. </w:t>
      </w:r>
      <w:r w:rsidR="004624C2">
        <w:rPr>
          <w:spacing w:val="-4"/>
        </w:rPr>
        <w:t>O</w:t>
      </w:r>
      <w:r>
        <w:rPr>
          <w:spacing w:val="-4"/>
        </w:rPr>
        <w:t xml:space="preserve"> risco denota a parte calculável e controlável de tudo que é desconhecido. A parcela do que não é conhecido e que não é controlável é a incerteza </w:t>
      </w:r>
      <w:r>
        <w:rPr>
          <w:spacing w:val="-4"/>
        </w:rPr>
        <w:fldChar w:fldCharType="begin" w:fldLock="1"/>
      </w:r>
      <w:r w:rsidR="00024DAB">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 "schema" : "https://github.com/citation-style-language/schema/raw/master/csl-citation.json" }</w:instrText>
      </w:r>
      <w:r>
        <w:rPr>
          <w:spacing w:val="-4"/>
        </w:rPr>
        <w:fldChar w:fldCharType="separate"/>
      </w:r>
      <w:r w:rsidR="00B34C64" w:rsidRPr="00B34C64">
        <w:rPr>
          <w:noProof/>
          <w:spacing w:val="-4"/>
        </w:rPr>
        <w:t>(Knight, 1921)</w:t>
      </w:r>
      <w:r>
        <w:rPr>
          <w:spacing w:val="-4"/>
        </w:rPr>
        <w:fldChar w:fldCharType="end"/>
      </w:r>
      <w:r>
        <w:rPr>
          <w:spacing w:val="-4"/>
        </w:rPr>
        <w:t>.</w:t>
      </w:r>
      <w:r>
        <w:t xml:space="preserve"> Enquanto os defensores do planejamento formal indicam que tais processos sejam mais importantes ainda em situações de incerteza </w:t>
      </w:r>
      <w:r>
        <w:fldChar w:fldCharType="begin" w:fldLock="1"/>
      </w:r>
      <w:r w:rsidR="00024DAB">
        <w:instrText>ADDIN CSL_CITATION { "citationItems" : [ { "id" : "ITEM-1", "itemData" : { "DOI" : "10.1002/smj.4250030303", "ISSN" : "01432095", "author" : [ { "dropping-particle" : "", "family" : "Armstrong", "given" : "J Scott", "non-dropping-particle" : "", "parse-names" : false, "suffix" : "" } ], "container-title" : "Strategic Management Journal", "id" : "ITEM-1", "issue" : "3", "issued" : { "date-parts" : [ [ "1982", "7" ] ] }, "page" : "197-211", "title" : "The value of formal planning for strategic decisions: Review of empirical research", "type" : "article-journal", "volume" : "3" }, "uris" : [ "http://www.mendeley.com/documents/?uuid=c78f9a1b-6336-4295-9baf-fdc0b1639f95" ] } ], "mendeley" : { "formattedCitation" : "(Armstrong, 1982)", "plainTextFormattedCitation" : "(Armstrong, 1982)", "previouslyFormattedCitation" : "(Armstrong, 1982)" }, "properties" : {  }, "schema" : "https://github.com/citation-style-language/schema/raw/master/csl-citation.json" }</w:instrText>
      </w:r>
      <w:r>
        <w:fldChar w:fldCharType="separate"/>
      </w:r>
      <w:r w:rsidR="00B34C64" w:rsidRPr="00B34C64">
        <w:rPr>
          <w:noProof/>
        </w:rPr>
        <w:t>(Armstrong, 1982)</w:t>
      </w:r>
      <w:r>
        <w:fldChar w:fldCharType="end"/>
      </w:r>
      <w:r>
        <w:t xml:space="preserve">, e haja evidências empíricas que suportem esta proposição </w:t>
      </w:r>
      <w:r>
        <w:fldChar w:fldCharType="begin" w:fldLock="1"/>
      </w:r>
      <w:r w:rsidR="00024DAB">
        <w:instrText>ADDIN CSL_CITATION { "citationItems" : [ { "id" : "ITEM-1", "itemData" : { "DOI" : "10.2307/256784", "ISBN" : "0001-4273", "ISSN" : "00014273", "PMID" : "5", "abstract" : "This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 "author" : [ { "dropping-particle" : "", "family" : "Dean", "given" : "James W.", "non-dropping-particle" : "", "parse-names" : false, "suffix" : "" }, { "dropping-particle" : "", "family" : "Sharfman", "given" : "Mark P.", "non-dropping-particle" : "", "parse-names" : false, "suffix" : "" } ], "container-title" : "Academy of Management Journal", "id" : "ITEM-1", "issue" : "2", "issued" : { "date-parts" : [ [ "1996" ] ] }, "page" : "368-396", "title" : "Does decision process matter? A study of strategic decision-making effectiveness", "type" : "article-journal", "volume" : "39" }, "uris" : [ "http://www.mendeley.com/documents/?uuid=f1edcbfa-1305-4bc7-8f5b-232e2364e7fc" ] } ], "mendeley" : { "formattedCitation" : "(Dean &amp; Sharfman, 1996)", "plainTextFormattedCitation" : "(Dean &amp; Sharfman, 1996)", "previouslyFormattedCitation" : "(Dean &amp; Sharfman, 1996)" }, "properties" : {  }, "schema" : "https://github.com/citation-style-language/schema/raw/master/csl-citation.json" }</w:instrText>
      </w:r>
      <w:r>
        <w:fldChar w:fldCharType="separate"/>
      </w:r>
      <w:r w:rsidR="00B34C64" w:rsidRPr="00B34C64">
        <w:rPr>
          <w:noProof/>
        </w:rPr>
        <w:t>(Dean &amp; Sharfman, 1996)</w:t>
      </w:r>
      <w:r>
        <w:fldChar w:fldCharType="end"/>
      </w:r>
      <w:r>
        <w:t xml:space="preserve">, há também argumentos contrários. </w:t>
      </w:r>
      <w:proofErr w:type="spellStart"/>
      <w:r>
        <w:t>Hough</w:t>
      </w:r>
      <w:proofErr w:type="spellEnd"/>
      <w:r>
        <w:t xml:space="preserve"> e White </w:t>
      </w:r>
      <w:r>
        <w:fldChar w:fldCharType="begin" w:fldLock="1"/>
      </w:r>
      <w:r>
        <w:instrText>ADDIN CSL_CITATION { "citationItems" : [ { "id" : "ITEM-1", "itemData" : { "DOI" : "10.1002/smj.303", "ISBN" : "0143-2095", "ISSN" : "01432095", "PMID" : "9515884", "abstract" : "Several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 "author" : [ { "dropping-particle" : "", "family" : "Hough", "given" : "Jill R.", "non-dropping-particle" : "", "parse-names" : false, "suffix" : "" }, { "dropping-particle" : "", "family" : "White", "given" : "Margaret A.", "non-dropping-particle" : "", "parse-names" : false, "suffix" : "" } ], "container-title" : "Strategic Management Journal", "id" : "ITEM-1", "issue" : "5", "issued" : { "date-parts" : [ [ "2003" ] ] }, "page" : "481-489", "title" : "Environmental dynamism and strategic decision-making rationality: An examination at the decision level", "type" : "article-journal", "volume" : "24" }, "suppress-author" : 1, "uris" : [ "http://www.mendeley.com/documents/?uuid=4ad34691-6c0b-4eea-b04d-b124c33dc84c" ] } ], "mendeley" : { "formattedCitation" : "(2003)", "plainTextFormattedCitation" : "(2003)", "previouslyFormattedCitation" : "(2003)" }, "properties" : {  }, "schema" : "https://github.com/citation-style-language/schema/raw/master/csl-citation.json" }</w:instrText>
      </w:r>
      <w:r>
        <w:fldChar w:fldCharType="separate"/>
      </w:r>
      <w:r w:rsidRPr="00764B97">
        <w:rPr>
          <w:noProof/>
        </w:rPr>
        <w:t>(2003)</w:t>
      </w:r>
      <w:r>
        <w:fldChar w:fldCharType="end"/>
      </w:r>
      <w:r>
        <w:t xml:space="preserve"> encontraram evidências controversas no nível da decisão, de modo que o “dinamismo do ambiente” foi apontado como um fator que limitou a utilidade dos processos racionais de decisão.</w:t>
      </w:r>
    </w:p>
    <w:p w:rsidR="00BD5910" w:rsidRDefault="008F3E13" w:rsidP="00BD5910">
      <w:r>
        <w:t>Este</w:t>
      </w:r>
      <w:r w:rsidR="00BD5910">
        <w:t xml:space="preserv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00BD5910">
        <w:fldChar w:fldCharType="begin" w:fldLock="1"/>
      </w:r>
      <w:r w:rsidR="00024DAB">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rsidR="00BD5910">
        <w:fldChar w:fldCharType="separate"/>
      </w:r>
      <w:r w:rsidR="00B34C64" w:rsidRPr="00B34C64">
        <w:rPr>
          <w:noProof/>
        </w:rPr>
        <w:t>(Bass, 1969)</w:t>
      </w:r>
      <w:r w:rsidR="00BD5910">
        <w:fldChar w:fldCharType="end"/>
      </w:r>
      <w:r w:rsidR="00BD5910">
        <w:t>. Como contexto de aplicação, este trabalho lança sua atenção à indústria da manufatura aditiva, especificamente às impressoras 3D profissionais.</w:t>
      </w:r>
    </w:p>
    <w:p w:rsidR="00BD5910" w:rsidRDefault="00BD5910" w:rsidP="00BD5910">
      <w:r>
        <w:t xml:space="preserve"> O crescimento acentuado da indústria da manufatura aditiva é um fenômeno altamente relevante, em especial no âmbito da Engenharia de Produção. A indústria que cresceu a uma taxa anual de 26,2% ao ano </w:t>
      </w:r>
      <w:r>
        <w:fldChar w:fldCharType="begin" w:fldLock="1"/>
      </w:r>
      <w:r w:rsidR="00024DAB">
        <w:instrText>ADDIN CSL_CITATION { "citationItems" : [ { "id" : "ITEM-1", "itemData" : { "ISBN" : "0991333225", "author" : [ { "dropping-particle" : "", "family" : "Caffrey", "given" : "Tim", "non-dropping-particle" : "", "parse-names" : false, "suffix" : "" }, { "dropping-particle" : "", "family" : "Wohlers", "given" : "Terry", "non-dropping-particle" : "", "parse-names" : false, "suffix" : "" }, { "dropping-particle" : "", "family" : "Campbell", "given" : "R.I.", "non-dropping-particle" : "", "parse-names" : false, "suffix" : "" } ], "id" : "ITEM-1", "issued" : { "date-parts" : [ [ "2016" ] ] }, "number-of-pages" : "1-10", "publisher-place" : "Fort Collins, Colorado", "title" : "Executive summary of the Wohlers Report 2016", "type" : "report" }, "uris" : [ "http://www.mendeley.com/documents/?uuid=3a3134c1-3459-48e9-bf59-475b8f56ddc1" ] } ], "mendeley" : { "formattedCitation" : "(Caffrey, Wohlers, &amp; Campbell, 2016)", "plainTextFormattedCitation" : "(Caffrey, Wohlers, &amp; Campbell, 2016)", "previouslyFormattedCitation" : "(Caffrey, Wohlers, &amp; Campbell, 2016)" }, "properties" : {  }, "schema" : "https://github.com/citation-style-language/schema/raw/master/csl-citation.json" }</w:instrText>
      </w:r>
      <w:r>
        <w:fldChar w:fldCharType="separate"/>
      </w:r>
      <w:r w:rsidR="00B34C64" w:rsidRPr="00B34C64">
        <w:rPr>
          <w:noProof/>
        </w:rPr>
        <w:t>(Caffrey, Wohlers, &amp; Campbell, 2016)</w:t>
      </w:r>
      <w:r>
        <w:fldChar w:fldCharType="end"/>
      </w:r>
      <w:r>
        <w:t xml:space="preserve"> nos últimos 27 anos tem o potencial de reconfigurar cadeias de suprimentos </w:t>
      </w:r>
      <w:r>
        <w:fldChar w:fldCharType="begin" w:fldLock="1"/>
      </w:r>
      <w:r w:rsidR="00024DAB">
        <w:instrText>ADDIN CSL_CITATION { "citationItems" : [ { "id" : "ITEM-1", "itemData" : { "ISSN" : "21526877", "abstract" : "This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 "author" : [ { "dropping-particle" : "", "family" : "Ford", "given" : "Sharon L N", "non-dropping-particle" : "", "parse-names" : false, "suffix" : "" } ], "container-title" : "Journal of International Commerce &amp; Economics", "id" : "ITEM-1", "issued" : { "date-parts" : [ [ "2014", "9" ] ] }, "page" : "1-35", "publisher" : "U.S. International Trade Commission, Office of Industries", "title" : "Additive Manufacturing Technology: Potential Implications for U.S. Manufacturing Competitiveness.", "type" : "article-journal" }, "uris" : [ "http://www.mendeley.com/documents/?uuid=c180b1ac-409d-48ea-a514-e3d1717e0190" ] } ], "mendeley" : { "formattedCitation" : "(Ford, 2014)", "plainTextFormattedCitation" : "(Ford, 2014)", "previouslyFormattedCitation" : "(Ford, 2014)" }, "properties" : {  }, "schema" : "https://github.com/citation-style-language/schema/raw/master/csl-citation.json" }</w:instrText>
      </w:r>
      <w:r>
        <w:fldChar w:fldCharType="separate"/>
      </w:r>
      <w:r w:rsidR="00B34C64" w:rsidRPr="00B34C64">
        <w:rPr>
          <w:noProof/>
        </w:rPr>
        <w:t>(Ford, 2014)</w:t>
      </w:r>
      <w:r>
        <w:fldChar w:fldCharType="end"/>
      </w:r>
      <w:r>
        <w:t xml:space="preserve">, reduzir o tempo de desenvolvimento de produtos </w:t>
      </w:r>
      <w:r>
        <w:fldChar w:fldCharType="begin" w:fldLock="1"/>
      </w:r>
      <w:r w:rsidR="00024DAB">
        <w:instrText>ADDIN CSL_CITATION { "citationItems" : [ { "id" : "ITEM-1", "itemData" : { "ISSN" : "00076813", "abstract" : "Abstract: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 "author" : [ { "dropping-particle" : "", "family" : "Berman", "given" : "Barry", "non-dropping-particle" : "", "parse-names" : false, "suffix" : "" } ], "container-title" : "Business Horizons", "id" : "ITEM-1", "issue" : "2", "issued" : { "date-parts" : [ [ "2012", "3" ] ] }, "page" : "155-162", "title" : "3-D printing: The new industrial revolution.", "type" : "article-journal", "volume" : "55" }, "uris" : [ "http://www.mendeley.com/documents/?uuid=6b180b16-5d4b-4a9d-89bb-cf33848555f8" ] } ], "mendeley" : { "formattedCitation" : "(Berman, 2012)", "plainTextFormattedCitation" : "(Berman, 2012)", "previouslyFormattedCitation" : "(Berman, 2012)" }, "properties" : {  }, "schema" : "https://github.com/citation-style-language/schema/raw/master/csl-citation.json" }</w:instrText>
      </w:r>
      <w:r>
        <w:fldChar w:fldCharType="separate"/>
      </w:r>
      <w:r w:rsidR="00B34C64" w:rsidRPr="00B34C64">
        <w:rPr>
          <w:noProof/>
        </w:rPr>
        <w:t>(Berman, 2012)</w:t>
      </w:r>
      <w:r>
        <w:fldChar w:fldCharType="end"/>
      </w:r>
      <w:r>
        <w:t xml:space="preserve"> e permitir a manufatura de componentes de alta </w:t>
      </w:r>
      <w:r>
        <w:lastRenderedPageBreak/>
        <w:t xml:space="preserve">complexidade </w:t>
      </w:r>
      <w:r>
        <w:fldChar w:fldCharType="begin" w:fldLock="1"/>
      </w:r>
      <w:r w:rsidR="00024DAB">
        <w:instrText>ADDIN CSL_CITATION { "citationItems" : [ { "id" : "ITEM-1", "itemData" : { "DOI" : "10.1080/00207543.2015.1115909", "ISBN" : "0020-7543", "ISSN" : "0020-7543", "abstract" : "The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 "author" : [ { "dropping-particle" : "", "family" : "Gardan", "given" : "Julien", "non-dropping-particle" : "", "parse-names" : false, "suffix" : "" } ], "container-title" : "International Journal of Production Research", "id" : "ITEM-1", "issue" : "August", "issued" : { "date-parts" : [ [ "2015" ] ] }, "page" : "1-15", "title" : "Additive manufacturing technologies: state of the art and trends", "type" : "article-journal", "volume" : "7543" }, "uris" : [ "http://www.mendeley.com/documents/?uuid=71b2ee31-8466-4565-bb5f-ca6e48983988" ] } ], "mendeley" : { "formattedCitation" : "(Gardan, 2015)", "plainTextFormattedCitation" : "(Gardan, 2015)", "previouslyFormattedCitation" : "(Gardan, 2015)" }, "properties" : {  }, "schema" : "https://github.com/citation-style-language/schema/raw/master/csl-citation.json" }</w:instrText>
      </w:r>
      <w:r>
        <w:fldChar w:fldCharType="separate"/>
      </w:r>
      <w:r w:rsidR="00B34C64" w:rsidRPr="00B34C64">
        <w:rPr>
          <w:noProof/>
        </w:rPr>
        <w:t>(Gardan, 2015)</w:t>
      </w:r>
      <w:r>
        <w:fldChar w:fldCharType="end"/>
      </w:r>
      <w:r>
        <w:t>. Ao considerar as potencialidades desta nova classe de sistemas de fabricação, os players fabricantes de sistemas de impressão 3D, em princípio, não teriam motivos para preocuparem-se com os prospectos de crescimento de sua demanda.</w:t>
      </w:r>
    </w:p>
    <w:p w:rsidR="00BD5910" w:rsidRDefault="00BD5910" w:rsidP="00BD5910">
      <w:r>
        <w:t xml:space="preserve">Não obstante, sob o ponto de vista dos fabricantes de sistemas de impressão 3D, o ambiente competitivo desta indústria é altamente incerto e desafiador. </w:t>
      </w:r>
      <w:r w:rsidR="008F3E13">
        <w:t>A incerteza nesta indústria é</w:t>
      </w:r>
      <w:r>
        <w:t xml:space="preserve"> evidenciad</w:t>
      </w:r>
      <w:r w:rsidR="008F3E13">
        <w:t>a</w:t>
      </w:r>
      <w:r>
        <w:t xml:space="preserve"> </w:t>
      </w:r>
      <w:r w:rsidR="008F3E13">
        <w:t>pela</w:t>
      </w:r>
      <w:r>
        <w:t xml:space="preserve"> diferença de estimativas que especialistas de mercado realizam a respeito do impacto desta indústria. Enquanto algumas estimativas apontam que a indústria pode gerar de 230 bilhões a 550 bilhões por ano em 2025 </w:t>
      </w:r>
      <w:r>
        <w:fldChar w:fldCharType="begin" w:fldLock="1"/>
      </w:r>
      <w:r w:rsidR="00024DAB">
        <w:instrText>ADDIN CSL_CITATION { "citationItems" : [ { "id" : "ITEM-1", "itemData" : { "DOI" : "10.1016/J.ENG.2017.05.015", "ISBN" : "4861665337", "ISSN" : "24058963", "abstract" : "The relentless parade of new technologies is unfolding on many fronts. Almost every advance is billed as a breakthrough, and the list of \u201cnext big things\u201d grows ever longer. Not every emerging technology will alter the business or social landscape\u2014but some truly do have the potential to disrupt the status quo, alter the way people live and work, and rearrange value pools. It is therefore critical that business and policy leaders understand which technologies will matter to them and prepare accordingly.", "author" : [ { "dropping-particle" : "", "family" : "McKinsey Global Institute", "given" : "", "non-dropping-particle" : "", "parse-names" : false, "suffix" : "" } ], "container-title" : "McKinsey Global Insitute", "id" : "ITEM-1", "issue" : "May", "issued" : { "date-parts" : [ [ "2013" ] ] }, "page" : "163", "title" : "Disruptive technologies: Advances that will transform life, business, and the global economy", "type" : "article-journal" }, "locator" : "110", "uris" : [ "http://www.mendeley.com/documents/?uuid=8398f412-7849-48cd-ad57-338688d3c322" ] } ], "mendeley" : { "formattedCitation" : "(McKinsey Global Institute, 2013, p. 110)", "plainTextFormattedCitation" : "(McKinsey Global Institute, 2013, p. 110)", "previouslyFormattedCitation" : "(McKinsey Global Institute, 2013, p. 110)" }, "properties" : {  }, "schema" : "https://github.com/citation-style-language/schema/raw/master/csl-citation.json" }</w:instrText>
      </w:r>
      <w:r>
        <w:fldChar w:fldCharType="separate"/>
      </w:r>
      <w:r w:rsidR="00B34C64" w:rsidRPr="00B34C64">
        <w:rPr>
          <w:noProof/>
        </w:rPr>
        <w:t>(McKinsey Global Institute, 2013, p. 110)</w:t>
      </w:r>
      <w:r>
        <w:fldChar w:fldCharType="end"/>
      </w:r>
      <w:r>
        <w:t xml:space="preserve">, outras estimativas conservadoras sugerem que o mercado pode chegar a 21 bilhões em 2020 </w:t>
      </w:r>
      <w:r>
        <w:fldChar w:fldCharType="begin" w:fldLock="1"/>
      </w:r>
      <w:r w:rsidR="00024DAB">
        <w:instrText>ADDIN CSL_CITATION { "citationItems" : [ { "id" : "ITEM-1", "itemData" : { "DOI" : "10.1016/S0733-8619(03)00096-3", "ISBN" : "1359-7345", "ISSN" : "07338619", "PMID" : "24239943", "URL" : "http://wohlersassociates.com/press71.html", "accessed" : { "date-parts" : [ [ "2017", "12", "12" ] ] }, "author" : [ { "dropping-particle" : "", "family" : "Wohlers Associates", "given" : "", "non-dropping-particle" : "", "parse-names" : false, "suffix" : "" } ], "id" : "ITEM-1", "issued" : { "date-parts" : [ [ "2016" ] ] }, "title" : "Wohlers Report 2016 Published: Additive Manufacturing Industry Surpassed 5.1 Billion", "type" : "webpage" }, "uris" : [ "http://www.mendeley.com/documents/?uuid=75636ff8-35ed-4a9c-9347-3a46e111cc7d" ] } ], "mendeley" : { "formattedCitation" : "(Wohlers Associates, 2016)", "plainTextFormattedCitation" : "(Wohlers Associates, 2016)", "previouslyFormattedCitation" : "(Wohlers Associates, 2016)" }, "properties" : {  }, "schema" : "https://github.com/citation-style-language/schema/raw/master/csl-citation.json" }</w:instrText>
      </w:r>
      <w:r>
        <w:fldChar w:fldCharType="separate"/>
      </w:r>
      <w:r w:rsidR="00B34C64" w:rsidRPr="00B34C64">
        <w:rPr>
          <w:noProof/>
        </w:rPr>
        <w:t>(Wohlers Associates, 2016)</w:t>
      </w:r>
      <w:r>
        <w:fldChar w:fldCharType="end"/>
      </w:r>
      <w:r>
        <w:t xml:space="preserve">. </w:t>
      </w:r>
    </w:p>
    <w:p w:rsidR="00BD5910" w:rsidRPr="004624C2" w:rsidRDefault="00BD5910" w:rsidP="004624C2">
      <w:pPr>
        <w:rPr>
          <w:spacing w:val="-4"/>
        </w:rPr>
      </w:pPr>
      <w:r>
        <w:t xml:space="preserve">Diante das implicações da incerteza para a avaliação de decisões estratégicas, diversos acadêmicos procuraram argumentar pela adoção do critério de robustez para a tomada de decisões estratégicas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00B34C64" w:rsidRPr="00B34C64">
        <w:rPr>
          <w:noProof/>
        </w:rPr>
        <w:t>(Rosenhead et al., 1973)</w:t>
      </w:r>
      <w:r>
        <w:fldChar w:fldCharType="end"/>
      </w:r>
      <w:r>
        <w:t xml:space="preserve">, pela flexibilidade das decisões estratégicas </w:t>
      </w:r>
      <w:r>
        <w:fldChar w:fldCharType="begin" w:fldLock="1"/>
      </w:r>
      <w:r w:rsidR="00024DAB">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&amp; Hitt, 2004)", "plainTextFormattedCitation" : "(Shimizu &amp; Hitt, 2004)", "previouslyFormattedCitation" : "(Shimizu &amp; Hitt, 2004)" }, "properties" : {  }, "schema" : "https://github.com/citation-style-language/schema/raw/master/csl-citation.json" }</w:instrText>
      </w:r>
      <w:r>
        <w:fldChar w:fldCharType="separate"/>
      </w:r>
      <w:r w:rsidR="00B34C64" w:rsidRPr="00B34C64">
        <w:rPr>
          <w:noProof/>
        </w:rPr>
        <w:t>(Shimizu &amp; Hitt, 2004)</w:t>
      </w:r>
      <w:r>
        <w:fldChar w:fldCharType="end"/>
      </w:r>
      <w:r>
        <w:t xml:space="preserve">, ou por “estratégias não-preditivas” </w:t>
      </w:r>
      <w:r>
        <w:fldChar w:fldCharType="begin" w:fldLock="1"/>
      </w:r>
      <w:r w:rsidR="00024DAB">
        <w:instrText>ADDIN CSL_CITATION { "citationItems" : [ { "id" : "ITEM-1", "itemData" : { "DOI" : "10.1002/smj.555", "ISBN" : "1097-0266", "ISSN" : "0143-2095", "PMID" : "31767271", "abstract" : "Two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firm\u2019s continual efforts to innovate", "author" : [ { "dropping-particle" : "", "family" : "Wiltbank", "given" : "Robert", "non-dropping-particle" : "", "parse-names" : false, "suffix" : "" }, { "dropping-particle" : "", "family" : "Dew", "given" : "Nicholas", "non-dropping-particle" : "", "parse-names" : false, "suffix" : "" }, { "dropping-particle" : "", "family" : "Read", "given" : "Stuart", "non-dropping-particle" : "", "parse-names" : false, "suffix" : "" }, { "dropping-particle" : "", "family" : "Sarasvathy", "given" : "Saras D.", "non-dropping-particle" : "", "parse-names" : false, "suffix" : "" } ], "container-title" : "Strategic Management Journal", "id" : "ITEM-1", "issue" : "10", "issued" : { "date-parts" : [ [ "2006", "10" ] ] }, "page" : "981-998", "title" : "What to do next? The case for non-predictive strategy", "type" : "article-journal", "volume" : "27" }, "uris" : [ "http://www.mendeley.com/documents/?uuid=c44fa77a-c7df-492b-ba37-d36be8061650" ] } ], "mendeley" : { "formattedCitation" : "(Wiltbank, Dew, Read, &amp; Sarasvathy, 2006)", "plainTextFormattedCitation" : "(Wiltbank, Dew, Read, &amp; Sarasvathy, 2006)", "previouslyFormattedCitation" : "(Wiltbank, Dew, Read, &amp; Sarasvathy, 2006)" }, "properties" : {  }, "schema" : "https://github.com/citation-style-language/schema/raw/master/csl-citation.json" }</w:instrText>
      </w:r>
      <w:r>
        <w:fldChar w:fldCharType="separate"/>
      </w:r>
      <w:r w:rsidR="00B34C64" w:rsidRPr="00B34C64">
        <w:rPr>
          <w:noProof/>
        </w:rPr>
        <w:t>(Wiltbank, Dew, Read, &amp; Sarasvathy, 2006)</w:t>
      </w:r>
      <w:r>
        <w:fldChar w:fldCharType="end"/>
      </w:r>
      <w:r>
        <w:t>.</w:t>
      </w:r>
      <w:r w:rsidR="004624C2">
        <w:rPr>
          <w:spacing w:val="-4"/>
        </w:rPr>
        <w:t xml:space="preserve"> </w:t>
      </w:r>
      <w:r>
        <w:rPr>
          <w:rFonts w:cs="Arial"/>
        </w:rPr>
        <w:t xml:space="preserve">O </w:t>
      </w:r>
      <w:r w:rsidR="004624C2">
        <w:rPr>
          <w:rFonts w:cs="Arial"/>
        </w:rPr>
        <w:t xml:space="preserve">método </w:t>
      </w:r>
      <w:r w:rsidR="004624C2" w:rsidRPr="004624C2">
        <w:rPr>
          <w:rFonts w:cs="Arial"/>
          <w:i/>
        </w:rPr>
        <w:t>Robust Decision Making</w:t>
      </w:r>
      <w:r w:rsidR="004624C2">
        <w:rPr>
          <w:rFonts w:cs="Arial"/>
        </w:rPr>
        <w:t xml:space="preserve"> </w:t>
      </w:r>
      <w:r>
        <w:rPr>
          <w:rFonts w:cs="Arial"/>
        </w:rPr>
        <w:t>foi concebido com</w:t>
      </w:r>
      <w:r w:rsidR="004624C2">
        <w:rPr>
          <w:rFonts w:cs="Arial"/>
        </w:rPr>
        <w:t xml:space="preserve"> o propósito de suportar a avaliação de decisões em condições de incerteza.</w:t>
      </w:r>
      <w:r>
        <w:rPr>
          <w:rFonts w:cs="Arial"/>
        </w:rPr>
        <w:t xml:space="preserve"> </w:t>
      </w:r>
      <w:r>
        <w:rPr>
          <w:rFonts w:cs="Arial"/>
        </w:rPr>
        <w:fldChar w:fldCharType="begin" w:fldLock="1"/>
      </w:r>
      <w:r w:rsidR="00024DAB">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Groves, Popper, &amp; Bankes, 2006, p. 527)", "plainTextFormattedCitation" : "(Lempert, Groves, Popper, &amp; Bankes, 2006, p. 527)", "previouslyFormattedCitation" : "(Lempert, Groves, Popper, &amp; Bankes, 2006, p. 527)" }, "properties" : {  }, "schema" : "https://github.com/citation-style-language/schema/raw/master/csl-citation.json" }</w:instrText>
      </w:r>
      <w:r>
        <w:rPr>
          <w:rFonts w:cs="Arial"/>
        </w:rPr>
        <w:fldChar w:fldCharType="separate"/>
      </w:r>
      <w:r w:rsidR="00B34C64" w:rsidRPr="00B34C64">
        <w:rPr>
          <w:rFonts w:cs="Arial"/>
          <w:noProof/>
        </w:rPr>
        <w:t>(Lempert, Groves, Popper, &amp; Bankes, 2006, p. 527)</w:t>
      </w:r>
      <w:r>
        <w:rPr>
          <w:rFonts w:cs="Arial"/>
        </w:rPr>
        <w:fldChar w:fldCharType="end"/>
      </w:r>
      <w:r>
        <w:rPr>
          <w:rFonts w:cs="Arial"/>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rsidR="00BD5910" w:rsidRDefault="00BD5910" w:rsidP="00BD5910">
      <w: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rsidR="009F078A" w:rsidRDefault="00BD5910" w:rsidP="008F3E13">
      <w:r>
        <w:t>O objetivo deste trabalho é a</w:t>
      </w:r>
      <w:r w:rsidRPr="00E715F6">
        <w:t>valiar a robustez de decisões estratégicas que suportam a difusão de produtos</w:t>
      </w:r>
      <w:r>
        <w:t xml:space="preserve"> na indústria da manufatura aditiva</w:t>
      </w:r>
      <w:r w:rsidR="008F3E13">
        <w:t>.</w:t>
      </w:r>
      <w:r w:rsidRPr="00DA267D">
        <w:t xml:space="preserve"> </w:t>
      </w:r>
      <w:r w:rsidR="008F3E13">
        <w:t xml:space="preserve"> </w:t>
      </w:r>
      <w:r w:rsidR="000B72F4">
        <w:t>Definido este objetivo, a seção seguinte resgata o background conceitual necessário para a condução do trabalho</w:t>
      </w:r>
      <w:r w:rsidR="00326AF6">
        <w:t>. Em seguida, decisões metodológicas são delineadas, definindo como método de pesquisa um estudo de caso único incorporado. Após isso, resultados são apresentados e implicações resultantes são discutidas. Finalmente, as contribuições e lim</w:t>
      </w:r>
      <w:r w:rsidR="00C35074">
        <w:t>itações do artigo são expostas.</w:t>
      </w:r>
    </w:p>
    <w:p w:rsidR="00C35074" w:rsidRDefault="00C35074" w:rsidP="007C1AB5"/>
    <w:p w:rsidR="009F078A" w:rsidRPr="00F0672C" w:rsidRDefault="00B34C64" w:rsidP="009F078A">
      <w:pPr>
        <w:pStyle w:val="Ttulo1"/>
      </w:pPr>
      <w:r>
        <w:t>FUNDAMENTAÇÃO TEÓRICA</w:t>
      </w:r>
    </w:p>
    <w:p w:rsidR="004A01B7" w:rsidRDefault="004A01B7" w:rsidP="004A01B7">
      <w:pPr>
        <w:pStyle w:val="Ttulo2"/>
      </w:pPr>
      <w:r w:rsidRPr="004A01B7">
        <w:t>Avaliação de Decisões Estratégias</w:t>
      </w:r>
      <w:r w:rsidR="00EE5B10">
        <w:t xml:space="preserve"> sob Incerteza Profunda</w:t>
      </w:r>
    </w:p>
    <w:p w:rsidR="004A01B7" w:rsidRDefault="004A01B7" w:rsidP="004A01B7">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caracterizaram decisões estratégicas como importantes em termos das ações realizadas, recursos comprometidos ou de seus precedentes.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decisões infrequentes, tomadas pelos líderes de uma organização, que  afetam criticamente a saúde da organização e sua sobrevivência.</w:t>
      </w:r>
    </w:p>
    <w:p w:rsidR="008F3E13" w:rsidRPr="006715CC" w:rsidRDefault="00EE5B10" w:rsidP="006715CC">
      <w:pPr>
        <w:rPr>
          <w:spacing w:val="-4"/>
        </w:rPr>
      </w:pPr>
      <w:r>
        <w:rPr>
          <w:spacing w:val="-4"/>
        </w:rPr>
        <w:t xml:space="preserve">Considerar a incerteza de modo inapropriado na avaliação de decisões estratégicas pode ter resultados indesejáveis para as empresas. </w:t>
      </w:r>
      <w:r>
        <w:rPr>
          <w:spacing w:val="-4"/>
        </w:rPr>
        <w:fldChar w:fldCharType="begin" w:fldLock="1"/>
      </w:r>
      <w:r w:rsidR="00024DAB">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"id" : "ITEM-2", "itemData" : { "author" : [ { "dropping-particle" : "", "family" : "Schoemaker", "given" : "P J", "non-dropping-particle" : "", "parse-names" : false, "suffix" : "" } ], "container-title" : "Sloan management review", "id" : "ITEM-2", "issue" : "2", "issued" : { "date-parts" : [ [ "1995" ] ] }, "page" : "25", "title" : "Scenario planning: a tool for strategic thinking", "type" : "article-journal", "volume" : "36" }, "uris" : [ "http://www.mendeley.com/documents/?uuid=25ac4895-745e-462d-b4f3-234a77dd1e7d" ] } ], "mendeley" : { "formattedCitation" : "(Schoemaker, 1995; Wack, 1985)", "plainTextFormattedCitation" : "(Schoemaker, 1995; Wack, 1985)", "previouslyFormattedCitation" : "(Schoemaker, 1995; Wack, 1985)" }, "properties" : {  }, "schema" : "https://github.com/citation-style-language/schema/raw/master/csl-citation.json" }</w:instrText>
      </w:r>
      <w:r>
        <w:rPr>
          <w:spacing w:val="-4"/>
        </w:rPr>
        <w:fldChar w:fldCharType="separate"/>
      </w:r>
      <w:r w:rsidR="00B34C64" w:rsidRPr="00B34C64">
        <w:rPr>
          <w:noProof/>
          <w:spacing w:val="-4"/>
        </w:rPr>
        <w:t>(Schoemaker, 1995; Wack, 1985)</w:t>
      </w:r>
      <w:r>
        <w:rPr>
          <w:spacing w:val="-4"/>
        </w:rPr>
        <w:fldChar w:fldCharType="end"/>
      </w:r>
      <w:r>
        <w:rPr>
          <w:spacing w:val="-4"/>
        </w:rPr>
        <w:t xml:space="preserve">. Ainda assim, é possível observar que empresas e governos subestimam o impacto de incertezas em momentos de crise ou transição. </w:t>
      </w:r>
      <w:r w:rsidR="00985796">
        <w:rPr>
          <w:spacing w:val="-4"/>
        </w:rPr>
        <w:t xml:space="preserve"> </w:t>
      </w:r>
      <w:r>
        <w:t xml:space="preserve">A tomada de decisão em situações de incerteza profunda (conhecida como </w:t>
      </w:r>
      <w:r w:rsidRPr="00BC5B27">
        <w:rPr>
          <w:i/>
        </w:rPr>
        <w:t xml:space="preserve">Decision Making </w:t>
      </w:r>
      <w:proofErr w:type="spellStart"/>
      <w:r w:rsidRPr="00BC5B27">
        <w:rPr>
          <w:i/>
        </w:rPr>
        <w:t>Under</w:t>
      </w:r>
      <w:proofErr w:type="spellEnd"/>
      <w:r w:rsidRPr="00BC5B27">
        <w:rPr>
          <w:i/>
        </w:rPr>
        <w:t xml:space="preserve"> </w:t>
      </w:r>
      <w:r>
        <w:rPr>
          <w:i/>
        </w:rPr>
        <w:t xml:space="preserve">Deep </w:t>
      </w:r>
      <w:r w:rsidRPr="00BC5B27">
        <w:rPr>
          <w:i/>
        </w:rPr>
        <w:t>Uncertainty</w:t>
      </w:r>
      <w:r>
        <w:t xml:space="preserve">) é um tipo particular de problemas complexos (ou, </w:t>
      </w:r>
      <w:proofErr w:type="spellStart"/>
      <w:r w:rsidRPr="00BC5B27">
        <w:rPr>
          <w:i/>
        </w:rPr>
        <w:t>wicked</w:t>
      </w:r>
      <w:proofErr w:type="spellEnd"/>
      <w:r w:rsidRPr="00BC5B27">
        <w:rPr>
          <w:i/>
        </w:rPr>
        <w:t xml:space="preserve"> </w:t>
      </w:r>
      <w:proofErr w:type="spellStart"/>
      <w:r w:rsidRPr="00BC5B27">
        <w:rPr>
          <w:i/>
        </w:rPr>
        <w:t>problems</w:t>
      </w:r>
      <w:proofErr w:type="spellEnd"/>
      <w:r>
        <w:t xml:space="preserve">). </w:t>
      </w:r>
      <w:r>
        <w:fldChar w:fldCharType="begin" w:fldLock="1"/>
      </w:r>
      <w:r w:rsidR="00B04F2F">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"(J. Kwakkel, Walker, &amp; Haasnoot, 2016)", "plainTextFormattedCitation" : "(J. Kwakkel, Walker, &amp; Haasnoot, 2016)", "previouslyFormattedCitation" : "(J. Kwakkel, Walker, &amp; Haasnoot, 2016)" }, "properties" : {  }, "schema" : "https://github.com/citation-style-language/schema/raw/master/csl-citation.json" }</w:instrText>
      </w:r>
      <w:r>
        <w:fldChar w:fldCharType="separate"/>
      </w:r>
      <w:r w:rsidR="00024DAB" w:rsidRPr="00024DAB">
        <w:rPr>
          <w:noProof/>
        </w:rPr>
        <w:t>(J. Kwakkel, Walker, &amp; Haasnoot, 2016)</w:t>
      </w:r>
      <w:r>
        <w:fldChar w:fldCharType="end"/>
      </w:r>
      <w:r>
        <w:t xml:space="preserve">. Uma situação de certeza completa aconteceria quando todos os aspectos de uma situação são conhecidos precisamente. Tal situação não ocorre na realidade, e apenas atua como o limite do espectro de incertezas. No outro extremo, está a ignorância completa. </w:t>
      </w:r>
      <w:r>
        <w:fldChar w:fldCharType="begin" w:fldLock="1"/>
      </w:r>
      <w:r w:rsidR="00692763">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&amp; Kwakkel, 2013)", "plainTextFormattedCitation" : "(Walker, Lempert, &amp; Kwakkel, 2013)", "previouslyFormattedCitation" : "(Walker, Lempert, &amp; Kwakkel, 2013)" }, "properties" : {  }, "schema" : "https://github.com/citation-style-language/schema/raw/master/csl-citation.json" }</w:instrText>
      </w:r>
      <w:r>
        <w:fldChar w:fldCharType="separate"/>
      </w:r>
      <w:r w:rsidR="001471E8" w:rsidRPr="001471E8">
        <w:rPr>
          <w:noProof/>
        </w:rPr>
        <w:t>(Walker, Lempert, &amp; Kwakkel, 2013)</w:t>
      </w:r>
      <w:r>
        <w:fldChar w:fldCharType="end"/>
      </w:r>
      <w:r>
        <w:t>.</w:t>
      </w:r>
    </w:p>
    <w:p w:rsidR="00EE5B10" w:rsidRPr="004A01B7" w:rsidRDefault="00EE5B10" w:rsidP="00EE5B10">
      <w:r>
        <w:t xml:space="preserve">O termo </w:t>
      </w:r>
      <w:r w:rsidRPr="00142309">
        <w:rPr>
          <w:i/>
        </w:rPr>
        <w:t xml:space="preserve">Deep Uncertainty </w:t>
      </w:r>
      <w:r>
        <w:t xml:space="preserve">refere-se aos níveis 4 e 5 destacados anteriormente </w:t>
      </w:r>
      <w:r>
        <w:fldChar w:fldCharType="begin" w:fldLock="1"/>
      </w:r>
      <w:r w:rsidR="00024DAB">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et al., 2013)", "plainTextFormattedCitation" : "(Walker et al., 2013)", "previouslyFormattedCitation" : "(Walker et al., 2013)" }, "properties" : {  }, "schema" : "https://github.com/citation-style-language/schema/raw/master/csl-citation.json" }</w:instrText>
      </w:r>
      <w:r>
        <w:fldChar w:fldCharType="separate"/>
      </w:r>
      <w:r w:rsidR="00B34C64" w:rsidRPr="00B34C64">
        <w:rPr>
          <w:noProof/>
        </w:rPr>
        <w:t>(Walker et al., 2013)</w:t>
      </w:r>
      <w:r>
        <w:fldChar w:fldCharType="end"/>
      </w:r>
      <w:r>
        <w:t xml:space="preserve">, e é definido como uma situação na qual analistas não sabem, ou </w:t>
      </w:r>
      <w:r w:rsidRPr="00142309">
        <w:rPr>
          <w:i/>
        </w:rPr>
        <w:t>stakeholders</w:t>
      </w:r>
      <w:r>
        <w:t xml:space="preserve"> não conseguem concordar sobre: i) os modelos que descrevem as relações entre as principais relações que irão moldar o futuro, </w:t>
      </w:r>
      <w:proofErr w:type="spellStart"/>
      <w:r>
        <w:t>ii</w:t>
      </w:r>
      <w:proofErr w:type="spellEnd"/>
      <w:r>
        <w:t xml:space="preserve">) as distribuições de probabilidade utilizadas para representar incertezas de variáveis chave e parâmetros destes modelos, e/ou </w:t>
      </w:r>
      <w:proofErr w:type="spellStart"/>
      <w:r>
        <w:t>iii</w:t>
      </w:r>
      <w:proofErr w:type="spellEnd"/>
      <w:r>
        <w:t xml:space="preserve">) como avaliar a utilidade (traduzido de </w:t>
      </w:r>
      <w:proofErr w:type="spellStart"/>
      <w:r w:rsidRPr="00BC5B27">
        <w:rPr>
          <w:i/>
        </w:rPr>
        <w:t>desirability</w:t>
      </w:r>
      <w:proofErr w:type="spellEnd"/>
      <w:r>
        <w:t xml:space="preserve">) </w:t>
      </w:r>
      <w:r w:rsidRPr="00142309">
        <w:t>de</w:t>
      </w:r>
      <w:r>
        <w:t xml:space="preserve"> diferentes </w:t>
      </w:r>
      <w:r w:rsidRPr="00142309">
        <w:rPr>
          <w:i/>
        </w:rPr>
        <w:t>outcomes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"xii", "uris" : [ "http://www.mendeley.com/documents/?uuid=fc7eef92-8664-499e-ab2a-e8053d5b7ae4" ] } ], "mendeley" : { "formattedCitation" : "(Lempert, Popper, &amp; Bankes, 2003, p. xii)", "plainTextFormattedCitation" : "(Lempert, Popper, &amp; Bankes, 2003, p. xii)", "previouslyFormattedCitation" : "(Lempert, Popper, &amp; Bankes, 2003, p. xii)" }, "properties" : {  }, "schema" : "https://github.com/citation-style-language/schema/raw/master/csl-citation.json" }</w:instrText>
      </w:r>
      <w:r>
        <w:fldChar w:fldCharType="separate"/>
      </w:r>
      <w:r w:rsidR="00B34C64" w:rsidRPr="00B34C64">
        <w:rPr>
          <w:noProof/>
        </w:rPr>
        <w:t>(Lempert, Popper, &amp; Bankes, 2003, p. xii)</w:t>
      </w:r>
      <w:r>
        <w:fldChar w:fldCharType="end"/>
      </w:r>
      <w:r>
        <w:t>.</w:t>
      </w:r>
    </w:p>
    <w:p w:rsidR="009F078A" w:rsidRDefault="00EE5B10" w:rsidP="009F078A">
      <w:pPr>
        <w:pStyle w:val="Ttulo2"/>
      </w:pPr>
      <w:r>
        <w:t>Modelos de Difusão de Novos Produtos</w:t>
      </w:r>
    </w:p>
    <w:p w:rsidR="00EE5B10" w:rsidRDefault="00EE5B10" w:rsidP="00EE5B10">
      <w:r>
        <w:t xml:space="preserve">Uma compreensão adequada da difusão de um novo produto tem importância relevante para a estratégia organizacional. A difusão de novos produtos que incluem inovações tecnológicas é um fenômeno altamente dinâmico e complexo, relacionando-se a decisões </w:t>
      </w:r>
      <w:r>
        <w:lastRenderedPageBreak/>
        <w:t xml:space="preserve">estratégicas de precificação, orçamentação de pesquisa e desenvolvimento e investimento em capacidade produtiva. </w:t>
      </w:r>
      <w:r>
        <w:fldChar w:fldCharType="begin" w:fldLock="1"/>
      </w:r>
      <w:r w:rsidR="00024DAB">
        <w:instrText>ADDIN CSL_CITATION { "citationItems" : [ { "id" : "ITEM-1", "itemData" : { "ISBN" : "08837066", "ISSN" : "08837066", "PMID" : "17073696", "abstract" : "The diffusion of innovations over time is a highly dynamic and complex problem. It is influenced by various factors like price, advertising, and product capabilities. Traditional models of innovation diffusion ignore the complexity underlying the process of diffusion. Their aim is normative decision support, but these models do not appropriately represent the structural fundamentals of the problem. The use of the system dynamics methodology allows the development of more complex models to investigate the process of innovation diffusion. These models can enhance insight in the problem structure and increase understanding of the complexity and the dynamics caused by the influencing elements. This article shows how the traditional innovation models can be extended to incorporate competition and to map the process of substitution among successive product generations. Several model simulations show the potential of using system dynamics as the modeling methodology in the field of new product diffusion models. \u00a9 1998 John Wiley &amp; Sons, Ltd. ABSTRACT FROM AUTHOR]; Copyright of System Dynamics Review (Wiley) is the property of John Wiley &amp; Sons,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"Maier", "given" : "Frank H", "non-dropping-particle" : "", "parse-names" : false, "suffix" : "" } ], "container-title" : "System Dynamics Review (Wiley)", "id" : "ITEM-1", "issue" : "4", "issued" : { "date-parts" : [ [ "1998" ] ] }, "page" : "285-308", "title" : "New product diffusion models in innovation management\u2014a system dynamics perspective", "type" : "article-journal", "volume" : "14" }, "uris" : [ "http://www.mendeley.com/documents/?uuid=1902dd1e-ff9f-45a3-b6af-ad9ff1de88a4" ] } ], "mendeley" : { "formattedCitation" : "(Maier, 1998)", "plainTextFormattedCitation" : "(Maier, 1998)", "previouslyFormattedCitation" : "(Maier, 1998)" }, "properties" : {  }, "schema" : "https://github.com/citation-style-language/schema/raw/master/csl-citation.json" }</w:instrText>
      </w:r>
      <w:r>
        <w:fldChar w:fldCharType="separate"/>
      </w:r>
      <w:r w:rsidR="00B34C64" w:rsidRPr="00B34C64">
        <w:rPr>
          <w:noProof/>
        </w:rPr>
        <w:t>(Maier, 1998)</w:t>
      </w:r>
      <w:r>
        <w:fldChar w:fldCharType="end"/>
      </w:r>
      <w:r>
        <w:t>.</w:t>
      </w:r>
    </w:p>
    <w:p w:rsidR="00985796" w:rsidRDefault="00EE5B10" w:rsidP="00EE5B10">
      <w:r>
        <w:t xml:space="preserve">O modelo de difusão de </w:t>
      </w:r>
      <w:proofErr w:type="spellStart"/>
      <w:r>
        <w:t>Bass</w:t>
      </w:r>
      <w:proofErr w:type="spellEnd"/>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8D7406">
        <w:rPr>
          <w:noProof/>
        </w:rPr>
        <w:t>(1969)</w:t>
      </w:r>
      <w:r>
        <w:fldChar w:fldCharType="end"/>
      </w:r>
      <w:r>
        <w:t xml:space="preserve"> representa a estrutura de crescimento da demanda de um novo produto representando dois grupos distintos de compradores potenciais. Um primeiro grupo de compradores, os “inovadores”, são aqueles que comprarão o novo produto independentemente do número de pessoas que já possui o produto atualmente. Este grupo de compradores é responsável pela difusão inicial do produto. Um segundo grupo de compradores, os “imitadores” são influenciados pelos compradores que já possuem um produto. </w:t>
      </w:r>
    </w:p>
    <w:p w:rsidR="00EE5B10" w:rsidRDefault="00EE5B10" w:rsidP="00EE5B10">
      <w:proofErr w:type="spellStart"/>
      <w:r w:rsidRPr="00D4146C">
        <w:t>Mahajan</w:t>
      </w:r>
      <w:proofErr w:type="spellEnd"/>
      <w:r w:rsidRPr="00D4146C">
        <w:t xml:space="preserve"> e Muller </w:t>
      </w:r>
      <w:r>
        <w:fldChar w:fldCharType="begin" w:fldLock="1"/>
      </w:r>
      <w:r w:rsidRPr="00D4146C">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4146C">
        <w:rPr>
          <w:noProof/>
        </w:rPr>
        <w:t>(1996)</w:t>
      </w:r>
      <w:r>
        <w:fldChar w:fldCharType="end"/>
      </w:r>
      <w:r w:rsidRPr="00D4146C">
        <w:t xml:space="preserve"> criticaram os modelos originais de </w:t>
      </w:r>
      <w:proofErr w:type="spellStart"/>
      <w:r w:rsidRPr="00D4146C">
        <w:t>Bass</w:t>
      </w:r>
      <w:proofErr w:type="spellEnd"/>
      <w:r w:rsidRPr="00D4146C">
        <w:t xml:space="preserve"> </w:t>
      </w:r>
      <w:r>
        <w:fldChar w:fldCharType="begin" w:fldLock="1"/>
      </w:r>
      <w:r w:rsidRPr="00D4146C">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D4146C">
        <w:rPr>
          <w:noProof/>
        </w:rPr>
        <w:t>(1969)</w:t>
      </w:r>
      <w:r>
        <w:fldChar w:fldCharType="end"/>
      </w:r>
      <w:r w:rsidRPr="00D4146C">
        <w:t xml:space="preserve">, por não capturar a sucessão de diferentes gerações de produtos. </w:t>
      </w:r>
      <w:r>
        <w:t xml:space="preserve">Deste modo, </w:t>
      </w:r>
      <w:proofErr w:type="spellStart"/>
      <w:r>
        <w:t>Mahajan</w:t>
      </w:r>
      <w:proofErr w:type="spellEnd"/>
      <w:r>
        <w:t xml:space="preserve"> e Muller </w:t>
      </w:r>
      <w:r>
        <w:fldChar w:fldCharType="begin" w:fldLock="1"/>
      </w:r>
      <w:r>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305D8">
        <w:rPr>
          <w:noProof/>
        </w:rPr>
        <w:t>(1996)</w:t>
      </w:r>
      <w:r>
        <w:fldChar w:fldCharType="end"/>
      </w:r>
      <w:r>
        <w:t xml:space="preserve"> procuraram avaliar como o timing de introdução de novos produtos pode impactar a adoção dos produtos existentes, utilizando como caso de aplicação os mainframes da IBM. Este modelo, no entanto, não representa a competição entre empresas, o que o torna limitado para o escopo deste trabalho.</w:t>
      </w:r>
    </w:p>
    <w:p w:rsidR="00EE5B10" w:rsidRDefault="00EE5B10" w:rsidP="00EE5B10">
      <w:r>
        <w:t xml:space="preserve">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contribui significativamente para com este trabalho por possuir uma série de características que o permitem representar a dinâmica competitiva de players em um mercado nascente. Em primeiro lugar, o modelo contempla uma estrutura de difusão de produto vinculada à uma curva de demanda e preço. Em segundo lugar, o modelo representa a competição de diversos players, levando em consideração </w:t>
      </w:r>
      <w:proofErr w:type="spellStart"/>
      <w:r>
        <w:t>delays</w:t>
      </w:r>
      <w:proofErr w:type="spellEnd"/>
      <w:r>
        <w:t xml:space="preserve"> inseridos nos processos de ajuste de capacidade e preço..</w:t>
      </w:r>
      <w:r>
        <w:fldChar w:fldCharType="begin" w:fldLock="1"/>
      </w:r>
      <w:r w:rsidR="00B04F2F">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"mendeley" : { "formattedCitation" : "(J. D. Sterman et al., 2007)", "plainTextFormattedCitation" : "(J. D. Sterman et al., 2007)", "previouslyFormattedCitation" : "(J. D. Sterman et al., 2007)" }, "properties" : {  }, "schema" : "https://github.com/citation-style-language/schema/raw/master/csl-citation.json" }</w:instrText>
      </w:r>
      <w:r>
        <w:fldChar w:fldCharType="separate"/>
      </w:r>
      <w:r w:rsidR="00024DAB" w:rsidRPr="00024DAB">
        <w:rPr>
          <w:noProof/>
        </w:rPr>
        <w:t>(J. D. Sterman et al., 2007)</w:t>
      </w:r>
      <w:r>
        <w:fldChar w:fldCharType="end"/>
      </w:r>
      <w:r>
        <w:t>.</w:t>
      </w:r>
    </w:p>
    <w:p w:rsidR="00EE5B10" w:rsidRDefault="00EE5B10" w:rsidP="00EE5B10">
      <w:r>
        <w:t xml:space="preserve">O modelo não possui, no entanto, o critério de performance como fator para a definição do </w:t>
      </w:r>
      <w:proofErr w:type="spellStart"/>
      <w:r>
        <w:t>market</w:t>
      </w:r>
      <w:proofErr w:type="spellEnd"/>
      <w:r>
        <w:t xml:space="preserve"> </w:t>
      </w:r>
      <w:proofErr w:type="spellStart"/>
      <w:r>
        <w:t>share</w:t>
      </w:r>
      <w:proofErr w:type="spellEnd"/>
      <w:r>
        <w:t xml:space="preserve"> entre os players. No modelo original, o </w:t>
      </w:r>
      <w:proofErr w:type="spellStart"/>
      <w:r>
        <w:t>market</w:t>
      </w:r>
      <w:proofErr w:type="spellEnd"/>
      <w:r>
        <w:t xml:space="preserve"> </w:t>
      </w:r>
      <w:proofErr w:type="spellStart"/>
      <w:r>
        <w:t>share</w:t>
      </w:r>
      <w:proofErr w:type="spellEnd"/>
      <w:r>
        <w:t xml:space="preserve"> é dividido somente segundo o preço dos players e o tempo de entrega de seus produtos. Ainda assim, a estrutura modelada por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permite a inclusão de novos fatores. Finalmente,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é exaustivamente documentado, e possui as informações necessárias para a replicação de seu modelo. Por estes motivos,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foi selecionado como ponto de partida para este trabalho.</w:t>
      </w:r>
    </w:p>
    <w:p w:rsidR="001277A3" w:rsidRDefault="00EE5B10" w:rsidP="001277A3">
      <w:pPr>
        <w:pStyle w:val="Ttulo2"/>
      </w:pPr>
      <w:r>
        <w:t>RDM – Robust Decision Making</w:t>
      </w:r>
    </w:p>
    <w:p w:rsidR="00EE5B10" w:rsidRDefault="00EE5B10" w:rsidP="00EE5B10">
      <w:pPr>
        <w:ind w:firstLine="737"/>
      </w:pPr>
      <w:r w:rsidRPr="00B16A97">
        <w:t>O</w:t>
      </w:r>
      <w:r w:rsidRPr="003227C0">
        <w:t xml:space="preserve"> RDM (Robust Decision Maki</w:t>
      </w:r>
      <w:r>
        <w:t xml:space="preserve">ng) é uma abordagem quantitativa que busca endereçar o desafio de tomar decisões em condições de incerteza profunda (ou </w:t>
      </w:r>
      <w:r>
        <w:rPr>
          <w:i/>
        </w:rPr>
        <w:t xml:space="preserve">deep </w:t>
      </w:r>
      <w:r w:rsidRPr="009E12E9">
        <w:t>uncertainty</w:t>
      </w:r>
      <w:r>
        <w:t xml:space="preserve">). </w:t>
      </w:r>
      <w:r>
        <w:lastRenderedPageBreak/>
        <w:fldChar w:fldCharType="begin" w:fldLock="1"/>
      </w:r>
      <w:r w:rsidR="00024DAB">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2006, 2003)", "plainTextFormattedCitation" : "(Lempert et al., 2006, 2003)", "previouslyFormattedCitation" : "(Lempert et al., 2006, 2003)" }, "properties" : {  }, "schema" : "https://github.com/citation-style-language/schema/raw/master/csl-citation.json" }</w:instrText>
      </w:r>
      <w:r>
        <w:fldChar w:fldCharType="separate"/>
      </w:r>
      <w:r w:rsidR="00B34C64" w:rsidRPr="00B34C64">
        <w:rPr>
          <w:noProof/>
        </w:rPr>
        <w:t>(Lempert et al., 2006, 2003)</w:t>
      </w:r>
      <w:r>
        <w:fldChar w:fldCharType="end"/>
      </w:r>
      <w:r w:rsidRPr="00FC67DB">
        <w:t xml:space="preserve">. </w:t>
      </w:r>
      <w:r>
        <w:t>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fldChar w:fldCharType="begin" w:fldLock="1"/>
      </w:r>
      <w:r w:rsidR="00024DAB">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 "schema" : "https://github.com/citation-style-language/schema/raw/master/csl-citation.json" }</w:instrText>
      </w:r>
      <w:r>
        <w:fldChar w:fldCharType="separate"/>
      </w:r>
      <w:r w:rsidR="00B34C64" w:rsidRPr="00B34C64">
        <w:rPr>
          <w:noProof/>
        </w:rPr>
        <w:t>(Rand, 2013)</w:t>
      </w:r>
      <w:r>
        <w:fldChar w:fldCharType="end"/>
      </w:r>
      <w:r>
        <w:t xml:space="preserve">. Em situações nas quais há uma quantidade extensa de possíveis estratégias, o RDM propõe-se como uma abordagem sistemática para explorar e encontrar aquelas que provavelmente serão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w:t>
      </w:r>
    </w:p>
    <w:p w:rsidR="00EE5B10" w:rsidRDefault="00EE5B10" w:rsidP="008F3E13">
      <w:pPr>
        <w:ind w:firstLine="737"/>
      </w:pPr>
      <w:r>
        <w:t xml:space="preserve">A abordagem do RDM é composta por quatro elementos principais.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primeiro deles é a </w:t>
      </w:r>
      <w:r w:rsidRPr="00D41DEF">
        <w:rPr>
          <w:i/>
        </w:rPr>
        <w:t>consideração de um grande conjunto de cenários</w:t>
      </w:r>
      <w:r>
        <w:t xml:space="preserve">. Tal conjunto de cenários considera uma ampla gama de futuros plausíveis de modo a desafiar estratégias alternativas. Este aspecto é importante para absorver diferentes informações e expectativas que </w:t>
      </w:r>
      <w:r w:rsidRPr="006A2F1E">
        <w:rPr>
          <w:i/>
        </w:rPr>
        <w:t>stakeholders</w:t>
      </w:r>
      <w:r>
        <w:rPr>
          <w:i/>
        </w:rPr>
        <w:t xml:space="preserve"> </w:t>
      </w:r>
      <w:r>
        <w:t xml:space="preserve">possam ter sobre o que o futuro poderá ser.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w:t>
      </w:r>
    </w:p>
    <w:p w:rsidR="00EE5B10" w:rsidRPr="00AF0D6F" w:rsidRDefault="00EE5B10" w:rsidP="00EE5B10">
      <w:pPr>
        <w:ind w:firstLine="737"/>
      </w:pPr>
      <w:r>
        <w:t xml:space="preserve">O segundo elemento é a </w:t>
      </w:r>
      <w:r>
        <w:rPr>
          <w:i/>
        </w:rPr>
        <w:t>procura de estratégias robustas ao invés de “ótimas”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A robustez é um critério usualmente utilizado intuitivamente por tomadores de decisão em situações reais de incerteza. Tomadores de decisão tendem a avaliar sua decisão como ruim (ou seja, expressam arrependimento) se o seu resultado é substancialmente pior do que o resultado da sua melhor escolha possível.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 xml:space="preserve">. </w:t>
      </w:r>
    </w:p>
    <w:p w:rsidR="00EE5B10" w:rsidRPr="006715CC" w:rsidRDefault="00EE5B10" w:rsidP="00EE5B10">
      <w:pPr>
        <w:ind w:firstLine="737"/>
      </w:pPr>
      <w:r>
        <w:t xml:space="preserve">O terceiro elemento é o </w:t>
      </w:r>
      <w:r w:rsidRPr="000A0076">
        <w:rPr>
          <w:i/>
        </w:rPr>
        <w:t>emprego de estratégias adaptativas</w:t>
      </w:r>
      <w:r>
        <w:t xml:space="preserve">, as quais evoluem ao longo do tempo, para atingir robustez.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RDM parte da premissa de que um conjunto inicial de estratégias sob consideração não irá incluir todas as estratégias possíveis. Por este motivo, a identificação de cenários que evidenciam as vulnerabilidades das estratégias candidatas pode contribuir para a proposição de estratégias adaptativas (ou ainda, </w:t>
      </w:r>
      <w:proofErr w:type="spellStart"/>
      <w:r w:rsidRPr="00BC5B27">
        <w:rPr>
          <w:i/>
        </w:rPr>
        <w:t>hedging</w:t>
      </w:r>
      <w:proofErr w:type="spellEnd"/>
      <w:r w:rsidRPr="00BC5B27">
        <w:rPr>
          <w:i/>
        </w:rPr>
        <w:t xml:space="preserve"> </w:t>
      </w:r>
      <w:proofErr w:type="spellStart"/>
      <w:r w:rsidRPr="00BC5B27">
        <w:rPr>
          <w:i/>
        </w:rPr>
        <w:t>actions</w:t>
      </w:r>
      <w:proofErr w:type="spellEnd"/>
      <w:r>
        <w:t xml:space="preserve">), que expandam a análise considerando estratégias mais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rsidRPr="006715CC">
        <w:t>.</w:t>
      </w:r>
    </w:p>
    <w:p w:rsidR="00257166" w:rsidRPr="00A00EAC" w:rsidRDefault="00EE5B10" w:rsidP="007C571F">
      <w:r w:rsidRPr="00130703">
        <w:t xml:space="preserve">O quarto elemento é projetar a análise para a exploração interativa de diversos futuros plausíveis. </w:t>
      </w:r>
      <w:r w:rsidRPr="00130703">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rsidRPr="00130703">
        <w:fldChar w:fldCharType="separate"/>
      </w:r>
      <w:r w:rsidR="00B34C64" w:rsidRPr="00B34C64">
        <w:rPr>
          <w:noProof/>
        </w:rPr>
        <w:t>(Lempert et al., 2003)</w:t>
      </w:r>
      <w:r w:rsidRPr="00130703">
        <w:fldChar w:fldCharType="end"/>
      </w:r>
      <w:r w:rsidRPr="00130703">
        <w:t xml:space="preserve">. Considerando os elementos anteriores, a abordagem RDM propõe-se como interativa (à medida que propõe a deliberação por parte dos stakeholders utilizando os outputs de suas análises) e iterativa (à medida que requer a repetição dos passos do método em ciclos de identificação e avaliação da vulnerabilidade das estratégias). </w:t>
      </w:r>
      <w:r w:rsidRPr="00130703">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"ITEM-3",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"(Groves, 2006; Lempert et al., 2006, 2003)", "plainTextFormattedCitation" : "(Groves, 2006; Lempert et al., 2006, 2003)", "previouslyFormattedCitation" : "(Groves, 2006; Lempert et al., 2006, 2003)" }, "properties" : {  }, "schema" : "https://github.com/citation-style-language/schema/raw/master/csl-citation.json" }</w:instrText>
      </w:r>
      <w:r w:rsidRPr="00130703">
        <w:fldChar w:fldCharType="separate"/>
      </w:r>
      <w:r w:rsidR="001471E8" w:rsidRPr="001471E8">
        <w:rPr>
          <w:noProof/>
        </w:rPr>
        <w:t>(Groves, 2006; Lempert et al., 2006, 2003)</w:t>
      </w:r>
      <w:r w:rsidRPr="00130703">
        <w:fldChar w:fldCharType="end"/>
      </w:r>
      <w:r w:rsidRPr="00130703">
        <w:t>.</w:t>
      </w:r>
      <w:bookmarkStart w:id="5" w:name="_Toc347931680"/>
      <w:bookmarkStart w:id="6" w:name="_Toc261858524"/>
    </w:p>
    <w:p w:rsidR="002B57EF" w:rsidRDefault="00B50AEB">
      <w:pPr>
        <w:pStyle w:val="Ttulo1"/>
      </w:pPr>
      <w:r>
        <w:lastRenderedPageBreak/>
        <w:t>PROCEDIMENTOS METODOLÓGICOS</w:t>
      </w:r>
    </w:p>
    <w:p w:rsidR="00B50AEB" w:rsidRDefault="00B50AEB" w:rsidP="00B50AEB">
      <w:r>
        <w:t xml:space="preserve">Pesquisas baseadas em modelos quantitativos na área de gestão de operações podem ser classificadas em pesquisas axiomáticas versus empíricas, e entre pesquisas descritivas versus normativas.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Bertrand, &amp; Fransoo, 2002)", "plainTextFormattedCitation" : "(Fransoo, Bertrand, &amp; Fransoo, 2002)", "previouslyFormattedCitation" : "(Fransoo, Bertrand, &amp; Fransoo, 2002)" }, "properties" : {  }, "schema" : "https://github.com/citation-style-language/schema/raw/master/csl-citation.json" }</w:instrText>
      </w:r>
      <w:r>
        <w:fldChar w:fldCharType="separate"/>
      </w:r>
      <w:r w:rsidR="00024DAB" w:rsidRPr="00024DAB">
        <w:rPr>
          <w:noProof/>
        </w:rPr>
        <w:t>(Fransoo, Bertrand, &amp; Fransoo, 2002)</w:t>
      </w:r>
      <w:r>
        <w:fldChar w:fldCharType="end"/>
      </w:r>
      <w:r>
        <w:t>.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w:t>
      </w:r>
      <w:r w:rsidRPr="006A463A">
        <w:t xml:space="preserve">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et al., 2002)", "plainTextFormattedCitation" : "(Fransoo et al., 2002)", "previouslyFormattedCitation" : "(Fransoo et al., 2002)" }, "properties" : {  }, "schema" : "https://github.com/citation-style-language/schema/raw/master/csl-citation.json" }</w:instrText>
      </w:r>
      <w:r>
        <w:fldChar w:fldCharType="separate"/>
      </w:r>
      <w:r w:rsidR="00024DAB" w:rsidRPr="00024DAB">
        <w:rPr>
          <w:noProof/>
        </w:rPr>
        <w:t>(Fransoo et al., 2002)</w:t>
      </w:r>
      <w:r>
        <w:fldChar w:fldCharType="end"/>
      </w:r>
      <w:r>
        <w:t>.</w:t>
      </w:r>
    </w:p>
    <w:p w:rsidR="00B50AEB" w:rsidRDefault="00B50AEB" w:rsidP="00B50AEB">
      <w:r>
        <w:t xml:space="preserve">A </w:t>
      </w:r>
      <w:r>
        <w:fldChar w:fldCharType="begin"/>
      </w:r>
      <w:r>
        <w:instrText xml:space="preserve"> REF _Ref481330158 \h </w:instrText>
      </w:r>
      <w:r>
        <w:fldChar w:fldCharType="separate"/>
      </w:r>
      <w:r w:rsidR="00A65D24">
        <w:t xml:space="preserve">Figura </w:t>
      </w:r>
      <w:r w:rsidR="00A65D24">
        <w:rPr>
          <w:noProof/>
        </w:rPr>
        <w:t>1</w:t>
      </w:r>
      <w:r>
        <w:fldChar w:fldCharType="end"/>
      </w:r>
      <w:r>
        <w:t xml:space="preserve"> apresenta as etapas do método de trabalho desta pesquisa. O método foi baseado nas etapas do método RDM, adaptando-o para as necessidades deste trabalho específico. A análise dos modelos para suporte a decisões estratégicas apresentada na seção 2.</w:t>
      </w:r>
      <w:r w:rsidR="00692763">
        <w:t>2</w:t>
      </w:r>
      <w:r>
        <w:t xml:space="preserve"> permitiu identificar e selecionar o modelo de </w:t>
      </w:r>
      <w:proofErr w:type="spellStart"/>
      <w:r>
        <w:t>Sterman</w:t>
      </w:r>
      <w:proofErr w:type="spellEnd"/>
      <w:r>
        <w:t xml:space="preserve"> et. al (2007) como ponto de partida para este trabalho. Este trabalho optou por utilizar a simulação de dinâmica de sistemas como paradigma de modelagem. A simulação de dinâmica de sistemas é propícia para a representação de fenômenos dinâmicos </w:t>
      </w:r>
      <w:r>
        <w:fldChar w:fldCharType="begin" w:fldLock="1"/>
      </w:r>
      <w:r w:rsidR="00B04F2F">
        <w:instrText>ADDIN CSL_CITATION { "citationItems" : [ { "id" : "ITEM-1", "itemData" : { "ISBN" : "9780072311358", "author" : [ { "dropping-particle" : "", "family" : "Sterman", "given" : "J", "non-dropping-particle" : "", "parse-names" : false, "suffix" : "" } ], "collection-title" : "McGraw-Hill Higher Education", "id" : "ITEM-1", "issued" : { "date-parts" : [ [ "2000" ] ] }, "publisher" : "Irwin/McGraw-Hill", "title" : "Business Dynamics: Systems Thinking and Modeling for a Complex World", "type" : "book" }, "uris" : [ "http://www.mendeley.com/documents/?uuid=88f28a50-f9a8-4e90-b3ac-7a4c7fa4c3cf" ] } ], "mendeley" : { "formattedCitation" : "(J. Sterman, 2000)", "plainTextFormattedCitation" : "(J. Sterman, 2000)", "previouslyFormattedCitation" : "(J. Sterman, 2000)" }, "properties" : {  }, "schema" : "https://github.com/citation-style-language/schema/raw/master/csl-citation.json" }</w:instrText>
      </w:r>
      <w:r>
        <w:fldChar w:fldCharType="separate"/>
      </w:r>
      <w:r w:rsidR="00024DAB" w:rsidRPr="00024DAB">
        <w:rPr>
          <w:noProof/>
        </w:rPr>
        <w:t>(J. Sterman, 2000)</w:t>
      </w:r>
      <w:r>
        <w:fldChar w:fldCharType="end"/>
      </w:r>
      <w:r>
        <w:t xml:space="preserve">, e foi reconhecida como técnica propícia para a modelagem de problemas de estratégia empresarial </w:t>
      </w:r>
      <w:r>
        <w:rPr>
          <w:rFonts w:cs="Arial"/>
          <w:color w:val="000000"/>
          <w:sz w:val="22"/>
          <w:szCs w:val="22"/>
        </w:rPr>
        <w:fldChar w:fldCharType="begin" w:fldLock="1"/>
      </w:r>
      <w:r w:rsidR="00B04F2F">
        <w:rPr>
          <w:rFonts w:cs="Arial"/>
          <w:color w:val="000000"/>
          <w:sz w:val="22"/>
          <w:szCs w:val="22"/>
        </w:rPr>
        <w:instrText>ADDIN CSL_CITATION { "citationItems" : [ { "id" : "ITEM-1", "itemData" : { "DOI" : "10.1002/smj.4250050303", "ISSN" : "01432095", "author" : [ { "dropping-particle" : "", "family" : "Morecroft", "given" : "John D. W.", "non-dropping-particle" : "", "parse-names" : false, "suffix" : "" } ], "container-title" : "Strategic Management Journal", "id" : "ITEM-1", "issue" : "3", "issued" : { "date-parts" : [ [ "1984", "7" ] ] }, "page" : "215-229", "title" : "Strategy support models", "type" : "article-journal", "volume" : "5" }, "uris" : [ "http://www.mendeley.com/documents/?uuid=a7c007c4-e134-4ac5-949e-b0ff2d0f23a7" ] } ], "mendeley" : { "formattedCitation" : "(Morecroft, 1984)", "plainTextFormattedCitation" : "(Morecroft, 1984)", "previouslyFormattedCitation" : "(Morecroft, 1984)" }, "properties" : {  }, "schema" : "https://github.com/citation-style-language/schema/raw/master/csl-citation.json" }</w:instrText>
      </w:r>
      <w:r>
        <w:rPr>
          <w:rFonts w:cs="Arial"/>
          <w:color w:val="000000"/>
          <w:sz w:val="22"/>
          <w:szCs w:val="22"/>
        </w:rPr>
        <w:fldChar w:fldCharType="separate"/>
      </w:r>
      <w:r w:rsidR="00024DAB" w:rsidRPr="00024DAB">
        <w:rPr>
          <w:rFonts w:cs="Arial"/>
          <w:noProof/>
          <w:color w:val="000000"/>
          <w:sz w:val="22"/>
          <w:szCs w:val="22"/>
        </w:rPr>
        <w:t>(Morecroft, 1984)</w:t>
      </w:r>
      <w:r>
        <w:rPr>
          <w:rFonts w:cs="Arial"/>
          <w:color w:val="000000"/>
          <w:sz w:val="22"/>
          <w:szCs w:val="22"/>
        </w:rPr>
        <w:fldChar w:fldCharType="end"/>
      </w:r>
      <w:r>
        <w:t xml:space="preserve">. </w:t>
      </w:r>
    </w:p>
    <w:p w:rsidR="007C571F" w:rsidRDefault="00B50AEB" w:rsidP="007C571F">
      <w:r>
        <w:t xml:space="preserve">A primeira etapa do trabalho consistiu em definir os elementos da estruturação do problema. </w:t>
      </w:r>
      <w:r w:rsidR="007C571F">
        <w:t xml:space="preserve">A etapa de estruturação do problema foi executada a partir do modelo de </w:t>
      </w:r>
      <w:proofErr w:type="spellStart"/>
      <w:r w:rsidR="007C571F">
        <w:t>Sterman</w:t>
      </w:r>
      <w:proofErr w:type="spellEnd"/>
      <w:r w:rsidR="007C571F">
        <w:t xml:space="preserve"> et al. (2007), dos modelos de difusão de produtos revisados na seção 2.2</w:t>
      </w:r>
      <w:r w:rsidR="00692763">
        <w:t xml:space="preserve">. </w:t>
      </w:r>
      <w:r w:rsidR="007C571F">
        <w:t xml:space="preserve">Em seguida, foi executada a formulação do modelo matemático. Nesta etapa, o modelo de </w:t>
      </w:r>
      <w:proofErr w:type="spellStart"/>
      <w:r w:rsidR="007C571F">
        <w:t>Sterman</w:t>
      </w:r>
      <w:proofErr w:type="spellEnd"/>
      <w:r w:rsidR="007C571F">
        <w:t xml:space="preserve"> et al. (2007) foi ampliado com o propósito de acomodar as modificações necessárias para a simulação no contexto da indústria da manufatura aditiva</w:t>
      </w:r>
      <w:r w:rsidR="00692763">
        <w:t xml:space="preserve">.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00692763" w:rsidRPr="005A1BDD">
        <w:rPr>
          <w:i/>
        </w:rPr>
        <w:t>Latin Hypercube Sampling</w:t>
      </w:r>
      <w:r w:rsidR="00692763">
        <w:t xml:space="preserve">, assim como recomendado pela abordagem RDM. </w:t>
      </w:r>
      <w:r w:rsidR="00692763">
        <w:fldChar w:fldCharType="begin" w:fldLock="1"/>
      </w:r>
      <w:r w:rsidR="00692763">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 "schema" : "https://github.com/citation-style-language/schema/raw/master/csl-citation.json" }</w:instrText>
      </w:r>
      <w:r w:rsidR="00692763">
        <w:fldChar w:fldCharType="separate"/>
      </w:r>
      <w:r w:rsidR="00692763" w:rsidRPr="00024DAB">
        <w:rPr>
          <w:noProof/>
        </w:rPr>
        <w:t>(Lempert et al., 2006)</w:t>
      </w:r>
      <w:r w:rsidR="00692763">
        <w:fldChar w:fldCharType="end"/>
      </w:r>
      <w:r w:rsidR="00692763">
        <w:t>. Foi obtida uma amostra de 200 casos para a representação das incertezas, de modo que cada estratégia testada foi avaliada nas mesmas 200 condições iniciais.</w:t>
      </w:r>
    </w:p>
    <w:p w:rsidR="00FA6222" w:rsidRDefault="00FA6222" w:rsidP="00FA6222">
      <w:pPr>
        <w:pStyle w:val="Legenda"/>
      </w:pPr>
      <w:bookmarkStart w:id="7" w:name="_Ref481330158"/>
      <w:bookmarkStart w:id="8" w:name="_Toc505157889"/>
      <w:r>
        <w:lastRenderedPageBreak/>
        <w:t xml:space="preserve">Figura </w:t>
      </w:r>
      <w:r w:rsidR="00D94472">
        <w:fldChar w:fldCharType="begin"/>
      </w:r>
      <w:r w:rsidR="00D94472">
        <w:instrText xml:space="preserve"> SEQ Figura \* ARABIC </w:instrText>
      </w:r>
      <w:r w:rsidR="00D94472">
        <w:fldChar w:fldCharType="separate"/>
      </w:r>
      <w:r w:rsidR="00A65D24">
        <w:rPr>
          <w:noProof/>
        </w:rPr>
        <w:t>1</w:t>
      </w:r>
      <w:r w:rsidR="00D94472">
        <w:rPr>
          <w:noProof/>
        </w:rPr>
        <w:fldChar w:fldCharType="end"/>
      </w:r>
      <w:bookmarkEnd w:id="7"/>
      <w:r>
        <w:t xml:space="preserve"> – Método de Trabalho – Visão Geral</w:t>
      </w:r>
      <w:bookmarkEnd w:id="8"/>
    </w:p>
    <w:p w:rsidR="00FA6222" w:rsidRDefault="00292872" w:rsidP="00FA6222">
      <w:pPr>
        <w:ind w:firstLine="0"/>
        <w:jc w:val="center"/>
      </w:pPr>
      <w:r>
        <w:rPr>
          <w:noProof/>
        </w:rPr>
        <w:drawing>
          <wp:inline distT="0" distB="0" distL="0" distR="0" wp14:anchorId="06EF6ABA">
            <wp:extent cx="5078095" cy="5047615"/>
            <wp:effectExtent l="0" t="0" r="825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5047615"/>
                    </a:xfrm>
                    <a:prstGeom prst="rect">
                      <a:avLst/>
                    </a:prstGeom>
                    <a:noFill/>
                  </pic:spPr>
                </pic:pic>
              </a:graphicData>
            </a:graphic>
          </wp:inline>
        </w:drawing>
      </w:r>
    </w:p>
    <w:p w:rsidR="00FA6222" w:rsidRDefault="00FA6222" w:rsidP="00FA6222">
      <w:pPr>
        <w:ind w:firstLine="0"/>
        <w:jc w:val="center"/>
      </w:pPr>
      <w:r>
        <w:t xml:space="preserve">Fonte: Elaborado pelo Autor a partir de Lempert et al.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"suppress-author" : 1, "uris" : [ "http://www.mendeley.com/documents/?uuid=4a76305e-bf08-4fcd-b85b-18bd106f7fb5" ] } ], "mendeley" : { "formattedCitation" : "(2006)", "plainTextFormattedCitation" : "(2006)", "previouslyFormattedCitation" : "(2006)" }, "properties" : {  }, "schema" : "https://github.com/citation-style-language/schema/raw/master/csl-citation.json" }</w:instrText>
      </w:r>
      <w:r>
        <w:fldChar w:fldCharType="separate"/>
      </w:r>
      <w:r w:rsidRPr="009E7FA6">
        <w:rPr>
          <w:noProof/>
        </w:rPr>
        <w:t>(2006)</w:t>
      </w:r>
      <w:r>
        <w:fldChar w:fldCharType="end"/>
      </w:r>
      <w:r>
        <w:t>.</w:t>
      </w:r>
    </w:p>
    <w:p w:rsidR="007C571F" w:rsidRDefault="00561740" w:rsidP="00FA6222">
      <w:r>
        <w:t xml:space="preserve">A próxima etapa da análise tratou-se da Descoberta de Cenários. O objetivo desta etapa foi identificar as condições nas quais uma determinada estratégia candidata falhará. </w:t>
      </w:r>
      <w:r>
        <w:fldChar w:fldCharType="begin" w:fldLock="1"/>
      </w:r>
      <w: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"plainTextFormattedCitation" : "(Bryant &amp; Lempert, 2010)", "previouslyFormattedCitation" : "(Bryant &amp; Lempert, 2010)" }, "properties" : {  }, "schema" : "https://github.com/citation-style-language/schema/raw/master/csl-citation.json" }</w:instrText>
      </w:r>
      <w:r>
        <w:fldChar w:fldCharType="separate"/>
      </w:r>
      <w:r w:rsidRPr="00024DAB">
        <w:rPr>
          <w:noProof/>
        </w:rPr>
        <w:t>(Bryant &amp; Lempert, 2010)</w:t>
      </w:r>
      <w:r>
        <w:fldChar w:fldCharType="end"/>
      </w:r>
      <w:r>
        <w:t xml:space="preserve">. O método RDM recomenda a utilização do algoritmo PRIM para a execução da análise de vulnerabilidades de uma determinada estratégia.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"ITEM-2",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Lempert et al., 2006)", "plainTextFormattedCitation" : "(Bryant &amp; Lempert, 2010; Lempert et al., 2006)", "previouslyFormattedCitation" : "(Bryant &amp; Lempert, 2010; Lempert et al., 2006)" }, "properties" : {  }, "schema" : "https://github.com/citation-style-language/schema/raw/master/csl-citation.json" }</w:instrText>
      </w:r>
      <w:r>
        <w:fldChar w:fldCharType="separate"/>
      </w:r>
      <w:r w:rsidRPr="00024DAB">
        <w:rPr>
          <w:noProof/>
        </w:rPr>
        <w:t>(Bryant &amp; Lempert, 2010; Lempert et al., 2006)</w:t>
      </w:r>
      <w:r>
        <w:fldChar w:fldCharType="end"/>
      </w:r>
      <w:r>
        <w:t xml:space="preserve">. Desta maneira, busca-se definir as condições nas quais uma dada estratégia tem maior chance de falhar. No entanto, o algoritmo PRIM possui características que limitam a validade de suas conclusões, se utilizado de modo independente. Como um algoritmo de otimização </w:t>
      </w:r>
      <w:proofErr w:type="spellStart"/>
      <w:r w:rsidRPr="00593DDE">
        <w:rPr>
          <w:i/>
        </w:rPr>
        <w:t>hill</w:t>
      </w:r>
      <w:proofErr w:type="spellEnd"/>
      <w:r w:rsidRPr="00593DDE">
        <w:rPr>
          <w:i/>
        </w:rPr>
        <w:t xml:space="preserve"> </w:t>
      </w:r>
      <w:proofErr w:type="spellStart"/>
      <w:r w:rsidRPr="00593DDE">
        <w:rPr>
          <w:i/>
        </w:rPr>
        <w:t>climbing</w:t>
      </w:r>
      <w:proofErr w:type="spellEnd"/>
      <w:r>
        <w:t xml:space="preserve">, o PRIM possui limitações que podem implicar em escolher incertezas que não são de fato significativas para determinar a variável de interesse. </w:t>
      </w:r>
      <w:r>
        <w:fldChar w:fldCharType="begin" w:fldLock="1"/>
      </w:r>
      <w:r>
        <w:instrText>ADDIN CSL_CITATION { "citationItems" : [ { "id" : "ITEM-1",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"ITEM-1",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"plainTextFormattedCitation" : "(J. H. Kwakkel &amp; Cunningham, 2016)", "previouslyFormattedCitation" : "(J. H. Kwakkel &amp; Cunningham, 2016)" }, "properties" : {  }, "schema" : "https://github.com/citation-style-language/schema/raw/master/csl-citation.json" }</w:instrText>
      </w:r>
      <w:r>
        <w:fldChar w:fldCharType="separate"/>
      </w:r>
      <w:r w:rsidRPr="00024DAB">
        <w:rPr>
          <w:noProof/>
        </w:rPr>
        <w:t>(J. H. Kwakkel &amp; Cunningham, 2016)</w:t>
      </w:r>
      <w:r>
        <w:fldChar w:fldCharType="end"/>
      </w:r>
      <w:r>
        <w:t>.</w:t>
      </w:r>
    </w:p>
    <w:p w:rsidR="00561740" w:rsidRDefault="00561740" w:rsidP="00561740">
      <w:r>
        <w:lastRenderedPageBreak/>
        <w:t xml:space="preserve">A Seleção de variáveis com técnicas de </w:t>
      </w:r>
      <w:proofErr w:type="spellStart"/>
      <w:r>
        <w:rPr>
          <w:i/>
        </w:rPr>
        <w:t>feature</w:t>
      </w:r>
      <w:proofErr w:type="spellEnd"/>
      <w:r>
        <w:rPr>
          <w:i/>
        </w:rPr>
        <w:t xml:space="preserve"> </w:t>
      </w:r>
      <w:proofErr w:type="spellStart"/>
      <w:r>
        <w:rPr>
          <w:i/>
        </w:rPr>
        <w:t>scoring</w:t>
      </w:r>
      <w:proofErr w:type="spellEnd"/>
      <w:r>
        <w:rPr>
          <w:i/>
        </w:rPr>
        <w:t xml:space="preserve"> </w:t>
      </w:r>
      <w:r>
        <w:t xml:space="preserve">é uma alternativa que utiliza </w:t>
      </w:r>
      <w:proofErr w:type="spellStart"/>
      <w:r w:rsidRPr="00955F36">
        <w:rPr>
          <w:i/>
        </w:rPr>
        <w:t>machine</w:t>
      </w:r>
      <w:proofErr w:type="spellEnd"/>
      <w:r w:rsidRPr="00955F36">
        <w:rPr>
          <w:i/>
        </w:rPr>
        <w:t xml:space="preserve"> </w:t>
      </w:r>
      <w:proofErr w:type="spellStart"/>
      <w:r w:rsidRPr="00955F36">
        <w:rPr>
          <w:i/>
        </w:rPr>
        <w:t>learning</w:t>
      </w:r>
      <w:proofErr w:type="spellEnd"/>
      <w:r>
        <w:t xml:space="preserve"> para obter informações sobre a influência relativa de diversos fatores de incerteza sobre um determinado resultado de interesse.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"mendeley" : { "formattedCitation" : "(Jan H. Kwakkel, 2017)", "plainTextFormattedCitation" : "(Jan H. Kwakkel, 2017)", "previouslyFormattedCitation" : "(Jan H. Kwakkel, 2017)" }, "properties" : {  }, "schema" : "https://github.com/citation-style-language/schema/raw/master/csl-citation.json" }</w:instrText>
      </w:r>
      <w:r>
        <w:fldChar w:fldCharType="separate"/>
      </w:r>
      <w:r w:rsidRPr="00024DAB">
        <w:rPr>
          <w:noProof/>
        </w:rPr>
        <w:t>(Jan H. Kwakkel, 2017)</w:t>
      </w:r>
      <w:r>
        <w:fldChar w:fldCharType="end"/>
      </w:r>
      <w:r>
        <w:t>. Esta família de técnicas tem sido adotada recentemente em trabalhos que utilizam modelagem exploratória,</w:t>
      </w:r>
      <w:r w:rsidRPr="009E2F4C">
        <w:t xml:space="preserv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"id" : "ITEM-2",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"ITEM-2",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Jan H. Kwakkel, 2017)", "plainTextFormattedCitation" : "(J. H. Kwakkel &amp; Cunningham, 2016; Jan H. Kwakkel, 2017)", "previouslyFormattedCitation" : "(J. H. Kwakkel &amp; Cunningham, 2016; Jan H. Kwakkel, 2017)" }, "properties" : {  }, "schema" : "https://github.com/citation-style-language/schema/raw/master/csl-citation.json" }</w:instrText>
      </w:r>
      <w:r>
        <w:fldChar w:fldCharType="separate"/>
      </w:r>
      <w:r w:rsidRPr="00024DAB">
        <w:rPr>
          <w:noProof/>
        </w:rPr>
        <w:t>(J. H. Kwakkel &amp; Cunningham, 2016; Jan H. Kwakkel, 2017)</w:t>
      </w:r>
      <w:r>
        <w:fldChar w:fldCharType="end"/>
      </w:r>
      <w:r>
        <w:t xml:space="preserve"> e sustenta-se sobre as vantagens propiciadas pelos algoritmos de data mining. Por este motivo, este trabalho adotou estas técnicas</w:t>
      </w:r>
      <w:r w:rsidR="00692763">
        <w:t xml:space="preserve"> para selecionar variáveis relevantes para o modelo, implementadas por meio do algoritmo </w:t>
      </w:r>
      <w:proofErr w:type="spellStart"/>
      <w:r w:rsidR="00692763">
        <w:t>Boruta</w:t>
      </w:r>
      <w:proofErr w:type="spellEnd"/>
      <w:r>
        <w:t>.</w:t>
      </w:r>
      <w:r w:rsidR="00692763">
        <w:t xml:space="preserve"> </w:t>
      </w:r>
      <w:r w:rsidR="00692763">
        <w:fldChar w:fldCharType="begin" w:fldLock="1"/>
      </w:r>
      <w:r w:rsidR="00692763">
        <w:instrText>ADDIN CSL_CITATION { "citationItems" : [ { "id" : "ITEM-1", "itemData" : { "DOI" : "Vol. 36, Issue 11, Sep 2010", "ISBN" : "1548-7660", "ISSN" : "15487660", "abstract" : "This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 "author" : [ { "dropping-particle" : "", "family" : "Kursa", "given" : "Miron B", "non-dropping-particle" : "", "parse-names" : false, "suffix" : "" }, { "dropping-particle" : "", "family" : "Rudnicki", "given" : "Witold R", "non-dropping-particle" : "", "parse-names" : false, "suffix" : "" } ], "container-title" : "Journal Of Statistical Software", "id" : "ITEM-1", "issue" : "11", "issued" : { "date-parts" : [ [ "2010" ] ] }, "page" : "1-13", "title" : "Feature Selection with the Boruta Package", "type" : "article-journal", "volume" : "36" }, "uris" : [ "http://www.mendeley.com/documents/?uuid=25ffa49e-2d78-42dd-9bde-73601ebb9930" ] } ], "mendeley" : { "formattedCitation" : "(Kursa &amp; Rudnicki, 2010)", "plainTextFormattedCitation" : "(Kursa &amp; Rudnicki, 2010)", "previouslyFormattedCitation" : "(Kursa &amp; Rudnicki, 2010)" }, "properties" : {  }, "schema" : "https://github.com/citation-style-language/schema/raw/master/csl-citation.json" }</w:instrText>
      </w:r>
      <w:r w:rsidR="00692763">
        <w:fldChar w:fldCharType="separate"/>
      </w:r>
      <w:r w:rsidR="00692763" w:rsidRPr="00692763">
        <w:rPr>
          <w:noProof/>
        </w:rPr>
        <w:t>(Kursa &amp; Rudnicki, 2010)</w:t>
      </w:r>
      <w:r w:rsidR="00692763">
        <w:fldChar w:fldCharType="end"/>
      </w:r>
      <w:r>
        <w:t>.</w:t>
      </w:r>
    </w:p>
    <w:p w:rsidR="00BC211B" w:rsidRDefault="00B50AEB" w:rsidP="00B50AEB">
      <w: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fldChar w:fldCharType="begin" w:fldLock="1"/>
      </w:r>
      <w:r w:rsidR="00B04F2F">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024DAB" w:rsidRPr="00024DAB">
        <w:rPr>
          <w:noProof/>
        </w:rPr>
        <w:t>(Lempert et al., 2003)</w:t>
      </w:r>
      <w:r>
        <w:fldChar w:fldCharType="end"/>
      </w:r>
      <w:r>
        <w:t>.</w:t>
      </w:r>
    </w:p>
    <w:p w:rsidR="00523116" w:rsidRDefault="00523116" w:rsidP="00523116">
      <w:pPr>
        <w:pStyle w:val="Ttulo1"/>
      </w:pPr>
      <w:r>
        <w:t>ANÁLISE RDM</w:t>
      </w:r>
    </w:p>
    <w:p w:rsidR="00523116" w:rsidRDefault="00145AD8" w:rsidP="00523116">
      <w:pPr>
        <w:pStyle w:val="Ttulo2"/>
      </w:pPr>
      <w:r>
        <w:t>Modelo de Dinâmica Competitiva</w:t>
      </w:r>
    </w:p>
    <w:p w:rsidR="00600AE6" w:rsidRDefault="00600AE6" w:rsidP="00600AE6">
      <w:r w:rsidRPr="00D606E2">
        <w:t xml:space="preserve">Como mencionando anteriormente, o modelo </w:t>
      </w:r>
      <w:r>
        <w:t xml:space="preserve">adotado por este trabalho foi baseado no modelo de dinâmica competitiva formulado por </w:t>
      </w:r>
      <w:proofErr w:type="spellStart"/>
      <w:r>
        <w:t>Sterman</w:t>
      </w:r>
      <w:proofErr w:type="spellEnd"/>
      <w:r>
        <w:t xml:space="preserve"> et al. (2007)</w:t>
      </w:r>
      <w:r w:rsidRPr="00D606E2">
        <w:t xml:space="preserve">, sendo realizadas alterações para viabilizar a representação dos elementos destacados na seção de estruturação do problema. Segue-se que a formulação do modelo geral é atribuída </w:t>
      </w:r>
      <w:r w:rsidR="00084053">
        <w:t>a</w:t>
      </w:r>
      <w:r w:rsidRPr="00D606E2">
        <w:t xml:space="preserve"> </w:t>
      </w:r>
      <w:proofErr w:type="spellStart"/>
      <w:r w:rsidRPr="00D606E2">
        <w:t>Sterman</w:t>
      </w:r>
      <w:proofErr w:type="spellEnd"/>
      <w:r w:rsidRPr="00D606E2">
        <w:t xml:space="preserve"> et al</w:t>
      </w:r>
      <w:r>
        <w:t>.</w:t>
      </w:r>
      <w:r w:rsidRPr="00D606E2">
        <w:t xml:space="preserve"> (2007), sendo as expansões geradas </w:t>
      </w:r>
      <w:r>
        <w:t>por esta pesquisa</w:t>
      </w:r>
      <w:r w:rsidRPr="00D606E2">
        <w:t xml:space="preserve"> especificamente destacadas </w:t>
      </w:r>
      <w:r>
        <w:t>na descrição do modelo</w:t>
      </w:r>
      <w:r w:rsidRPr="00D606E2">
        <w:t>.</w:t>
      </w:r>
      <w:r>
        <w:t xml:space="preserve"> </w:t>
      </w:r>
      <w:r w:rsidR="007B40A8">
        <w:t>Esta seção apresentará apenas as modificações realizadas em relação ao modelo original, ou que são essenciais para a compreensão do trabalho.</w:t>
      </w:r>
    </w:p>
    <w:p w:rsidR="00600AE6" w:rsidRPr="00D606E2" w:rsidRDefault="00600AE6" w:rsidP="00600AE6">
      <w:pPr>
        <w:pStyle w:val="Ttulo3"/>
      </w:pPr>
      <w:bookmarkStart w:id="9" w:name="_Toc505157964"/>
      <w:r w:rsidRPr="00D606E2">
        <w:t>A Firma</w:t>
      </w:r>
      <w:bookmarkEnd w:id="9"/>
    </w:p>
    <w:p w:rsidR="00600AE6" w:rsidRPr="00870FB0" w:rsidRDefault="00600AE6" w:rsidP="00600AE6">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t,i</m:t>
            </m:r>
          </m:sub>
        </m:sSub>
      </m:oMath>
      <w:r w:rsidRPr="00D606E2">
        <w:t xml:space="preserve"> da firma </w:t>
      </w:r>
      <m:oMath>
        <m:r>
          <w:rPr>
            <w:rFonts w:ascii="Cambria Math" w:hAnsi="Cambria Math"/>
          </w:rPr>
          <m:t>i</m:t>
        </m:r>
      </m:oMath>
      <w:r w:rsidRPr="00D606E2">
        <w:t xml:space="preserve"> </w:t>
      </w:r>
      <w:r>
        <w:t xml:space="preserve">(VPL) </w:t>
      </w:r>
      <w:r w:rsidRPr="00D606E2">
        <w:t xml:space="preserve">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valor presente por um fator </w:t>
      </w:r>
      <m:oMath>
        <m:r>
          <w:rPr>
            <w:rFonts w:ascii="Cambria Math" w:hAnsi="Cambria Math"/>
          </w:rPr>
          <m:t>ρ</m:t>
        </m:r>
      </m:oMath>
      <w:r w:rsidRPr="00D606E2">
        <w:t xml:space="preserve">. </w:t>
      </w:r>
      <w:r>
        <w:t xml:space="preserve">Além disto, leva-se em consideração que a empresa investirá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de sua receita em pesquisa e desenvolvimento. </w:t>
      </w:r>
      <w:r w:rsidRPr="00D606E2">
        <w:t xml:space="preserve">Desta maneira, o lucro líquido da empresa no tempo </w:t>
      </w:r>
      <m:oMath>
        <m:r>
          <w:rPr>
            <w:rFonts w:ascii="Cambria Math" w:hAnsi="Cambria Math"/>
          </w:rPr>
          <m:t>t</m:t>
        </m:r>
      </m:oMath>
      <w:r w:rsidRPr="00D606E2">
        <w:t xml:space="preserve"> s</w:t>
      </w:r>
      <w:r>
        <w:t>erá dado conforme esta equação: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D94472" w:rsidP="003175FC">
            <w:pPr>
              <w:pStyle w:val="Corpodetexto"/>
            </w:pPr>
            <m:oMathPara>
              <m:oMath>
                <m:sSub>
                  <m:sSubPr>
                    <m:ctrlPr>
                      <w:rPr>
                        <w:rFonts w:ascii="Cambria Math" w:hAnsi="Cambria Math"/>
                        <w:sz w:val="24"/>
                      </w:rPr>
                    </m:ctrlPr>
                  </m:sSubPr>
                  <m:e>
                    <m:r>
                      <w:rPr>
                        <w:rFonts w:ascii="Cambria Math" w:hAnsi="Cambria Math"/>
                        <w:sz w:val="24"/>
                      </w:rPr>
                      <m:t>π</m:t>
                    </m:r>
                  </m:e>
                  <m:sub>
                    <m:r>
                      <w:rPr>
                        <w:rFonts w:ascii="Cambria Math" w:hAnsi="Cambria Math"/>
                        <w:sz w:val="24"/>
                      </w:rPr>
                      <m:t>t</m:t>
                    </m:r>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m:rPr>
                        <m:sty m:val="p"/>
                      </m:rPr>
                      <w:rPr>
                        <w:rFonts w:ascii="Cambria Math" w:hAnsi="Cambria Math"/>
                        <w:sz w:val="24"/>
                      </w:rPr>
                      <m:t>[</m:t>
                    </m:r>
                  </m:e>
                </m:nary>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f</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v</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ρ</m:t>
                    </m:r>
                    <m:r>
                      <m:rPr>
                        <m:sty m:val="p"/>
                      </m:rPr>
                      <w:rPr>
                        <w:rFonts w:ascii="Cambria Math" w:hAnsi="Cambria Math"/>
                        <w:sz w:val="24"/>
                      </w:rPr>
                      <m:t>*</m:t>
                    </m:r>
                    <m:r>
                      <w:rPr>
                        <w:rFonts w:ascii="Cambria Math" w:hAnsi="Cambria Math"/>
                        <w:sz w:val="24"/>
                      </w:rPr>
                      <m:t>t</m:t>
                    </m:r>
                  </m:sup>
                </m:sSup>
              </m:oMath>
            </m:oMathPara>
          </w:p>
        </w:tc>
        <w:tc>
          <w:tcPr>
            <w:tcW w:w="643" w:type="dxa"/>
            <w:vAlign w:val="center"/>
          </w:tcPr>
          <w:p w:rsidR="00600AE6" w:rsidRDefault="00600AE6" w:rsidP="003175FC">
            <w:pPr>
              <w:ind w:firstLine="0"/>
              <w:jc w:val="right"/>
            </w:pPr>
            <w:r>
              <w:t>(</w:t>
            </w:r>
            <w:r w:rsidR="007B40A8">
              <w:t>1</w:t>
            </w:r>
            <w:r>
              <w:t>)</w:t>
            </w:r>
          </w:p>
        </w:tc>
      </w:tr>
    </w:tbl>
    <w:p w:rsidR="00600AE6" w:rsidRPr="00870FB0" w:rsidRDefault="00600AE6" w:rsidP="00600AE6">
      <w:r w:rsidRPr="00D606E2">
        <w:t xml:space="preserve">A receita da empresa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rsidRPr="00D606E2">
        <w:t xml:space="preserve">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D94472" w:rsidP="003175FC">
            <w:pPr>
              <w:pStyle w:val="Corpodetexto"/>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sz w:val="24"/>
                  </w:rPr>
                  <m:t>*</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 ;</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den>
                </m:f>
              </m:oMath>
            </m:oMathPara>
          </w:p>
        </w:tc>
        <w:tc>
          <w:tcPr>
            <w:tcW w:w="643" w:type="dxa"/>
            <w:vAlign w:val="center"/>
          </w:tcPr>
          <w:p w:rsidR="00600AE6" w:rsidRDefault="00600AE6" w:rsidP="003175FC">
            <w:pPr>
              <w:ind w:firstLine="0"/>
              <w:jc w:val="right"/>
            </w:pPr>
            <w:r>
              <w:t>(</w:t>
            </w:r>
            <w:r w:rsidR="007B40A8">
              <w:t>2</w:t>
            </w:r>
            <w:r>
              <w:t>)</w:t>
            </w:r>
          </w:p>
        </w:tc>
      </w:tr>
    </w:tbl>
    <w:p w:rsidR="00600AE6" w:rsidRPr="00D606E2" w:rsidRDefault="00600AE6" w:rsidP="00600AE6">
      <w:pPr>
        <w:pStyle w:val="Ttulo3"/>
      </w:pPr>
      <w:bookmarkStart w:id="10" w:name="_Toc505157962"/>
      <w:r w:rsidRPr="00D606E2">
        <w:t>Difusão do Produto</w:t>
      </w:r>
      <w:bookmarkEnd w:id="10"/>
    </w:p>
    <w:p w:rsidR="00600AE6" w:rsidRPr="00336C5F" w:rsidRDefault="00600AE6" w:rsidP="00600AE6">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w:t>
      </w:r>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fldChar w:fldCharType="separate"/>
      </w:r>
      <w:r w:rsidRPr="00024DAB">
        <w:rPr>
          <w:noProof/>
        </w:rPr>
        <w:t>(Bass, 1969)</w:t>
      </w:r>
      <w:r>
        <w:fldChar w:fldCharType="end"/>
      </w:r>
      <w:r>
        <w:t xml:space="preserve">. </w:t>
      </w:r>
      <w:r w:rsidRPr="00D606E2">
        <w:t xml:space="preserve">Neste modelo o crescimento da população de clientes que aderem à uma ideia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D94472" w:rsidP="003175FC">
            <w:pPr>
              <w:pStyle w:val="Corpodetexto"/>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w:rPr>
                        <w:rFonts w:ascii="Cambria Math" w:hAnsi="Cambria Math"/>
                        <w:sz w:val="24"/>
                      </w:rPr>
                      <m:t>MAX</m:t>
                    </m:r>
                  </m:e>
                </m:nary>
                <m:d>
                  <m:dPr>
                    <m:ctrlPr>
                      <w:rPr>
                        <w:rFonts w:ascii="Cambria Math" w:hAnsi="Cambria Math"/>
                        <w:sz w:val="24"/>
                      </w:rPr>
                    </m:ctrlPr>
                  </m:dPr>
                  <m:e>
                    <m:r>
                      <m:rPr>
                        <m:sty m:val="p"/>
                      </m:rPr>
                      <w:rPr>
                        <w:rFonts w:ascii="Cambria Math" w:hAnsi="Cambria Math"/>
                        <w:sz w:val="24"/>
                      </w:rPr>
                      <m:t>0,</m:t>
                    </m:r>
                    <m:r>
                      <w:rPr>
                        <w:rFonts w:ascii="Cambria Math" w:hAnsi="Cambria Math"/>
                        <w:sz w:val="24"/>
                      </w:rPr>
                      <m:t>N</m:t>
                    </m:r>
                    <m:d>
                      <m:dPr>
                        <m:ctrlPr>
                          <w:rPr>
                            <w:rFonts w:ascii="Cambria Math" w:hAnsi="Cambria Math"/>
                            <w:sz w:val="24"/>
                          </w:rPr>
                        </m:ctrlPr>
                      </m:dPr>
                      <m:e>
                        <m:r>
                          <w:rPr>
                            <w:rFonts w:ascii="Cambria Math" w:hAnsi="Cambria Math"/>
                            <w:sz w:val="24"/>
                          </w:rPr>
                          <m:t>α</m:t>
                        </m:r>
                        <m:r>
                          <m:rPr>
                            <m:sty m:val="p"/>
                          </m:rPr>
                          <w:rPr>
                            <w:rFonts w:ascii="Cambria Math" w:hAnsi="Cambria Math"/>
                            <w:sz w:val="24"/>
                          </w:rPr>
                          <m:t>+</m:t>
                        </m:r>
                        <m:r>
                          <w:rPr>
                            <w:rFonts w:ascii="Cambria Math" w:hAnsi="Cambria Math"/>
                            <w:sz w:val="24"/>
                          </w:rPr>
                          <m:t>β</m:t>
                        </m:r>
                        <m:f>
                          <m:fPr>
                            <m:ctrlPr>
                              <w:rPr>
                                <w:rFonts w:ascii="Cambria Math" w:hAnsi="Cambria Math"/>
                                <w:sz w:val="24"/>
                              </w:rPr>
                            </m:ctrlPr>
                          </m:fPr>
                          <m:num>
                            <m:r>
                              <w:rPr>
                                <w:rFonts w:ascii="Cambria Math" w:hAnsi="Cambria Math"/>
                                <w:sz w:val="24"/>
                              </w:rPr>
                              <m:t>A</m:t>
                            </m:r>
                          </m:num>
                          <m:den>
                            <m:r>
                              <w:rPr>
                                <w:rFonts w:ascii="Cambria Math" w:hAnsi="Cambria Math"/>
                                <w:sz w:val="24"/>
                              </w:rPr>
                              <m:t>POP</m:t>
                            </m:r>
                          </m:den>
                        </m:f>
                      </m:e>
                    </m:d>
                  </m:e>
                </m:d>
              </m:oMath>
            </m:oMathPara>
          </w:p>
        </w:tc>
        <w:tc>
          <w:tcPr>
            <w:tcW w:w="643" w:type="dxa"/>
            <w:vAlign w:val="center"/>
          </w:tcPr>
          <w:p w:rsidR="00600AE6" w:rsidRDefault="00600AE6" w:rsidP="003175FC">
            <w:pPr>
              <w:ind w:firstLine="0"/>
              <w:jc w:val="right"/>
            </w:pPr>
            <w:r>
              <w:t>(</w:t>
            </w:r>
            <w:r w:rsidR="007B40A8">
              <w:t>3</w:t>
            </w:r>
            <w:r>
              <w:t>)</w:t>
            </w:r>
          </w:p>
        </w:tc>
      </w:tr>
    </w:tbl>
    <w:p w:rsidR="00600AE6" w:rsidRPr="00870FB0" w:rsidRDefault="00600AE6" w:rsidP="00600AE6">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600AE6" w:rsidP="003175FC">
            <w:pPr>
              <w:pStyle w:val="Corpodetexto"/>
            </w:pPr>
            <m:oMathPara>
              <m:oMath>
                <m:r>
                  <w:rPr>
                    <w:rFonts w:ascii="Cambria Math" w:hAnsi="Cambria Math"/>
                    <w:sz w:val="24"/>
                  </w:rPr>
                  <m:t>N</m:t>
                </m:r>
                <m:r>
                  <m:rPr>
                    <m:sty m:val="p"/>
                  </m:rPr>
                  <w:rPr>
                    <w:rFonts w:ascii="Cambria Math" w:hAnsi="Cambria Math"/>
                    <w:sz w:val="24"/>
                  </w:rPr>
                  <m:t>=</m:t>
                </m:r>
                <m:r>
                  <w:rPr>
                    <w:rFonts w:ascii="Cambria Math" w:hAnsi="Cambria Math"/>
                    <w:sz w:val="24"/>
                  </w:rPr>
                  <m:t>MAX</m:t>
                </m:r>
                <m:r>
                  <m:rPr>
                    <m:sty m:val="p"/>
                  </m:rPr>
                  <w:rPr>
                    <w:rFonts w:ascii="Cambria Math" w:hAnsi="Cambria Math"/>
                    <w:sz w:val="24"/>
                  </w:rPr>
                  <m:t>(0,</m:t>
                </m:r>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A)</m:t>
                </m:r>
              </m:oMath>
            </m:oMathPara>
          </w:p>
        </w:tc>
        <w:tc>
          <w:tcPr>
            <w:tcW w:w="643" w:type="dxa"/>
            <w:vAlign w:val="center"/>
          </w:tcPr>
          <w:p w:rsidR="00600AE6" w:rsidRDefault="00600AE6" w:rsidP="003175FC">
            <w:pPr>
              <w:ind w:firstLine="0"/>
              <w:jc w:val="right"/>
            </w:pPr>
            <w:r>
              <w:t>(</w:t>
            </w:r>
            <w:r w:rsidR="007B40A8">
              <w:t>4</w:t>
            </w:r>
            <w:r>
              <w:t>)</w:t>
            </w:r>
          </w:p>
        </w:tc>
      </w:tr>
    </w:tbl>
    <w:p w:rsidR="00600AE6" w:rsidRDefault="00600AE6" w:rsidP="00600AE6">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D94472" w:rsidP="003175FC">
            <w:pPr>
              <w:pStyle w:val="Corpodetexto"/>
            </w:pPr>
            <m:oMathPara>
              <m:oMath>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MIN</m:t>
                </m:r>
                <m:d>
                  <m:dPr>
                    <m:ctrlPr>
                      <w:rPr>
                        <w:rFonts w:ascii="Cambria Math" w:hAnsi="Cambria Math"/>
                        <w:sz w:val="24"/>
                      </w:rPr>
                    </m:ctrlPr>
                  </m:dPr>
                  <m:e>
                    <m:r>
                      <w:rPr>
                        <w:rFonts w:ascii="Cambria Math" w:hAnsi="Cambria Math"/>
                        <w:sz w:val="24"/>
                      </w:rPr>
                      <m:t>POP</m:t>
                    </m:r>
                    <m:r>
                      <m:rPr>
                        <m:sty m:val="p"/>
                      </m:rPr>
                      <w:rPr>
                        <w:rFonts w:ascii="Cambria Math" w:hAnsi="Cambria Math"/>
                        <w:sz w:val="24"/>
                      </w:rPr>
                      <m:t>,</m:t>
                    </m:r>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r>
                      <w:rPr>
                        <w:rFonts w:ascii="Cambria Math" w:hAnsi="Cambria Math"/>
                        <w:sz w:val="24"/>
                      </w:rPr>
                      <m:t>MAX</m:t>
                    </m:r>
                    <m:d>
                      <m:dPr>
                        <m:ctrlPr>
                          <w:rPr>
                            <w:rFonts w:ascii="Cambria Math" w:hAnsi="Cambria Math"/>
                            <w:sz w:val="24"/>
                          </w:rPr>
                        </m:ctrlPr>
                      </m:dPr>
                      <m:e>
                        <m:r>
                          <m:rPr>
                            <m:sty m:val="p"/>
                          </m:rPr>
                          <w:rPr>
                            <w:rFonts w:ascii="Cambria Math" w:hAnsi="Cambria Math"/>
                            <w:sz w:val="24"/>
                          </w:rPr>
                          <m:t>0,1+</m:t>
                        </m:r>
                        <m:f>
                          <m:fPr>
                            <m:ctrlPr>
                              <w:rPr>
                                <w:rFonts w:ascii="Cambria Math" w:hAnsi="Cambria Math"/>
                                <w:sz w:val="24"/>
                              </w:rPr>
                            </m:ctrlPr>
                          </m:fPr>
                          <m:num>
                            <m:r>
                              <w:rPr>
                                <w:rFonts w:ascii="Cambria Math" w:hAnsi="Cambria Math"/>
                                <w:sz w:val="24"/>
                              </w:rPr>
                              <m:t>σ</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min</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num>
                          <m:den>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e>
                </m:d>
              </m:oMath>
            </m:oMathPara>
          </w:p>
        </w:tc>
        <w:tc>
          <w:tcPr>
            <w:tcW w:w="643" w:type="dxa"/>
            <w:vAlign w:val="center"/>
          </w:tcPr>
          <w:p w:rsidR="00600AE6" w:rsidRDefault="00600AE6" w:rsidP="003175FC">
            <w:pPr>
              <w:ind w:firstLine="0"/>
              <w:jc w:val="right"/>
            </w:pPr>
            <w:r>
              <w:t>(</w:t>
            </w:r>
            <w:r w:rsidR="007B40A8">
              <w:t>5</w:t>
            </w:r>
            <w:r>
              <w:t>)</w:t>
            </w:r>
          </w:p>
        </w:tc>
      </w:tr>
    </w:tbl>
    <w:p w:rsidR="00600AE6" w:rsidRPr="00D606E2" w:rsidRDefault="00600AE6" w:rsidP="00600AE6">
      <w:pPr>
        <w:pStyle w:val="Ttulo3"/>
      </w:pPr>
      <w:bookmarkStart w:id="11" w:name="_Toc505157963"/>
      <w:r w:rsidRPr="00D606E2">
        <w:t xml:space="preserve">Market </w:t>
      </w:r>
      <w:proofErr w:type="spellStart"/>
      <w:r w:rsidRPr="00D606E2">
        <w:t>Share</w:t>
      </w:r>
      <w:bookmarkEnd w:id="11"/>
      <w:proofErr w:type="spellEnd"/>
    </w:p>
    <w:p w:rsidR="00600AE6" w:rsidRDefault="00600AE6" w:rsidP="00600AE6">
      <w:r w:rsidRPr="00D606E2">
        <w:t xml:space="preserve">Assim como no modelo de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a atratividade de cada player é calculada com base em um modelo </w:t>
      </w:r>
      <w:proofErr w:type="spellStart"/>
      <w:r w:rsidRPr="00E31418">
        <w:rPr>
          <w:i/>
        </w:rPr>
        <w:t>logit</w:t>
      </w:r>
      <w:proofErr w:type="spellEnd"/>
      <w:r w:rsidRPr="00D606E2">
        <w:t xml:space="preserve"> de decisão. Neste modelo, a atratividade de cada um dos players é calculada de acordo com um conjunto de critérios competitivos</w:t>
      </w:r>
      <w:r w:rsidR="00FB4901">
        <w:t>, incluindo a performance da impressora 3D</w:t>
      </w:r>
      <w:r w:rsidRPr="00D606E2">
        <w:t xml:space="preserve">. Originalmente, a atratividade de cada player modelada por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considerava apenas preço e tempo de entrega como critérios competitivos. </w:t>
      </w:r>
    </w:p>
    <w:p w:rsidR="00600AE6" w:rsidRPr="00870FB0" w:rsidRDefault="00FB4901" w:rsidP="001005E0">
      <w:r>
        <w:t>A</w:t>
      </w:r>
      <w:r w:rsidR="00600AE6" w:rsidRPr="00D606E2">
        <w:t xml:space="preserve"> atratividade dos players</w:t>
      </w:r>
      <w:r w:rsidR="00600AE6">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00AE6" w:rsidRPr="00D606E2">
        <w:t xml:space="preserve">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00AE6"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00600AE6"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00AE6" w:rsidRPr="00D606E2">
        <w:t xml:space="preserve"> e o tempo de entrega de referência</w:t>
      </w:r>
      <w:r w:rsidR="00600AE6">
        <w:t xml:space="preserve">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00600AE6"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00AE6"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00AE6"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600AE6"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00600AE6"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00600AE6" w:rsidRPr="00D606E2">
        <w:t xml:space="preserve"> modulam a preferência do mercado em relação a cada um destes critérios competitivos.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D94472" w:rsidP="003175FC">
            <w:pPr>
              <w:pStyle w:val="Corpodetexto"/>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τ</m:t>
                        </m:r>
                      </m:e>
                      <m:sup>
                        <m:r>
                          <w:rPr>
                            <w:rFonts w:ascii="Cambria Math" w:hAnsi="Cambria Math"/>
                            <w:sz w:val="24"/>
                          </w:rPr>
                          <m:t>r</m:t>
                        </m:r>
                      </m:sup>
                    </m:sSup>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x</m:t>
                        </m:r>
                      </m:sub>
                    </m:sSub>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r</m:t>
                            </m:r>
                          </m:sup>
                        </m:sSup>
                      </m:num>
                      <m:den>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en>
                    </m:f>
                  </m:e>
                </m:d>
              </m:oMath>
            </m:oMathPara>
          </w:p>
        </w:tc>
        <w:tc>
          <w:tcPr>
            <w:tcW w:w="643" w:type="dxa"/>
            <w:vAlign w:val="center"/>
          </w:tcPr>
          <w:p w:rsidR="00600AE6" w:rsidRDefault="00600AE6" w:rsidP="003175FC">
            <w:pPr>
              <w:ind w:firstLine="0"/>
              <w:jc w:val="right"/>
            </w:pPr>
            <w:r>
              <w:t>(</w:t>
            </w:r>
            <w:r w:rsidR="007B40A8">
              <w:t>6</w:t>
            </w:r>
            <w:r>
              <w:t>)</w:t>
            </w:r>
          </w:p>
        </w:tc>
      </w:tr>
    </w:tbl>
    <w:p w:rsidR="00600AE6" w:rsidRPr="00D606E2" w:rsidRDefault="00600AE6" w:rsidP="00600AE6">
      <w:pPr>
        <w:pStyle w:val="Ttulo3"/>
      </w:pPr>
      <w:bookmarkStart w:id="12" w:name="_Toc505157969"/>
      <w:r w:rsidRPr="00D606E2">
        <w:t>Pesquisa e Desenvolvimento</w:t>
      </w:r>
      <w:bookmarkEnd w:id="12"/>
    </w:p>
    <w:p w:rsidR="00600AE6" w:rsidRPr="00D606E2" w:rsidRDefault="00600AE6" w:rsidP="00600AE6">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em pesquisa e desenvolvimento, na expectativa de melhorar a performance de seus produtos ao longo do tempo. Este investimento, no entanto</w:t>
      </w:r>
      <w:r>
        <w:t>,</w:t>
      </w:r>
      <w:r w:rsidRPr="00D606E2">
        <w:t xml:space="preserve"> não gera retorno instantaneamente,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oMath>
            </m:oMathPara>
          </w:p>
        </w:tc>
        <w:tc>
          <w:tcPr>
            <w:tcW w:w="643" w:type="dxa"/>
            <w:vAlign w:val="center"/>
          </w:tcPr>
          <w:p w:rsidR="00600AE6" w:rsidRDefault="00600AE6" w:rsidP="003175FC">
            <w:pPr>
              <w:ind w:firstLine="0"/>
              <w:jc w:val="right"/>
            </w:pPr>
            <w:r>
              <w:t>(</w:t>
            </w:r>
            <w:r w:rsidR="007B40A8">
              <w:t>7</w:t>
            </w:r>
            <w:r>
              <w:t>)</w:t>
            </w:r>
          </w:p>
        </w:tc>
      </w:tr>
    </w:tbl>
    <w:p w:rsidR="00600AE6" w:rsidRPr="00D606E2" w:rsidRDefault="00600AE6" w:rsidP="00FB4901">
      <w:r w:rsidRPr="00D606E2">
        <w:t>Neste trabalho, o resultado do investimento em pesquisa e desenvolvimento será materializado no desenvolvimento de patentes</w:t>
      </w:r>
      <w:r w:rsidR="00FB4901">
        <w:t xml:space="preserve">, </w:t>
      </w:r>
      <w:r>
        <w:t>considerando a importância da expiração de patentes para o crescimento da indústria da manufatura aditiva.</w:t>
      </w:r>
      <w:r>
        <w:fldChar w:fldCharType="begin" w:fldLock="1"/>
      </w:r>
      <w:r>
        <w:instrText>ADDIN CSL_CITATION { "citationItems" : [ { "id" : "ITEM-1", "itemData" : { "URL" : "https://wohlersassociates.com/blog/2016/01/popularity-of-fdm/", "accessed" : { "date-parts" : [ [ "2017", "12", "10" ] ] }, "author" : [ { "dropping-particle" : "", "family" : "Wholers", "given" : "Terry", "non-dropping-particle" : "", "parse-names" : false, "suffix" : "" } ], "id" : "ITEM-1", "issued" : { "date-parts" : [ [ "2016" ] ] }, "title" : "Popularity of FDM", "type" : "webpage" }, "uris" : [ "http://www.mendeley.com/documents/?uuid=73e88053-2d7f-4112-b60d-6fb4664fdbfa" ] } ], "mendeley" : { "formattedCitation" : "(Wholers, 2016)", "plainTextFormattedCitation" : "(Wholers, 2016)", "previouslyFormattedCitation" : "(Wholers, 2016)" }, "properties" : {  }, "schema" : "https://github.com/citation-style-language/schema/raw/master/csl-citation.json" }</w:instrText>
      </w:r>
      <w:r>
        <w:fldChar w:fldCharType="separate"/>
      </w:r>
      <w:r w:rsidRPr="00024DAB">
        <w:rPr>
          <w:noProof/>
        </w:rPr>
        <w:t>(Wholers, 2016)</w:t>
      </w:r>
      <w:r>
        <w:fldChar w:fldCharType="end"/>
      </w:r>
      <w:r>
        <w:t>.</w:t>
      </w:r>
      <w:r w:rsidRPr="00D606E2">
        <w:t xml:space="preserve"> </w:t>
      </w:r>
      <w:r w:rsidR="00FB4901">
        <w:t>O</w:t>
      </w:r>
      <w:r w:rsidRPr="00D606E2">
        <w:t xml:space="preserve">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w:t>
      </w:r>
      <w:r w:rsidRPr="00D606E2">
        <w:lastRenderedPageBreak/>
        <w:t xml:space="preserve">quais dependem da realização do investimento em P&amp;D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den>
                </m:f>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oMath>
            </m:oMathPara>
          </w:p>
        </w:tc>
        <w:tc>
          <w:tcPr>
            <w:tcW w:w="643" w:type="dxa"/>
            <w:vAlign w:val="center"/>
          </w:tcPr>
          <w:p w:rsidR="00600AE6" w:rsidRDefault="00600AE6" w:rsidP="003175FC">
            <w:pPr>
              <w:ind w:firstLine="0"/>
              <w:jc w:val="right"/>
            </w:pPr>
            <w:r>
              <w:t>(</w:t>
            </w:r>
            <w:r w:rsidR="007B40A8">
              <w:t>8</w:t>
            </w:r>
            <w:r>
              <w:t>)</w:t>
            </w:r>
          </w:p>
        </w:tc>
      </w:tr>
    </w:tbl>
    <w:p w:rsidR="00600AE6" w:rsidRPr="00447AB9" w:rsidRDefault="00600AE6" w:rsidP="00600AE6">
      <w:r>
        <w:t xml:space="preserve">No modelo, uma fração </w:t>
      </w:r>
      <m:oMath>
        <m:r>
          <w:rPr>
            <w:rFonts w:ascii="Cambria Math" w:hAnsi="Cambria Math"/>
          </w:rPr>
          <m:t>ψ</m:t>
        </m:r>
      </m:oMath>
      <w:r w:rsidRPr="00D606E2">
        <w:t xml:space="preserve"> </w:t>
      </w:r>
      <w:r>
        <w:t xml:space="preserve"> das solicitações de patentes é rejeitada. </w:t>
      </w: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w:t>
      </w:r>
      <w:r>
        <w:t>e patentes em posse da empresa.</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9</w:t>
            </w:r>
            <w:r>
              <w:t>)</w:t>
            </w:r>
          </w:p>
        </w:tc>
      </w:tr>
    </w:tbl>
    <w:p w:rsidR="00600AE6" w:rsidRPr="00D606E2" w:rsidRDefault="00600AE6" w:rsidP="00600AE6">
      <w:r w:rsidRPr="00D606E2">
        <w:t xml:space="preserve">De modo semelhante, o estoque de patentes </w:t>
      </w:r>
      <w:r w:rsidRPr="00FB4901">
        <w:rPr>
          <w:i/>
        </w:rPr>
        <w:t xml:space="preserve">open </w:t>
      </w:r>
      <w:proofErr w:type="spellStart"/>
      <w:r w:rsidRPr="00FB4901">
        <w:rPr>
          <w:i/>
        </w:rPr>
        <w:t>source</w:t>
      </w:r>
      <w:proofErr w:type="spellEnd"/>
      <w:r w:rsidRPr="00D606E2">
        <w:t xml:space="preserv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10</w:t>
            </w:r>
            <w:r>
              <w:t>)</w:t>
            </w:r>
          </w:p>
        </w:tc>
      </w:tr>
    </w:tbl>
    <w:p w:rsidR="00600AE6" w:rsidRPr="00D606E2" w:rsidRDefault="00600AE6" w:rsidP="00600AE6">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i</m:t>
                    </m:r>
                  </m:sup>
                </m:sSup>
              </m:oMath>
            </m:oMathPara>
          </w:p>
        </w:tc>
        <w:tc>
          <w:tcPr>
            <w:tcW w:w="643" w:type="dxa"/>
            <w:vAlign w:val="center"/>
          </w:tcPr>
          <w:p w:rsidR="00600AE6" w:rsidRDefault="00600AE6" w:rsidP="003175FC">
            <w:pPr>
              <w:ind w:firstLine="0"/>
              <w:jc w:val="right"/>
            </w:pPr>
            <w:r>
              <w:t>(</w:t>
            </w:r>
            <w:r w:rsidR="007B40A8">
              <w:t>11</w:t>
            </w:r>
            <w:r>
              <w:t>)</w:t>
            </w:r>
          </w:p>
        </w:tc>
      </w:tr>
    </w:tbl>
    <w:p w:rsidR="00600AE6" w:rsidRPr="00D606E2" w:rsidRDefault="00600AE6" w:rsidP="00600AE6">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capitalizando-se sobre todas as patentes disponíveis.</w:t>
      </w:r>
      <w:r>
        <w:t xml:space="preserve"> Este fenômeno é observável na indústria da manufatura aditiva, sendo notável na expiração de patentes da tecnologia FDM, motivando outros players a entrar no mercado. </w:t>
      </w:r>
      <w:r>
        <w:fldChar w:fldCharType="begin" w:fldLock="1"/>
      </w:r>
      <w:r>
        <w:instrText>ADDIN CSL_CITATION { "citationItems" : [ { "id" : "ITEM-1", "itemData" : { "ISBN" : "978-0-9913332-0-2", "abstract" : "Wohlers report on some history of AM up to 2011", "author" : [ { "dropping-particle" : "", "family" : "Wohlers", "given" : "Terry", "non-dropping-particle" : "", "parse-names" : false, "suffix" : "" }, { "dropping-particle" : "", "family" : "Gornet", "given" : "Tim", "non-dropping-particle" : "", "parse-names" : false, "suffix" : "" } ], "container-title" : "Wohlers Report 2016", "id" : "ITEM-1", "issued" : { "date-parts" : [ [ "2016" ] ] }, "page" : "1-23", "title" : "History of additive manufacturing", "type" : "chapter" }, "uris" : [ "http://www.mendeley.com/documents/?uuid=1132f1f6-c688-4b12-9d73-9d56a1419be1" ] } ], "mendeley" : { "formattedCitation" : "(Wohlers &amp; Gornet, 2016)", "plainTextFormattedCitation" : "(Wohlers &amp; Gornet, 2016)", "previouslyFormattedCitation" : "(Wohlers &amp; Gornet, 2016)" }, "properties" : {  }, "schema" : "https://github.com/citation-style-language/schema/raw/master/csl-citation.json" }</w:instrText>
      </w:r>
      <w:r>
        <w:fldChar w:fldCharType="separate"/>
      </w:r>
      <w:r w:rsidRPr="00024DAB">
        <w:rPr>
          <w:noProof/>
        </w:rPr>
        <w:t>(Wohlers &amp; Gornet, 2016)</w:t>
      </w:r>
      <w:r>
        <w:fldChar w:fldCharType="end"/>
      </w:r>
      <w:r>
        <w:t>.</w:t>
      </w:r>
      <w:r w:rsidRPr="00D606E2">
        <w:t xml:space="preserve">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D94472" w:rsidP="003175FC">
            <w:pPr>
              <w:pStyle w:val="Corpodetexto"/>
              <w:rPr>
                <w:rFonts w:eastAsiaTheme="minorEastAsia"/>
              </w:rPr>
            </w:pPr>
            <m:oMathPara>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12</w:t>
            </w:r>
            <w:r>
              <w:t>)</w:t>
            </w:r>
          </w:p>
        </w:tc>
      </w:tr>
    </w:tbl>
    <w:p w:rsidR="00600AE6" w:rsidRPr="00DA262A" w:rsidRDefault="00600AE6" w:rsidP="00600AE6">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t xml:space="preserve">.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D94472" w:rsidP="003175FC">
            <w:pPr>
              <w:pStyle w:val="Corpodetexto"/>
              <w:rPr>
                <w:rFonts w:eastAsiaTheme="minorEastAsia"/>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r>
                  <w:rPr>
                    <w:rFonts w:ascii="Cambria Math" w:hAnsi="Cambria Math"/>
                    <w:sz w:val="24"/>
                  </w:rPr>
                  <m:t>MAX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min</m:t>
                    </m:r>
                  </m:sup>
                </m:sSup>
                <m:r>
                  <m:rPr>
                    <m:sty m:val="p"/>
                  </m:rPr>
                  <w:rPr>
                    <w:rFonts w:ascii="Cambria Math" w:hAnsi="Cambria Math"/>
                    <w:sz w:val="24"/>
                  </w:rPr>
                  <m:t>,</m:t>
                </m:r>
                <m:r>
                  <w:rPr>
                    <w:rFonts w:ascii="Cambria Math" w:hAnsi="Cambria Math"/>
                    <w:sz w:val="24"/>
                  </w:rPr>
                  <m:t>MIN</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max</m:t>
                    </m:r>
                  </m:sup>
                </m:sSup>
                <m:r>
                  <m:rPr>
                    <m:sty m:val="p"/>
                  </m:rPr>
                  <w:rPr>
                    <w:rFonts w:ascii="Cambria Math" w:hAnsi="Cambria Math"/>
                    <w:sz w:val="24"/>
                  </w:rPr>
                  <m:t>,</m:t>
                </m:r>
                <m:r>
                  <w:rPr>
                    <w:rFonts w:ascii="Cambria Math" w:hAnsi="Cambria Math"/>
                    <w:sz w:val="24"/>
                  </w:rPr>
                  <m:t>ϕ</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oMath>
            </m:oMathPara>
          </w:p>
        </w:tc>
        <w:tc>
          <w:tcPr>
            <w:tcW w:w="643" w:type="dxa"/>
            <w:vAlign w:val="center"/>
          </w:tcPr>
          <w:p w:rsidR="00600AE6" w:rsidRDefault="00600AE6" w:rsidP="003175FC">
            <w:pPr>
              <w:ind w:firstLine="0"/>
              <w:jc w:val="right"/>
            </w:pPr>
            <w:r>
              <w:t>(</w:t>
            </w:r>
            <w:r w:rsidR="007B40A8">
              <w:t>13</w:t>
            </w:r>
            <w:r>
              <w:t>)</w:t>
            </w:r>
          </w:p>
        </w:tc>
      </w:tr>
    </w:tbl>
    <w:p w:rsidR="00600AE6" w:rsidRPr="00DA262A" w:rsidRDefault="00600AE6" w:rsidP="00600AE6">
      <w:r>
        <w:t xml:space="preserve">Finalmente, o investimento realizado em pesquisa e desenvolvimento deve impor pressão sobre os custos dos players que investem em pesquisa e desenvolvimento. Para tanto, formula-se uma variável como um estoque de investimento em pesquisa e desenvolvimento a depreciar </w:t>
      </w:r>
      <m:oMath>
        <m:sSup>
          <m:sSupPr>
            <m:ctrlPr>
              <w:rPr>
                <w:rFonts w:ascii="Cambria Math" w:hAnsi="Cambria Math"/>
                <w:i/>
                <w:lang w:val="en-US" w:eastAsia="en-US"/>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hAnsi="Cambria Math"/>
              </w:rPr>
              <m:t>D</m:t>
            </m:r>
          </m:sup>
        </m:sSup>
      </m:oMath>
      <w:r>
        <w:t xml:space="preserve">, a qual cresce à medida que a empresa realiza novos investimentos, e decresce considerando o tempo de realização do investimento </w:t>
      </w:r>
      <m:oMath>
        <m:sSup>
          <m:sSupPr>
            <m:ctrlPr>
              <w:rPr>
                <w:rFonts w:ascii="Cambria Math" w:hAnsi="Cambria Math"/>
              </w:rPr>
            </m:ctrlPr>
          </m:sSupPr>
          <m:e>
            <m:r>
              <w:rPr>
                <w:rFonts w:ascii="Cambria Math" w:hAnsi="Cambria Math"/>
              </w:rPr>
              <m:t>υ</m:t>
            </m:r>
          </m:e>
          <m:sup>
            <m:r>
              <w:rPr>
                <w:rFonts w:ascii="Cambria Math" w:hAnsi="Cambria Math"/>
              </w:rPr>
              <m:t>r</m:t>
            </m:r>
          </m:sup>
        </m:sSup>
      </m:oMath>
      <w:r>
        <w:t xml:space="preserve">, avaliação da patente </w:t>
      </w:r>
      <m:oMath>
        <m:sSup>
          <m:sSupPr>
            <m:ctrlPr>
              <w:rPr>
                <w:rFonts w:ascii="Cambria Math" w:hAnsi="Cambria Math"/>
              </w:rPr>
            </m:ctrlPr>
          </m:sSupPr>
          <m:e>
            <m:r>
              <w:rPr>
                <w:rFonts w:ascii="Cambria Math" w:hAnsi="Cambria Math"/>
              </w:rPr>
              <m:t>υ</m:t>
            </m:r>
          </m:e>
          <m:sup>
            <m:r>
              <w:rPr>
                <w:rFonts w:ascii="Cambria Math" w:hAnsi="Cambria Math"/>
              </w:rPr>
              <m:t>a</m:t>
            </m:r>
          </m:sup>
        </m:sSup>
      </m:oMath>
      <w:r>
        <w:t xml:space="preserve"> e expiração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d</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w:rPr>
                    <w:rFonts w:ascii="Cambria Math" w:eastAsia="Times New Roman"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 xml:space="preserve">- </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oMath>
            </m:oMathPara>
          </w:p>
        </w:tc>
        <w:tc>
          <w:tcPr>
            <w:tcW w:w="643" w:type="dxa"/>
            <w:vAlign w:val="center"/>
          </w:tcPr>
          <w:p w:rsidR="00600AE6" w:rsidRDefault="00600AE6" w:rsidP="003175FC">
            <w:pPr>
              <w:ind w:firstLine="0"/>
              <w:jc w:val="right"/>
            </w:pPr>
            <w:r>
              <w:t>(</w:t>
            </w:r>
            <w:r w:rsidR="007B6665">
              <w:t>14</w:t>
            </w:r>
            <w:r>
              <w:t>)</w:t>
            </w:r>
          </w:p>
        </w:tc>
      </w:tr>
    </w:tbl>
    <w:p w:rsidR="00600AE6" w:rsidRPr="00DA262A" w:rsidRDefault="00600AE6" w:rsidP="00600AE6">
      <w:r>
        <w:t xml:space="preserve">Finalmente, a parcela dos custos fixos da empresa relacionadas à pesquisa e desenvolvimento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oMath>
      <w:r>
        <w:t xml:space="preserve">  é obtida pela razão entre o valor da depreciação anual calculado e o número de produtos entregues pela empresa anualmente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para que possa compor seus custos na definição de seu preço.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p</m:t>
                    </m:r>
                  </m:sup>
                </m:sSubSup>
                <m:r>
                  <w:rPr>
                    <w:rFonts w:ascii="Cambria Math" w:eastAsia="Times New Roman" w:hAnsi="Cambria Math"/>
                    <w:sz w:val="24"/>
                  </w:rPr>
                  <m:t xml:space="preserve">=  </m:t>
                </m:r>
                <m:f>
                  <m:fPr>
                    <m:ctrlPr>
                      <w:rPr>
                        <w:rFonts w:ascii="Cambria Math" w:eastAsia="Times New Roman" w:hAnsi="Cambria Math"/>
                        <w:i/>
                        <w:sz w:val="24"/>
                      </w:rPr>
                    </m:ctrlPr>
                  </m:fPr>
                  <m:num>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num>
                  <m:den>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en>
                </m:f>
                <m:r>
                  <w:rPr>
                    <w:rFonts w:ascii="Cambria Math" w:eastAsia="Times New Roman" w:hAnsi="Cambria Math"/>
                    <w:sz w:val="24"/>
                  </w:rPr>
                  <m:t xml:space="preserve"> </m:t>
                </m:r>
                <m:r>
                  <m:rPr>
                    <m:sty m:val="p"/>
                  </m:rPr>
                  <w:rPr>
                    <w:rFonts w:ascii="Cambria Math" w:hAnsi="Cambria Math"/>
                    <w:sz w:val="24"/>
                  </w:rPr>
                  <m:t xml:space="preserve"> </m:t>
                </m:r>
              </m:oMath>
            </m:oMathPara>
          </w:p>
        </w:tc>
        <w:tc>
          <w:tcPr>
            <w:tcW w:w="643" w:type="dxa"/>
            <w:vAlign w:val="center"/>
          </w:tcPr>
          <w:p w:rsidR="00600AE6" w:rsidRDefault="00600AE6" w:rsidP="003175FC">
            <w:pPr>
              <w:ind w:firstLine="0"/>
              <w:jc w:val="right"/>
            </w:pPr>
            <w:r>
              <w:t>(</w:t>
            </w:r>
            <w:r w:rsidR="007B6665">
              <w:t>15</w:t>
            </w:r>
            <w:r>
              <w:t>)</w:t>
            </w:r>
          </w:p>
        </w:tc>
      </w:tr>
    </w:tbl>
    <w:p w:rsidR="00523116" w:rsidRDefault="00523116" w:rsidP="00523116">
      <w:pPr>
        <w:pStyle w:val="Ttulo2"/>
      </w:pPr>
      <w:r>
        <w:t>Simulação de Estratégias</w:t>
      </w:r>
    </w:p>
    <w:p w:rsidR="003175FC" w:rsidRDefault="003175FC" w:rsidP="00084053">
      <w:r>
        <w:t xml:space="preserve">Esta seção apresenta a análise dos resultados dos experimentos computacionais realizados neste trabalho. O modelo computacional desenvolvido foi simulado 10.800 vezes (54 estratégias em 200 cenários), visando testar o comportamento das decisões indicadas no </w:t>
      </w:r>
      <w:r>
        <w:fldChar w:fldCharType="begin"/>
      </w:r>
      <w:r>
        <w:instrText xml:space="preserve"> REF _Ref504419537 \h </w:instrText>
      </w:r>
      <w:r>
        <w:fldChar w:fldCharType="separate"/>
      </w:r>
      <w:r w:rsidR="00A65D24">
        <w:t xml:space="preserve">Quadro </w:t>
      </w:r>
      <w:r w:rsidR="00A65D24">
        <w:rPr>
          <w:noProof/>
        </w:rPr>
        <w:t>1</w:t>
      </w:r>
      <w:r>
        <w:fldChar w:fldCharType="end"/>
      </w:r>
      <w:r>
        <w:t>. Todas as 54 combinações destas decisões foram testadas</w:t>
      </w:r>
      <w:r w:rsidR="00A422A9">
        <w:t>.</w:t>
      </w:r>
      <w:r w:rsidR="00084053" w:rsidRPr="00084053">
        <w:t xml:space="preserve"> </w:t>
      </w:r>
      <w:r w:rsidR="00084053">
        <w:t xml:space="preserve">Considerando esta métrica de robustez, a </w:t>
      </w:r>
      <w:r w:rsidR="00084053">
        <w:fldChar w:fldCharType="begin"/>
      </w:r>
      <w:r w:rsidR="00084053">
        <w:instrText xml:space="preserve"> REF _Ref503685033 \h </w:instrText>
      </w:r>
      <w:r w:rsidR="00084053">
        <w:fldChar w:fldCharType="separate"/>
      </w:r>
      <w:r w:rsidR="00A65D24" w:rsidRPr="00DE4B63">
        <w:t xml:space="preserve">Figura </w:t>
      </w:r>
      <w:r w:rsidR="00A65D24">
        <w:rPr>
          <w:noProof/>
        </w:rPr>
        <w:t>2</w:t>
      </w:r>
      <w:r w:rsidR="00084053">
        <w:fldChar w:fldCharType="end"/>
      </w:r>
      <w:r w:rsidR="00084053">
        <w:t xml:space="preserve"> apresenta as estratégias e seu Custo de Oportunidade absoluto. Embora </w:t>
      </w:r>
      <w:r w:rsidR="00084053">
        <w:lastRenderedPageBreak/>
        <w:t xml:space="preserve">as estratégias conservadoras apresentem menor </w:t>
      </w:r>
      <w:r w:rsidR="00084053" w:rsidRPr="00635FC6">
        <w:rPr>
          <w:i/>
        </w:rPr>
        <w:t>variação</w:t>
      </w:r>
      <w:r w:rsidR="00084053">
        <w:t xml:space="preserve"> em seu VPL, isto não significa que estas sejam mais robustas, utilizando-se o critério do custo de oportunidade. </w:t>
      </w:r>
    </w:p>
    <w:p w:rsidR="003175FC" w:rsidRDefault="003175FC" w:rsidP="003175FC">
      <w:pPr>
        <w:pStyle w:val="Legenda"/>
      </w:pPr>
      <w:bookmarkStart w:id="13" w:name="_Ref504419537"/>
      <w:bookmarkStart w:id="14" w:name="_Toc505157853"/>
      <w:r>
        <w:t xml:space="preserve">Quadro </w:t>
      </w:r>
      <w:r w:rsidR="00D94472">
        <w:fldChar w:fldCharType="begin"/>
      </w:r>
      <w:r w:rsidR="00D94472">
        <w:instrText xml:space="preserve"> SEQ Quadro \* ARABIC </w:instrText>
      </w:r>
      <w:r w:rsidR="00D94472">
        <w:fldChar w:fldCharType="separate"/>
      </w:r>
      <w:r w:rsidR="00A65D24">
        <w:rPr>
          <w:noProof/>
        </w:rPr>
        <w:t>1</w:t>
      </w:r>
      <w:r w:rsidR="00D94472">
        <w:rPr>
          <w:noProof/>
        </w:rPr>
        <w:fldChar w:fldCharType="end"/>
      </w:r>
      <w:bookmarkEnd w:id="13"/>
      <w:r>
        <w:t xml:space="preserve"> – Decisões Simuladas para o Player 1</w:t>
      </w:r>
      <w:bookmarkEnd w:id="14"/>
    </w:p>
    <w:tbl>
      <w:tblPr>
        <w:tblStyle w:val="Tabelacomgrade"/>
        <w:tblW w:w="0" w:type="auto"/>
        <w:tblLayout w:type="fixed"/>
        <w:tblLook w:val="04A0" w:firstRow="1" w:lastRow="0" w:firstColumn="1" w:lastColumn="0" w:noHBand="0" w:noVBand="1"/>
      </w:tblPr>
      <w:tblGrid>
        <w:gridCol w:w="1412"/>
        <w:gridCol w:w="5807"/>
        <w:gridCol w:w="1841"/>
      </w:tblGrid>
      <w:tr w:rsidR="003175FC" w:rsidTr="00084053">
        <w:trPr>
          <w:trHeight w:val="495"/>
        </w:trPr>
        <w:tc>
          <w:tcPr>
            <w:tcW w:w="1412"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w:t>
            </w:r>
          </w:p>
        </w:tc>
        <w:tc>
          <w:tcPr>
            <w:tcW w:w="5807"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 de Decisão</w:t>
            </w:r>
          </w:p>
        </w:tc>
        <w:tc>
          <w:tcPr>
            <w:tcW w:w="1841"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Níveis Testados</w:t>
            </w:r>
          </w:p>
        </w:tc>
      </w:tr>
      <w:tr w:rsidR="003175FC" w:rsidTr="00084053">
        <w:trPr>
          <w:trHeight w:val="20"/>
        </w:trPr>
        <w:tc>
          <w:tcPr>
            <w:tcW w:w="1412" w:type="dxa"/>
            <w:vAlign w:val="center"/>
          </w:tcPr>
          <w:p w:rsidR="003175FC" w:rsidRPr="00084053" w:rsidRDefault="003175FC" w:rsidP="00084053">
            <w:pPr>
              <w:spacing w:line="276" w:lineRule="auto"/>
              <w:ind w:firstLine="0"/>
              <w:jc w:val="left"/>
              <w:rPr>
                <w:sz w:val="22"/>
              </w:rPr>
            </w:pPr>
            <m:oMathPara>
              <m:oMath>
                <m:r>
                  <w:rPr>
                    <w:rFonts w:ascii="Cambria Math" w:hAnsi="Cambria Math"/>
                    <w:sz w:val="22"/>
                  </w:rPr>
                  <m:t>St</m:t>
                </m:r>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Estratégia de Apropriação do Market </w:t>
            </w:r>
            <w:proofErr w:type="spellStart"/>
            <w:r w:rsidRPr="00084053">
              <w:rPr>
                <w:sz w:val="22"/>
              </w:rPr>
              <w:t>Share</w:t>
            </w:r>
            <w:proofErr w:type="spellEnd"/>
            <w:r w:rsidRPr="00084053">
              <w:rPr>
                <w:sz w:val="22"/>
              </w:rPr>
              <w:t xml:space="preserve"> (Estr. </w:t>
            </w:r>
            <w:proofErr w:type="spellStart"/>
            <w:r w:rsidRPr="00084053">
              <w:rPr>
                <w:sz w:val="22"/>
              </w:rPr>
              <w:t>Mkt</w:t>
            </w:r>
            <w:proofErr w:type="spellEnd"/>
            <w:r w:rsidRPr="00084053">
              <w:rPr>
                <w:sz w:val="22"/>
              </w:rPr>
              <w:t xml:space="preserve">. </w:t>
            </w:r>
            <w:proofErr w:type="spellStart"/>
            <w:r w:rsidRPr="00084053">
              <w:rPr>
                <w:sz w:val="22"/>
              </w:rPr>
              <w:t>Share</w:t>
            </w:r>
            <w:proofErr w:type="spellEnd"/>
            <w:r w:rsidRPr="00084053">
              <w:rPr>
                <w:sz w:val="22"/>
              </w:rPr>
              <w:t>)</w:t>
            </w:r>
          </w:p>
        </w:tc>
        <w:tc>
          <w:tcPr>
            <w:tcW w:w="1841" w:type="dxa"/>
            <w:vAlign w:val="center"/>
          </w:tcPr>
          <w:p w:rsidR="003175FC" w:rsidRPr="00084053" w:rsidRDefault="003175FC" w:rsidP="00084053">
            <w:pPr>
              <w:spacing w:line="276" w:lineRule="auto"/>
              <w:ind w:firstLine="0"/>
              <w:jc w:val="left"/>
              <w:rPr>
                <w:sz w:val="22"/>
              </w:rPr>
            </w:pPr>
            <w:r w:rsidRPr="00084053">
              <w:rPr>
                <w:sz w:val="22"/>
              </w:rPr>
              <w:t>Agressiva (1)</w:t>
            </w:r>
          </w:p>
          <w:p w:rsidR="003175FC" w:rsidRPr="00084053" w:rsidRDefault="003175FC" w:rsidP="00084053">
            <w:pPr>
              <w:spacing w:line="276" w:lineRule="auto"/>
              <w:ind w:firstLine="0"/>
              <w:jc w:val="left"/>
              <w:rPr>
                <w:sz w:val="22"/>
              </w:rPr>
            </w:pPr>
            <w:r w:rsidRPr="00084053">
              <w:rPr>
                <w:sz w:val="22"/>
              </w:rPr>
              <w:t>Conservadora (2)</w:t>
            </w:r>
          </w:p>
        </w:tc>
      </w:tr>
      <w:tr w:rsidR="003175FC" w:rsidTr="00084053">
        <w:trPr>
          <w:trHeight w:val="878"/>
        </w:trPr>
        <w:tc>
          <w:tcPr>
            <w:tcW w:w="1412" w:type="dxa"/>
            <w:vAlign w:val="center"/>
          </w:tcPr>
          <w:p w:rsidR="003175FC" w:rsidRPr="00084053" w:rsidRDefault="00D94472" w:rsidP="00084053">
            <w:pPr>
              <w:spacing w:line="276" w:lineRule="auto"/>
              <w:ind w:firstLine="0"/>
              <w:jc w:val="left"/>
              <w:rPr>
                <w:sz w:val="22"/>
              </w:rPr>
            </w:pP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r w:rsidR="003175FC" w:rsidRPr="00084053">
              <w:rPr>
                <w:sz w:val="22"/>
              </w:rPr>
              <w:t xml:space="preserve">,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5807" w:type="dxa"/>
            <w:vAlign w:val="center"/>
          </w:tcPr>
          <w:p w:rsidR="003175FC" w:rsidRPr="00084053" w:rsidRDefault="003175FC" w:rsidP="00084053">
            <w:pPr>
              <w:spacing w:line="276" w:lineRule="auto"/>
              <w:ind w:firstLine="0"/>
              <w:jc w:val="left"/>
              <w:rPr>
                <w:sz w:val="22"/>
                <w:lang w:val="en-US"/>
              </w:rPr>
            </w:pPr>
            <w:r w:rsidRPr="00084053">
              <w:rPr>
                <w:sz w:val="22"/>
                <w:lang w:val="en-US"/>
              </w:rPr>
              <w:t xml:space="preserve">Market Share </w:t>
            </w:r>
            <w:proofErr w:type="spellStart"/>
            <w:r w:rsidRPr="00084053">
              <w:rPr>
                <w:sz w:val="22"/>
                <w:lang w:val="en-US"/>
              </w:rPr>
              <w:t>Desejado</w:t>
            </w:r>
            <w:proofErr w:type="spellEnd"/>
            <w:r w:rsidRPr="00084053">
              <w:rPr>
                <w:sz w:val="22"/>
                <w:lang w:val="en-US"/>
              </w:rPr>
              <w:t xml:space="preserve"> (Mkt. Des.)</w:t>
            </w:r>
          </w:p>
          <w:p w:rsidR="003175FC" w:rsidRPr="00084053" w:rsidRDefault="003175FC" w:rsidP="00084053">
            <w:pPr>
              <w:spacing w:line="276" w:lineRule="auto"/>
              <w:ind w:firstLine="0"/>
              <w:jc w:val="left"/>
              <w:rPr>
                <w:sz w:val="22"/>
              </w:rPr>
            </w:pPr>
            <w:r w:rsidRPr="00084053">
              <w:rPr>
                <w:sz w:val="22"/>
              </w:rPr>
              <w:t xml:space="preserve">Para a estratégia conservadora,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p>
          <w:p w:rsidR="003175FC" w:rsidRPr="00084053" w:rsidRDefault="003175FC" w:rsidP="00084053">
            <w:pPr>
              <w:spacing w:line="276" w:lineRule="auto"/>
              <w:ind w:firstLine="0"/>
              <w:jc w:val="left"/>
              <w:rPr>
                <w:sz w:val="22"/>
              </w:rPr>
            </w:pPr>
            <w:r w:rsidRPr="00084053">
              <w:rPr>
                <w:sz w:val="22"/>
              </w:rPr>
              <w:t xml:space="preserve">Para a estratégia agressiva,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1841" w:type="dxa"/>
            <w:vAlign w:val="center"/>
          </w:tcPr>
          <w:p w:rsidR="003175FC" w:rsidRPr="00084053" w:rsidRDefault="003175FC" w:rsidP="00084053">
            <w:pPr>
              <w:spacing w:line="276" w:lineRule="auto"/>
              <w:ind w:firstLine="0"/>
              <w:jc w:val="left"/>
              <w:rPr>
                <w:sz w:val="22"/>
              </w:rPr>
            </w:pPr>
            <w:r w:rsidRPr="00084053">
              <w:rPr>
                <w:sz w:val="22"/>
              </w:rPr>
              <w:t>20%</w:t>
            </w:r>
          </w:p>
          <w:p w:rsidR="003175FC" w:rsidRPr="00084053" w:rsidRDefault="003175FC" w:rsidP="00084053">
            <w:pPr>
              <w:spacing w:line="276" w:lineRule="auto"/>
              <w:ind w:firstLine="0"/>
              <w:jc w:val="left"/>
              <w:rPr>
                <w:sz w:val="22"/>
              </w:rPr>
            </w:pPr>
            <w:r w:rsidRPr="00084053">
              <w:rPr>
                <w:sz w:val="22"/>
              </w:rPr>
              <w:t>30%</w:t>
            </w:r>
          </w:p>
          <w:p w:rsidR="003175FC" w:rsidRPr="00084053" w:rsidRDefault="003175FC" w:rsidP="00084053">
            <w:pPr>
              <w:spacing w:line="276" w:lineRule="auto"/>
              <w:ind w:firstLine="0"/>
              <w:jc w:val="left"/>
              <w:rPr>
                <w:sz w:val="22"/>
              </w:rPr>
            </w:pPr>
            <w:r w:rsidRPr="00084053">
              <w:rPr>
                <w:sz w:val="22"/>
              </w:rPr>
              <w:t>40%</w:t>
            </w:r>
          </w:p>
        </w:tc>
      </w:tr>
      <w:tr w:rsidR="003175FC" w:rsidTr="00084053">
        <w:trPr>
          <w:trHeight w:val="810"/>
        </w:trPr>
        <w:tc>
          <w:tcPr>
            <w:tcW w:w="1412" w:type="dxa"/>
            <w:vAlign w:val="center"/>
          </w:tcPr>
          <w:p w:rsidR="003175FC" w:rsidRPr="00084053" w:rsidRDefault="00D94472"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η</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da Receita Dedicado a Pesquisa e Desenvolvimento (</w:t>
            </w:r>
            <w:proofErr w:type="spellStart"/>
            <w:r w:rsidRPr="00084053">
              <w:rPr>
                <w:sz w:val="22"/>
              </w:rPr>
              <w:t>Orc</w:t>
            </w:r>
            <w:proofErr w:type="spellEnd"/>
            <w:r w:rsidRPr="00084053">
              <w:rPr>
                <w:sz w:val="22"/>
              </w:rPr>
              <w:t>. P&amp;D)</w:t>
            </w:r>
          </w:p>
        </w:tc>
        <w:tc>
          <w:tcPr>
            <w:tcW w:w="1841" w:type="dxa"/>
            <w:vAlign w:val="center"/>
          </w:tcPr>
          <w:p w:rsidR="003175FC" w:rsidRPr="00084053" w:rsidRDefault="003175FC" w:rsidP="00084053">
            <w:pPr>
              <w:spacing w:line="276" w:lineRule="auto"/>
              <w:ind w:firstLine="0"/>
              <w:jc w:val="left"/>
              <w:rPr>
                <w:sz w:val="22"/>
              </w:rPr>
            </w:pPr>
            <w:r w:rsidRPr="00084053">
              <w:rPr>
                <w:sz w:val="22"/>
              </w:rPr>
              <w:t>5%</w:t>
            </w:r>
          </w:p>
          <w:p w:rsidR="003175FC" w:rsidRPr="00084053" w:rsidRDefault="003175FC" w:rsidP="00084053">
            <w:pPr>
              <w:spacing w:line="276" w:lineRule="auto"/>
              <w:ind w:firstLine="0"/>
              <w:jc w:val="left"/>
              <w:rPr>
                <w:sz w:val="22"/>
              </w:rPr>
            </w:pPr>
            <w:r w:rsidRPr="00084053">
              <w:rPr>
                <w:sz w:val="22"/>
              </w:rPr>
              <w:t>10%</w:t>
            </w:r>
          </w:p>
          <w:p w:rsidR="003175FC" w:rsidRPr="00084053" w:rsidRDefault="003175FC" w:rsidP="00084053">
            <w:pPr>
              <w:spacing w:line="276" w:lineRule="auto"/>
              <w:ind w:firstLine="0"/>
              <w:jc w:val="left"/>
              <w:rPr>
                <w:sz w:val="22"/>
              </w:rPr>
            </w:pPr>
            <w:r w:rsidRPr="00084053">
              <w:rPr>
                <w:sz w:val="22"/>
              </w:rPr>
              <w:t>15%</w:t>
            </w:r>
          </w:p>
        </w:tc>
      </w:tr>
      <w:tr w:rsidR="003175FC" w:rsidTr="00084053">
        <w:trPr>
          <w:trHeight w:val="20"/>
        </w:trPr>
        <w:tc>
          <w:tcPr>
            <w:tcW w:w="1412" w:type="dxa"/>
            <w:vAlign w:val="center"/>
          </w:tcPr>
          <w:p w:rsidR="003175FC" w:rsidRPr="00084053" w:rsidRDefault="00D94472"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κ</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 Orçamento de P&amp;D dedicado a Patentes Open </w:t>
            </w:r>
            <w:proofErr w:type="spellStart"/>
            <w:r w:rsidRPr="00084053">
              <w:rPr>
                <w:sz w:val="22"/>
              </w:rPr>
              <w:t>Source</w:t>
            </w:r>
            <w:proofErr w:type="spellEnd"/>
            <w:r w:rsidRPr="00084053">
              <w:rPr>
                <w:sz w:val="22"/>
              </w:rPr>
              <w:t xml:space="preserve"> (</w:t>
            </w:r>
            <w:proofErr w:type="spellStart"/>
            <w:r w:rsidRPr="00084053">
              <w:rPr>
                <w:sz w:val="22"/>
              </w:rPr>
              <w:t>Perc</w:t>
            </w:r>
            <w:proofErr w:type="spellEnd"/>
            <w:r w:rsidRPr="00084053">
              <w:rPr>
                <w:sz w:val="22"/>
              </w:rPr>
              <w:t>. P&amp;D Ab.)</w:t>
            </w:r>
          </w:p>
        </w:tc>
        <w:tc>
          <w:tcPr>
            <w:tcW w:w="1841" w:type="dxa"/>
            <w:vAlign w:val="center"/>
          </w:tcPr>
          <w:p w:rsidR="003175FC" w:rsidRPr="00084053" w:rsidRDefault="003175FC" w:rsidP="00084053">
            <w:pPr>
              <w:spacing w:line="276" w:lineRule="auto"/>
              <w:ind w:firstLine="0"/>
              <w:jc w:val="left"/>
              <w:rPr>
                <w:sz w:val="22"/>
              </w:rPr>
            </w:pPr>
            <w:r w:rsidRPr="00084053">
              <w:rPr>
                <w:sz w:val="22"/>
              </w:rPr>
              <w:t>0%</w:t>
            </w:r>
          </w:p>
          <w:p w:rsidR="003175FC" w:rsidRPr="00084053" w:rsidRDefault="003175FC" w:rsidP="00084053">
            <w:pPr>
              <w:spacing w:line="276" w:lineRule="auto"/>
              <w:ind w:firstLine="0"/>
              <w:jc w:val="left"/>
              <w:rPr>
                <w:sz w:val="22"/>
              </w:rPr>
            </w:pPr>
            <w:r w:rsidRPr="00084053">
              <w:rPr>
                <w:sz w:val="22"/>
              </w:rPr>
              <w:t>50%</w:t>
            </w:r>
          </w:p>
          <w:p w:rsidR="003175FC" w:rsidRPr="00084053" w:rsidRDefault="003175FC" w:rsidP="00084053">
            <w:pPr>
              <w:spacing w:line="276" w:lineRule="auto"/>
              <w:ind w:firstLine="0"/>
              <w:jc w:val="left"/>
              <w:rPr>
                <w:sz w:val="22"/>
              </w:rPr>
            </w:pPr>
            <w:r w:rsidRPr="00084053">
              <w:rPr>
                <w:sz w:val="22"/>
              </w:rPr>
              <w:t>90%</w:t>
            </w:r>
          </w:p>
        </w:tc>
      </w:tr>
    </w:tbl>
    <w:p w:rsidR="003175FC" w:rsidRDefault="003175FC" w:rsidP="003175FC">
      <w:pPr>
        <w:ind w:firstLine="0"/>
        <w:jc w:val="center"/>
      </w:pPr>
      <w:r>
        <w:t>Fonte: Elaborado pelo Autor.</w:t>
      </w:r>
    </w:p>
    <w:p w:rsidR="003175FC" w:rsidRDefault="003175FC" w:rsidP="00A422A9">
      <w:r>
        <w:t xml:space="preserve">Ao apresentar menos variação, as estratégias conservadoras claramente apresentaram maior custo de oportunidade, como pode ser observado na </w:t>
      </w:r>
      <w:r>
        <w:fldChar w:fldCharType="begin"/>
      </w:r>
      <w:r>
        <w:instrText xml:space="preserve"> REF _Ref503685033 \h </w:instrText>
      </w:r>
      <w:r>
        <w:fldChar w:fldCharType="separate"/>
      </w:r>
      <w:r w:rsidR="00A65D24" w:rsidRPr="00DE4B63">
        <w:t xml:space="preserve">Figura </w:t>
      </w:r>
      <w:r w:rsidR="00A65D24">
        <w:rPr>
          <w:noProof/>
        </w:rPr>
        <w:t>2</w:t>
      </w:r>
      <w:r>
        <w:fldChar w:fldCharType="end"/>
      </w:r>
      <w:r>
        <w:t xml:space="preserve">.  Ao adotar uma postura conservadora em relação ao Market </w:t>
      </w:r>
      <w:proofErr w:type="spellStart"/>
      <w:r w:rsidR="00A04A0B">
        <w:t>S</w:t>
      </w:r>
      <w:r>
        <w:t>hare</w:t>
      </w:r>
      <w:proofErr w:type="spellEnd"/>
      <w:r>
        <w:t>, o player permite que seus concorrentes adquiram uma maior parte do mercado, e evitando construir capacidade excedente.</w:t>
      </w:r>
    </w:p>
    <w:p w:rsidR="003175FC" w:rsidRPr="00DE4B63" w:rsidRDefault="003175FC" w:rsidP="003175FC">
      <w:pPr>
        <w:pStyle w:val="Legenda"/>
      </w:pPr>
      <w:bookmarkStart w:id="15" w:name="_Ref503685033"/>
      <w:bookmarkStart w:id="16" w:name="_Toc505157901"/>
      <w:r w:rsidRPr="00DE4B63">
        <w:t xml:space="preserve">Figura </w:t>
      </w:r>
      <w:r>
        <w:fldChar w:fldCharType="begin"/>
      </w:r>
      <w:r w:rsidRPr="00DE4B63">
        <w:instrText xml:space="preserve"> SEQ Figura \* ARABIC </w:instrText>
      </w:r>
      <w:r>
        <w:fldChar w:fldCharType="separate"/>
      </w:r>
      <w:r w:rsidR="00A65D24">
        <w:rPr>
          <w:noProof/>
        </w:rPr>
        <w:t>2</w:t>
      </w:r>
      <w:r>
        <w:fldChar w:fldCharType="end"/>
      </w:r>
      <w:bookmarkEnd w:id="15"/>
      <w:r w:rsidRPr="00DE4B63">
        <w:t xml:space="preserve"> – </w:t>
      </w:r>
      <w:r>
        <w:t>Custo de Oportunidade Simulado em 10.800 cenários</w:t>
      </w:r>
      <w:bookmarkEnd w:id="16"/>
    </w:p>
    <w:p w:rsidR="003175FC" w:rsidRDefault="003175FC" w:rsidP="00A422A9">
      <w:pPr>
        <w:ind w:firstLine="0"/>
        <w:jc w:val="center"/>
      </w:pPr>
      <w:r>
        <w:rPr>
          <w:noProof/>
        </w:rPr>
        <w:drawing>
          <wp:inline distT="0" distB="0" distL="0" distR="0" wp14:anchorId="77453C8E" wp14:editId="3630FFA2">
            <wp:extent cx="5724525" cy="3271157"/>
            <wp:effectExtent l="0" t="0" r="0" b="5715"/>
            <wp:docPr id="1052" name="Imagem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263" cy="3272150"/>
                    </a:xfrm>
                    <a:prstGeom prst="rect">
                      <a:avLst/>
                    </a:prstGeom>
                    <a:noFill/>
                    <a:ln>
                      <a:noFill/>
                    </a:ln>
                  </pic:spPr>
                </pic:pic>
              </a:graphicData>
            </a:graphic>
          </wp:inline>
        </w:drawing>
      </w:r>
    </w:p>
    <w:p w:rsidR="003175FC" w:rsidRDefault="003175FC" w:rsidP="003175FC">
      <w:pPr>
        <w:ind w:firstLine="0"/>
        <w:jc w:val="center"/>
      </w:pPr>
      <w:r>
        <w:t>Fonte: Elaborada pelo Autor.</w:t>
      </w:r>
    </w:p>
    <w:p w:rsidR="003175FC" w:rsidRPr="003175FC" w:rsidRDefault="00B51B9B" w:rsidP="00B51B9B">
      <w:r>
        <w:lastRenderedPageBreak/>
        <w:t>O Apêndice I</w:t>
      </w:r>
      <w:r w:rsidR="003175FC">
        <w:t xml:space="preserve"> apresenta as estratégias testadas, junto ao valor do quartil superior de seu custo de oportunidade (</w:t>
      </w:r>
      <w:r w:rsidR="003175FC" w:rsidRPr="00E92808">
        <w:t xml:space="preserve">CO </w:t>
      </w:r>
      <w:proofErr w:type="spellStart"/>
      <w:r w:rsidR="003175FC" w:rsidRPr="00E92808">
        <w:t>Perc</w:t>
      </w:r>
      <w:proofErr w:type="spellEnd"/>
      <w:r w:rsidR="003175FC" w:rsidRPr="00E92808">
        <w:t xml:space="preserve"> 75%</w:t>
      </w:r>
      <w:r w:rsidR="003175FC">
        <w:t>), e o custo de oportunidade relativo (</w:t>
      </w:r>
      <w:r w:rsidR="003175FC" w:rsidRPr="00E92808">
        <w:t xml:space="preserve">CO % </w:t>
      </w:r>
      <w:proofErr w:type="spellStart"/>
      <w:r w:rsidR="003175FC" w:rsidRPr="00E92808">
        <w:t>Perc</w:t>
      </w:r>
      <w:proofErr w:type="spellEnd"/>
      <w:r w:rsidR="003175FC" w:rsidRPr="00E92808">
        <w:t xml:space="preserve"> 75%</w:t>
      </w:r>
      <w:r w:rsidR="003175FC">
        <w:t>)</w:t>
      </w:r>
      <w:r>
        <w:t>. Segundo esta avaliação, a estratégia 31 (</w:t>
      </w:r>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t xml:space="preserve">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t xml:space="preserve"> = 40%,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003700F9">
        <w:t xml:space="preserve"> = 5% 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oMath>
      <w:r w:rsidR="003700F9">
        <w:t xml:space="preserve"> 0%)</w:t>
      </w:r>
      <w:r>
        <w:t xml:space="preserve"> </w:t>
      </w:r>
      <w:r w:rsidR="003700F9">
        <w:t>foi</w:t>
      </w:r>
      <w:r>
        <w:t xml:space="preserve"> avaliada como a mais robusta. </w:t>
      </w:r>
      <w:r w:rsidR="003175FC">
        <w:t xml:space="preserve">Para a estratégia 31, por exemplo, estes valores indicam que em 75 % dos casos simulados, a estratégia 31 perde menos que 212 milhões de dólares em 10 anos, ou seja, tem um custo de oportunidade percentual menor que 32,41 % em 75% dos casos simulados. Ordenando as estratégias segundo o critério de minimização do quartil superior do custo de oportunidade, obtém-se o ranking de estratégias apresentado </w:t>
      </w:r>
      <w:r>
        <w:t>no Apêndice I. N</w:t>
      </w:r>
      <w:r w:rsidR="003175FC">
        <w:t>as condições testadas nestes experimentos, estratégias agressivas claramente dominam o ranking de estratégias em detrimento de estratégias conservadoras. Nos resultados apresentados, a estratégia conservadora melhor posicionada (32) nas simulações foi indicada na posição 12 dentre as 54 estratégias.</w:t>
      </w:r>
    </w:p>
    <w:p w:rsidR="00523116" w:rsidRDefault="00523116" w:rsidP="00523116">
      <w:pPr>
        <w:pStyle w:val="Ttulo2"/>
      </w:pPr>
      <w:r>
        <w:t>Descoberta de Cenários</w:t>
      </w:r>
    </w:p>
    <w:p w:rsidR="0091258E" w:rsidRDefault="0091258E" w:rsidP="0091258E">
      <w:r>
        <w:t xml:space="preserve">Uma vez identificada a estratégia 31 como a mais robusta dentre as testadas, a próxima etapa da análise RDM examina a base de dados de simulações realizadas procurando caracterizar as condições nas quais esta estratégia candidata falha. Para tanto, é necessário definir o que caracteriza as condições nas quais uma estratégia falha ou não. </w:t>
      </w:r>
    </w:p>
    <w:p w:rsidR="0091258E" w:rsidRDefault="0091258E" w:rsidP="0091258E">
      <w:r>
        <w:t xml:space="preserve">Neste trabalho, adotou-se o mesmo critério utilizado para a definição da estratégia mais robusta. Sendo assim, considera-se que a estratégia falha naqueles casos onde o Custo de Oportunidade incorrido é maior do que o percentil 75 do custo de oportunidade da estratégia. Desta maneira, são definidos como casos de interesse as situações nas quais o custo de oportunidade ultrapassa o threshold de </w:t>
      </w:r>
      <w:r w:rsidRPr="009D6A52">
        <w:t>$211.920.013</w:t>
      </w:r>
      <w:r>
        <w:t>, ou seja, os 50 casos com maior custo de oportunidade, dentre os 200 casos simulados com a estratégia 31.</w:t>
      </w:r>
    </w:p>
    <w:p w:rsidR="000E45F6" w:rsidRDefault="00EC3EAD" w:rsidP="000E45F6">
      <w:proofErr w:type="spellStart"/>
      <w:r>
        <w:t>Anteriomente</w:t>
      </w:r>
      <w:proofErr w:type="spellEnd"/>
      <w:r>
        <w:t xml:space="preserve"> à aplicação do algoritmo PRIM, o Algoritmo </w:t>
      </w:r>
      <w:proofErr w:type="spellStart"/>
      <w:r>
        <w:t>Boruta</w:t>
      </w:r>
      <w:proofErr w:type="spellEnd"/>
      <w:r>
        <w:t xml:space="preserve"> foi utilizado com o objetivo de selecionar as variáveis mais relevantes para a determinação dos casos onde a estratégia falha. Ao aplicar este filtro de variáveis mais importantes, aumenta-se a confiança de que o algoritmo PRIM utilizou variáveis de fato relevantes, conforme identificado pelas técnicas aplicadas anteriormente. </w:t>
      </w:r>
      <w:r w:rsidR="000E45F6">
        <w:t xml:space="preserve">A </w:t>
      </w:r>
      <w:r w:rsidR="000E45F6">
        <w:fldChar w:fldCharType="begin"/>
      </w:r>
      <w:r w:rsidR="000E45F6">
        <w:instrText xml:space="preserve"> REF _Ref505156672 \h </w:instrText>
      </w:r>
      <w:r w:rsidR="000E45F6">
        <w:fldChar w:fldCharType="separate"/>
      </w:r>
      <w:r w:rsidR="00A65D24">
        <w:t xml:space="preserve">Figura </w:t>
      </w:r>
      <w:r w:rsidR="00A65D24">
        <w:rPr>
          <w:noProof/>
        </w:rPr>
        <w:t>3</w:t>
      </w:r>
      <w:r w:rsidR="000E45F6">
        <w:fldChar w:fldCharType="end"/>
      </w:r>
      <w:r w:rsidR="000E45F6">
        <w:t xml:space="preserve"> apresenta a definição do cenário de vulnerabilidade definido computacionalmente para a estratégia 31.</w:t>
      </w:r>
    </w:p>
    <w:p w:rsidR="000E45F6" w:rsidRDefault="000E45F6" w:rsidP="002D746B">
      <w:pPr>
        <w:pStyle w:val="Legenda"/>
      </w:pPr>
      <w:bookmarkStart w:id="17" w:name="_Ref505156672"/>
      <w:bookmarkStart w:id="18" w:name="_Toc505157910"/>
      <w:r>
        <w:lastRenderedPageBreak/>
        <w:t xml:space="preserve">Figura </w:t>
      </w:r>
      <w:r w:rsidR="00D94472">
        <w:fldChar w:fldCharType="begin"/>
      </w:r>
      <w:r w:rsidR="00D94472">
        <w:instrText xml:space="preserve"> SEQ Figura \* ARABIC </w:instrText>
      </w:r>
      <w:r w:rsidR="00D94472">
        <w:fldChar w:fldCharType="separate"/>
      </w:r>
      <w:r w:rsidR="00A65D24">
        <w:rPr>
          <w:noProof/>
        </w:rPr>
        <w:t>3</w:t>
      </w:r>
      <w:r w:rsidR="00D94472">
        <w:rPr>
          <w:noProof/>
        </w:rPr>
        <w:fldChar w:fldCharType="end"/>
      </w:r>
      <w:bookmarkEnd w:id="17"/>
      <w:r>
        <w:t xml:space="preserve"> – Condições onde a Estratégia 31 falha em 82,1 % dos casos simulados</w:t>
      </w:r>
      <w:bookmarkEnd w:id="18"/>
    </w:p>
    <w:p w:rsidR="000E45F6" w:rsidRDefault="002D746B" w:rsidP="000E0F23">
      <w:pPr>
        <w:ind w:firstLine="0"/>
        <w:jc w:val="center"/>
      </w:pPr>
      <w:r>
        <w:rPr>
          <w:noProof/>
        </w:rPr>
        <w:drawing>
          <wp:inline distT="0" distB="0" distL="0" distR="0" wp14:anchorId="53B21441">
            <wp:extent cx="5305425" cy="51324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571" cy="5134517"/>
                    </a:xfrm>
                    <a:prstGeom prst="rect">
                      <a:avLst/>
                    </a:prstGeom>
                    <a:noFill/>
                  </pic:spPr>
                </pic:pic>
              </a:graphicData>
            </a:graphic>
          </wp:inline>
        </w:drawing>
      </w:r>
    </w:p>
    <w:p w:rsidR="000E45F6" w:rsidRDefault="000E45F6" w:rsidP="000E45F6">
      <w:pPr>
        <w:ind w:firstLine="0"/>
        <w:jc w:val="center"/>
      </w:pPr>
      <w:r>
        <w:t>Fonte: Elaborado pelo Autor.</w:t>
      </w:r>
    </w:p>
    <w:p w:rsidR="000E45F6" w:rsidRDefault="000E45F6" w:rsidP="000E45F6">
      <w:r>
        <w:t xml:space="preserve">Na </w:t>
      </w:r>
      <w:r>
        <w:fldChar w:fldCharType="begin"/>
      </w:r>
      <w:r>
        <w:instrText xml:space="preserve"> REF _Ref505156672 \h </w:instrText>
      </w:r>
      <w:r>
        <w:fldChar w:fldCharType="separate"/>
      </w:r>
      <w:r w:rsidR="00A65D24">
        <w:t xml:space="preserve">Figura </w:t>
      </w:r>
      <w:r w:rsidR="00A65D24">
        <w:rPr>
          <w:noProof/>
        </w:rPr>
        <w:t>3</w:t>
      </w:r>
      <w:r>
        <w:fldChar w:fldCharType="end"/>
      </w:r>
      <w:r>
        <w:t>, cada intervalo sinalizado em cada variável sinaliza a caracterização da região de vulnerabilidade da estratégia. Para a incerteza “Tamanho de Mercado de Referência”, por exemplo, o resultado indica que em condições onde esta variável é maior do que 58.000 consumidores e a utilização da capacidade é menor do que 86% e maior do que 68 %, a estratégia 31 tem maior propensão a falhar.</w:t>
      </w:r>
    </w:p>
    <w:p w:rsidR="000E45F6" w:rsidRDefault="000E45F6" w:rsidP="000E45F6">
      <w:r>
        <w:t xml:space="preserve">Levando em consideração todas as regiões sinalizadas nas 5 incertezas definidas pela análise apresenta os índices de Cobertura, Densidade e Abrangência. O índice de Densidade indica que a estratégia falhou em 82,1 % das simulações realizadas nesta região. O índice de Cobertura indica que estas condições possuem 46 % dos casos onde a estratégia falha (ou seja, </w:t>
      </w:r>
      <w:r>
        <w:lastRenderedPageBreak/>
        <w:t>existem outras condições que podem explicar a falha da estratégia). Finalmente, o índice de abrangência indica que estas condições representam 14 % dos casos simulados.</w:t>
      </w:r>
    </w:p>
    <w:p w:rsidR="000E45F6" w:rsidRDefault="000E45F6" w:rsidP="000E45F6">
      <w:r>
        <w:t>Em síntese, estes resultados indicam que condições onde os players de porte semelhante ao player dominante possuem estratégias agressivas, combinadas com condições onde o tamanho de referência do mercado é superior a aproximadamente 60 mil compradores, e a utilização da capacidade é baixa, as chances de o player se arrepender com uma estratégia excessivamente agressiva aumenta.</w:t>
      </w:r>
    </w:p>
    <w:p w:rsidR="000E45F6" w:rsidRDefault="000E45F6" w:rsidP="000E45F6">
      <w:r>
        <w:t xml:space="preserve">Uma análise superficial poderia sugerir que, quanto mais promissor o mercado, mais agressiva a empresa deve ser para garantir um alto </w:t>
      </w:r>
      <w:proofErr w:type="spellStart"/>
      <w:r>
        <w:t>share</w:t>
      </w:r>
      <w:proofErr w:type="spellEnd"/>
      <w:r>
        <w:t xml:space="preserve"> deste mercado. Esta análise, no entanto, sinaliza o inverso. É possível que o mercado tenha um porte tal que a agressividade em excesso pode levar empresa a piores resultados. Em escolhendo uma estratégia ainda agressiva, porém com menor </w:t>
      </w:r>
      <w:proofErr w:type="spellStart"/>
      <w:r>
        <w:t>market</w:t>
      </w:r>
      <w:proofErr w:type="spellEnd"/>
      <w:r>
        <w:t xml:space="preserve"> </w:t>
      </w:r>
      <w:proofErr w:type="spellStart"/>
      <w:r>
        <w:t>share</w:t>
      </w:r>
      <w:proofErr w:type="spellEnd"/>
      <w:r>
        <w:t xml:space="preserve"> desejado, a empresa não precisará reduzir seus preços em demasia. Em outras palavras, metas mais ousadas de </w:t>
      </w:r>
      <w:proofErr w:type="spellStart"/>
      <w:r>
        <w:t>market</w:t>
      </w:r>
      <w:proofErr w:type="spellEnd"/>
      <w:r>
        <w:t xml:space="preserve"> </w:t>
      </w:r>
      <w:proofErr w:type="spellStart"/>
      <w:r>
        <w:t>share</w:t>
      </w:r>
      <w:proofErr w:type="spellEnd"/>
      <w:r>
        <w:t>, nestas circunstâncias, podem traduzir-se em menos VPL.</w:t>
      </w:r>
    </w:p>
    <w:p w:rsidR="000E45F6" w:rsidRPr="000E45F6" w:rsidRDefault="000E45F6" w:rsidP="000E45F6">
      <w:r>
        <w:t>A análise RDM pode ser executada em ciclos, de modo que as vulnerabilidades identificadas da estratégia 31 serviriam como suporte para projetar estratégias ainda melhores, distintas às 54 estratégias testadas anteriormente, iterativamente. Segundo o RDM, o processo pode parar quando os decisores estão confortáveis com a estratégia definida, ou não identificam novas estratégias a simular. Este processo pode ser integrado a processos organizacionais de planejamento estratégico de modo que sempre haja uma análise RDM para a estratégia atual da empresa realizada, e ao sinal da concretização de cenários de vulnerabilidade, ou à medida que novas opções são idealizadas por stakeholders, novas análises podem ser realizadas. Como este trabalho não se utilizou de stakeholders reais, não há sentido em apresentar outras iterações deste ciclo, visto que não haveria um critério de parada para a análise. Sendo assim, a seção seguinte avança para a etapa final da análise RDM.</w:t>
      </w:r>
    </w:p>
    <w:p w:rsidR="00523116" w:rsidRDefault="00523116" w:rsidP="00523116">
      <w:pPr>
        <w:pStyle w:val="Ttulo2"/>
      </w:pPr>
      <w:r>
        <w:t>Análise de Tradeoffs</w:t>
      </w:r>
    </w:p>
    <w:p w:rsidR="004B0804" w:rsidRPr="00DC5AFB" w:rsidRDefault="004B0804" w:rsidP="004B0804">
      <w:r>
        <w:t xml:space="preserve">A etapa anterior da análise identificou que a estratégia 31 é vulnerável ao cenário de alto tamanho do mercado e agressividade dos demais players. A última etapa da análise tem o objetivo de identificar quais são as estratégias alternativas à esta, e o quão provável este cenário deve ser para justificar uma mudança para estas outras estratégias. Em outras palavras, esta </w:t>
      </w:r>
      <w:r>
        <w:lastRenderedPageBreak/>
        <w:t>etapa tem o objetivo de suportar a avaliação do tradeoff que o tomador de decisão tem em adotar uma estratégia robusta, em geral, para todos os cenários simulados, ou uma estratégia menos robusta aos demais cenários, porém mais robusta em relação à um cenário específico.</w:t>
      </w:r>
    </w:p>
    <w:p w:rsidR="004B0804" w:rsidRDefault="004B0804" w:rsidP="004B0804">
      <w:r>
        <w:t xml:space="preserve">Para suportar esta avaliação, a </w:t>
      </w:r>
      <w:r>
        <w:fldChar w:fldCharType="begin"/>
      </w:r>
      <w:r>
        <w:instrText xml:space="preserve"> REF _Ref504251904 \h </w:instrText>
      </w:r>
      <w:r>
        <w:fldChar w:fldCharType="separate"/>
      </w:r>
      <w:r w:rsidR="00A65D24" w:rsidRPr="00DE4B63">
        <w:t xml:space="preserve">Figura </w:t>
      </w:r>
      <w:r w:rsidR="00A65D24">
        <w:rPr>
          <w:noProof/>
        </w:rPr>
        <w:t>4</w:t>
      </w:r>
      <w:r>
        <w:fldChar w:fldCharType="end"/>
      </w:r>
      <w:r>
        <w:t xml:space="preserve"> apresenta um gráfico sintetizando o comportamento das 54 estratégias simuladas em todos os cenários. O eixo horizontal representa o Percentil 75 % do Custo de Oportunidade destas estratégias em todos os cenários (ou seja, o mesmo critério utilizado para a seleção da estratégia 31). O eixo vertical, por sua vez, contém a mesma métrica calculada para o cenário de alta demanda e agressividade dos players concorrentes, definido na seção anterior. As cores das caixas que representam cada estratégia indicam o percentual de investimento dedicado patentes publicadas de modo aberto.</w:t>
      </w:r>
    </w:p>
    <w:p w:rsidR="004B0804" w:rsidRDefault="004B0804" w:rsidP="004B0804">
      <w:r>
        <w:t>Idealmente, espera-se que uma boa estratégia esteja posicionada no canto inferior direito deste gráfico. Como é possível observar, estratégias com o percentual de desenvolvimento fechado (sinalizadas com uma seta) dominam o canto inferior esquerdo do gráfico. Este resultado indica que o modelo não oferece suporte à decisão pelo desenvolvimento de patentes abertas. Pelo contrário, em condições onde a estratégia candidata (31) não é robusta, a análise sugere a adoção de estratégias fechadas, com percentual de investimento em pesquisa e desenvolvimento ainda baixo.</w:t>
      </w:r>
    </w:p>
    <w:p w:rsidR="004B0804" w:rsidRPr="00DE4B63" w:rsidRDefault="004B0804" w:rsidP="004B0804">
      <w:pPr>
        <w:pStyle w:val="Legenda"/>
      </w:pPr>
      <w:bookmarkStart w:id="19" w:name="_Ref504251904"/>
      <w:bookmarkStart w:id="20" w:name="_Toc505157911"/>
      <w:r w:rsidRPr="00DE4B63">
        <w:t xml:space="preserve">Figura </w:t>
      </w:r>
      <w:r>
        <w:fldChar w:fldCharType="begin"/>
      </w:r>
      <w:r w:rsidRPr="00DE4B63">
        <w:instrText xml:space="preserve"> SEQ Figura \* ARABIC </w:instrText>
      </w:r>
      <w:r>
        <w:fldChar w:fldCharType="separate"/>
      </w:r>
      <w:r w:rsidR="00A65D24">
        <w:rPr>
          <w:noProof/>
        </w:rPr>
        <w:t>4</w:t>
      </w:r>
      <w:r>
        <w:fldChar w:fldCharType="end"/>
      </w:r>
      <w:bookmarkEnd w:id="19"/>
      <w:r w:rsidRPr="00DE4B63">
        <w:t xml:space="preserve"> – </w:t>
      </w:r>
      <w:r>
        <w:t>Identificando fronteira de estratégias Robustas</w:t>
      </w:r>
      <w:bookmarkEnd w:id="20"/>
    </w:p>
    <w:p w:rsidR="004B0804" w:rsidRDefault="004B0804" w:rsidP="004B0804">
      <w:pPr>
        <w:ind w:firstLine="0"/>
      </w:pPr>
      <w:r>
        <w:rPr>
          <w:noProof/>
        </w:rPr>
        <w:drawing>
          <wp:inline distT="0" distB="0" distL="0" distR="0" wp14:anchorId="59E26E42" wp14:editId="5EACB4DD">
            <wp:extent cx="5903927" cy="2948152"/>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399" cy="2958375"/>
                    </a:xfrm>
                    <a:prstGeom prst="rect">
                      <a:avLst/>
                    </a:prstGeom>
                    <a:noFill/>
                  </pic:spPr>
                </pic:pic>
              </a:graphicData>
            </a:graphic>
          </wp:inline>
        </w:drawing>
      </w:r>
    </w:p>
    <w:p w:rsidR="004B0804" w:rsidRDefault="004B0804" w:rsidP="004B0804">
      <w:pPr>
        <w:ind w:firstLine="0"/>
        <w:jc w:val="center"/>
      </w:pPr>
      <w:r>
        <w:t>Fonte: Elaborada pelo Autor.</w:t>
      </w:r>
    </w:p>
    <w:p w:rsidR="004B0804" w:rsidRDefault="004B0804" w:rsidP="004B0804">
      <w:r>
        <w:lastRenderedPageBreak/>
        <w:t>Nestas condições, esta análise sugere que o player não precisa adotar um comportamento excessivamente agressivo</w:t>
      </w:r>
      <w:r w:rsidR="0099188E">
        <w:t>, visto que</w:t>
      </w:r>
      <w:r>
        <w:t xml:space="preserve"> há mercado suficiente para que o player não necessite reduzir preços excessivamente.</w:t>
      </w:r>
    </w:p>
    <w:p w:rsidR="004B0804" w:rsidRDefault="004B0804" w:rsidP="004B0804">
      <w:r>
        <w:t xml:space="preserve">Finalmente, a análise RDM encerra-se buscando oferecer informações probabilísticas para suportar a decisão entre as estratégias observadas na fronteira de tradeoffs observada anteriormente. Para tanto, estima-se o custo de oportunidade esperado, dada a probabilidade de ocorrência do cenário indicado. O resultado desta avaliação para cada uma das 6 estratégias posicionadas no topo do ranking de estratégias é exibido na </w:t>
      </w:r>
      <w:r>
        <w:fldChar w:fldCharType="begin"/>
      </w:r>
      <w:r>
        <w:instrText xml:space="preserve"> REF _Ref504254296 \h </w:instrText>
      </w:r>
      <w:r>
        <w:fldChar w:fldCharType="separate"/>
      </w:r>
      <w:r w:rsidR="00A65D24" w:rsidRPr="00DE4B63">
        <w:t xml:space="preserve">Figura </w:t>
      </w:r>
      <w:r w:rsidR="00A65D24">
        <w:rPr>
          <w:noProof/>
        </w:rPr>
        <w:t>5</w:t>
      </w:r>
      <w:r>
        <w:fldChar w:fldCharType="end"/>
      </w:r>
      <w:r>
        <w:t>.</w:t>
      </w:r>
    </w:p>
    <w:p w:rsidR="004B0804" w:rsidRPr="00DE4B63" w:rsidRDefault="004B0804" w:rsidP="004B0804">
      <w:pPr>
        <w:pStyle w:val="Legenda"/>
      </w:pPr>
      <w:bookmarkStart w:id="21" w:name="_Ref504254296"/>
      <w:bookmarkStart w:id="22" w:name="_Toc505157912"/>
      <w:r w:rsidRPr="00DE4B63">
        <w:t xml:space="preserve">Figura </w:t>
      </w:r>
      <w:r>
        <w:fldChar w:fldCharType="begin"/>
      </w:r>
      <w:r w:rsidRPr="00DE4B63">
        <w:instrText xml:space="preserve"> SEQ Figura \* ARABIC </w:instrText>
      </w:r>
      <w:r>
        <w:fldChar w:fldCharType="separate"/>
      </w:r>
      <w:r w:rsidR="00A65D24">
        <w:rPr>
          <w:noProof/>
        </w:rPr>
        <w:t>5</w:t>
      </w:r>
      <w:r>
        <w:fldChar w:fldCharType="end"/>
      </w:r>
      <w:bookmarkEnd w:id="21"/>
      <w:r w:rsidRPr="00DE4B63">
        <w:t xml:space="preserve"> – </w:t>
      </w:r>
      <w:r>
        <w:t>Estratégias Alternativas à Estratégia Selecionada</w:t>
      </w:r>
      <w:bookmarkEnd w:id="22"/>
    </w:p>
    <w:p w:rsidR="004B0804" w:rsidRDefault="004B0804" w:rsidP="004B0804">
      <w:pPr>
        <w:ind w:firstLine="0"/>
        <w:jc w:val="center"/>
      </w:pPr>
      <w:r>
        <w:rPr>
          <w:noProof/>
        </w:rPr>
        <w:drawing>
          <wp:inline distT="0" distB="0" distL="0" distR="0" wp14:anchorId="22A368CA" wp14:editId="71F7D370">
            <wp:extent cx="5422605" cy="3098631"/>
            <wp:effectExtent l="0" t="0" r="6985" b="6985"/>
            <wp:docPr id="1026" name="Imagem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281" cy="3109875"/>
                    </a:xfrm>
                    <a:prstGeom prst="rect">
                      <a:avLst/>
                    </a:prstGeom>
                    <a:noFill/>
                    <a:ln>
                      <a:noFill/>
                    </a:ln>
                  </pic:spPr>
                </pic:pic>
              </a:graphicData>
            </a:graphic>
          </wp:inline>
        </w:drawing>
      </w:r>
    </w:p>
    <w:p w:rsidR="004B0804" w:rsidRDefault="004B0804" w:rsidP="004B0804">
      <w:pPr>
        <w:ind w:firstLine="0"/>
        <w:jc w:val="center"/>
      </w:pPr>
      <w:r>
        <w:t>Fonte: Elaborada pelo Autor.</w:t>
      </w:r>
    </w:p>
    <w:p w:rsidR="004B0804" w:rsidRDefault="004B0804" w:rsidP="004B0804">
      <w:r>
        <w:t xml:space="preserve">Esta análise indica que se as chances estimadas do cenário de alta demanda ocorrer forem menores do que 1:10, a estratégia 31, é considerada a decisão mais racional a se tomar. Se, porém, os stakeholders responsáveis pela decisão consideram que </w:t>
      </w:r>
      <w:proofErr w:type="gramStart"/>
      <w:r>
        <w:t>as chances deste cenário ocorrer</w:t>
      </w:r>
      <w:proofErr w:type="gramEnd"/>
      <w:r>
        <w:t xml:space="preserve"> são maiores do que 1:1, logo os resultados da simulação sugerem que a melhor estratégia a seguir é a estratégia 25.</w:t>
      </w:r>
    </w:p>
    <w:p w:rsidR="004B0804" w:rsidRDefault="004B0804" w:rsidP="004B0804">
      <w:r>
        <w:t xml:space="preserve">A estratégia 25 ainda é agressiva, investe relativamente pouco em Pesquisa e Desenvolvimento (5 %) não adota a filosofia de desenvolvimento open </w:t>
      </w:r>
      <w:proofErr w:type="spellStart"/>
      <w:r>
        <w:t>source</w:t>
      </w:r>
      <w:proofErr w:type="spellEnd"/>
      <w:r>
        <w:t xml:space="preserve">, porém possui um </w:t>
      </w:r>
      <w:proofErr w:type="spellStart"/>
      <w:r>
        <w:t>market</w:t>
      </w:r>
      <w:proofErr w:type="spellEnd"/>
      <w:r>
        <w:t xml:space="preserve"> </w:t>
      </w:r>
      <w:proofErr w:type="spellStart"/>
      <w:r>
        <w:t>share</w:t>
      </w:r>
      <w:proofErr w:type="spellEnd"/>
      <w:r>
        <w:t xml:space="preserve"> desejado (20%) menor do que a estratégia 31 (40%). Embora esta sugestão pareça contra intuitiva em um primeiro momento, a mesma é coerente considerando a definição do cenário de vulnerabilidade da estratégia 31.</w:t>
      </w:r>
    </w:p>
    <w:p w:rsidR="00523116" w:rsidRPr="00523116" w:rsidRDefault="004B0804" w:rsidP="004B0804">
      <w:r>
        <w:lastRenderedPageBreak/>
        <w:t xml:space="preserve">Sob este cenário, o mercado total é maior do que o esperado, há outros players agressivos no mercado, e a utilização de capacidade produtiva é baixa, aumentando os custos da capacidade excessiva provocada por uma estratégia agressiva. Nestas condições, a análise sugere que o player busque uma postura agressiva, defendendo seu </w:t>
      </w:r>
      <w:proofErr w:type="spellStart"/>
      <w:r>
        <w:t>share</w:t>
      </w:r>
      <w:proofErr w:type="spellEnd"/>
      <w:r>
        <w:t xml:space="preserve"> de 20 % do mercado, porém reduzindo menos seu preço do que reduziria com uma estratégia agressiva com </w:t>
      </w:r>
      <w:proofErr w:type="spellStart"/>
      <w:r>
        <w:t>market</w:t>
      </w:r>
      <w:proofErr w:type="spellEnd"/>
      <w:r>
        <w:t xml:space="preserve"> </w:t>
      </w:r>
      <w:proofErr w:type="spellStart"/>
      <w:r>
        <w:t>share</w:t>
      </w:r>
      <w:proofErr w:type="spellEnd"/>
      <w:r>
        <w:t xml:space="preserve"> desejado de 40 %. Em outras palavras, esta conclusão sugere que nestas condições, o player pode ter mais benefício monetário </w:t>
      </w:r>
      <w:r>
        <w:rPr>
          <w:i/>
        </w:rPr>
        <w:t xml:space="preserve">não </w:t>
      </w:r>
      <w:r>
        <w:t>respondendo a players agressivos com ainda mais agressividade em redução de preços ou aumento da performance de seu produto.</w:t>
      </w:r>
    </w:p>
    <w:p w:rsidR="00523116" w:rsidRDefault="00523116" w:rsidP="00523116">
      <w:pPr>
        <w:pStyle w:val="Ttulo1"/>
      </w:pPr>
      <w:r>
        <w:t>CONCLUSÕES</w:t>
      </w:r>
    </w:p>
    <w:p w:rsidR="00F74C0E" w:rsidRDefault="00F74C0E" w:rsidP="00F74C0E">
      <w:r>
        <w:t>Como resultado d</w:t>
      </w:r>
      <w:r w:rsidR="00EC3EAD">
        <w:t>a análise RDM</w:t>
      </w:r>
      <w:r>
        <w:t xml:space="preserve">, </w:t>
      </w:r>
      <w:r w:rsidR="00EC3EAD">
        <w:t>as</w:t>
      </w:r>
      <w:r>
        <w:t xml:space="preserve"> simulações indicaram que estratégias agressivas, sem investimento em pesquisa e desenvolvimento aberto possuíram performance superior às demais alternativas. Nas condições onde a estratégia mais agressiva falhou, outras estratégias que se utilizam das heurísticas agressivas, porém com menor </w:t>
      </w:r>
      <w:proofErr w:type="spellStart"/>
      <w:r>
        <w:t>market</w:t>
      </w:r>
      <w:proofErr w:type="spellEnd"/>
      <w:r>
        <w:t xml:space="preserve"> </w:t>
      </w:r>
      <w:proofErr w:type="spellStart"/>
      <w:r>
        <w:t>share</w:t>
      </w:r>
      <w:proofErr w:type="spellEnd"/>
      <w:r>
        <w:t xml:space="preserve"> alvo foram identificadas como alternativas.</w:t>
      </w:r>
    </w:p>
    <w:p w:rsidR="00FA0B8C" w:rsidRDefault="00FA0B8C" w:rsidP="00FA0B8C">
      <w:r>
        <w:t xml:space="preserve">Os resultados da análise de robustez das estratégias não ofereceram suporte a estratégias voltadas ao desenvolvimento de patentes open </w:t>
      </w:r>
      <w:proofErr w:type="spellStart"/>
      <w:r>
        <w:t>source</w:t>
      </w:r>
      <w:proofErr w:type="spellEnd"/>
      <w:r>
        <w:t>. Sob as condições testadas pelo modelo, tais estratégias foram dominadas por estratégias de desenvolvimento fechado. A levar em consideração o atual comportamento dos players dominante, este resultado mostra-se consistente com a realidade. Estes resultados não eliminam definitivamente as estratégias de desenvolvimento aberto como potencialmente válidas, visto que foi demonstrado que sua performance é aproximadamente equivalente a outras estratégias de desenvolvimento fechado. No entanto, nenhuma estratégia de desenvolvimento aberto figurou como uma opção na análise da fronteira de tradeoffs. Sendo assim, os resultados desta análise não suportam a escolha desta estratégia pelos players dominantes do mercado.</w:t>
      </w:r>
    </w:p>
    <w:p w:rsidR="00FA0B8C" w:rsidRDefault="00FA0B8C" w:rsidP="00FA0B8C">
      <w:r>
        <w:t xml:space="preserve">Ainda considerando os resultados em relação às decisões estratégicas analisadas, é importante ressaltar que os resultados sugeriram que os players invistam menos em pesquisa e desenvolvimento. Este resultado pode indicar que, à medida que a indústria se estabilize, pode ser necessário que os players comecem a focalizar-se sobre resultados de curto prazo para observar retornos sobre seus investimentos. Para que esta recomendação seja utilizada </w:t>
      </w:r>
      <w:r>
        <w:lastRenderedPageBreak/>
        <w:t>adequadamente, é necessário que os players observem cautelosamente qual é de fato a restrição para a expansão do mercado (ex.: performance e ou velocidade de difusão do produto).</w:t>
      </w:r>
    </w:p>
    <w:p w:rsidR="00FA0B8C" w:rsidRDefault="00FA0B8C" w:rsidP="00FA0B8C">
      <w:r>
        <w:t>Os players podem ter a sensação falsa de que sua demanda é baixa devido a limitações de performance, enquanto a difusão do produto no mercado é lenta por outras razões. Ao identificar a limitação de performance como a restrição, estes players investem em Pesquisa e Desenvolvimento excessivamente, aumentando os preços sobre os seus produtos, e por consequência, limitando o mercado que poderia ser atendido pelos mesmos. Quando o mercado finalmente amadurecer, pode ser tarde demais para colher os frutos financeiros dos investimentos realizados, uma vez que as patentes vencerão, e o mercado poderá ser inundado de players agressivos com melhor capitalização (como foi o caso da tecnologia FDM). Embora o investimento em pesquisa e desenvolvimento geralmente seja bom para o mercado comprador, esta situação pode inviabilizar o negócio de empresas atualmente dominantes no médio e longo prazo.</w:t>
      </w:r>
    </w:p>
    <w:p w:rsidR="00F74C0E" w:rsidRDefault="00F74C0E" w:rsidP="00F74C0E">
      <w:r>
        <w:t xml:space="preserve">Quanto às contribuições para a literatura em difusão de novos produtos, este trabalho contribui em dois aspectos. Primeiro, este trabalho sustenta-se sobre modelos consolidados de difusão de produtos e dinâmica competitiva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"id" : "ITEM-2", "itemData" : { "DOI" : "10.1287/mnsc.15.5.215", "ISSN" : "0025-1909", "author" : [ { "dropping-particle" : "", "family" : "Bass", "given" : "Frank M.", "non-dropping-particle" : "", "parse-names" : false, "suffix" : "" } ], "container-title" : "Management Science", "id" : "ITEM-2", "issue" : "5", "issued" : { "date-parts" : [ [ "1969", "1" ] ] }, "page" : "215-227", "title" : "A New Product Growth for Model Consumer Durables", "type" : "article-journal", "volume" : "15" }, "uris" : [ "http://www.mendeley.com/documents/?uuid=ba3ae769-23ac-41bf-b506-68e895a98dd3" ] } ], "mendeley" : { "formattedCitation" : "(Bass, 1969; J. D. Sterman et al., 2007)", "plainTextFormattedCitation" : "(Bass, 1969; J. D. Sterman et al., 2007)", "previouslyFormattedCitation" : "(Bass, 1969; J. D. Sterman et al., 2007)" }, "properties" : {  }, "schema" : "https://github.com/citation-style-language/schema/raw/master/csl-citation.json" }</w:instrText>
      </w:r>
      <w:r>
        <w:fldChar w:fldCharType="separate"/>
      </w:r>
      <w:r w:rsidRPr="00024DAB">
        <w:rPr>
          <w:noProof/>
        </w:rPr>
        <w:t>(Bass, 1969; J. D. Sterman et al., 2007)</w:t>
      </w:r>
      <w:r>
        <w:fldChar w:fldCharType="end"/>
      </w:r>
      <w:r>
        <w:t>, ampliando-os para que levem em consideração a performance do produto como um critério de competição entre os players. Esta expansão em relação ao modelo original permitiu que a dinâmica de expiração de patentes fosse levada em consideração na avaliação das decisões estratégicas.</w:t>
      </w:r>
    </w:p>
    <w:p w:rsidR="00F74C0E" w:rsidRDefault="00F74C0E" w:rsidP="00F74C0E">
      <w:r>
        <w:t>Em segundo lugar, este trabalho ressalta a utilidade de tais modelos sob outro framework analítico. Ao invés de seguir o processo usual empregado na dinâmica de sistemas,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 Finalmente a análise extrai conhecimento desta base de dados simulados, também de modo sistemático.</w:t>
      </w:r>
    </w:p>
    <w:p w:rsidR="00F74C0E" w:rsidRDefault="00F74C0E" w:rsidP="00F74C0E">
      <w:r>
        <w:t xml:space="preserve">Finalmente, este trabalho apresentou contribuições relevantes para a literatura em avaliação de decisões estratégicas. Diante do clamor pela utilização do critério de robustez para a 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Pr="00024DAB">
        <w:rPr>
          <w:noProof/>
        </w:rPr>
        <w:t>(Rosenhead et al., 1973)</w:t>
      </w:r>
      <w:r>
        <w:fldChar w:fldCharType="end"/>
      </w:r>
      <w:r>
        <w:t xml:space="preserve">, este trabalho executou uma análise de vulnerabilidade não apenas considerando critérios de robustez para a seleção da estratégia, mas também identificando vulnerabilidades da estratégia </w:t>
      </w:r>
      <w:r>
        <w:rPr>
          <w:i/>
        </w:rPr>
        <w:t xml:space="preserve">mais robusta </w:t>
      </w:r>
      <w:r>
        <w:t>dentre as testadas.</w:t>
      </w:r>
    </w:p>
    <w:p w:rsidR="00F74C0E" w:rsidRDefault="00F74C0E" w:rsidP="00F74C0E">
      <w:r>
        <w:lastRenderedPageBreak/>
        <w:t xml:space="preserve">Além deste ponto, este trabalho contribui avançando em relação às críticas recorrentes ao uso de cenários para o suporte à avaliação de decisões estratégicas. Como apontam evidências recentes </w:t>
      </w:r>
      <w:r>
        <w:fldChar w:fldCharType="begin" w:fldLock="1"/>
      </w:r>
      <w:r w:rsidR="00692763">
        <w:instrText>ADDIN CSL_CITATION { "citationItems" : [ { "id" : "ITEM-1", "itemData" : { "DOI" : "10.1002/smj.2293",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"Phadnis", "given" : "Shardul", "non-dropping-particle" : "", "parse-names" : false, "suffix" : "" }, { "dropping-particle" : "", "family" : "Caplice", "given" : "Chris", "non-dropping-particle" : "", "parse-names" : false, "suffix" : "" }, { "dropping-particle" : "", "family" : "Sheffi", "given" : "Yossi", "non-dropping-particle" : "", "parse-names" : false, "suffix" : "" }, { "dropping-particle" : "", "family" : "Singh", "given" : "Mahender", "non-dropping-particle" : "", "parse-names" : false, "suffix" : "" } ], "container-title" : "Strategic Management Journal", "id" : "ITEM-1", "issue" : "9", "issued" : { "date-parts" : [ [ "2015", "9" ] ] }, "page" : "1401-1411", "title" : "Effect of scenario planning on field experts' judgment of long-range investment decisions", "type" : "article-journal", "volume" : "36" }, "uris" : [ "http://www.mendeley.com/documents/?uuid=ea59bae7-fc9e-4692-b329-8b9fbee3b82a" ] } ], "mendeley" : { "formattedCitation" : "(Phadnis, Caplice, Sheffi, &amp; Singh, 2015)", "plainTextFormattedCitation" : "(Phadnis, Caplice, Sheffi, &amp; Singh, 2015)", "previouslyFormattedCitation" : "(Phadnis, Caplice, Sheffi, &amp; Singh, 2015)" }, "properties" : {  }, "schema" : "https://github.com/citation-style-language/schema/raw/master/csl-citation.json" }</w:instrText>
      </w:r>
      <w:r>
        <w:fldChar w:fldCharType="separate"/>
      </w:r>
      <w:r w:rsidR="001471E8" w:rsidRPr="001471E8">
        <w:rPr>
          <w:noProof/>
        </w:rPr>
        <w:t>(Phadnis, Caplice, Sheffi, &amp; Singh, 2015)</w:t>
      </w:r>
      <w:r>
        <w:fldChar w:fldCharType="end"/>
      </w:r>
      <w:r>
        <w:t xml:space="preserve">, o uso de cenários não necessariamente tem o efeito esperado de diminuir a confiança de experts sobre suas próprias predições. Consequentemente, </w:t>
      </w:r>
      <w:proofErr w:type="spellStart"/>
      <w:r>
        <w:t>Phadnis</w:t>
      </w:r>
      <w:proofErr w:type="spellEnd"/>
      <w:r>
        <w:t xml:space="preserve"> et al. (2015) sugerem que diretrizes normativas para combinar a abordagem de cenários com abordagens analíticas de decisão poderia melhorar a qualidade decisões estratégicas. Este trabalho oferece especificamente um passo neste sentido ao aplicar a abordagem de modelagem exploratória ao contexto organizacional.</w:t>
      </w:r>
    </w:p>
    <w:p w:rsidR="00F74C0E" w:rsidRDefault="00F74C0E" w:rsidP="00F74C0E">
      <w:r>
        <w:t xml:space="preserve">Há uma ampla gama de possíveis trabalhos futuros a serem desenvolvidos a partir da presente dissertação. Assim como este trabalho expandiu o modelo anteriormente proposto por </w:t>
      </w:r>
      <w:proofErr w:type="spellStart"/>
      <w:r>
        <w:t>Sterman</w:t>
      </w:r>
      <w:proofErr w:type="spellEnd"/>
      <w:r>
        <w:t xml:space="preserve"> et al. (2007), uma linha de geração de trabalhos futuros trata-se de expandir o modelo de dinâmica competitiva empregado por este trabalho, com o objetivo de incorporar os aspectos não incluídos no escopo deste modelo. </w:t>
      </w:r>
    </w:p>
    <w:p w:rsidR="00F74C0E" w:rsidRDefault="00F74C0E" w:rsidP="00F74C0E">
      <w:r>
        <w:t xml:space="preserve">Outra linha de investigação possível é realizar a aplicação deste mesmo modelo a outros tipos de produtos. Como é possível notar na formulação do modelo, a maior parte de suas equações é baseada em relações presentes na maioria dos mercados que envolvem evolução tecnológica. Os módulos de Demanda Global, Difusão do Produto, Market </w:t>
      </w:r>
      <w:proofErr w:type="spellStart"/>
      <w:r>
        <w:t>Share</w:t>
      </w:r>
      <w:proofErr w:type="spellEnd"/>
      <w:r>
        <w:t xml:space="preserve">, Firma, Produção, Capacidade e Preço possuem formulações genéricas o suficiente para que seja possível aplica-los em outros contextos sem modificações expressivas. Por isso, um futuro trabalho poderá utilizar este modelo em outro contexto, focalizando sua atenção à interação dos resultados do modelo junto a stakeholders reais. Métodos de avaliação dos resultados da análise RDM, assim como são empregados no contexto das políticas públicas </w:t>
      </w:r>
      <w:r>
        <w:fldChar w:fldCharType="begin" w:fldLock="1"/>
      </w:r>
      <w:r>
        <w:instrText>ADDIN CSL_CITATION { "citationItems" : [ { "id" : "ITEM-1", "itemData" : { "DOI" : "10.1016/j.techfore.2014.01.010", "ISBN" : "0040-1625", "ISSN" : "00401625", "abstract" : "Scenario planning traditionally relies on qualitative methods to choose its scenarios. Recently, quantitative decision support tools have also begun to facilitate such choices. This study uses behavioral experiments and structured decision-maker interviews to evaluate the results of \"scenario discovery,\" a quantitative method that defines scenarios as sets of future states of the world in which proposed policies fail to meet their goals. Statistical cluster-finding and principal component algorithms applied to large databases of computer simulation model results then help users to identify such scenarios. The two experiments examine the results of this process and demonstrate a user preference for increased accuracy and simplicity achieved through rotating the space of uncertain model input parameters, but primarily when the rotated parameters are conceptually similar. Interviews with experts suggest utility for both qualitatively- and quantitatively-derived scenarios. The former were easier to understand and had the most utility for scoping. The latter were perceived as containing more relevant information and having more utility for understanding tradeoffs and making choices among them. Overall, this study suggests the value of quantitative tools for facilitating scenario choice, while also highlighting the importance of formal evaluation in judging the utility of new methods for decision support.", "author" : [ { "dropping-particle" : "", "family" : "Parker", "given" : "Andrew M.", "non-dropping-particle" : "", "parse-names" : false, "suffix" : "" }, { "dropping-particle" : "V.", "family" : "Srinivasan", "given" : "Sinduja", "non-dropping-particle" : "", "parse-names" : false, "suffix" : "" }, { "dropping-particle" : "", "family" : "Lempert", "given" : "Robert J.", "non-dropping-particle" : "", "parse-names" : false, "suffix" : "" }, { "dropping-particle" : "", "family" : "Berry", "given" : "Sandra H.", "non-dropping-particle" : "", "parse-names" : false, "suffix" : "" } ], "container-title" : "Technological Forecasting and Social Change", "id" : "ITEM-1", "issued" : { "date-parts" : [ [ "2015" ] ] }, "page" : "64-77", "publisher" : "Elsevier Inc.", "title" : "Evaluating simulation-derived scenarios for effective decision support", "type" : "article-journal", "volume" : "91" }, "uris" : [ "http://www.mendeley.com/documents/?uuid=1da2208f-da79-4f49-aaee-f9a37a6cff9b" ] } ], "mendeley" : { "formattedCitation" : "(Parker, Srinivasan, Lempert, &amp; Berry, 2015)", "plainTextFormattedCitation" : "(Parker, Srinivasan, Lempert, &amp; Berry, 2015)", "previouslyFormattedCitation" : "(Parker, Srinivasan, Lempert, &amp; Berry, 2015)" }, "properties" : {  }, "schema" : "https://github.com/citation-style-language/schema/raw/master/csl-citation.json" }</w:instrText>
      </w:r>
      <w:r>
        <w:fldChar w:fldCharType="separate"/>
      </w:r>
      <w:r w:rsidRPr="00024DAB">
        <w:rPr>
          <w:noProof/>
        </w:rPr>
        <w:t>(Parker, Srinivasan, Lempert, &amp; Berry, 2015)</w:t>
      </w:r>
      <w:r>
        <w:fldChar w:fldCharType="end"/>
      </w:r>
      <w:r>
        <w:t xml:space="preserve">, podem ser aplicados para coletar evidências importantes para avaliar a utilidade destas aplicações, formando assim uma base de evidências sobre a qual novos métodos poderão ser desenvolvidos. </w:t>
      </w:r>
    </w:p>
    <w:p w:rsidR="00523116" w:rsidRPr="00523116" w:rsidRDefault="00F74C0E" w:rsidP="00FA0B8C">
      <w:r>
        <w:t xml:space="preserve">Outra linha de exploração está na experimentação de outras abordagens de decisão sob incerteza profunda. Este trabalho iniciou a exploração pela aplicação do RDM, porém existem outras abordagens como o DAPP </w:t>
      </w:r>
      <w:r>
        <w:fldChar w:fldCharType="begin" w:fldLock="1"/>
      </w:r>
      <w: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about the future arising from social, political,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Kwakkel, Walker, &amp; ter Maat, 2013)", "plainTextFormattedCitation" : "(Haasnoot, Kwakkel, Walker, &amp; ter Maat, 2013)", "previouslyFormattedCitation" : "(Haasnoot, Kwakkel, Walker, &amp; ter Maat, 2013)" }, "properties" : {  }, "schema" : "https://github.com/citation-style-language/schema/raw/master/csl-citation.json" }</w:instrText>
      </w:r>
      <w:r>
        <w:fldChar w:fldCharType="separate"/>
      </w:r>
      <w:r w:rsidRPr="00024DAB">
        <w:rPr>
          <w:noProof/>
        </w:rPr>
        <w:t>(Haasnoot, Kwakkel, Walker, &amp; ter Maat, 2013)</w:t>
      </w:r>
      <w:r>
        <w:fldChar w:fldCharType="end"/>
      </w:r>
      <w:r>
        <w:t xml:space="preserve">, MORDM </w:t>
      </w:r>
      <w:r>
        <w:fldChar w:fldCharType="begin" w:fldLock="1"/>
      </w:r>
      <w: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Nataraj, Reed, &amp; Lempert, 2013)", "plainTextFormattedCitation" : "(Kasprzyk, Nataraj, Reed, &amp; Lempert, 2013)", "previouslyFormattedCitation" : "(Kasprzyk, Nataraj, Reed, &amp; Lempert, 2013)" }, "properties" : {  }, "schema" : "https://github.com/citation-style-language/schema/raw/master/csl-citation.json" }</w:instrText>
      </w:r>
      <w:r>
        <w:fldChar w:fldCharType="separate"/>
      </w:r>
      <w:r w:rsidRPr="00024DAB">
        <w:rPr>
          <w:noProof/>
        </w:rPr>
        <w:t>(Kasprzyk, Nataraj, Reed, &amp; Lempert, 2013)</w:t>
      </w:r>
      <w:r>
        <w:fldChar w:fldCharType="end"/>
      </w:r>
      <w:r>
        <w:t xml:space="preserve">, Info-Gap </w:t>
      </w:r>
      <w:r>
        <w:fldChar w:fldCharType="begin" w:fldLock="1"/>
      </w:r>
      <w:r>
        <w:instrText>ADDIN CSL_CITATION { "citationItems" : [ { "id" : "ITEM-1", "itemData" : { "author" : [ { "dropping-particle" : "", "family" : "Ben-Haim", "given" : "Yakov", "non-dropping-particle" : "", "parse-names" : false, "suffix" : "" } ], "edition" :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 "schema" : "https://github.com/citation-style-language/schema/raw/master/csl-citation.json" }</w:instrText>
      </w:r>
      <w:r>
        <w:fldChar w:fldCharType="separate"/>
      </w:r>
      <w:r w:rsidRPr="00024DAB">
        <w:rPr>
          <w:noProof/>
        </w:rPr>
        <w:t>(Ben-Haim, 2006)</w:t>
      </w:r>
      <w:r>
        <w:fldChar w:fldCharType="end"/>
      </w:r>
      <w:r>
        <w:t>, os quais também possuem contribuições potenciais, ainda não realizadas no ambiente organizacional. Futuros trabalhos poderão utilizar-se destas abordagens e, comparar sua utilidade a partir de uma base de aplicações.</w:t>
      </w:r>
    </w:p>
    <w:p w:rsidR="009046B9" w:rsidRDefault="00E47836" w:rsidP="009046B9">
      <w:pPr>
        <w:pStyle w:val="Ttulo1"/>
      </w:pPr>
      <w:r>
        <w:br w:type="page"/>
      </w:r>
      <w:r w:rsidR="00B50AEB">
        <w:lastRenderedPageBreak/>
        <w:t>SUPORTE FINANCEIRO</w:t>
      </w:r>
    </w:p>
    <w:p w:rsidR="009046B9" w:rsidRPr="009046B9" w:rsidRDefault="009046B9" w:rsidP="009046B9">
      <w:r>
        <w:t>Os autores agradecem à CAPES pelo suporte financeiro propiciado por meio da bolsa CAPES PROSUP.</w:t>
      </w:r>
    </w:p>
    <w:p w:rsidR="00E47836" w:rsidRDefault="00E47836">
      <w:pPr>
        <w:autoSpaceDE/>
        <w:autoSpaceDN/>
        <w:adjustRightInd/>
        <w:spacing w:line="240" w:lineRule="auto"/>
        <w:ind w:firstLine="0"/>
        <w:jc w:val="left"/>
        <w:rPr>
          <w:b/>
          <w:bCs/>
          <w:caps/>
          <w:kern w:val="32"/>
          <w:szCs w:val="32"/>
        </w:rPr>
      </w:pPr>
    </w:p>
    <w:p w:rsidR="00CF2481" w:rsidRPr="002B57EF" w:rsidRDefault="00CF2481" w:rsidP="00EC1D1B">
      <w:pPr>
        <w:pStyle w:val="Ttulo1"/>
        <w:numPr>
          <w:ilvl w:val="0"/>
          <w:numId w:val="0"/>
        </w:numPr>
        <w:jc w:val="center"/>
      </w:pPr>
      <w:r w:rsidRPr="002B57EF">
        <w:t>REFERÊNCIAS</w:t>
      </w:r>
      <w:bookmarkEnd w:id="5"/>
      <w:bookmarkEnd w:id="6"/>
      <w:r w:rsidR="009046B9">
        <w:t xml:space="preserve"> BIBLIOGRÁFICAS</w:t>
      </w:r>
    </w:p>
    <w:p w:rsidR="00692763" w:rsidRPr="007B40A8" w:rsidRDefault="00865BA8" w:rsidP="00692763">
      <w:pPr>
        <w:widowControl w:val="0"/>
        <w:ind w:left="480" w:hanging="480"/>
        <w:rPr>
          <w:noProof/>
          <w:lang w:val="en-US"/>
        </w:rPr>
      </w:pPr>
      <w:r>
        <w:rPr>
          <w:lang w:val="en-US"/>
        </w:rPr>
        <w:fldChar w:fldCharType="begin" w:fldLock="1"/>
      </w:r>
      <w:r w:rsidR="00086BB6" w:rsidRPr="006E3B91">
        <w:instrText xml:space="preserve">ADDIN Mendeley Bibliography CSL_BIBLIOGRAPHY </w:instrText>
      </w:r>
      <w:r>
        <w:rPr>
          <w:lang w:val="en-US"/>
        </w:rPr>
        <w:fldChar w:fldCharType="separate"/>
      </w:r>
      <w:r w:rsidR="00692763" w:rsidRPr="006E3B91">
        <w:rPr>
          <w:noProof/>
        </w:rPr>
        <w:t xml:space="preserve">Armstrong, J. S. (1982). </w:t>
      </w:r>
      <w:r w:rsidR="00692763" w:rsidRPr="007B40A8">
        <w:rPr>
          <w:noProof/>
          <w:lang w:val="en-US"/>
        </w:rPr>
        <w:t xml:space="preserve">The value of formal planning for strategic decisions: Review of empirical research. </w:t>
      </w:r>
      <w:r w:rsidR="00692763" w:rsidRPr="007B40A8">
        <w:rPr>
          <w:i/>
          <w:iCs/>
          <w:noProof/>
          <w:lang w:val="en-US"/>
        </w:rPr>
        <w:t>Strategic Management Journal</w:t>
      </w:r>
      <w:r w:rsidR="00692763" w:rsidRPr="007B40A8">
        <w:rPr>
          <w:noProof/>
          <w:lang w:val="en-US"/>
        </w:rPr>
        <w:t xml:space="preserve">, </w:t>
      </w:r>
      <w:r w:rsidR="00692763" w:rsidRPr="007B40A8">
        <w:rPr>
          <w:i/>
          <w:iCs/>
          <w:noProof/>
          <w:lang w:val="en-US"/>
        </w:rPr>
        <w:t>3</w:t>
      </w:r>
      <w:r w:rsidR="00692763" w:rsidRPr="007B40A8">
        <w:rPr>
          <w:noProof/>
          <w:lang w:val="en-US"/>
        </w:rPr>
        <w:t>(3), 197–211. https://doi.org/10.1002/smj.4250030303</w:t>
      </w:r>
    </w:p>
    <w:p w:rsidR="00692763" w:rsidRPr="007B40A8" w:rsidRDefault="00692763" w:rsidP="00692763">
      <w:pPr>
        <w:widowControl w:val="0"/>
        <w:ind w:left="480" w:hanging="480"/>
        <w:rPr>
          <w:noProof/>
          <w:lang w:val="en-US"/>
        </w:rPr>
      </w:pPr>
      <w:r w:rsidRPr="007B40A8">
        <w:rPr>
          <w:noProof/>
          <w:lang w:val="en-US"/>
        </w:rPr>
        <w:t xml:space="preserve">Bass, F. M. (1969). A New Product Growth for Model Consumer Durables. </w:t>
      </w:r>
      <w:r w:rsidRPr="007B40A8">
        <w:rPr>
          <w:i/>
          <w:iCs/>
          <w:noProof/>
          <w:lang w:val="en-US"/>
        </w:rPr>
        <w:t>Management Science</w:t>
      </w:r>
      <w:r w:rsidRPr="007B40A8">
        <w:rPr>
          <w:noProof/>
          <w:lang w:val="en-US"/>
        </w:rPr>
        <w:t xml:space="preserve">, </w:t>
      </w:r>
      <w:r w:rsidRPr="007B40A8">
        <w:rPr>
          <w:i/>
          <w:iCs/>
          <w:noProof/>
          <w:lang w:val="en-US"/>
        </w:rPr>
        <w:t>15</w:t>
      </w:r>
      <w:r w:rsidRPr="007B40A8">
        <w:rPr>
          <w:noProof/>
          <w:lang w:val="en-US"/>
        </w:rPr>
        <w:t>(5), 215–227. https://doi.org/10.1287/mnsc.15.5.215</w:t>
      </w:r>
    </w:p>
    <w:p w:rsidR="00692763" w:rsidRPr="007B40A8" w:rsidRDefault="00692763" w:rsidP="00692763">
      <w:pPr>
        <w:widowControl w:val="0"/>
        <w:ind w:left="480" w:hanging="480"/>
        <w:rPr>
          <w:noProof/>
          <w:lang w:val="en-US"/>
        </w:rPr>
      </w:pPr>
      <w:r w:rsidRPr="007B40A8">
        <w:rPr>
          <w:noProof/>
          <w:lang w:val="en-US"/>
        </w:rPr>
        <w:t xml:space="preserve">Ben-Haim, Y. (2006). </w:t>
      </w:r>
      <w:r w:rsidRPr="007B40A8">
        <w:rPr>
          <w:i/>
          <w:iCs/>
          <w:noProof/>
          <w:lang w:val="en-US"/>
        </w:rPr>
        <w:t>Info-Gap Decision Theory: Decisions Under Severe Uncertainty</w:t>
      </w:r>
      <w:r w:rsidRPr="007B40A8">
        <w:rPr>
          <w:noProof/>
          <w:lang w:val="en-US"/>
        </w:rPr>
        <w:t xml:space="preserve"> (2nd ed.). Academic Press.</w:t>
      </w:r>
    </w:p>
    <w:p w:rsidR="00692763" w:rsidRPr="007B40A8" w:rsidRDefault="00692763" w:rsidP="00692763">
      <w:pPr>
        <w:widowControl w:val="0"/>
        <w:ind w:left="480" w:hanging="480"/>
        <w:rPr>
          <w:noProof/>
          <w:lang w:val="en-US"/>
        </w:rPr>
      </w:pPr>
      <w:r w:rsidRPr="007B40A8">
        <w:rPr>
          <w:noProof/>
          <w:lang w:val="en-US"/>
        </w:rPr>
        <w:t xml:space="preserve">Berman, B. (2012). 3-D printing: The new industrial revolution. </w:t>
      </w:r>
      <w:r w:rsidRPr="007B40A8">
        <w:rPr>
          <w:i/>
          <w:iCs/>
          <w:noProof/>
          <w:lang w:val="en-US"/>
        </w:rPr>
        <w:t>Business Horizons</w:t>
      </w:r>
      <w:r w:rsidRPr="007B40A8">
        <w:rPr>
          <w:noProof/>
          <w:lang w:val="en-US"/>
        </w:rPr>
        <w:t xml:space="preserve">, </w:t>
      </w:r>
      <w:r w:rsidRPr="007B40A8">
        <w:rPr>
          <w:i/>
          <w:iCs/>
          <w:noProof/>
          <w:lang w:val="en-US"/>
        </w:rPr>
        <w:t>55</w:t>
      </w:r>
      <w:r w:rsidRPr="007B40A8">
        <w:rPr>
          <w:noProof/>
          <w:lang w:val="en-US"/>
        </w:rPr>
        <w:t>(2), 155–162.</w:t>
      </w:r>
    </w:p>
    <w:p w:rsidR="00692763" w:rsidRPr="007B40A8" w:rsidRDefault="00692763" w:rsidP="00692763">
      <w:pPr>
        <w:widowControl w:val="0"/>
        <w:ind w:left="480" w:hanging="480"/>
        <w:rPr>
          <w:noProof/>
          <w:lang w:val="en-US"/>
        </w:rPr>
      </w:pPr>
      <w:r w:rsidRPr="007B40A8">
        <w:rPr>
          <w:noProof/>
          <w:lang w:val="en-US"/>
        </w:rPr>
        <w:t xml:space="preserve">Bryant, B. P., &amp; Lempert, R. J. (2010). Thinking inside the box: A participatory, computer-assisted approach to scenario discovery. </w:t>
      </w:r>
      <w:r w:rsidRPr="007B40A8">
        <w:rPr>
          <w:i/>
          <w:iCs/>
          <w:noProof/>
          <w:lang w:val="en-US"/>
        </w:rPr>
        <w:t>Technological Forecasting and Social Change</w:t>
      </w:r>
      <w:r w:rsidRPr="007B40A8">
        <w:rPr>
          <w:noProof/>
          <w:lang w:val="en-US"/>
        </w:rPr>
        <w:t xml:space="preserve">, </w:t>
      </w:r>
      <w:r w:rsidRPr="007B40A8">
        <w:rPr>
          <w:i/>
          <w:iCs/>
          <w:noProof/>
          <w:lang w:val="en-US"/>
        </w:rPr>
        <w:t>77</w:t>
      </w:r>
      <w:r w:rsidRPr="007B40A8">
        <w:rPr>
          <w:noProof/>
          <w:lang w:val="en-US"/>
        </w:rPr>
        <w:t>(1), 34–49. https://doi.org/10.1016/j.techfore.2009.08.002</w:t>
      </w:r>
    </w:p>
    <w:p w:rsidR="00692763" w:rsidRPr="007B40A8" w:rsidRDefault="00692763" w:rsidP="00692763">
      <w:pPr>
        <w:widowControl w:val="0"/>
        <w:ind w:left="480" w:hanging="480"/>
        <w:rPr>
          <w:noProof/>
          <w:lang w:val="en-US"/>
        </w:rPr>
      </w:pPr>
      <w:r w:rsidRPr="007B40A8">
        <w:rPr>
          <w:noProof/>
          <w:lang w:val="en-US"/>
        </w:rPr>
        <w:t xml:space="preserve">Caffrey, T., Wohlers, T., &amp; Campbell, R. I. (2016). </w:t>
      </w:r>
      <w:r w:rsidRPr="007B40A8">
        <w:rPr>
          <w:i/>
          <w:iCs/>
          <w:noProof/>
          <w:lang w:val="en-US"/>
        </w:rPr>
        <w:t>Executive summary of the Wohlers Report 2016</w:t>
      </w:r>
      <w:r w:rsidRPr="007B40A8">
        <w:rPr>
          <w:noProof/>
          <w:lang w:val="en-US"/>
        </w:rPr>
        <w:t>. Fort Collins, Colorado. Retrieved from https://dspace.lboro.ac.uk/dspace-jspui/bitstream/2134/21223/1/Wohlers Report 2016 Executive Summary.pdf</w:t>
      </w:r>
    </w:p>
    <w:p w:rsidR="00692763" w:rsidRPr="007B40A8" w:rsidRDefault="00692763" w:rsidP="00692763">
      <w:pPr>
        <w:widowControl w:val="0"/>
        <w:ind w:left="480" w:hanging="480"/>
        <w:rPr>
          <w:noProof/>
          <w:lang w:val="en-US"/>
        </w:rPr>
      </w:pPr>
      <w:r w:rsidRPr="007B40A8">
        <w:rPr>
          <w:noProof/>
          <w:lang w:val="en-US"/>
        </w:rPr>
        <w:t xml:space="preserve">Dean, J. W., &amp; Sharfman, M. P. (1996). Does decision process matter? A study of strategic decision-making effectiveness. </w:t>
      </w:r>
      <w:r w:rsidRPr="007B40A8">
        <w:rPr>
          <w:i/>
          <w:iCs/>
          <w:noProof/>
          <w:lang w:val="en-US"/>
        </w:rPr>
        <w:t>Academy of Management Journal</w:t>
      </w:r>
      <w:r w:rsidRPr="007B40A8">
        <w:rPr>
          <w:noProof/>
          <w:lang w:val="en-US"/>
        </w:rPr>
        <w:t xml:space="preserve">, </w:t>
      </w:r>
      <w:r w:rsidRPr="007B40A8">
        <w:rPr>
          <w:i/>
          <w:iCs/>
          <w:noProof/>
          <w:lang w:val="en-US"/>
        </w:rPr>
        <w:t>39</w:t>
      </w:r>
      <w:r w:rsidRPr="007B40A8">
        <w:rPr>
          <w:noProof/>
          <w:lang w:val="en-US"/>
        </w:rPr>
        <w:t>(2), 368–396. https://doi.org/10.2307/256784</w:t>
      </w:r>
    </w:p>
    <w:p w:rsidR="00692763" w:rsidRPr="007B40A8" w:rsidRDefault="00692763" w:rsidP="00692763">
      <w:pPr>
        <w:widowControl w:val="0"/>
        <w:ind w:left="480" w:hanging="480"/>
        <w:rPr>
          <w:noProof/>
          <w:lang w:val="en-US"/>
        </w:rPr>
      </w:pPr>
      <w:r w:rsidRPr="007B40A8">
        <w:rPr>
          <w:noProof/>
          <w:lang w:val="en-US"/>
        </w:rPr>
        <w:t xml:space="preserve">Eisenhardt, K. M., &amp; Zbaracki, M. J. (1992). Strategic decision making. </w:t>
      </w:r>
      <w:r w:rsidRPr="007B40A8">
        <w:rPr>
          <w:i/>
          <w:iCs/>
          <w:noProof/>
          <w:lang w:val="en-US"/>
        </w:rPr>
        <w:t>Strategic Management Journal</w:t>
      </w:r>
      <w:r w:rsidRPr="007B40A8">
        <w:rPr>
          <w:noProof/>
          <w:lang w:val="en-US"/>
        </w:rPr>
        <w:t xml:space="preserve">, </w:t>
      </w:r>
      <w:r w:rsidRPr="007B40A8">
        <w:rPr>
          <w:i/>
          <w:iCs/>
          <w:noProof/>
          <w:lang w:val="en-US"/>
        </w:rPr>
        <w:t>13</w:t>
      </w:r>
      <w:r w:rsidRPr="007B40A8">
        <w:rPr>
          <w:noProof/>
          <w:lang w:val="en-US"/>
        </w:rPr>
        <w:t>(S2), 17–37. https://doi.org/10.1002/smj.4250130904</w:t>
      </w:r>
    </w:p>
    <w:p w:rsidR="00692763" w:rsidRPr="007B40A8" w:rsidRDefault="00692763" w:rsidP="00692763">
      <w:pPr>
        <w:widowControl w:val="0"/>
        <w:ind w:left="480" w:hanging="480"/>
        <w:rPr>
          <w:noProof/>
          <w:lang w:val="en-US"/>
        </w:rPr>
      </w:pPr>
      <w:r w:rsidRPr="007B40A8">
        <w:rPr>
          <w:noProof/>
          <w:lang w:val="en-US"/>
        </w:rPr>
        <w:t xml:space="preserve">Ford, S. L. N. (2014). Additive Manufacturing Technology: Potential Implications for U.S. Manufacturing Competitiveness. </w:t>
      </w:r>
      <w:r w:rsidRPr="007B40A8">
        <w:rPr>
          <w:i/>
          <w:iCs/>
          <w:noProof/>
          <w:lang w:val="en-US"/>
        </w:rPr>
        <w:t>Journal of International Commerce &amp; Economics</w:t>
      </w:r>
      <w:r w:rsidRPr="007B40A8">
        <w:rPr>
          <w:noProof/>
          <w:lang w:val="en-US"/>
        </w:rPr>
        <w:t>, 1–35.</w:t>
      </w:r>
    </w:p>
    <w:p w:rsidR="00692763" w:rsidRPr="007B40A8" w:rsidRDefault="00692763" w:rsidP="00692763">
      <w:pPr>
        <w:widowControl w:val="0"/>
        <w:ind w:left="480" w:hanging="480"/>
        <w:rPr>
          <w:noProof/>
          <w:lang w:val="en-US"/>
        </w:rPr>
      </w:pPr>
      <w:r w:rsidRPr="007B40A8">
        <w:rPr>
          <w:noProof/>
          <w:lang w:val="en-US"/>
        </w:rPr>
        <w:t xml:space="preserve">Fransoo, J. W. M. B. J. C., Bertrand, J. W., &amp; Fransoo, J. W. M. B. J. C. (2002). </w:t>
      </w:r>
      <w:r w:rsidRPr="007B40A8">
        <w:rPr>
          <w:i/>
          <w:iCs/>
          <w:noProof/>
          <w:lang w:val="en-US"/>
        </w:rPr>
        <w:t>Operations management research methodologies using quantitative modeling</w:t>
      </w:r>
      <w:r w:rsidRPr="007B40A8">
        <w:rPr>
          <w:noProof/>
          <w:lang w:val="en-US"/>
        </w:rPr>
        <w:t xml:space="preserve">. </w:t>
      </w:r>
      <w:r w:rsidRPr="007B40A8">
        <w:rPr>
          <w:i/>
          <w:iCs/>
          <w:noProof/>
          <w:lang w:val="en-US"/>
        </w:rPr>
        <w:t>International Journal of Operations &amp; Production Management</w:t>
      </w:r>
      <w:r w:rsidRPr="007B40A8">
        <w:rPr>
          <w:noProof/>
          <w:lang w:val="en-US"/>
        </w:rPr>
        <w:t xml:space="preserve"> (Vol. 22). </w:t>
      </w:r>
      <w:r w:rsidRPr="007B40A8">
        <w:rPr>
          <w:noProof/>
          <w:lang w:val="en-US"/>
        </w:rPr>
        <w:lastRenderedPageBreak/>
        <w:t>https://doi.org/10.1108/01443570210414338</w:t>
      </w:r>
    </w:p>
    <w:p w:rsidR="00692763" w:rsidRPr="007B40A8" w:rsidRDefault="00692763" w:rsidP="00692763">
      <w:pPr>
        <w:widowControl w:val="0"/>
        <w:ind w:left="480" w:hanging="480"/>
        <w:rPr>
          <w:noProof/>
          <w:lang w:val="en-US"/>
        </w:rPr>
      </w:pPr>
      <w:r w:rsidRPr="007B40A8">
        <w:rPr>
          <w:noProof/>
          <w:lang w:val="en-US"/>
        </w:rPr>
        <w:t xml:space="preserve">Gardan, J. (2015). Additive manufacturing technologies: state of the art and trends. </w:t>
      </w:r>
      <w:r w:rsidRPr="007B40A8">
        <w:rPr>
          <w:i/>
          <w:iCs/>
          <w:noProof/>
          <w:lang w:val="en-US"/>
        </w:rPr>
        <w:t>International Journal of Production Research</w:t>
      </w:r>
      <w:r w:rsidRPr="007B40A8">
        <w:rPr>
          <w:noProof/>
          <w:lang w:val="en-US"/>
        </w:rPr>
        <w:t xml:space="preserve">, </w:t>
      </w:r>
      <w:r w:rsidRPr="007B40A8">
        <w:rPr>
          <w:i/>
          <w:iCs/>
          <w:noProof/>
          <w:lang w:val="en-US"/>
        </w:rPr>
        <w:t>7543</w:t>
      </w:r>
      <w:r w:rsidRPr="007B40A8">
        <w:rPr>
          <w:noProof/>
          <w:lang w:val="en-US"/>
        </w:rPr>
        <w:t>(August), 1–15. https://doi.org/10.1080/00207543.2015.1115909</w:t>
      </w:r>
    </w:p>
    <w:p w:rsidR="00692763" w:rsidRPr="007B40A8" w:rsidRDefault="00692763" w:rsidP="00692763">
      <w:pPr>
        <w:widowControl w:val="0"/>
        <w:ind w:left="480" w:hanging="480"/>
        <w:rPr>
          <w:noProof/>
          <w:lang w:val="en-US"/>
        </w:rPr>
      </w:pPr>
      <w:r w:rsidRPr="007B40A8">
        <w:rPr>
          <w:noProof/>
          <w:lang w:val="en-US"/>
        </w:rPr>
        <w:t xml:space="preserve">Groves, D. (2006). </w:t>
      </w:r>
      <w:r w:rsidRPr="007B40A8">
        <w:rPr>
          <w:i/>
          <w:iCs/>
          <w:noProof/>
          <w:lang w:val="en-US"/>
        </w:rPr>
        <w:t>New Methods for Identifying Robust Long-Term Water Resources Management Strategies for California</w:t>
      </w:r>
      <w:r w:rsidRPr="007B40A8">
        <w:rPr>
          <w:noProof/>
          <w:lang w:val="en-US"/>
        </w:rPr>
        <w:t>. Retrieved from http://www.rand.org/content/dam/rand/pubs/rgs_dissertations/2006/RAND_RGSD196.pdf</w:t>
      </w:r>
    </w:p>
    <w:p w:rsidR="00692763" w:rsidRPr="007B40A8" w:rsidRDefault="00692763" w:rsidP="00692763">
      <w:pPr>
        <w:widowControl w:val="0"/>
        <w:ind w:left="480" w:hanging="480"/>
        <w:rPr>
          <w:noProof/>
          <w:lang w:val="en-US"/>
        </w:rPr>
      </w:pPr>
      <w:r w:rsidRPr="007B40A8">
        <w:rPr>
          <w:noProof/>
          <w:lang w:val="en-US"/>
        </w:rPr>
        <w:t xml:space="preserve">Haasnoot, M., Kwakkel, J. H., Walker, W. E., &amp; ter Maat, J. (2013). Dynamic adaptive policy pathways: A method for crafting robust decisions for a deeply uncertain world. </w:t>
      </w:r>
      <w:r w:rsidRPr="007B40A8">
        <w:rPr>
          <w:i/>
          <w:iCs/>
          <w:noProof/>
          <w:lang w:val="en-US"/>
        </w:rPr>
        <w:t>Global Environmental Change</w:t>
      </w:r>
      <w:r w:rsidRPr="007B40A8">
        <w:rPr>
          <w:noProof/>
          <w:lang w:val="en-US"/>
        </w:rPr>
        <w:t xml:space="preserve">, </w:t>
      </w:r>
      <w:r w:rsidRPr="007B40A8">
        <w:rPr>
          <w:i/>
          <w:iCs/>
          <w:noProof/>
          <w:lang w:val="en-US"/>
        </w:rPr>
        <w:t>23</w:t>
      </w:r>
      <w:r w:rsidRPr="007B40A8">
        <w:rPr>
          <w:noProof/>
          <w:lang w:val="en-US"/>
        </w:rPr>
        <w:t>(2), 485–498. https://doi.org/10.1016/j.gloenvcha.2012.12.006</w:t>
      </w:r>
    </w:p>
    <w:p w:rsidR="00692763" w:rsidRPr="007B40A8" w:rsidRDefault="00692763" w:rsidP="00692763">
      <w:pPr>
        <w:widowControl w:val="0"/>
        <w:ind w:left="480" w:hanging="480"/>
        <w:rPr>
          <w:noProof/>
          <w:lang w:val="en-US"/>
        </w:rPr>
      </w:pPr>
      <w:r w:rsidRPr="007B40A8">
        <w:rPr>
          <w:noProof/>
          <w:lang w:val="en-US"/>
        </w:rPr>
        <w:t xml:space="preserve">Hough, J. R., &amp; White, M. A. (2003). Environmental dynamism and strategic decision-making rationality: An examination at the decision level. </w:t>
      </w:r>
      <w:r w:rsidRPr="007B40A8">
        <w:rPr>
          <w:i/>
          <w:iCs/>
          <w:noProof/>
          <w:lang w:val="en-US"/>
        </w:rPr>
        <w:t>Strategic Management Journal</w:t>
      </w:r>
      <w:r w:rsidRPr="007B40A8">
        <w:rPr>
          <w:noProof/>
          <w:lang w:val="en-US"/>
        </w:rPr>
        <w:t xml:space="preserve">, </w:t>
      </w:r>
      <w:r w:rsidRPr="007B40A8">
        <w:rPr>
          <w:i/>
          <w:iCs/>
          <w:noProof/>
          <w:lang w:val="en-US"/>
        </w:rPr>
        <w:t>24</w:t>
      </w:r>
      <w:r w:rsidRPr="007B40A8">
        <w:rPr>
          <w:noProof/>
          <w:lang w:val="en-US"/>
        </w:rPr>
        <w:t>(5), 481–489. https://doi.org/10.1002/smj.303</w:t>
      </w:r>
    </w:p>
    <w:p w:rsidR="00692763" w:rsidRPr="007B40A8" w:rsidRDefault="00692763" w:rsidP="00692763">
      <w:pPr>
        <w:widowControl w:val="0"/>
        <w:ind w:left="480" w:hanging="480"/>
        <w:rPr>
          <w:noProof/>
          <w:lang w:val="en-US"/>
        </w:rPr>
      </w:pPr>
      <w:r w:rsidRPr="007B40A8">
        <w:rPr>
          <w:noProof/>
          <w:lang w:val="en-US"/>
        </w:rPr>
        <w:t xml:space="preserve">Kasprzyk, J. R., Nataraj, S., Reed, P. M., &amp; Lempert, R. J. (2013). Many objective robust decision making for complex environmental systems undergoing change. </w:t>
      </w:r>
      <w:r w:rsidRPr="007B40A8">
        <w:rPr>
          <w:i/>
          <w:iCs/>
          <w:noProof/>
          <w:lang w:val="en-US"/>
        </w:rPr>
        <w:t>Environmental Modelling and Software</w:t>
      </w:r>
      <w:r w:rsidRPr="007B40A8">
        <w:rPr>
          <w:noProof/>
          <w:lang w:val="en-US"/>
        </w:rPr>
        <w:t xml:space="preserve">, </w:t>
      </w:r>
      <w:r w:rsidRPr="007B40A8">
        <w:rPr>
          <w:i/>
          <w:iCs/>
          <w:noProof/>
          <w:lang w:val="en-US"/>
        </w:rPr>
        <w:t>42</w:t>
      </w:r>
      <w:r w:rsidRPr="007B40A8">
        <w:rPr>
          <w:noProof/>
          <w:lang w:val="en-US"/>
        </w:rPr>
        <w:t>, 55–71. https://doi.org/10.1016/j.envsoft.2012.12.007</w:t>
      </w:r>
    </w:p>
    <w:p w:rsidR="00692763" w:rsidRPr="007B40A8" w:rsidRDefault="00692763" w:rsidP="00692763">
      <w:pPr>
        <w:widowControl w:val="0"/>
        <w:ind w:left="480" w:hanging="480"/>
        <w:rPr>
          <w:noProof/>
          <w:lang w:val="en-US"/>
        </w:rPr>
      </w:pPr>
      <w:r w:rsidRPr="007B40A8">
        <w:rPr>
          <w:noProof/>
          <w:lang w:val="en-US"/>
        </w:rPr>
        <w:t xml:space="preserve">Knight, F. H. (1921). </w:t>
      </w:r>
      <w:r w:rsidRPr="007B40A8">
        <w:rPr>
          <w:i/>
          <w:iCs/>
          <w:noProof/>
          <w:lang w:val="en-US"/>
        </w:rPr>
        <w:t>Risk, Uncertainty and Profit</w:t>
      </w:r>
      <w:r w:rsidRPr="007B40A8">
        <w:rPr>
          <w:noProof/>
          <w:lang w:val="en-US"/>
        </w:rPr>
        <w:t xml:space="preserve"> (Vol. XXXI). https://doi.org/10.1017/CBO9781107415324.004</w:t>
      </w:r>
    </w:p>
    <w:p w:rsidR="00692763" w:rsidRPr="007B40A8" w:rsidRDefault="00692763" w:rsidP="00692763">
      <w:pPr>
        <w:widowControl w:val="0"/>
        <w:ind w:left="480" w:hanging="480"/>
        <w:rPr>
          <w:noProof/>
          <w:lang w:val="en-US"/>
        </w:rPr>
      </w:pPr>
      <w:r w:rsidRPr="00692763">
        <w:rPr>
          <w:noProof/>
        </w:rPr>
        <w:t xml:space="preserve">Kursa, M. B., &amp; Rudnicki, W. R. (2010). </w:t>
      </w:r>
      <w:r w:rsidRPr="007B40A8">
        <w:rPr>
          <w:noProof/>
          <w:lang w:val="en-US"/>
        </w:rPr>
        <w:t xml:space="preserve">Feature Selection with the Boruta Package. </w:t>
      </w:r>
      <w:r w:rsidRPr="007B40A8">
        <w:rPr>
          <w:i/>
          <w:iCs/>
          <w:noProof/>
          <w:lang w:val="en-US"/>
        </w:rPr>
        <w:t>Journal Of Statistical Software</w:t>
      </w:r>
      <w:r w:rsidRPr="007B40A8">
        <w:rPr>
          <w:noProof/>
          <w:lang w:val="en-US"/>
        </w:rPr>
        <w:t xml:space="preserve">, </w:t>
      </w:r>
      <w:r w:rsidRPr="007B40A8">
        <w:rPr>
          <w:i/>
          <w:iCs/>
          <w:noProof/>
          <w:lang w:val="en-US"/>
        </w:rPr>
        <w:t>36</w:t>
      </w:r>
      <w:r w:rsidRPr="007B40A8">
        <w:rPr>
          <w:noProof/>
          <w:lang w:val="en-US"/>
        </w:rPr>
        <w:t>(11), 1–13. https://doi.org/Vol. 36, Issue 11, Sep 2010</w:t>
      </w:r>
    </w:p>
    <w:p w:rsidR="00692763" w:rsidRPr="007B40A8" w:rsidRDefault="00692763" w:rsidP="00692763">
      <w:pPr>
        <w:widowControl w:val="0"/>
        <w:ind w:left="480" w:hanging="480"/>
        <w:rPr>
          <w:noProof/>
          <w:lang w:val="en-US"/>
        </w:rPr>
      </w:pPr>
      <w:r w:rsidRPr="007B40A8">
        <w:rPr>
          <w:noProof/>
          <w:lang w:val="en-US"/>
        </w:rPr>
        <w:t xml:space="preserve">Kwakkel, J. H. (2017). The Exploratory Modeling Workbench: An open source toolkit for exploratory modeling, scenario discovery, and (multi-objective) robust decision making. </w:t>
      </w:r>
      <w:r w:rsidRPr="007B40A8">
        <w:rPr>
          <w:i/>
          <w:iCs/>
          <w:noProof/>
          <w:lang w:val="en-US"/>
        </w:rPr>
        <w:t>Environmental Modelling and Software</w:t>
      </w:r>
      <w:r w:rsidRPr="007B40A8">
        <w:rPr>
          <w:noProof/>
          <w:lang w:val="en-US"/>
        </w:rPr>
        <w:t xml:space="preserve">, </w:t>
      </w:r>
      <w:r w:rsidRPr="007B40A8">
        <w:rPr>
          <w:i/>
          <w:iCs/>
          <w:noProof/>
          <w:lang w:val="en-US"/>
        </w:rPr>
        <w:t>96</w:t>
      </w:r>
      <w:r w:rsidRPr="007B40A8">
        <w:rPr>
          <w:noProof/>
          <w:lang w:val="en-US"/>
        </w:rPr>
        <w:t>, 239–250. https://doi.org/10.1016/j.envsoft.2017.06.054</w:t>
      </w:r>
    </w:p>
    <w:p w:rsidR="00692763" w:rsidRPr="007B40A8" w:rsidRDefault="00692763" w:rsidP="00692763">
      <w:pPr>
        <w:widowControl w:val="0"/>
        <w:ind w:left="480" w:hanging="480"/>
        <w:rPr>
          <w:noProof/>
          <w:lang w:val="en-US"/>
        </w:rPr>
      </w:pPr>
      <w:r w:rsidRPr="007B40A8">
        <w:rPr>
          <w:noProof/>
          <w:lang w:val="en-US"/>
        </w:rPr>
        <w:t xml:space="preserve">Kwakkel, J. H., &amp; Cunningham, S. C. (2016). Improving scenario discovery by bagging random boxes. </w:t>
      </w:r>
      <w:r w:rsidRPr="007B40A8">
        <w:rPr>
          <w:i/>
          <w:iCs/>
          <w:noProof/>
          <w:lang w:val="en-US"/>
        </w:rPr>
        <w:t>Technological Forecasting and Social Change</w:t>
      </w:r>
      <w:r w:rsidRPr="007B40A8">
        <w:rPr>
          <w:noProof/>
          <w:lang w:val="en-US"/>
        </w:rPr>
        <w:t xml:space="preserve">, </w:t>
      </w:r>
      <w:r w:rsidRPr="007B40A8">
        <w:rPr>
          <w:i/>
          <w:iCs/>
          <w:noProof/>
          <w:lang w:val="en-US"/>
        </w:rPr>
        <w:t>111</w:t>
      </w:r>
      <w:r w:rsidRPr="007B40A8">
        <w:rPr>
          <w:noProof/>
          <w:lang w:val="en-US"/>
        </w:rPr>
        <w:t>, 124–134. https://doi.org/10.1016/j.techfore.2016.06.014</w:t>
      </w:r>
    </w:p>
    <w:p w:rsidR="00692763" w:rsidRPr="007B40A8" w:rsidRDefault="00692763" w:rsidP="00692763">
      <w:pPr>
        <w:widowControl w:val="0"/>
        <w:ind w:left="480" w:hanging="480"/>
        <w:rPr>
          <w:noProof/>
          <w:lang w:val="en-US"/>
        </w:rPr>
      </w:pPr>
      <w:r w:rsidRPr="007B40A8">
        <w:rPr>
          <w:noProof/>
          <w:lang w:val="en-US"/>
        </w:rPr>
        <w:t xml:space="preserve">Kwakkel, J., Walker, W., &amp; Haasnoot, M. (2016). Coping with the Wickedness of Public Policy Problems: Approaches for Decision Making under Deep Uncertainty. </w:t>
      </w:r>
      <w:r w:rsidRPr="007B40A8">
        <w:rPr>
          <w:i/>
          <w:iCs/>
          <w:noProof/>
          <w:lang w:val="en-US"/>
        </w:rPr>
        <w:t>Journal of Water Resources Planning and Management</w:t>
      </w:r>
      <w:r w:rsidRPr="007B40A8">
        <w:rPr>
          <w:noProof/>
          <w:lang w:val="en-US"/>
        </w:rPr>
        <w:t xml:space="preserve">, </w:t>
      </w:r>
      <w:r w:rsidRPr="007B40A8">
        <w:rPr>
          <w:i/>
          <w:iCs/>
          <w:noProof/>
          <w:lang w:val="en-US"/>
        </w:rPr>
        <w:t>142</w:t>
      </w:r>
      <w:r w:rsidRPr="007B40A8">
        <w:rPr>
          <w:noProof/>
          <w:lang w:val="en-US"/>
        </w:rPr>
        <w:t>(3), 1816001. https://doi.org/10.1061/(ASCE)WR.1943-5452.0000626</w:t>
      </w:r>
    </w:p>
    <w:p w:rsidR="00692763" w:rsidRPr="007B40A8" w:rsidRDefault="00692763" w:rsidP="00692763">
      <w:pPr>
        <w:widowControl w:val="0"/>
        <w:ind w:left="480" w:hanging="480"/>
        <w:rPr>
          <w:noProof/>
          <w:lang w:val="en-US"/>
        </w:rPr>
      </w:pPr>
      <w:r w:rsidRPr="007B40A8">
        <w:rPr>
          <w:noProof/>
          <w:lang w:val="en-US"/>
        </w:rPr>
        <w:lastRenderedPageBreak/>
        <w:t xml:space="preserve">Lempert, R. J., Groves, D. G., Popper, S. W., &amp; Bankes, S. C. (2006). A General, Analytic Method for Generating Robust Strategies and Narrative Scenarios. </w:t>
      </w:r>
      <w:r w:rsidRPr="007B40A8">
        <w:rPr>
          <w:i/>
          <w:iCs/>
          <w:noProof/>
          <w:lang w:val="en-US"/>
        </w:rPr>
        <w:t>Management Science</w:t>
      </w:r>
      <w:r w:rsidRPr="007B40A8">
        <w:rPr>
          <w:noProof/>
          <w:lang w:val="en-US"/>
        </w:rPr>
        <w:t xml:space="preserve">, </w:t>
      </w:r>
      <w:r w:rsidRPr="007B40A8">
        <w:rPr>
          <w:i/>
          <w:iCs/>
          <w:noProof/>
          <w:lang w:val="en-US"/>
        </w:rPr>
        <w:t>52</w:t>
      </w:r>
      <w:r w:rsidRPr="007B40A8">
        <w:rPr>
          <w:noProof/>
          <w:lang w:val="en-US"/>
        </w:rPr>
        <w:t>(4), 514–528. https://doi.org/10.1287/mnsc.1050.0472</w:t>
      </w:r>
    </w:p>
    <w:p w:rsidR="00692763" w:rsidRPr="007B40A8" w:rsidRDefault="00692763" w:rsidP="00692763">
      <w:pPr>
        <w:widowControl w:val="0"/>
        <w:ind w:left="480" w:hanging="480"/>
        <w:rPr>
          <w:noProof/>
          <w:lang w:val="en-US"/>
        </w:rPr>
      </w:pPr>
      <w:r w:rsidRPr="007B40A8">
        <w:rPr>
          <w:noProof/>
          <w:lang w:val="en-US"/>
        </w:rPr>
        <w:t xml:space="preserve">Lempert, R. J., Popper, S. W., &amp; Bankes, S. C. (2003). </w:t>
      </w:r>
      <w:r w:rsidRPr="007B40A8">
        <w:rPr>
          <w:i/>
          <w:iCs/>
          <w:noProof/>
          <w:lang w:val="en-US"/>
        </w:rPr>
        <w:t>Shaping the Next One Hundred Years: New Methods for Quantitative, Long-Term Policy Analysis</w:t>
      </w:r>
      <w:r w:rsidRPr="007B40A8">
        <w:rPr>
          <w:noProof/>
          <w:lang w:val="en-US"/>
        </w:rPr>
        <w:t>. https://doi.org/10.1016/j.techfore.2003.09.006</w:t>
      </w:r>
    </w:p>
    <w:p w:rsidR="00692763" w:rsidRPr="007B40A8" w:rsidRDefault="00692763" w:rsidP="00692763">
      <w:pPr>
        <w:widowControl w:val="0"/>
        <w:ind w:left="480" w:hanging="480"/>
        <w:rPr>
          <w:noProof/>
          <w:lang w:val="en-US"/>
        </w:rPr>
      </w:pPr>
      <w:r w:rsidRPr="007B40A8">
        <w:rPr>
          <w:noProof/>
          <w:lang w:val="en-US"/>
        </w:rPr>
        <w:t xml:space="preserve">Mahajan, V., &amp; Muller, E. (1996). Timing, diffusion, and substitution of successive generations of technological innovations: The IBM mainframe case. </w:t>
      </w:r>
      <w:r w:rsidRPr="007B40A8">
        <w:rPr>
          <w:i/>
          <w:iCs/>
          <w:noProof/>
          <w:lang w:val="en-US"/>
        </w:rPr>
        <w:t>Technological Forecasting and Social Change</w:t>
      </w:r>
      <w:r w:rsidRPr="007B40A8">
        <w:rPr>
          <w:noProof/>
          <w:lang w:val="en-US"/>
        </w:rPr>
        <w:t xml:space="preserve">, </w:t>
      </w:r>
      <w:r w:rsidRPr="007B40A8">
        <w:rPr>
          <w:i/>
          <w:iCs/>
          <w:noProof/>
          <w:lang w:val="en-US"/>
        </w:rPr>
        <w:t>51</w:t>
      </w:r>
      <w:r w:rsidRPr="007B40A8">
        <w:rPr>
          <w:noProof/>
          <w:lang w:val="en-US"/>
        </w:rPr>
        <w:t>(2), 109–132. https://doi.org/10.1016/0040-1625(95)00225-1</w:t>
      </w:r>
    </w:p>
    <w:p w:rsidR="00692763" w:rsidRPr="007B40A8" w:rsidRDefault="00692763" w:rsidP="00692763">
      <w:pPr>
        <w:widowControl w:val="0"/>
        <w:ind w:left="480" w:hanging="480"/>
        <w:rPr>
          <w:noProof/>
          <w:lang w:val="en-US"/>
        </w:rPr>
      </w:pPr>
      <w:r w:rsidRPr="007B40A8">
        <w:rPr>
          <w:noProof/>
          <w:lang w:val="en-US"/>
        </w:rPr>
        <w:t xml:space="preserve">Maier, F. H. (1998). New product diffusion models in innovation management—a system dynamics perspective. </w:t>
      </w:r>
      <w:r w:rsidRPr="007B40A8">
        <w:rPr>
          <w:i/>
          <w:iCs/>
          <w:noProof/>
          <w:lang w:val="en-US"/>
        </w:rPr>
        <w:t>System Dynamics Review (Wiley)</w:t>
      </w:r>
      <w:r w:rsidRPr="007B40A8">
        <w:rPr>
          <w:noProof/>
          <w:lang w:val="en-US"/>
        </w:rPr>
        <w:t xml:space="preserve">, </w:t>
      </w:r>
      <w:r w:rsidRPr="007B40A8">
        <w:rPr>
          <w:i/>
          <w:iCs/>
          <w:noProof/>
          <w:lang w:val="en-US"/>
        </w:rPr>
        <w:t>14</w:t>
      </w:r>
      <w:r w:rsidRPr="007B40A8">
        <w:rPr>
          <w:noProof/>
          <w:lang w:val="en-US"/>
        </w:rPr>
        <w:t>(4), 285–308. Retrieved from https://search.ebscohost.com/login.aspx?direct=true&amp;db=bth&amp;AN=17073696&amp;site=ehost-live</w:t>
      </w:r>
    </w:p>
    <w:p w:rsidR="00692763" w:rsidRPr="007B40A8" w:rsidRDefault="00692763" w:rsidP="00692763">
      <w:pPr>
        <w:widowControl w:val="0"/>
        <w:ind w:left="480" w:hanging="480"/>
        <w:rPr>
          <w:noProof/>
          <w:lang w:val="en-US"/>
        </w:rPr>
      </w:pPr>
      <w:r w:rsidRPr="007B40A8">
        <w:rPr>
          <w:noProof/>
          <w:lang w:val="en-US"/>
        </w:rPr>
        <w:t xml:space="preserve">McKinsey Global Institute. (2013). Disruptive technologies: Advances that will transform life, business, and the global economy. </w:t>
      </w:r>
      <w:r w:rsidRPr="007B40A8">
        <w:rPr>
          <w:i/>
          <w:iCs/>
          <w:noProof/>
          <w:lang w:val="en-US"/>
        </w:rPr>
        <w:t>McKinsey Global Insitute</w:t>
      </w:r>
      <w:r w:rsidRPr="007B40A8">
        <w:rPr>
          <w:noProof/>
          <w:lang w:val="en-US"/>
        </w:rPr>
        <w:t>, (May), 163. https://doi.org/10.1016/J.ENG.2017.05.015</w:t>
      </w:r>
    </w:p>
    <w:p w:rsidR="00692763" w:rsidRPr="007B40A8" w:rsidRDefault="00692763" w:rsidP="00692763">
      <w:pPr>
        <w:widowControl w:val="0"/>
        <w:ind w:left="480" w:hanging="480"/>
        <w:rPr>
          <w:noProof/>
          <w:lang w:val="en-US"/>
        </w:rPr>
      </w:pPr>
      <w:r w:rsidRPr="007B40A8">
        <w:rPr>
          <w:noProof/>
          <w:lang w:val="en-US"/>
        </w:rPr>
        <w:t xml:space="preserve">Mintzberg, H., Raisinghani, D., &amp; Theoret, A. (1976). The Structure of “Unstructured” Decision Processes. </w:t>
      </w:r>
      <w:r w:rsidRPr="007B40A8">
        <w:rPr>
          <w:i/>
          <w:iCs/>
          <w:noProof/>
          <w:lang w:val="en-US"/>
        </w:rPr>
        <w:t>Administrative Science Quarterly</w:t>
      </w:r>
      <w:r w:rsidRPr="007B40A8">
        <w:rPr>
          <w:noProof/>
          <w:lang w:val="en-US"/>
        </w:rPr>
        <w:t xml:space="preserve">, </w:t>
      </w:r>
      <w:r w:rsidRPr="007B40A8">
        <w:rPr>
          <w:i/>
          <w:iCs/>
          <w:noProof/>
          <w:lang w:val="en-US"/>
        </w:rPr>
        <w:t>21</w:t>
      </w:r>
      <w:r w:rsidRPr="007B40A8">
        <w:rPr>
          <w:noProof/>
          <w:lang w:val="en-US"/>
        </w:rPr>
        <w:t>(2), 246. https://doi.org/10.2307/2392045</w:t>
      </w:r>
    </w:p>
    <w:p w:rsidR="00692763" w:rsidRPr="007B40A8" w:rsidRDefault="00692763" w:rsidP="00692763">
      <w:pPr>
        <w:widowControl w:val="0"/>
        <w:ind w:left="480" w:hanging="480"/>
        <w:rPr>
          <w:noProof/>
          <w:lang w:val="en-US"/>
        </w:rPr>
      </w:pPr>
      <w:r w:rsidRPr="007B40A8">
        <w:rPr>
          <w:noProof/>
          <w:lang w:val="en-US"/>
        </w:rPr>
        <w:t xml:space="preserve">Morecroft, J. D. W. (1984). Strategy support models. </w:t>
      </w:r>
      <w:r w:rsidRPr="007B40A8">
        <w:rPr>
          <w:i/>
          <w:iCs/>
          <w:noProof/>
          <w:lang w:val="en-US"/>
        </w:rPr>
        <w:t>Strategic Management Journal</w:t>
      </w:r>
      <w:r w:rsidRPr="007B40A8">
        <w:rPr>
          <w:noProof/>
          <w:lang w:val="en-US"/>
        </w:rPr>
        <w:t xml:space="preserve">, </w:t>
      </w:r>
      <w:r w:rsidRPr="007B40A8">
        <w:rPr>
          <w:i/>
          <w:iCs/>
          <w:noProof/>
          <w:lang w:val="en-US"/>
        </w:rPr>
        <w:t>5</w:t>
      </w:r>
      <w:r w:rsidRPr="007B40A8">
        <w:rPr>
          <w:noProof/>
          <w:lang w:val="en-US"/>
        </w:rPr>
        <w:t>(3), 215–229. https://doi.org/10.1002/smj.4250050303</w:t>
      </w:r>
    </w:p>
    <w:p w:rsidR="00692763" w:rsidRPr="007B40A8" w:rsidRDefault="00692763" w:rsidP="00692763">
      <w:pPr>
        <w:widowControl w:val="0"/>
        <w:ind w:left="480" w:hanging="480"/>
        <w:rPr>
          <w:noProof/>
          <w:lang w:val="en-US"/>
        </w:rPr>
      </w:pPr>
      <w:r w:rsidRPr="007B40A8">
        <w:rPr>
          <w:noProof/>
          <w:lang w:val="en-US"/>
        </w:rPr>
        <w:t xml:space="preserve">Parker, A. M., Srinivasan, S. V., Lempert, R. J., &amp; Berry, S. H. (2015). Evaluating simulation-derived scenarios for effective decision support. </w:t>
      </w:r>
      <w:r w:rsidRPr="007B40A8">
        <w:rPr>
          <w:i/>
          <w:iCs/>
          <w:noProof/>
          <w:lang w:val="en-US"/>
        </w:rPr>
        <w:t>Technological Forecasting and Social Change</w:t>
      </w:r>
      <w:r w:rsidRPr="007B40A8">
        <w:rPr>
          <w:noProof/>
          <w:lang w:val="en-US"/>
        </w:rPr>
        <w:t xml:space="preserve">, </w:t>
      </w:r>
      <w:r w:rsidRPr="007B40A8">
        <w:rPr>
          <w:i/>
          <w:iCs/>
          <w:noProof/>
          <w:lang w:val="en-US"/>
        </w:rPr>
        <w:t>91</w:t>
      </w:r>
      <w:r w:rsidRPr="007B40A8">
        <w:rPr>
          <w:noProof/>
          <w:lang w:val="en-US"/>
        </w:rPr>
        <w:t>, 64–77. https://doi.org/10.1016/j.techfore.2014.01.010</w:t>
      </w:r>
    </w:p>
    <w:p w:rsidR="00692763" w:rsidRPr="007B40A8" w:rsidRDefault="00692763" w:rsidP="00692763">
      <w:pPr>
        <w:widowControl w:val="0"/>
        <w:ind w:left="480" w:hanging="480"/>
        <w:rPr>
          <w:noProof/>
          <w:lang w:val="en-US"/>
        </w:rPr>
      </w:pPr>
      <w:r w:rsidRPr="007B40A8">
        <w:rPr>
          <w:noProof/>
          <w:lang w:val="en-US"/>
        </w:rPr>
        <w:t xml:space="preserve">Phadnis, S., Caplice, C., Sheffi, Y., &amp; Singh, M. (2015). Effect of scenario planning on field experts’ judgment of long-range investment decisions. </w:t>
      </w:r>
      <w:r w:rsidRPr="007B40A8">
        <w:rPr>
          <w:i/>
          <w:iCs/>
          <w:noProof/>
          <w:lang w:val="en-US"/>
        </w:rPr>
        <w:t>Strategic Management Journal</w:t>
      </w:r>
      <w:r w:rsidRPr="007B40A8">
        <w:rPr>
          <w:noProof/>
          <w:lang w:val="en-US"/>
        </w:rPr>
        <w:t xml:space="preserve">, </w:t>
      </w:r>
      <w:r w:rsidRPr="007B40A8">
        <w:rPr>
          <w:i/>
          <w:iCs/>
          <w:noProof/>
          <w:lang w:val="en-US"/>
        </w:rPr>
        <w:t>36</w:t>
      </w:r>
      <w:r w:rsidRPr="007B40A8">
        <w:rPr>
          <w:noProof/>
          <w:lang w:val="en-US"/>
        </w:rPr>
        <w:t>(9), 1401–1411. https://doi.org/10.1002/smj.2293</w:t>
      </w:r>
    </w:p>
    <w:p w:rsidR="00692763" w:rsidRPr="007B40A8" w:rsidRDefault="00692763" w:rsidP="00692763">
      <w:pPr>
        <w:widowControl w:val="0"/>
        <w:ind w:left="480" w:hanging="480"/>
        <w:rPr>
          <w:noProof/>
          <w:lang w:val="en-US"/>
        </w:rPr>
      </w:pPr>
      <w:r w:rsidRPr="007B40A8">
        <w:rPr>
          <w:noProof/>
          <w:lang w:val="en-US"/>
        </w:rPr>
        <w:t xml:space="preserve">Rand. (2013). Making Good Decisions Without Predictions. </w:t>
      </w:r>
      <w:r w:rsidRPr="007B40A8">
        <w:rPr>
          <w:i/>
          <w:iCs/>
          <w:noProof/>
          <w:lang w:val="en-US"/>
        </w:rPr>
        <w:t>RAND Corporation Research Highlights</w:t>
      </w:r>
      <w:r w:rsidRPr="007B40A8">
        <w:rPr>
          <w:noProof/>
          <w:lang w:val="en-US"/>
        </w:rPr>
        <w:t>, 1–7. Retrieved from http://www.rand.org/pubs/research_briefs/RB9701/index1.html?utm_campaign=rand_socialflow_twitter&amp;utm_source=rand_socialflow_twitter&amp;utm_medium=socialflow</w:t>
      </w:r>
    </w:p>
    <w:p w:rsidR="00692763" w:rsidRPr="007B40A8" w:rsidRDefault="00692763" w:rsidP="00692763">
      <w:pPr>
        <w:widowControl w:val="0"/>
        <w:ind w:left="480" w:hanging="480"/>
        <w:rPr>
          <w:noProof/>
          <w:lang w:val="en-US"/>
        </w:rPr>
      </w:pPr>
      <w:r w:rsidRPr="007B40A8">
        <w:rPr>
          <w:noProof/>
          <w:lang w:val="en-US"/>
        </w:rPr>
        <w:t xml:space="preserve">Rosenhead, J., Elton, M., &amp; Gupta, S. K. (1973). Robustness and optimality as criteria for </w:t>
      </w:r>
      <w:r w:rsidRPr="007B40A8">
        <w:rPr>
          <w:noProof/>
          <w:lang w:val="en-US"/>
        </w:rPr>
        <w:lastRenderedPageBreak/>
        <w:t xml:space="preserve">strategic decisions. </w:t>
      </w:r>
      <w:r w:rsidRPr="007B40A8">
        <w:rPr>
          <w:i/>
          <w:iCs/>
          <w:noProof/>
          <w:lang w:val="en-US"/>
        </w:rPr>
        <w:t>Operational Research Quarterly</w:t>
      </w:r>
      <w:r w:rsidRPr="007B40A8">
        <w:rPr>
          <w:noProof/>
          <w:lang w:val="en-US"/>
        </w:rPr>
        <w:t xml:space="preserve">, </w:t>
      </w:r>
      <w:r w:rsidRPr="007B40A8">
        <w:rPr>
          <w:i/>
          <w:iCs/>
          <w:noProof/>
          <w:lang w:val="en-US"/>
        </w:rPr>
        <w:t>23</w:t>
      </w:r>
      <w:r w:rsidRPr="007B40A8">
        <w:rPr>
          <w:noProof/>
          <w:lang w:val="en-US"/>
        </w:rPr>
        <w:t>(4), 413–431. https://doi.org/10.1057/jors.1973.52</w:t>
      </w:r>
    </w:p>
    <w:p w:rsidR="00692763" w:rsidRPr="007B40A8" w:rsidRDefault="00692763" w:rsidP="00692763">
      <w:pPr>
        <w:widowControl w:val="0"/>
        <w:ind w:left="480" w:hanging="480"/>
        <w:rPr>
          <w:noProof/>
          <w:lang w:val="en-US"/>
        </w:rPr>
      </w:pPr>
      <w:r w:rsidRPr="007B40A8">
        <w:rPr>
          <w:noProof/>
          <w:lang w:val="en-US"/>
        </w:rPr>
        <w:t xml:space="preserve">Schoemaker, P. J. (1995). Scenario planning: a tool for strategic thinking. </w:t>
      </w:r>
      <w:r w:rsidRPr="007B40A8">
        <w:rPr>
          <w:i/>
          <w:iCs/>
          <w:noProof/>
          <w:lang w:val="en-US"/>
        </w:rPr>
        <w:t>Sloan Management Review</w:t>
      </w:r>
      <w:r w:rsidRPr="007B40A8">
        <w:rPr>
          <w:noProof/>
          <w:lang w:val="en-US"/>
        </w:rPr>
        <w:t xml:space="preserve">, </w:t>
      </w:r>
      <w:r w:rsidRPr="007B40A8">
        <w:rPr>
          <w:i/>
          <w:iCs/>
          <w:noProof/>
          <w:lang w:val="en-US"/>
        </w:rPr>
        <w:t>36</w:t>
      </w:r>
      <w:r w:rsidRPr="007B40A8">
        <w:rPr>
          <w:noProof/>
          <w:lang w:val="en-US"/>
        </w:rPr>
        <w:t>(2), 25.</w:t>
      </w:r>
    </w:p>
    <w:p w:rsidR="00692763" w:rsidRPr="007B40A8" w:rsidRDefault="00692763" w:rsidP="00692763">
      <w:pPr>
        <w:widowControl w:val="0"/>
        <w:ind w:left="480" w:hanging="480"/>
        <w:rPr>
          <w:noProof/>
          <w:lang w:val="en-US"/>
        </w:rPr>
      </w:pPr>
      <w:r w:rsidRPr="007B40A8">
        <w:rPr>
          <w:noProof/>
          <w:lang w:val="en-US"/>
        </w:rPr>
        <w:t xml:space="preserve">Shimizu, K., &amp; Hitt, M. A. (2004). Strategic flexibility: Organizational preparedness to reverse ineffective strategic decisions. </w:t>
      </w:r>
      <w:r w:rsidRPr="007B40A8">
        <w:rPr>
          <w:i/>
          <w:iCs/>
          <w:noProof/>
          <w:lang w:val="en-US"/>
        </w:rPr>
        <w:t>Academy of Management Executive</w:t>
      </w:r>
      <w:r w:rsidRPr="007B40A8">
        <w:rPr>
          <w:noProof/>
          <w:lang w:val="en-US"/>
        </w:rPr>
        <w:t xml:space="preserve">, </w:t>
      </w:r>
      <w:r w:rsidRPr="007B40A8">
        <w:rPr>
          <w:i/>
          <w:iCs/>
          <w:noProof/>
          <w:lang w:val="en-US"/>
        </w:rPr>
        <w:t>18</w:t>
      </w:r>
      <w:r w:rsidRPr="007B40A8">
        <w:rPr>
          <w:noProof/>
          <w:lang w:val="en-US"/>
        </w:rPr>
        <w:t>(4), 44–59. https://doi.org/Article</w:t>
      </w:r>
    </w:p>
    <w:p w:rsidR="00692763" w:rsidRPr="007B40A8" w:rsidRDefault="00692763" w:rsidP="00692763">
      <w:pPr>
        <w:widowControl w:val="0"/>
        <w:ind w:left="480" w:hanging="480"/>
        <w:rPr>
          <w:noProof/>
          <w:lang w:val="en-US"/>
        </w:rPr>
      </w:pPr>
      <w:r w:rsidRPr="007B40A8">
        <w:rPr>
          <w:noProof/>
          <w:lang w:val="en-US"/>
        </w:rPr>
        <w:t xml:space="preserve">Sterman, J. (2000). </w:t>
      </w:r>
      <w:r w:rsidRPr="007B40A8">
        <w:rPr>
          <w:i/>
          <w:iCs/>
          <w:noProof/>
          <w:lang w:val="en-US"/>
        </w:rPr>
        <w:t>Business Dynamics: Systems Thinking and Modeling for a Complex World</w:t>
      </w:r>
      <w:r w:rsidRPr="007B40A8">
        <w:rPr>
          <w:noProof/>
          <w:lang w:val="en-US"/>
        </w:rPr>
        <w:t>. Irwin/McGraw-Hill. Retrieved from https://books.google.com.br/books?id=CCKCQgAACAAJ</w:t>
      </w:r>
    </w:p>
    <w:p w:rsidR="00692763" w:rsidRPr="007B40A8" w:rsidRDefault="00692763" w:rsidP="00692763">
      <w:pPr>
        <w:widowControl w:val="0"/>
        <w:ind w:left="480" w:hanging="480"/>
        <w:rPr>
          <w:noProof/>
          <w:lang w:val="en-US"/>
        </w:rPr>
      </w:pPr>
      <w:r w:rsidRPr="007B40A8">
        <w:rPr>
          <w:noProof/>
          <w:lang w:val="en-US"/>
        </w:rPr>
        <w:t xml:space="preserve">Sterman, J. D., Henderson, R., Beinhocker, E. D., &amp; Newman, L. I. (2007). Getting Big Too Fast: Strategic Dynamics with Increasing Returns and Bounded Rationality. </w:t>
      </w:r>
      <w:r w:rsidRPr="007B40A8">
        <w:rPr>
          <w:i/>
          <w:iCs/>
          <w:noProof/>
          <w:lang w:val="en-US"/>
        </w:rPr>
        <w:t>Management Science</w:t>
      </w:r>
      <w:r w:rsidRPr="007B40A8">
        <w:rPr>
          <w:noProof/>
          <w:lang w:val="en-US"/>
        </w:rPr>
        <w:t xml:space="preserve">, </w:t>
      </w:r>
      <w:r w:rsidRPr="007B40A8">
        <w:rPr>
          <w:i/>
          <w:iCs/>
          <w:noProof/>
          <w:lang w:val="en-US"/>
        </w:rPr>
        <w:t>53</w:t>
      </w:r>
      <w:r w:rsidRPr="007B40A8">
        <w:rPr>
          <w:noProof/>
          <w:lang w:val="en-US"/>
        </w:rPr>
        <w:t>(4), 683–696. https://doi.org/10.1287/mnsc.1060.0673</w:t>
      </w:r>
    </w:p>
    <w:p w:rsidR="00692763" w:rsidRPr="007B40A8" w:rsidRDefault="00692763" w:rsidP="00692763">
      <w:pPr>
        <w:widowControl w:val="0"/>
        <w:ind w:left="480" w:hanging="480"/>
        <w:rPr>
          <w:noProof/>
          <w:lang w:val="en-US"/>
        </w:rPr>
      </w:pPr>
      <w:r w:rsidRPr="007B40A8">
        <w:rPr>
          <w:noProof/>
          <w:lang w:val="en-US"/>
        </w:rPr>
        <w:t xml:space="preserve">Wack, P. (1985). Scenarios: Uncharted Waters Ahead. </w:t>
      </w:r>
      <w:r w:rsidRPr="007B40A8">
        <w:rPr>
          <w:i/>
          <w:iCs/>
          <w:noProof/>
          <w:lang w:val="en-US"/>
        </w:rPr>
        <w:t>Harvard Business Review</w:t>
      </w:r>
      <w:r w:rsidRPr="007B40A8">
        <w:rPr>
          <w:noProof/>
          <w:lang w:val="en-US"/>
        </w:rPr>
        <w:t>, (85516).</w:t>
      </w:r>
    </w:p>
    <w:p w:rsidR="00692763" w:rsidRPr="007B40A8" w:rsidRDefault="00692763" w:rsidP="00692763">
      <w:pPr>
        <w:widowControl w:val="0"/>
        <w:ind w:left="480" w:hanging="480"/>
        <w:rPr>
          <w:noProof/>
          <w:lang w:val="en-US"/>
        </w:rPr>
      </w:pPr>
      <w:r w:rsidRPr="007B40A8">
        <w:rPr>
          <w:noProof/>
          <w:lang w:val="en-US"/>
        </w:rPr>
        <w:t xml:space="preserve">Walker, W. E., Lempert, R. J., &amp; Kwakkel, J. H. (2013). Deep Uncertainty. In S. I. Gass &amp; M. C. Fu (Eds.), </w:t>
      </w:r>
      <w:r w:rsidRPr="007B40A8">
        <w:rPr>
          <w:i/>
          <w:iCs/>
          <w:noProof/>
          <w:lang w:val="en-US"/>
        </w:rPr>
        <w:t>Encyclopedia of Operations Research and Management Science</w:t>
      </w:r>
      <w:r w:rsidRPr="007B40A8">
        <w:rPr>
          <w:noProof/>
          <w:lang w:val="en-US"/>
        </w:rPr>
        <w:t xml:space="preserve"> (pp. 395–402). Boston, MA: Springer US. https://doi.org/10.1007/978-1-4419-1153-7_1140</w:t>
      </w:r>
    </w:p>
    <w:p w:rsidR="00692763" w:rsidRPr="007B40A8" w:rsidRDefault="00692763" w:rsidP="00692763">
      <w:pPr>
        <w:widowControl w:val="0"/>
        <w:ind w:left="480" w:hanging="480"/>
        <w:rPr>
          <w:noProof/>
          <w:lang w:val="en-US"/>
        </w:rPr>
      </w:pPr>
      <w:r w:rsidRPr="007B40A8">
        <w:rPr>
          <w:noProof/>
          <w:lang w:val="en-US"/>
        </w:rPr>
        <w:t>Wholers, T. (2016). Popularity of FDM. Retrieved December 10, 2017, from https://wohlersassociates.com/blog/2016/01/popularity-of-fdm/</w:t>
      </w:r>
    </w:p>
    <w:p w:rsidR="00692763" w:rsidRPr="007B40A8" w:rsidRDefault="00692763" w:rsidP="00692763">
      <w:pPr>
        <w:widowControl w:val="0"/>
        <w:ind w:left="480" w:hanging="480"/>
        <w:rPr>
          <w:noProof/>
          <w:lang w:val="en-US"/>
        </w:rPr>
      </w:pPr>
      <w:r w:rsidRPr="007B40A8">
        <w:rPr>
          <w:noProof/>
          <w:lang w:val="en-US"/>
        </w:rPr>
        <w:t xml:space="preserve">Wilson, D. (2015). Strategic Decision Making. In </w:t>
      </w:r>
      <w:r w:rsidRPr="007B40A8">
        <w:rPr>
          <w:i/>
          <w:iCs/>
          <w:noProof/>
          <w:lang w:val="en-US"/>
        </w:rPr>
        <w:t>Wiley Encyclopedia of Management</w:t>
      </w:r>
      <w:r w:rsidRPr="007B40A8">
        <w:rPr>
          <w:noProof/>
          <w:lang w:val="en-US"/>
        </w:rPr>
        <w:t xml:space="preserve"> (p. 12:1-4). https://doi.org/10.1108/09596111111129977</w:t>
      </w:r>
    </w:p>
    <w:p w:rsidR="00692763" w:rsidRPr="007B40A8" w:rsidRDefault="00692763" w:rsidP="00692763">
      <w:pPr>
        <w:widowControl w:val="0"/>
        <w:ind w:left="480" w:hanging="480"/>
        <w:rPr>
          <w:noProof/>
          <w:lang w:val="en-US"/>
        </w:rPr>
      </w:pPr>
      <w:r w:rsidRPr="007B40A8">
        <w:rPr>
          <w:noProof/>
          <w:lang w:val="en-US"/>
        </w:rPr>
        <w:t xml:space="preserve">Wiltbank, R., Dew, N., Read, S., &amp; Sarasvathy, S. D. (2006). What to do next? The case for non-predictive strategy. </w:t>
      </w:r>
      <w:r w:rsidRPr="007B40A8">
        <w:rPr>
          <w:i/>
          <w:iCs/>
          <w:noProof/>
          <w:lang w:val="en-US"/>
        </w:rPr>
        <w:t>Strategic Management Journal</w:t>
      </w:r>
      <w:r w:rsidRPr="007B40A8">
        <w:rPr>
          <w:noProof/>
          <w:lang w:val="en-US"/>
        </w:rPr>
        <w:t xml:space="preserve">, </w:t>
      </w:r>
      <w:r w:rsidRPr="007B40A8">
        <w:rPr>
          <w:i/>
          <w:iCs/>
          <w:noProof/>
          <w:lang w:val="en-US"/>
        </w:rPr>
        <w:t>27</w:t>
      </w:r>
      <w:r w:rsidRPr="007B40A8">
        <w:rPr>
          <w:noProof/>
          <w:lang w:val="en-US"/>
        </w:rPr>
        <w:t>(10), 981–998. https://doi.org/10.1002/smj.555</w:t>
      </w:r>
    </w:p>
    <w:p w:rsidR="00692763" w:rsidRPr="007B40A8" w:rsidRDefault="00692763" w:rsidP="00692763">
      <w:pPr>
        <w:widowControl w:val="0"/>
        <w:ind w:left="480" w:hanging="480"/>
        <w:rPr>
          <w:noProof/>
          <w:lang w:val="en-US"/>
        </w:rPr>
      </w:pPr>
      <w:r w:rsidRPr="007B40A8">
        <w:rPr>
          <w:noProof/>
          <w:lang w:val="en-US"/>
        </w:rPr>
        <w:t xml:space="preserve">Wohlers, T., &amp; Gornet, T. (2016). History of additive manufacturing. In </w:t>
      </w:r>
      <w:r w:rsidRPr="007B40A8">
        <w:rPr>
          <w:i/>
          <w:iCs/>
          <w:noProof/>
          <w:lang w:val="en-US"/>
        </w:rPr>
        <w:t>Wohlers Report 2016</w:t>
      </w:r>
      <w:r w:rsidRPr="007B40A8">
        <w:rPr>
          <w:noProof/>
          <w:lang w:val="en-US"/>
        </w:rPr>
        <w:t xml:space="preserve"> (pp. 1–23). Retrieved from http://www.wohlersassociates.com/history2016.pdf</w:t>
      </w:r>
    </w:p>
    <w:p w:rsidR="00692763" w:rsidRPr="007B40A8" w:rsidRDefault="00692763" w:rsidP="00692763">
      <w:pPr>
        <w:widowControl w:val="0"/>
        <w:ind w:left="480" w:hanging="480"/>
        <w:rPr>
          <w:noProof/>
          <w:lang w:val="en-US"/>
        </w:rPr>
      </w:pPr>
      <w:r w:rsidRPr="007B40A8">
        <w:rPr>
          <w:noProof/>
          <w:lang w:val="en-US"/>
        </w:rPr>
        <w:t>Wohlers Associates. (2016). Wohlers Report 2016 Published: Additive Manufacturing Industry Surpassed 5.1 Billion. https://doi.org/10.1016/S0733-8619(03)00096-3</w:t>
      </w:r>
    </w:p>
    <w:p w:rsidR="00E77BA7" w:rsidRPr="006715CC" w:rsidRDefault="00865BA8" w:rsidP="00067B0C">
      <w:pPr>
        <w:ind w:firstLine="0"/>
        <w:rPr>
          <w:lang w:val="en-US"/>
        </w:rPr>
      </w:pPr>
      <w:r>
        <w:rPr>
          <w:lang w:val="en-US"/>
        </w:rPr>
        <w:fldChar w:fldCharType="end"/>
      </w:r>
    </w:p>
    <w:p w:rsidR="00382E6E" w:rsidRPr="006715CC" w:rsidRDefault="00382E6E" w:rsidP="00382E6E">
      <w:pPr>
        <w:ind w:firstLine="0"/>
        <w:rPr>
          <w:lang w:val="en-US"/>
        </w:rPr>
        <w:sectPr w:rsidR="00382E6E" w:rsidRPr="006715CC" w:rsidSect="00544F20">
          <w:headerReference w:type="default" r:id="rId13"/>
          <w:footerReference w:type="default" r:id="rId14"/>
          <w:pgSz w:w="11906" w:h="16838" w:code="9"/>
          <w:pgMar w:top="1418" w:right="1418" w:bottom="1418" w:left="1418" w:header="1134" w:footer="709" w:gutter="0"/>
          <w:cols w:space="720"/>
          <w:titlePg/>
          <w:docGrid w:linePitch="381"/>
        </w:sectPr>
      </w:pPr>
    </w:p>
    <w:p w:rsidR="00A422A9" w:rsidRPr="002B57EF" w:rsidRDefault="00A422A9" w:rsidP="00A422A9">
      <w:pPr>
        <w:pStyle w:val="Ttulo1"/>
        <w:numPr>
          <w:ilvl w:val="0"/>
          <w:numId w:val="0"/>
        </w:numPr>
        <w:jc w:val="center"/>
      </w:pPr>
      <w:r>
        <w:lastRenderedPageBreak/>
        <w:t xml:space="preserve">APÊNDICE </w:t>
      </w:r>
      <w:r w:rsidR="00BA677D">
        <w:t>I</w:t>
      </w:r>
      <w:r>
        <w:t xml:space="preserve"> </w:t>
      </w:r>
      <w:r w:rsidR="00BA677D">
        <w:t>–</w:t>
      </w:r>
      <w:r>
        <w:t xml:space="preserve"> </w:t>
      </w:r>
      <w:r w:rsidR="00BA677D">
        <w:t>Resultados da análise de robustez</w:t>
      </w:r>
    </w:p>
    <w:p w:rsidR="00BA677D" w:rsidRDefault="00BA677D" w:rsidP="00BA677D">
      <w:pPr>
        <w:ind w:firstLine="0"/>
        <w:jc w:val="center"/>
      </w:pPr>
      <w:bookmarkStart w:id="23" w:name="_Ref503689769"/>
      <w:bookmarkStart w:id="24" w:name="_Toc505157917"/>
      <w:r>
        <w:t xml:space="preserve">Tabela </w:t>
      </w:r>
      <w:r w:rsidR="00D94472">
        <w:fldChar w:fldCharType="begin"/>
      </w:r>
      <w:r w:rsidR="00D94472">
        <w:instrText xml:space="preserve"> SEQ Tabela \* ARABIC </w:instrText>
      </w:r>
      <w:r w:rsidR="00D94472">
        <w:fldChar w:fldCharType="separate"/>
      </w:r>
      <w:r w:rsidR="00A65D24">
        <w:rPr>
          <w:noProof/>
        </w:rPr>
        <w:t>1</w:t>
      </w:r>
      <w:r w:rsidR="00D94472">
        <w:rPr>
          <w:noProof/>
        </w:rPr>
        <w:fldChar w:fldCharType="end"/>
      </w:r>
      <w:bookmarkEnd w:id="23"/>
      <w:r>
        <w:t xml:space="preserve"> – Análise de Robustez das 54 Estratégias Testadas em 200 cenários</w:t>
      </w:r>
      <w:bookmarkEnd w:id="24"/>
    </w:p>
    <w:tbl>
      <w:tblPr>
        <w:tblStyle w:val="EstiloTabelaDissertaoPedro"/>
        <w:tblW w:w="8440" w:type="dxa"/>
        <w:jc w:val="center"/>
        <w:tblBorders>
          <w:top w:val="single" w:sz="4" w:space="0" w:color="auto"/>
          <w:bottom w:val="single" w:sz="4" w:space="0" w:color="auto"/>
        </w:tblBorders>
        <w:tblLook w:val="04A0" w:firstRow="1" w:lastRow="0" w:firstColumn="1" w:lastColumn="0" w:noHBand="0" w:noVBand="1"/>
      </w:tblPr>
      <w:tblGrid>
        <w:gridCol w:w="416"/>
        <w:gridCol w:w="1120"/>
        <w:gridCol w:w="1120"/>
        <w:gridCol w:w="1120"/>
        <w:gridCol w:w="1120"/>
        <w:gridCol w:w="1120"/>
        <w:gridCol w:w="1340"/>
        <w:gridCol w:w="1200"/>
      </w:tblGrid>
      <w:tr w:rsidR="00BA677D" w:rsidRPr="00866C92" w:rsidTr="00BA677D">
        <w:trPr>
          <w:trHeight w:val="300"/>
          <w:tblHeader/>
          <w:jc w:val="center"/>
        </w:trPr>
        <w:tc>
          <w:tcPr>
            <w:tcW w:w="3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w:t>
            </w:r>
          </w:p>
        </w:tc>
        <w:tc>
          <w:tcPr>
            <w:tcW w:w="112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Estratégia</w:t>
            </w:r>
          </w:p>
        </w:tc>
        <w:tc>
          <w:tcPr>
            <w:tcW w:w="4480" w:type="dxa"/>
            <w:gridSpan w:val="4"/>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Decisões</w:t>
            </w:r>
          </w:p>
        </w:tc>
        <w:tc>
          <w:tcPr>
            <w:tcW w:w="134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c>
          <w:tcPr>
            <w:tcW w:w="12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495"/>
          <w:tblHeader/>
          <w:jc w:val="center"/>
        </w:trPr>
        <w:tc>
          <w:tcPr>
            <w:tcW w:w="3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 CAP</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Perc</w:t>
            </w:r>
            <w:proofErr w:type="spellEnd"/>
            <w:r w:rsidRPr="00866C92">
              <w:rPr>
                <w:rFonts w:cs="Arial"/>
                <w:b/>
                <w:bCs/>
                <w:color w:val="000000"/>
                <w:sz w:val="18"/>
                <w:szCs w:val="18"/>
              </w:rPr>
              <w:t>. P&amp;D Ab.</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Mkt</w:t>
            </w:r>
            <w:proofErr w:type="spellEnd"/>
            <w:r w:rsidRPr="00866C92">
              <w:rPr>
                <w:rFonts w:cs="Arial"/>
                <w:b/>
                <w:bCs/>
                <w:color w:val="000000"/>
                <w:sz w:val="18"/>
                <w:szCs w:val="18"/>
              </w:rPr>
              <w:t xml:space="preserve"> Des.</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Orc</w:t>
            </w:r>
            <w:proofErr w:type="spellEnd"/>
            <w:r w:rsidRPr="00866C92">
              <w:rPr>
                <w:rFonts w:cs="Arial"/>
                <w:b/>
                <w:bCs/>
                <w:color w:val="000000"/>
                <w:sz w:val="18"/>
                <w:szCs w:val="18"/>
              </w:rPr>
              <w:t>. P&amp;D</w:t>
            </w:r>
          </w:p>
        </w:tc>
        <w:tc>
          <w:tcPr>
            <w:tcW w:w="134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2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r>
      <w:tr w:rsidR="00BA677D" w:rsidRPr="00866C92" w:rsidTr="00BA677D">
        <w:trPr>
          <w:trHeight w:val="270"/>
          <w:jc w:val="center"/>
        </w:trPr>
        <w:tc>
          <w:tcPr>
            <w:tcW w:w="3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$211.920.013 </w:t>
            </w:r>
          </w:p>
        </w:tc>
        <w:tc>
          <w:tcPr>
            <w:tcW w:w="12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32,41%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$258.564.861 </w:t>
            </w:r>
          </w:p>
        </w:tc>
        <w:tc>
          <w:tcPr>
            <w:tcW w:w="12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25,41%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$328.221.015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$338.723.235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$371.287.014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37,63%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$378.755.033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47,23%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$394.291.939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51,24%</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$397.669.159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40,21%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$401.770.486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49,69%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$453.445.431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57,14%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$460.990.081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$502.812.847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54,12%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$511.690.862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59,25%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$513.421.791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$519.665.789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66,20%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$524.158.137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58,07%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$536.340.849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61,70%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$551.000.568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63,37%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$552.772.822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71,57%</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$566.776.799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66,96%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$570.902.365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69,11%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$573.108.271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64,16%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$595.083.137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65,70%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$598.903.266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$599.902.276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$607.302.451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68,99%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$624.113.607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$643.572.766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76,67%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$652.652.058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73,28%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$658.564.224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$669.113.970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$673.690.744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70,44%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$674.280.252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$681.086.120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86,01%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$693.408.604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75,86%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$695.682.825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76,97%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$699.698.611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84,68%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$701.648.013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79,89%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$723.791.590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$754.304.002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83,19%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$761.918.524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82,30%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$762.670.284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79,22%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$768.576.893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84,78%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lastRenderedPageBreak/>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$777.519.137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$795.049.983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86,22%</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$798.592.893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90,82%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$805.859.927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93,25%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$806.799.092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91,05%</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$846.136.461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$846.287.996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$863.780.237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96,36%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$877.290.790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96,46%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$895.893.334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97,33%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$947.271.829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bl>
    <w:p w:rsidR="00BA677D" w:rsidRPr="00BA677D" w:rsidRDefault="00BA677D" w:rsidP="00BA677D">
      <w:pPr>
        <w:pStyle w:val="Corpodetexto"/>
        <w:jc w:val="center"/>
        <w:rPr>
          <w:sz w:val="24"/>
        </w:rPr>
      </w:pPr>
      <w:r w:rsidRPr="00BA677D">
        <w:rPr>
          <w:sz w:val="24"/>
        </w:rPr>
        <w:t>Fonte: Elaborada pelo Autor.</w:t>
      </w:r>
    </w:p>
    <w:p w:rsidR="00BA677D" w:rsidRDefault="00BA677D">
      <w:pPr>
        <w:autoSpaceDE/>
        <w:autoSpaceDN/>
        <w:adjustRightInd/>
        <w:spacing w:line="240" w:lineRule="auto"/>
        <w:ind w:firstLine="0"/>
        <w:jc w:val="left"/>
        <w:rPr>
          <w:b/>
          <w:lang w:eastAsia="en-GB"/>
        </w:rPr>
      </w:pPr>
      <w:r>
        <w:rPr>
          <w:b/>
        </w:rPr>
        <w:br w:type="page"/>
      </w:r>
    </w:p>
    <w:p w:rsidR="00CF685B" w:rsidRDefault="00FB1595" w:rsidP="00CF685B">
      <w:pPr>
        <w:pStyle w:val="Newparagraph"/>
        <w:ind w:firstLine="0"/>
        <w:jc w:val="center"/>
        <w:rPr>
          <w:b/>
          <w:lang w:val="en-US"/>
        </w:rPr>
      </w:pPr>
      <w:r w:rsidRPr="006B66E5">
        <w:rPr>
          <w:b/>
          <w:lang w:val="en-US"/>
        </w:rPr>
        <w:lastRenderedPageBreak/>
        <w:t>Strategic Decision Making in the 3D Printing Industry</w:t>
      </w:r>
    </w:p>
    <w:p w:rsidR="00FB1595" w:rsidRPr="00CF685B" w:rsidRDefault="00FB1595" w:rsidP="00CF685B">
      <w:pPr>
        <w:pStyle w:val="Newparagraph"/>
        <w:ind w:firstLine="0"/>
        <w:jc w:val="center"/>
        <w:rPr>
          <w:b/>
          <w:i/>
          <w:lang w:val="en-US"/>
        </w:rPr>
      </w:pPr>
      <w:r w:rsidRPr="00CF685B">
        <w:rPr>
          <w:b/>
          <w:i/>
          <w:lang w:val="en-US"/>
        </w:rPr>
        <w:t>A Robust Decision Making (RDM) Analysis</w:t>
      </w:r>
    </w:p>
    <w:p w:rsidR="00FB1595" w:rsidRPr="006B66E5" w:rsidRDefault="00FB1595" w:rsidP="00FB1595">
      <w:pPr>
        <w:rPr>
          <w:i/>
          <w:lang w:val="en-US"/>
        </w:rPr>
      </w:pPr>
      <w:r w:rsidRPr="006B66E5">
        <w:rPr>
          <w:b/>
          <w:lang w:val="en-US"/>
        </w:rPr>
        <w:t>Abstract:</w:t>
      </w:r>
      <w:r w:rsidRPr="006B66E5">
        <w:rPr>
          <w:lang w:val="en-US"/>
        </w:rPr>
        <w:t xml:space="preserve">  </w:t>
      </w:r>
      <w:r w:rsidRPr="006B66E5">
        <w:rPr>
          <w:i/>
          <w:lang w:val="en-US"/>
        </w:rPr>
        <w:t>Strategic Decision Making under deep uncertainty is a relevant challenge to organizations. In the 3D printing industry</w:t>
      </w:r>
      <w:r w:rsidR="006B66E5" w:rsidRPr="006B66E5">
        <w:rPr>
          <w:i/>
          <w:lang w:val="en-US"/>
        </w:rPr>
        <w:t xml:space="preserve"> uncertainty is highly relevant.</w:t>
      </w:r>
      <w:r w:rsidRPr="006B66E5">
        <w:rPr>
          <w:i/>
          <w:lang w:val="en-US"/>
        </w:rPr>
        <w:t xml:space="preserve"> </w:t>
      </w:r>
      <w:r w:rsidR="006B66E5" w:rsidRPr="006B66E5">
        <w:rPr>
          <w:i/>
          <w:lang w:val="en-US"/>
        </w:rPr>
        <w:t xml:space="preserve">While some experts forecast that this industry will Worth 21 billion dollars by 2020, other estimates point that this market can have </w:t>
      </w:r>
      <w:r w:rsidR="006B66E5">
        <w:rPr>
          <w:i/>
          <w:lang w:val="en-US"/>
        </w:rPr>
        <w:t>an</w:t>
      </w:r>
      <w:r w:rsidR="006B66E5" w:rsidRPr="006B66E5">
        <w:rPr>
          <w:i/>
          <w:lang w:val="en-US"/>
        </w:rPr>
        <w:t xml:space="preserve"> economic impact of 550 billion by 2025</w:t>
      </w:r>
      <w:r w:rsidRPr="006B66E5">
        <w:rPr>
          <w:i/>
          <w:lang w:val="en-US"/>
        </w:rPr>
        <w:t xml:space="preserve">. </w:t>
      </w:r>
      <w:r w:rsidR="006B66E5" w:rsidRPr="006B66E5">
        <w:rPr>
          <w:i/>
          <w:lang w:val="en-US"/>
        </w:rPr>
        <w:t>This paper leverages system dynamics simulation, using the Robust Decision Making (RDM) approach as the analytical framework to evaluate 3D printing Systems Manufacturers’ strategic decisions. We test 54 different strategies</w:t>
      </w:r>
      <w:r w:rsidR="00CF685B">
        <w:rPr>
          <w:i/>
          <w:lang w:val="en-US"/>
        </w:rPr>
        <w:t xml:space="preserve"> concerning</w:t>
      </w:r>
      <w:r w:rsidR="006B66E5" w:rsidRPr="006B66E5">
        <w:rPr>
          <w:i/>
          <w:lang w:val="en-US"/>
        </w:rPr>
        <w:t xml:space="preserve"> under 200 different scenarios, highlighting the most robust strategies. Then, we examine the vulnerabilities of a candidate strategy using machine learning algorithms. In our experiments, aggressive strategies dominate their conservative counterparts</w:t>
      </w:r>
      <w:r w:rsidR="006B66E5">
        <w:rPr>
          <w:i/>
          <w:lang w:val="en-US"/>
        </w:rPr>
        <w:t>. Also, our results do not</w:t>
      </w:r>
      <w:r w:rsidR="00CF685B">
        <w:rPr>
          <w:i/>
          <w:lang w:val="en-US"/>
        </w:rPr>
        <w:t xml:space="preserve"> lend</w:t>
      </w:r>
      <w:r w:rsidR="006B66E5">
        <w:rPr>
          <w:i/>
          <w:lang w:val="en-US"/>
        </w:rPr>
        <w:t xml:space="preserve"> support </w:t>
      </w:r>
      <w:r w:rsidR="00CF685B">
        <w:rPr>
          <w:i/>
          <w:lang w:val="en-US"/>
        </w:rPr>
        <w:t xml:space="preserve">to </w:t>
      </w:r>
      <w:r w:rsidR="006B66E5">
        <w:rPr>
          <w:i/>
          <w:lang w:val="en-US"/>
        </w:rPr>
        <w:t xml:space="preserve">Open Source </w:t>
      </w:r>
      <w:r w:rsidR="006B66E5" w:rsidRPr="006B66E5">
        <w:rPr>
          <w:i/>
          <w:lang w:val="en-US"/>
        </w:rPr>
        <w:t>Research and Development strategies. Finally, we discuss managerial implications from our findings</w:t>
      </w:r>
      <w:r w:rsidR="00CF685B">
        <w:rPr>
          <w:i/>
          <w:lang w:val="en-US"/>
        </w:rPr>
        <w:t xml:space="preserve"> to the 3D printing industry, and theoretical contributions to the Strategic Decision-Making literature</w:t>
      </w:r>
      <w:r w:rsidR="006B66E5" w:rsidRPr="006B66E5">
        <w:rPr>
          <w:i/>
          <w:lang w:val="en-US"/>
        </w:rPr>
        <w:t>.</w:t>
      </w:r>
    </w:p>
    <w:p w:rsidR="00FB1595" w:rsidRPr="006B66E5" w:rsidRDefault="006B66E5" w:rsidP="00FB1595">
      <w:pPr>
        <w:rPr>
          <w:lang w:val="en-US"/>
        </w:rPr>
      </w:pPr>
      <w:r w:rsidRPr="006B66E5">
        <w:rPr>
          <w:b/>
          <w:lang w:val="en-US"/>
        </w:rPr>
        <w:t>Keywords</w:t>
      </w:r>
      <w:r w:rsidR="00FB1595" w:rsidRPr="006B66E5">
        <w:rPr>
          <w:b/>
          <w:lang w:val="en-US"/>
        </w:rPr>
        <w:t>:</w:t>
      </w:r>
      <w:r w:rsidR="00FB1595" w:rsidRPr="006B66E5">
        <w:rPr>
          <w:lang w:val="en-US"/>
        </w:rPr>
        <w:t xml:space="preserve"> </w:t>
      </w:r>
      <w:r w:rsidRPr="006B66E5">
        <w:rPr>
          <w:i/>
          <w:lang w:val="en-US"/>
        </w:rPr>
        <w:t>Strategic Decision</w:t>
      </w:r>
      <w:r w:rsidR="00CF685B">
        <w:rPr>
          <w:i/>
          <w:lang w:val="en-US"/>
        </w:rPr>
        <w:t>-</w:t>
      </w:r>
      <w:r w:rsidRPr="006B66E5">
        <w:rPr>
          <w:i/>
          <w:lang w:val="en-US"/>
        </w:rPr>
        <w:t>Making. New Product Diffusion. 3D Printing. Robust Decision Making.</w:t>
      </w:r>
    </w:p>
    <w:sectPr w:rsidR="00FB1595" w:rsidRPr="006B66E5" w:rsidSect="00544F20">
      <w:pgSz w:w="11906" w:h="16838" w:code="9"/>
      <w:pgMar w:top="1418" w:right="1418" w:bottom="1418" w:left="1418" w:header="1134"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472" w:rsidRDefault="00D94472" w:rsidP="00205E33">
      <w:r>
        <w:separator/>
      </w:r>
    </w:p>
  </w:endnote>
  <w:endnote w:type="continuationSeparator" w:id="0">
    <w:p w:rsidR="00D94472" w:rsidRDefault="00D94472"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LABDE+ArialNarrow">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57604"/>
      <w:docPartObj>
        <w:docPartGallery w:val="Page Numbers (Bottom of Page)"/>
        <w:docPartUnique/>
      </w:docPartObj>
    </w:sdtPr>
    <w:sdtEndPr/>
    <w:sdtContent>
      <w:p w:rsidR="006B66E5" w:rsidRDefault="006B66E5">
        <w:pPr>
          <w:pStyle w:val="Rodap"/>
          <w:jc w:val="right"/>
        </w:pPr>
        <w:r>
          <w:fldChar w:fldCharType="begin"/>
        </w:r>
        <w:r>
          <w:instrText>PAGE   \* MERGEFORMAT</w:instrText>
        </w:r>
        <w:r>
          <w:fldChar w:fldCharType="separate"/>
        </w:r>
        <w:r w:rsidR="00E55B46">
          <w:rPr>
            <w:noProof/>
          </w:rPr>
          <w:t>21</w:t>
        </w:r>
        <w:r>
          <w:fldChar w:fldCharType="end"/>
        </w:r>
      </w:p>
    </w:sdtContent>
  </w:sdt>
  <w:p w:rsidR="006B66E5" w:rsidRDefault="006B6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472" w:rsidRDefault="00D94472" w:rsidP="00205E33">
      <w:r>
        <w:separator/>
      </w:r>
    </w:p>
  </w:footnote>
  <w:footnote w:type="continuationSeparator" w:id="0">
    <w:p w:rsidR="00D94472" w:rsidRDefault="00D94472" w:rsidP="0020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6E5" w:rsidRDefault="006B66E5" w:rsidP="00205E33">
    <w:pPr>
      <w:pStyle w:val="Cabealho"/>
    </w:pPr>
  </w:p>
  <w:p w:rsidR="006B66E5" w:rsidRDefault="006B66E5" w:rsidP="00205E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D45938"/>
    <w:lvl w:ilvl="0">
      <w:start w:val="1"/>
      <w:numFmt w:val="decimal"/>
      <w:pStyle w:val="Commarcadores3"/>
      <w:lvlText w:val="%1."/>
      <w:lvlJc w:val="left"/>
      <w:pPr>
        <w:tabs>
          <w:tab w:val="num" w:pos="1492"/>
        </w:tabs>
        <w:ind w:left="1492" w:hanging="360"/>
      </w:pPr>
      <w:rPr>
        <w:rFonts w:cs="Times New Roman"/>
      </w:rPr>
    </w:lvl>
  </w:abstractNum>
  <w:abstractNum w:abstractNumId="3"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4" w15:restartNumberingAfterBreak="0">
    <w:nsid w:val="FFFFFF7E"/>
    <w:multiLevelType w:val="singleLevel"/>
    <w:tmpl w:val="505AF216"/>
    <w:lvl w:ilvl="0">
      <w:start w:val="1"/>
      <w:numFmt w:val="decimal"/>
      <w:pStyle w:val="Commarcadores"/>
      <w:lvlText w:val="%1."/>
      <w:lvlJc w:val="left"/>
      <w:pPr>
        <w:tabs>
          <w:tab w:val="num" w:pos="926"/>
        </w:tabs>
        <w:ind w:left="926" w:hanging="360"/>
      </w:pPr>
      <w:rPr>
        <w:rFonts w:cs="Times New Roman"/>
      </w:rPr>
    </w:lvl>
  </w:abstractNum>
  <w:abstractNum w:abstractNumId="5" w15:restartNumberingAfterBreak="0">
    <w:nsid w:val="FFFFFF7F"/>
    <w:multiLevelType w:val="singleLevel"/>
    <w:tmpl w:val="54A6D2F2"/>
    <w:lvl w:ilvl="0">
      <w:start w:val="1"/>
      <w:numFmt w:val="decimal"/>
      <w:pStyle w:val="Numerada5"/>
      <w:lvlText w:val="%1."/>
      <w:lvlJc w:val="left"/>
      <w:pPr>
        <w:tabs>
          <w:tab w:val="num" w:pos="643"/>
        </w:tabs>
        <w:ind w:left="643" w:hanging="360"/>
      </w:pPr>
      <w:rPr>
        <w:rFonts w:cs="Times New Roman"/>
      </w:rPr>
    </w:lvl>
  </w:abstractNum>
  <w:abstractNum w:abstractNumId="6" w15:restartNumberingAfterBreak="0">
    <w:nsid w:val="FFFFFF80"/>
    <w:multiLevelType w:val="singleLevel"/>
    <w:tmpl w:val="28EC4BA0"/>
    <w:lvl w:ilvl="0">
      <w:start w:val="1"/>
      <w:numFmt w:val="bullet"/>
      <w:pStyle w:val="Numerada3"/>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0C1268"/>
    <w:lvl w:ilvl="0">
      <w:start w:val="1"/>
      <w:numFmt w:val="bullet"/>
      <w:pStyle w:val="Numerada2"/>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F287078"/>
    <w:lvl w:ilvl="0">
      <w:start w:val="1"/>
      <w:numFmt w:val="bullet"/>
      <w:pStyle w:val="Numerada"/>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0C0298C"/>
    <w:lvl w:ilvl="0">
      <w:start w:val="1"/>
      <w:numFmt w:val="bullet"/>
      <w:pStyle w:val="Commarcadores5"/>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BCE9D78"/>
    <w:lvl w:ilvl="0">
      <w:start w:val="1"/>
      <w:numFmt w:val="decimal"/>
      <w:pStyle w:val="Numerada4"/>
      <w:lvlText w:val="%1."/>
      <w:lvlJc w:val="left"/>
      <w:pPr>
        <w:tabs>
          <w:tab w:val="num" w:pos="360"/>
        </w:tabs>
        <w:ind w:left="360" w:hanging="360"/>
      </w:pPr>
      <w:rPr>
        <w:rFonts w:cs="Times New Roman"/>
      </w:rPr>
    </w:lvl>
  </w:abstractNum>
  <w:abstractNum w:abstractNumId="11" w15:restartNumberingAfterBreak="0">
    <w:nsid w:val="FFFFFF89"/>
    <w:multiLevelType w:val="singleLevel"/>
    <w:tmpl w:val="8DC41E54"/>
    <w:lvl w:ilvl="0">
      <w:start w:val="1"/>
      <w:numFmt w:val="bullet"/>
      <w:pStyle w:val="Commarcadores4"/>
      <w:lvlText w:val=""/>
      <w:lvlJc w:val="left"/>
      <w:pPr>
        <w:tabs>
          <w:tab w:val="num" w:pos="360"/>
        </w:tabs>
        <w:ind w:left="360" w:hanging="360"/>
      </w:pPr>
      <w:rPr>
        <w:rFonts w:ascii="Symbol" w:hAnsi="Symbol" w:hint="default"/>
      </w:rPr>
    </w:lvl>
  </w:abstractNum>
  <w:abstractNum w:abstractNumId="12"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3806F69"/>
    <w:multiLevelType w:val="multilevel"/>
    <w:tmpl w:val="18D857C2"/>
    <w:lvl w:ilvl="0">
      <w:start w:val="1"/>
      <w:numFmt w:val="decimal"/>
      <w:lvlText w:val="%1"/>
      <w:lvlJc w:val="left"/>
      <w:pPr>
        <w:tabs>
          <w:tab w:val="num" w:pos="0"/>
        </w:tabs>
        <w:ind w:left="227" w:hanging="227"/>
      </w:pPr>
      <w:rPr>
        <w:rFonts w:ascii="Times New Roman" w:hAnsi="Times New Roman" w:cs="Times New Roman" w:hint="default"/>
        <w:b/>
        <w:i w:val="0"/>
        <w:sz w:val="32"/>
        <w:szCs w:val="32"/>
      </w:rPr>
    </w:lvl>
    <w:lvl w:ilvl="1">
      <w:start w:val="1"/>
      <w:numFmt w:val="decimal"/>
      <w:lvlText w:val="%1.%2"/>
      <w:lvlJc w:val="left"/>
      <w:pPr>
        <w:tabs>
          <w:tab w:val="num" w:pos="0"/>
        </w:tabs>
        <w:ind w:left="454" w:hanging="454"/>
      </w:pPr>
      <w:rPr>
        <w:rFonts w:ascii="Times New Roman" w:hAnsi="Times New Roman" w:cs="Times New Roman" w:hint="default"/>
        <w:b/>
        <w:i w:val="0"/>
        <w:sz w:val="24"/>
      </w:rPr>
    </w:lvl>
    <w:lvl w:ilvl="2">
      <w:start w:val="1"/>
      <w:numFmt w:val="decimal"/>
      <w:lvlText w:val="%1.%2.%3"/>
      <w:lvlJc w:val="left"/>
      <w:pPr>
        <w:tabs>
          <w:tab w:val="num" w:pos="0"/>
        </w:tabs>
        <w:ind w:left="737" w:hanging="737"/>
      </w:pPr>
      <w:rPr>
        <w:rFonts w:cs="Times New Roman" w:hint="default"/>
      </w:rPr>
    </w:lvl>
    <w:lvl w:ilvl="3">
      <w:start w:val="1"/>
      <w:numFmt w:val="decimal"/>
      <w:lvlText w:val="%1.%2.%3.%4"/>
      <w:lvlJc w:val="left"/>
      <w:pPr>
        <w:tabs>
          <w:tab w:val="num" w:pos="0"/>
        </w:tabs>
        <w:ind w:left="1584"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B0144CE"/>
    <w:multiLevelType w:val="hybridMultilevel"/>
    <w:tmpl w:val="42A89D34"/>
    <w:lvl w:ilvl="0" w:tplc="39608A24">
      <w:start w:val="1"/>
      <w:numFmt w:val="bullet"/>
      <w:pStyle w:val="PargItens"/>
      <w:lvlText w:val="-"/>
      <w:lvlJc w:val="left"/>
      <w:pPr>
        <w:ind w:left="1854" w:hanging="360"/>
      </w:pPr>
      <w:rPr>
        <w:rFonts w:ascii="Times New Roman" w:hAnsi="Times New Roman"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0F155471"/>
    <w:multiLevelType w:val="multilevel"/>
    <w:tmpl w:val="35DE13C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269569E1"/>
    <w:multiLevelType w:val="hybridMultilevel"/>
    <w:tmpl w:val="4A7A90A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2C196822"/>
    <w:multiLevelType w:val="multilevel"/>
    <w:tmpl w:val="34286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FAF7E13"/>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3DD533D"/>
    <w:multiLevelType w:val="hybridMultilevel"/>
    <w:tmpl w:val="8AEAC3A2"/>
    <w:lvl w:ilvl="0" w:tplc="9F0E434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3AE35450"/>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43A26422"/>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D6E36F5"/>
    <w:multiLevelType w:val="hybridMultilevel"/>
    <w:tmpl w:val="D03ACC00"/>
    <w:lvl w:ilvl="0" w:tplc="7A14BAC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27473CA"/>
    <w:multiLevelType w:val="hybridMultilevel"/>
    <w:tmpl w:val="0E402D3A"/>
    <w:lvl w:ilvl="0" w:tplc="28AA75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D7AC7"/>
    <w:multiLevelType w:val="hybridMultilevel"/>
    <w:tmpl w:val="046E41B6"/>
    <w:lvl w:ilvl="0" w:tplc="187CA6C4">
      <w:start w:val="184"/>
      <w:numFmt w:val="bullet"/>
      <w:pStyle w:val="Item"/>
      <w:lvlText w:val=""/>
      <w:lvlJc w:val="left"/>
      <w:pPr>
        <w:tabs>
          <w:tab w:val="num" w:pos="1786"/>
        </w:tabs>
        <w:ind w:left="1786" w:hanging="360"/>
      </w:pPr>
      <w:rPr>
        <w:rFonts w:ascii="Symbol" w:hAnsi="Symbol" w:hint="default"/>
        <w:color w:val="auto"/>
      </w:rPr>
    </w:lvl>
    <w:lvl w:ilvl="1" w:tplc="04160003" w:tentative="1">
      <w:start w:val="1"/>
      <w:numFmt w:val="bullet"/>
      <w:lvlText w:val="o"/>
      <w:lvlJc w:val="left"/>
      <w:pPr>
        <w:tabs>
          <w:tab w:val="num" w:pos="2146"/>
        </w:tabs>
        <w:ind w:left="2146" w:hanging="360"/>
      </w:pPr>
      <w:rPr>
        <w:rFonts w:ascii="Courier New" w:hAnsi="Courier New" w:hint="default"/>
      </w:rPr>
    </w:lvl>
    <w:lvl w:ilvl="2" w:tplc="04160005" w:tentative="1">
      <w:start w:val="1"/>
      <w:numFmt w:val="bullet"/>
      <w:lvlText w:val=""/>
      <w:lvlJc w:val="left"/>
      <w:pPr>
        <w:tabs>
          <w:tab w:val="num" w:pos="2866"/>
        </w:tabs>
        <w:ind w:left="2866" w:hanging="360"/>
      </w:pPr>
      <w:rPr>
        <w:rFonts w:ascii="Wingdings" w:hAnsi="Wingdings" w:hint="default"/>
      </w:rPr>
    </w:lvl>
    <w:lvl w:ilvl="3" w:tplc="04160001" w:tentative="1">
      <w:start w:val="1"/>
      <w:numFmt w:val="bullet"/>
      <w:lvlText w:val=""/>
      <w:lvlJc w:val="left"/>
      <w:pPr>
        <w:tabs>
          <w:tab w:val="num" w:pos="3586"/>
        </w:tabs>
        <w:ind w:left="3586" w:hanging="360"/>
      </w:pPr>
      <w:rPr>
        <w:rFonts w:ascii="Symbol" w:hAnsi="Symbol" w:hint="default"/>
      </w:rPr>
    </w:lvl>
    <w:lvl w:ilvl="4" w:tplc="04160003" w:tentative="1">
      <w:start w:val="1"/>
      <w:numFmt w:val="bullet"/>
      <w:lvlText w:val="o"/>
      <w:lvlJc w:val="left"/>
      <w:pPr>
        <w:tabs>
          <w:tab w:val="num" w:pos="4306"/>
        </w:tabs>
        <w:ind w:left="4306" w:hanging="360"/>
      </w:pPr>
      <w:rPr>
        <w:rFonts w:ascii="Courier New" w:hAnsi="Courier New" w:hint="default"/>
      </w:rPr>
    </w:lvl>
    <w:lvl w:ilvl="5" w:tplc="04160005" w:tentative="1">
      <w:start w:val="1"/>
      <w:numFmt w:val="bullet"/>
      <w:lvlText w:val=""/>
      <w:lvlJc w:val="left"/>
      <w:pPr>
        <w:tabs>
          <w:tab w:val="num" w:pos="5026"/>
        </w:tabs>
        <w:ind w:left="5026" w:hanging="360"/>
      </w:pPr>
      <w:rPr>
        <w:rFonts w:ascii="Wingdings" w:hAnsi="Wingdings" w:hint="default"/>
      </w:rPr>
    </w:lvl>
    <w:lvl w:ilvl="6" w:tplc="04160001" w:tentative="1">
      <w:start w:val="1"/>
      <w:numFmt w:val="bullet"/>
      <w:lvlText w:val=""/>
      <w:lvlJc w:val="left"/>
      <w:pPr>
        <w:tabs>
          <w:tab w:val="num" w:pos="5746"/>
        </w:tabs>
        <w:ind w:left="5746" w:hanging="360"/>
      </w:pPr>
      <w:rPr>
        <w:rFonts w:ascii="Symbol" w:hAnsi="Symbol" w:hint="default"/>
      </w:rPr>
    </w:lvl>
    <w:lvl w:ilvl="7" w:tplc="04160003" w:tentative="1">
      <w:start w:val="1"/>
      <w:numFmt w:val="bullet"/>
      <w:lvlText w:val="o"/>
      <w:lvlJc w:val="left"/>
      <w:pPr>
        <w:tabs>
          <w:tab w:val="num" w:pos="6466"/>
        </w:tabs>
        <w:ind w:left="6466" w:hanging="360"/>
      </w:pPr>
      <w:rPr>
        <w:rFonts w:ascii="Courier New" w:hAnsi="Courier New" w:hint="default"/>
      </w:rPr>
    </w:lvl>
    <w:lvl w:ilvl="8" w:tplc="04160005" w:tentative="1">
      <w:start w:val="1"/>
      <w:numFmt w:val="bullet"/>
      <w:lvlText w:val=""/>
      <w:lvlJc w:val="left"/>
      <w:pPr>
        <w:tabs>
          <w:tab w:val="num" w:pos="7186"/>
        </w:tabs>
        <w:ind w:left="7186" w:hanging="360"/>
      </w:pPr>
      <w:rPr>
        <w:rFonts w:ascii="Wingdings" w:hAnsi="Wingdings" w:hint="default"/>
      </w:rPr>
    </w:lvl>
  </w:abstractNum>
  <w:abstractNum w:abstractNumId="37" w15:restartNumberingAfterBreak="0">
    <w:nsid w:val="6CF96235"/>
    <w:multiLevelType w:val="hybridMultilevel"/>
    <w:tmpl w:val="92E01E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8"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41" w15:restartNumberingAfterBreak="0">
    <w:nsid w:val="77664C04"/>
    <w:multiLevelType w:val="hybridMultilevel"/>
    <w:tmpl w:val="CE9E12B8"/>
    <w:lvl w:ilvl="0" w:tplc="7AF81974">
      <w:start w:val="1"/>
      <w:numFmt w:val="lowerLetter"/>
      <w:pStyle w:val="ALINEA"/>
      <w:lvlText w:val="%1)"/>
      <w:lvlJc w:val="left"/>
      <w:pPr>
        <w:tabs>
          <w:tab w:val="num" w:pos="3006"/>
        </w:tabs>
        <w:ind w:left="3006"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2"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36"/>
  </w:num>
  <w:num w:numId="12">
    <w:abstractNumId w:val="13"/>
  </w:num>
  <w:num w:numId="13">
    <w:abstractNumId w:val="15"/>
  </w:num>
  <w:num w:numId="14">
    <w:abstractNumId w:val="41"/>
  </w:num>
  <w:num w:numId="15">
    <w:abstractNumId w:val="29"/>
  </w:num>
  <w:num w:numId="16">
    <w:abstractNumId w:val="30"/>
  </w:num>
  <w:num w:numId="17">
    <w:abstractNumId w:val="22"/>
  </w:num>
  <w:num w:numId="18">
    <w:abstractNumId w:val="25"/>
  </w:num>
  <w:num w:numId="19">
    <w:abstractNumId w:val="19"/>
  </w:num>
  <w:num w:numId="20">
    <w:abstractNumId w:val="37"/>
  </w:num>
  <w:num w:numId="21">
    <w:abstractNumId w:val="20"/>
  </w:num>
  <w:num w:numId="22">
    <w:abstractNumId w:val="33"/>
  </w:num>
  <w:num w:numId="23">
    <w:abstractNumId w:val="32"/>
  </w:num>
  <w:num w:numId="24">
    <w:abstractNumId w:val="3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5"/>
  </w:num>
  <w:num w:numId="28">
    <w:abstractNumId w:val="27"/>
  </w:num>
  <w:num w:numId="29">
    <w:abstractNumId w:val="38"/>
    <w:lvlOverride w:ilvl="0">
      <w:startOverride w:val="1"/>
    </w:lvlOverride>
  </w:num>
  <w:num w:numId="30">
    <w:abstractNumId w:val="16"/>
  </w:num>
  <w:num w:numId="31">
    <w:abstractNumId w:val="38"/>
    <w:lvlOverride w:ilvl="0">
      <w:startOverride w:val="1"/>
    </w:lvlOverride>
  </w:num>
  <w:num w:numId="32">
    <w:abstractNumId w:val="18"/>
  </w:num>
  <w:num w:numId="33">
    <w:abstractNumId w:val="14"/>
  </w:num>
  <w:num w:numId="34">
    <w:abstractNumId w:val="38"/>
    <w:lvlOverride w:ilvl="0">
      <w:startOverride w:val="1"/>
    </w:lvlOverride>
  </w:num>
  <w:num w:numId="35">
    <w:abstractNumId w:val="24"/>
  </w:num>
  <w:num w:numId="36">
    <w:abstractNumId w:val="34"/>
  </w:num>
  <w:num w:numId="37">
    <w:abstractNumId w:val="26"/>
  </w:num>
  <w:num w:numId="38">
    <w:abstractNumId w:val="0"/>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2"/>
  </w:num>
  <w:num w:numId="42">
    <w:abstractNumId w:val="21"/>
  </w:num>
  <w:num w:numId="43">
    <w:abstractNumId w:val="12"/>
  </w:num>
  <w:num w:numId="44">
    <w:abstractNumId w:val="17"/>
  </w:num>
  <w:num w:numId="45">
    <w:abstractNumId w:val="23"/>
  </w:num>
  <w:num w:numId="4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gutterAtTop/>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xsbAwMrM0tzA2NjFQ0lEKTi0uzszPAykwMqgFAHUt6AMtAAAA"/>
  </w:docVars>
  <w:rsids>
    <w:rsidRoot w:val="00444902"/>
    <w:rsid w:val="0000105C"/>
    <w:rsid w:val="0000163A"/>
    <w:rsid w:val="00002270"/>
    <w:rsid w:val="000029A6"/>
    <w:rsid w:val="00002B26"/>
    <w:rsid w:val="00002F58"/>
    <w:rsid w:val="00003004"/>
    <w:rsid w:val="000036E9"/>
    <w:rsid w:val="00003F45"/>
    <w:rsid w:val="000043CF"/>
    <w:rsid w:val="0000483F"/>
    <w:rsid w:val="00004941"/>
    <w:rsid w:val="0000539D"/>
    <w:rsid w:val="0000551C"/>
    <w:rsid w:val="00005598"/>
    <w:rsid w:val="0000565E"/>
    <w:rsid w:val="00005F81"/>
    <w:rsid w:val="00006589"/>
    <w:rsid w:val="000066E7"/>
    <w:rsid w:val="00006AC5"/>
    <w:rsid w:val="00006B92"/>
    <w:rsid w:val="00007055"/>
    <w:rsid w:val="00007CF2"/>
    <w:rsid w:val="00010C89"/>
    <w:rsid w:val="00010EC7"/>
    <w:rsid w:val="00011D72"/>
    <w:rsid w:val="000135A1"/>
    <w:rsid w:val="00013B3A"/>
    <w:rsid w:val="00013DD5"/>
    <w:rsid w:val="00013EB8"/>
    <w:rsid w:val="00013ED7"/>
    <w:rsid w:val="000144A4"/>
    <w:rsid w:val="00014927"/>
    <w:rsid w:val="00014A99"/>
    <w:rsid w:val="00014F1C"/>
    <w:rsid w:val="00015809"/>
    <w:rsid w:val="00015A7B"/>
    <w:rsid w:val="00015B7C"/>
    <w:rsid w:val="00015F6E"/>
    <w:rsid w:val="0001678C"/>
    <w:rsid w:val="00016E99"/>
    <w:rsid w:val="00016F16"/>
    <w:rsid w:val="0001734A"/>
    <w:rsid w:val="000178A4"/>
    <w:rsid w:val="000214BC"/>
    <w:rsid w:val="000214E7"/>
    <w:rsid w:val="00023B4F"/>
    <w:rsid w:val="00024444"/>
    <w:rsid w:val="0002456D"/>
    <w:rsid w:val="0002458D"/>
    <w:rsid w:val="00024C13"/>
    <w:rsid w:val="00024D66"/>
    <w:rsid w:val="00024DAB"/>
    <w:rsid w:val="00025AE9"/>
    <w:rsid w:val="00025D9A"/>
    <w:rsid w:val="000265EC"/>
    <w:rsid w:val="00026850"/>
    <w:rsid w:val="00026CDB"/>
    <w:rsid w:val="00026D81"/>
    <w:rsid w:val="00027A98"/>
    <w:rsid w:val="00030BF5"/>
    <w:rsid w:val="00030D33"/>
    <w:rsid w:val="00031089"/>
    <w:rsid w:val="00031522"/>
    <w:rsid w:val="000321A9"/>
    <w:rsid w:val="00032301"/>
    <w:rsid w:val="00032818"/>
    <w:rsid w:val="00032FF7"/>
    <w:rsid w:val="000330CC"/>
    <w:rsid w:val="000336A7"/>
    <w:rsid w:val="000336B9"/>
    <w:rsid w:val="00033EB2"/>
    <w:rsid w:val="00034350"/>
    <w:rsid w:val="000344F2"/>
    <w:rsid w:val="00034E0F"/>
    <w:rsid w:val="00034F31"/>
    <w:rsid w:val="00035382"/>
    <w:rsid w:val="000354FF"/>
    <w:rsid w:val="00035BBC"/>
    <w:rsid w:val="00035BC6"/>
    <w:rsid w:val="00035E7D"/>
    <w:rsid w:val="00035EF2"/>
    <w:rsid w:val="00035F80"/>
    <w:rsid w:val="000365CE"/>
    <w:rsid w:val="00036612"/>
    <w:rsid w:val="0003696F"/>
    <w:rsid w:val="00036D4B"/>
    <w:rsid w:val="00036DA0"/>
    <w:rsid w:val="00037C9C"/>
    <w:rsid w:val="00041821"/>
    <w:rsid w:val="00042D08"/>
    <w:rsid w:val="00043321"/>
    <w:rsid w:val="00043744"/>
    <w:rsid w:val="00043829"/>
    <w:rsid w:val="00044219"/>
    <w:rsid w:val="00045CDF"/>
    <w:rsid w:val="00046226"/>
    <w:rsid w:val="00046423"/>
    <w:rsid w:val="000464E8"/>
    <w:rsid w:val="00046779"/>
    <w:rsid w:val="00046832"/>
    <w:rsid w:val="00046C42"/>
    <w:rsid w:val="00046F16"/>
    <w:rsid w:val="00047B1D"/>
    <w:rsid w:val="0005071F"/>
    <w:rsid w:val="00050F36"/>
    <w:rsid w:val="00051022"/>
    <w:rsid w:val="000516F4"/>
    <w:rsid w:val="000518EE"/>
    <w:rsid w:val="0005279E"/>
    <w:rsid w:val="00053C10"/>
    <w:rsid w:val="00054807"/>
    <w:rsid w:val="000554E8"/>
    <w:rsid w:val="000559D2"/>
    <w:rsid w:val="00055C04"/>
    <w:rsid w:val="0005622B"/>
    <w:rsid w:val="00056290"/>
    <w:rsid w:val="0005690B"/>
    <w:rsid w:val="00057002"/>
    <w:rsid w:val="00057267"/>
    <w:rsid w:val="000579FA"/>
    <w:rsid w:val="00061690"/>
    <w:rsid w:val="00062DD2"/>
    <w:rsid w:val="000631D8"/>
    <w:rsid w:val="00063450"/>
    <w:rsid w:val="000637F1"/>
    <w:rsid w:val="0006424D"/>
    <w:rsid w:val="0006495F"/>
    <w:rsid w:val="00064D6F"/>
    <w:rsid w:val="000657F3"/>
    <w:rsid w:val="000663A9"/>
    <w:rsid w:val="0006642D"/>
    <w:rsid w:val="00066D73"/>
    <w:rsid w:val="0006764F"/>
    <w:rsid w:val="00067AE7"/>
    <w:rsid w:val="00067B0C"/>
    <w:rsid w:val="000715A8"/>
    <w:rsid w:val="00072207"/>
    <w:rsid w:val="00072C3E"/>
    <w:rsid w:val="000734FC"/>
    <w:rsid w:val="00073BCE"/>
    <w:rsid w:val="000745F8"/>
    <w:rsid w:val="0007468D"/>
    <w:rsid w:val="00074A27"/>
    <w:rsid w:val="000751C1"/>
    <w:rsid w:val="0007539B"/>
    <w:rsid w:val="00075969"/>
    <w:rsid w:val="000759E7"/>
    <w:rsid w:val="00075C6F"/>
    <w:rsid w:val="00075EC9"/>
    <w:rsid w:val="000761C7"/>
    <w:rsid w:val="000761ED"/>
    <w:rsid w:val="0007633A"/>
    <w:rsid w:val="00076438"/>
    <w:rsid w:val="000765FF"/>
    <w:rsid w:val="00077B79"/>
    <w:rsid w:val="00077D96"/>
    <w:rsid w:val="00077FD3"/>
    <w:rsid w:val="00080716"/>
    <w:rsid w:val="00081D32"/>
    <w:rsid w:val="000822AA"/>
    <w:rsid w:val="0008240A"/>
    <w:rsid w:val="00083DF0"/>
    <w:rsid w:val="00084053"/>
    <w:rsid w:val="000844A9"/>
    <w:rsid w:val="000845B2"/>
    <w:rsid w:val="00085522"/>
    <w:rsid w:val="000860DE"/>
    <w:rsid w:val="00086104"/>
    <w:rsid w:val="00086BB6"/>
    <w:rsid w:val="00086E77"/>
    <w:rsid w:val="0008715D"/>
    <w:rsid w:val="00090386"/>
    <w:rsid w:val="0009076D"/>
    <w:rsid w:val="00090A44"/>
    <w:rsid w:val="00091232"/>
    <w:rsid w:val="0009185F"/>
    <w:rsid w:val="000918A7"/>
    <w:rsid w:val="00092321"/>
    <w:rsid w:val="00092802"/>
    <w:rsid w:val="000930DB"/>
    <w:rsid w:val="000933E6"/>
    <w:rsid w:val="0009344C"/>
    <w:rsid w:val="00093734"/>
    <w:rsid w:val="000938D9"/>
    <w:rsid w:val="00093BE0"/>
    <w:rsid w:val="0009414F"/>
    <w:rsid w:val="000943D0"/>
    <w:rsid w:val="00094B5E"/>
    <w:rsid w:val="00095409"/>
    <w:rsid w:val="00095A94"/>
    <w:rsid w:val="0009605E"/>
    <w:rsid w:val="000965FD"/>
    <w:rsid w:val="00096B3C"/>
    <w:rsid w:val="000A0019"/>
    <w:rsid w:val="000A022F"/>
    <w:rsid w:val="000A250B"/>
    <w:rsid w:val="000A29CD"/>
    <w:rsid w:val="000A2B7F"/>
    <w:rsid w:val="000A44AD"/>
    <w:rsid w:val="000A45AD"/>
    <w:rsid w:val="000A46D9"/>
    <w:rsid w:val="000A49D2"/>
    <w:rsid w:val="000A4C49"/>
    <w:rsid w:val="000A5C4B"/>
    <w:rsid w:val="000A5D89"/>
    <w:rsid w:val="000A5F31"/>
    <w:rsid w:val="000A6477"/>
    <w:rsid w:val="000A6725"/>
    <w:rsid w:val="000A6986"/>
    <w:rsid w:val="000A7910"/>
    <w:rsid w:val="000B0127"/>
    <w:rsid w:val="000B0468"/>
    <w:rsid w:val="000B145A"/>
    <w:rsid w:val="000B1807"/>
    <w:rsid w:val="000B18A0"/>
    <w:rsid w:val="000B3284"/>
    <w:rsid w:val="000B3611"/>
    <w:rsid w:val="000B37BF"/>
    <w:rsid w:val="000B3B52"/>
    <w:rsid w:val="000B3F96"/>
    <w:rsid w:val="000B44F9"/>
    <w:rsid w:val="000B49E0"/>
    <w:rsid w:val="000B4C40"/>
    <w:rsid w:val="000B4CDF"/>
    <w:rsid w:val="000B4DF1"/>
    <w:rsid w:val="000B5294"/>
    <w:rsid w:val="000B6043"/>
    <w:rsid w:val="000B64C7"/>
    <w:rsid w:val="000B6987"/>
    <w:rsid w:val="000B6BA6"/>
    <w:rsid w:val="000B72F4"/>
    <w:rsid w:val="000B7340"/>
    <w:rsid w:val="000B75EE"/>
    <w:rsid w:val="000B76AC"/>
    <w:rsid w:val="000B7F1A"/>
    <w:rsid w:val="000C06CA"/>
    <w:rsid w:val="000C0CCB"/>
    <w:rsid w:val="000C1166"/>
    <w:rsid w:val="000C14B4"/>
    <w:rsid w:val="000C2974"/>
    <w:rsid w:val="000C3337"/>
    <w:rsid w:val="000C35CB"/>
    <w:rsid w:val="000C464F"/>
    <w:rsid w:val="000C511E"/>
    <w:rsid w:val="000C52A0"/>
    <w:rsid w:val="000C6865"/>
    <w:rsid w:val="000C6D3F"/>
    <w:rsid w:val="000C7CF4"/>
    <w:rsid w:val="000D0494"/>
    <w:rsid w:val="000D0603"/>
    <w:rsid w:val="000D1F5D"/>
    <w:rsid w:val="000D1FAA"/>
    <w:rsid w:val="000D2927"/>
    <w:rsid w:val="000D2BED"/>
    <w:rsid w:val="000D2CDB"/>
    <w:rsid w:val="000D2D2A"/>
    <w:rsid w:val="000D310C"/>
    <w:rsid w:val="000D3682"/>
    <w:rsid w:val="000D3718"/>
    <w:rsid w:val="000D39D5"/>
    <w:rsid w:val="000D4C1E"/>
    <w:rsid w:val="000D57C1"/>
    <w:rsid w:val="000D6024"/>
    <w:rsid w:val="000D7593"/>
    <w:rsid w:val="000E0F23"/>
    <w:rsid w:val="000E162B"/>
    <w:rsid w:val="000E1FEE"/>
    <w:rsid w:val="000E233C"/>
    <w:rsid w:val="000E2BA7"/>
    <w:rsid w:val="000E39C5"/>
    <w:rsid w:val="000E3F6A"/>
    <w:rsid w:val="000E4189"/>
    <w:rsid w:val="000E4327"/>
    <w:rsid w:val="000E44C4"/>
    <w:rsid w:val="000E453C"/>
    <w:rsid w:val="000E45F6"/>
    <w:rsid w:val="000E4C91"/>
    <w:rsid w:val="000E5645"/>
    <w:rsid w:val="000E5B8E"/>
    <w:rsid w:val="000E5DEE"/>
    <w:rsid w:val="000E6107"/>
    <w:rsid w:val="000E64A5"/>
    <w:rsid w:val="000E6697"/>
    <w:rsid w:val="000F0879"/>
    <w:rsid w:val="000F113E"/>
    <w:rsid w:val="000F1330"/>
    <w:rsid w:val="000F1E61"/>
    <w:rsid w:val="000F26C5"/>
    <w:rsid w:val="000F3B3F"/>
    <w:rsid w:val="000F3FB0"/>
    <w:rsid w:val="000F40E6"/>
    <w:rsid w:val="000F4482"/>
    <w:rsid w:val="000F470F"/>
    <w:rsid w:val="000F4B9D"/>
    <w:rsid w:val="000F4E70"/>
    <w:rsid w:val="000F59F6"/>
    <w:rsid w:val="000F6054"/>
    <w:rsid w:val="000F614E"/>
    <w:rsid w:val="000F706D"/>
    <w:rsid w:val="000F70D4"/>
    <w:rsid w:val="000F7B3D"/>
    <w:rsid w:val="00100010"/>
    <w:rsid w:val="001005E0"/>
    <w:rsid w:val="00100780"/>
    <w:rsid w:val="00101631"/>
    <w:rsid w:val="00101BE6"/>
    <w:rsid w:val="00101CD5"/>
    <w:rsid w:val="00101FA3"/>
    <w:rsid w:val="00101FBF"/>
    <w:rsid w:val="00102259"/>
    <w:rsid w:val="00102793"/>
    <w:rsid w:val="00102DF5"/>
    <w:rsid w:val="00103CD3"/>
    <w:rsid w:val="0010459C"/>
    <w:rsid w:val="0010464F"/>
    <w:rsid w:val="00104CE0"/>
    <w:rsid w:val="0010555D"/>
    <w:rsid w:val="00105DE2"/>
    <w:rsid w:val="001066AF"/>
    <w:rsid w:val="00106DFF"/>
    <w:rsid w:val="001077F8"/>
    <w:rsid w:val="00107CBA"/>
    <w:rsid w:val="001102C0"/>
    <w:rsid w:val="0011210E"/>
    <w:rsid w:val="0011262B"/>
    <w:rsid w:val="00113E80"/>
    <w:rsid w:val="00115439"/>
    <w:rsid w:val="00115722"/>
    <w:rsid w:val="00115764"/>
    <w:rsid w:val="00115EAE"/>
    <w:rsid w:val="00116EDA"/>
    <w:rsid w:val="00116F3F"/>
    <w:rsid w:val="001173C5"/>
    <w:rsid w:val="001207D1"/>
    <w:rsid w:val="001210E6"/>
    <w:rsid w:val="00121669"/>
    <w:rsid w:val="00121886"/>
    <w:rsid w:val="00121C79"/>
    <w:rsid w:val="00121FC2"/>
    <w:rsid w:val="00122BAB"/>
    <w:rsid w:val="00124AEE"/>
    <w:rsid w:val="00125328"/>
    <w:rsid w:val="00125E67"/>
    <w:rsid w:val="001264C9"/>
    <w:rsid w:val="00126D1E"/>
    <w:rsid w:val="00126D96"/>
    <w:rsid w:val="00126DF5"/>
    <w:rsid w:val="00127240"/>
    <w:rsid w:val="001274E1"/>
    <w:rsid w:val="00127506"/>
    <w:rsid w:val="001277A3"/>
    <w:rsid w:val="0012797F"/>
    <w:rsid w:val="00127A86"/>
    <w:rsid w:val="00130865"/>
    <w:rsid w:val="00131C22"/>
    <w:rsid w:val="001327F2"/>
    <w:rsid w:val="00132ED9"/>
    <w:rsid w:val="00133E81"/>
    <w:rsid w:val="00134C74"/>
    <w:rsid w:val="00134FE9"/>
    <w:rsid w:val="001351C3"/>
    <w:rsid w:val="001357B5"/>
    <w:rsid w:val="00135D62"/>
    <w:rsid w:val="00136195"/>
    <w:rsid w:val="00136AD9"/>
    <w:rsid w:val="00137278"/>
    <w:rsid w:val="0013749C"/>
    <w:rsid w:val="00137B57"/>
    <w:rsid w:val="00140819"/>
    <w:rsid w:val="00140A1C"/>
    <w:rsid w:val="001422D9"/>
    <w:rsid w:val="001434F8"/>
    <w:rsid w:val="00143DD6"/>
    <w:rsid w:val="00144F66"/>
    <w:rsid w:val="0014513D"/>
    <w:rsid w:val="00145265"/>
    <w:rsid w:val="001453ED"/>
    <w:rsid w:val="00145832"/>
    <w:rsid w:val="0014599D"/>
    <w:rsid w:val="00145AD8"/>
    <w:rsid w:val="001471B4"/>
    <w:rsid w:val="001471E8"/>
    <w:rsid w:val="001501FB"/>
    <w:rsid w:val="001508FB"/>
    <w:rsid w:val="00150F17"/>
    <w:rsid w:val="001517FA"/>
    <w:rsid w:val="00151B8F"/>
    <w:rsid w:val="001523EF"/>
    <w:rsid w:val="00152830"/>
    <w:rsid w:val="0015313E"/>
    <w:rsid w:val="001533D1"/>
    <w:rsid w:val="00153DFE"/>
    <w:rsid w:val="0015453B"/>
    <w:rsid w:val="001546B2"/>
    <w:rsid w:val="00154DA7"/>
    <w:rsid w:val="00155578"/>
    <w:rsid w:val="001556E1"/>
    <w:rsid w:val="00155DBE"/>
    <w:rsid w:val="00156739"/>
    <w:rsid w:val="00156C8A"/>
    <w:rsid w:val="0015767B"/>
    <w:rsid w:val="0015775D"/>
    <w:rsid w:val="00157803"/>
    <w:rsid w:val="001578E4"/>
    <w:rsid w:val="00157B8E"/>
    <w:rsid w:val="00157E80"/>
    <w:rsid w:val="0016013F"/>
    <w:rsid w:val="00161103"/>
    <w:rsid w:val="001616A2"/>
    <w:rsid w:val="00161792"/>
    <w:rsid w:val="00162E4D"/>
    <w:rsid w:val="00163103"/>
    <w:rsid w:val="001638DB"/>
    <w:rsid w:val="00163ECA"/>
    <w:rsid w:val="00163F78"/>
    <w:rsid w:val="001641A3"/>
    <w:rsid w:val="0016465A"/>
    <w:rsid w:val="00164907"/>
    <w:rsid w:val="00164948"/>
    <w:rsid w:val="00164BB3"/>
    <w:rsid w:val="00164E8B"/>
    <w:rsid w:val="00165158"/>
    <w:rsid w:val="00165464"/>
    <w:rsid w:val="001657F1"/>
    <w:rsid w:val="00165891"/>
    <w:rsid w:val="00165A00"/>
    <w:rsid w:val="001667AB"/>
    <w:rsid w:val="00166CFE"/>
    <w:rsid w:val="00166E97"/>
    <w:rsid w:val="001670AD"/>
    <w:rsid w:val="00167828"/>
    <w:rsid w:val="001702FF"/>
    <w:rsid w:val="0017070F"/>
    <w:rsid w:val="001707EE"/>
    <w:rsid w:val="00170E17"/>
    <w:rsid w:val="001713CA"/>
    <w:rsid w:val="00171CF8"/>
    <w:rsid w:val="00171F69"/>
    <w:rsid w:val="00172FA1"/>
    <w:rsid w:val="001733C2"/>
    <w:rsid w:val="00173B6B"/>
    <w:rsid w:val="00173DE2"/>
    <w:rsid w:val="00173E1F"/>
    <w:rsid w:val="001740F1"/>
    <w:rsid w:val="00174CB6"/>
    <w:rsid w:val="001755D0"/>
    <w:rsid w:val="00177824"/>
    <w:rsid w:val="001801E1"/>
    <w:rsid w:val="00180F07"/>
    <w:rsid w:val="001819A5"/>
    <w:rsid w:val="001820E0"/>
    <w:rsid w:val="001827F0"/>
    <w:rsid w:val="0018290C"/>
    <w:rsid w:val="00182BA3"/>
    <w:rsid w:val="0018318B"/>
    <w:rsid w:val="00183359"/>
    <w:rsid w:val="00183539"/>
    <w:rsid w:val="00183DD6"/>
    <w:rsid w:val="0018499F"/>
    <w:rsid w:val="001850C6"/>
    <w:rsid w:val="001855F5"/>
    <w:rsid w:val="0018593A"/>
    <w:rsid w:val="00185EB2"/>
    <w:rsid w:val="0018660E"/>
    <w:rsid w:val="00186A87"/>
    <w:rsid w:val="00186CE9"/>
    <w:rsid w:val="00186F65"/>
    <w:rsid w:val="00187BD1"/>
    <w:rsid w:val="00187FD2"/>
    <w:rsid w:val="0019035F"/>
    <w:rsid w:val="00190C54"/>
    <w:rsid w:val="00191868"/>
    <w:rsid w:val="00192016"/>
    <w:rsid w:val="00192511"/>
    <w:rsid w:val="0019258C"/>
    <w:rsid w:val="00192808"/>
    <w:rsid w:val="00192D25"/>
    <w:rsid w:val="001931C3"/>
    <w:rsid w:val="0019350D"/>
    <w:rsid w:val="001935A0"/>
    <w:rsid w:val="00193E2E"/>
    <w:rsid w:val="00194524"/>
    <w:rsid w:val="00195074"/>
    <w:rsid w:val="001953EA"/>
    <w:rsid w:val="00196451"/>
    <w:rsid w:val="001967D8"/>
    <w:rsid w:val="00196D30"/>
    <w:rsid w:val="00197492"/>
    <w:rsid w:val="001A0A2D"/>
    <w:rsid w:val="001A1039"/>
    <w:rsid w:val="001A1402"/>
    <w:rsid w:val="001A1CF8"/>
    <w:rsid w:val="001A1E1D"/>
    <w:rsid w:val="001A1EE3"/>
    <w:rsid w:val="001A1F5B"/>
    <w:rsid w:val="001A210B"/>
    <w:rsid w:val="001A2605"/>
    <w:rsid w:val="001A2AA3"/>
    <w:rsid w:val="001A2C39"/>
    <w:rsid w:val="001A35AD"/>
    <w:rsid w:val="001A36CD"/>
    <w:rsid w:val="001A422A"/>
    <w:rsid w:val="001A45CF"/>
    <w:rsid w:val="001A5088"/>
    <w:rsid w:val="001A56CD"/>
    <w:rsid w:val="001A581E"/>
    <w:rsid w:val="001A59D5"/>
    <w:rsid w:val="001A5AC7"/>
    <w:rsid w:val="001A5B92"/>
    <w:rsid w:val="001A6EC0"/>
    <w:rsid w:val="001A7B3E"/>
    <w:rsid w:val="001A7FF4"/>
    <w:rsid w:val="001B135B"/>
    <w:rsid w:val="001B1E74"/>
    <w:rsid w:val="001B2BCC"/>
    <w:rsid w:val="001B2C44"/>
    <w:rsid w:val="001B2EE1"/>
    <w:rsid w:val="001B30A5"/>
    <w:rsid w:val="001B35D2"/>
    <w:rsid w:val="001B3BFC"/>
    <w:rsid w:val="001B4092"/>
    <w:rsid w:val="001B41BA"/>
    <w:rsid w:val="001B4216"/>
    <w:rsid w:val="001B4291"/>
    <w:rsid w:val="001B524B"/>
    <w:rsid w:val="001B556F"/>
    <w:rsid w:val="001B5CF3"/>
    <w:rsid w:val="001B627B"/>
    <w:rsid w:val="001B696F"/>
    <w:rsid w:val="001B69F8"/>
    <w:rsid w:val="001B6D6C"/>
    <w:rsid w:val="001B721E"/>
    <w:rsid w:val="001B76C8"/>
    <w:rsid w:val="001B7EDD"/>
    <w:rsid w:val="001B7FB3"/>
    <w:rsid w:val="001C0492"/>
    <w:rsid w:val="001C0D7A"/>
    <w:rsid w:val="001C0DF6"/>
    <w:rsid w:val="001C18AE"/>
    <w:rsid w:val="001C34E2"/>
    <w:rsid w:val="001C3543"/>
    <w:rsid w:val="001C3599"/>
    <w:rsid w:val="001C3647"/>
    <w:rsid w:val="001C3AB0"/>
    <w:rsid w:val="001C3E06"/>
    <w:rsid w:val="001C4758"/>
    <w:rsid w:val="001C4C70"/>
    <w:rsid w:val="001C55F6"/>
    <w:rsid w:val="001C580B"/>
    <w:rsid w:val="001C60FE"/>
    <w:rsid w:val="001C668B"/>
    <w:rsid w:val="001C671C"/>
    <w:rsid w:val="001C6BE0"/>
    <w:rsid w:val="001C7B02"/>
    <w:rsid w:val="001C7E2E"/>
    <w:rsid w:val="001C7F44"/>
    <w:rsid w:val="001D0106"/>
    <w:rsid w:val="001D0303"/>
    <w:rsid w:val="001D0903"/>
    <w:rsid w:val="001D16D0"/>
    <w:rsid w:val="001D19EC"/>
    <w:rsid w:val="001D21B8"/>
    <w:rsid w:val="001D256F"/>
    <w:rsid w:val="001D2609"/>
    <w:rsid w:val="001D2ED2"/>
    <w:rsid w:val="001D334E"/>
    <w:rsid w:val="001D33EF"/>
    <w:rsid w:val="001D5989"/>
    <w:rsid w:val="001D5999"/>
    <w:rsid w:val="001D59AA"/>
    <w:rsid w:val="001D5A66"/>
    <w:rsid w:val="001D5C1C"/>
    <w:rsid w:val="001D62FB"/>
    <w:rsid w:val="001D6353"/>
    <w:rsid w:val="001D649D"/>
    <w:rsid w:val="001D64A4"/>
    <w:rsid w:val="001D6AA6"/>
    <w:rsid w:val="001D76FF"/>
    <w:rsid w:val="001D7A44"/>
    <w:rsid w:val="001D7BC0"/>
    <w:rsid w:val="001E07C3"/>
    <w:rsid w:val="001E082D"/>
    <w:rsid w:val="001E110C"/>
    <w:rsid w:val="001E1510"/>
    <w:rsid w:val="001E18EE"/>
    <w:rsid w:val="001E1B22"/>
    <w:rsid w:val="001E1B54"/>
    <w:rsid w:val="001E20AA"/>
    <w:rsid w:val="001E22FE"/>
    <w:rsid w:val="001E2536"/>
    <w:rsid w:val="001E2E3D"/>
    <w:rsid w:val="001E3D73"/>
    <w:rsid w:val="001E46B9"/>
    <w:rsid w:val="001E473E"/>
    <w:rsid w:val="001E4846"/>
    <w:rsid w:val="001E4BBF"/>
    <w:rsid w:val="001E50BC"/>
    <w:rsid w:val="001E50FD"/>
    <w:rsid w:val="001E51C0"/>
    <w:rsid w:val="001E626B"/>
    <w:rsid w:val="001E7530"/>
    <w:rsid w:val="001E7672"/>
    <w:rsid w:val="001E77A7"/>
    <w:rsid w:val="001F0571"/>
    <w:rsid w:val="001F0619"/>
    <w:rsid w:val="001F0BAB"/>
    <w:rsid w:val="001F0DF9"/>
    <w:rsid w:val="001F1355"/>
    <w:rsid w:val="001F19B4"/>
    <w:rsid w:val="001F20AA"/>
    <w:rsid w:val="001F2150"/>
    <w:rsid w:val="001F282F"/>
    <w:rsid w:val="001F2D20"/>
    <w:rsid w:val="001F4442"/>
    <w:rsid w:val="001F45DA"/>
    <w:rsid w:val="001F4698"/>
    <w:rsid w:val="001F46FD"/>
    <w:rsid w:val="001F5370"/>
    <w:rsid w:val="001F5D96"/>
    <w:rsid w:val="001F6BC1"/>
    <w:rsid w:val="001F70F7"/>
    <w:rsid w:val="001F7283"/>
    <w:rsid w:val="001F761A"/>
    <w:rsid w:val="001F7719"/>
    <w:rsid w:val="001F7734"/>
    <w:rsid w:val="001F7E5F"/>
    <w:rsid w:val="001F7F25"/>
    <w:rsid w:val="001F7F39"/>
    <w:rsid w:val="0020045A"/>
    <w:rsid w:val="00200761"/>
    <w:rsid w:val="002012B2"/>
    <w:rsid w:val="002017E3"/>
    <w:rsid w:val="00201A16"/>
    <w:rsid w:val="00202015"/>
    <w:rsid w:val="0020289A"/>
    <w:rsid w:val="00202A65"/>
    <w:rsid w:val="00203029"/>
    <w:rsid w:val="002033FB"/>
    <w:rsid w:val="002034A6"/>
    <w:rsid w:val="002034CA"/>
    <w:rsid w:val="00203B08"/>
    <w:rsid w:val="00203E89"/>
    <w:rsid w:val="00203E90"/>
    <w:rsid w:val="00204725"/>
    <w:rsid w:val="002049B0"/>
    <w:rsid w:val="00205137"/>
    <w:rsid w:val="0020527E"/>
    <w:rsid w:val="002059A0"/>
    <w:rsid w:val="00205E33"/>
    <w:rsid w:val="00206BAD"/>
    <w:rsid w:val="0020704A"/>
    <w:rsid w:val="002072AB"/>
    <w:rsid w:val="0020780A"/>
    <w:rsid w:val="00210213"/>
    <w:rsid w:val="002103AE"/>
    <w:rsid w:val="0021090D"/>
    <w:rsid w:val="00210E23"/>
    <w:rsid w:val="0021128E"/>
    <w:rsid w:val="00211D17"/>
    <w:rsid w:val="00211DB9"/>
    <w:rsid w:val="002122F8"/>
    <w:rsid w:val="00212B04"/>
    <w:rsid w:val="00212CE0"/>
    <w:rsid w:val="00213376"/>
    <w:rsid w:val="00213B54"/>
    <w:rsid w:val="00214C25"/>
    <w:rsid w:val="0021510D"/>
    <w:rsid w:val="002151D9"/>
    <w:rsid w:val="00215463"/>
    <w:rsid w:val="002156A1"/>
    <w:rsid w:val="00215C7B"/>
    <w:rsid w:val="0021631F"/>
    <w:rsid w:val="002164F8"/>
    <w:rsid w:val="002169E8"/>
    <w:rsid w:val="00216B51"/>
    <w:rsid w:val="002175CA"/>
    <w:rsid w:val="00217B78"/>
    <w:rsid w:val="00220929"/>
    <w:rsid w:val="00220FFF"/>
    <w:rsid w:val="002211FB"/>
    <w:rsid w:val="00221C90"/>
    <w:rsid w:val="00222F90"/>
    <w:rsid w:val="0022386D"/>
    <w:rsid w:val="00223D36"/>
    <w:rsid w:val="00223DF7"/>
    <w:rsid w:val="00223FEC"/>
    <w:rsid w:val="0022436F"/>
    <w:rsid w:val="00224C5A"/>
    <w:rsid w:val="0022545E"/>
    <w:rsid w:val="00225820"/>
    <w:rsid w:val="00225B20"/>
    <w:rsid w:val="00226D7C"/>
    <w:rsid w:val="0022746D"/>
    <w:rsid w:val="00230489"/>
    <w:rsid w:val="002306AD"/>
    <w:rsid w:val="00230BB5"/>
    <w:rsid w:val="00230D89"/>
    <w:rsid w:val="00231539"/>
    <w:rsid w:val="002315E8"/>
    <w:rsid w:val="00232339"/>
    <w:rsid w:val="0023298E"/>
    <w:rsid w:val="00233004"/>
    <w:rsid w:val="00233A44"/>
    <w:rsid w:val="00234849"/>
    <w:rsid w:val="00234B68"/>
    <w:rsid w:val="00234B96"/>
    <w:rsid w:val="00235108"/>
    <w:rsid w:val="0023561C"/>
    <w:rsid w:val="0023578A"/>
    <w:rsid w:val="00235BC3"/>
    <w:rsid w:val="00236547"/>
    <w:rsid w:val="002367EF"/>
    <w:rsid w:val="0023694B"/>
    <w:rsid w:val="00236ADA"/>
    <w:rsid w:val="002371DF"/>
    <w:rsid w:val="00237290"/>
    <w:rsid w:val="002376D1"/>
    <w:rsid w:val="0024009C"/>
    <w:rsid w:val="002410DE"/>
    <w:rsid w:val="0024110A"/>
    <w:rsid w:val="00242016"/>
    <w:rsid w:val="00242A4C"/>
    <w:rsid w:val="00242A52"/>
    <w:rsid w:val="00242B98"/>
    <w:rsid w:val="00243BF6"/>
    <w:rsid w:val="00244D36"/>
    <w:rsid w:val="00245022"/>
    <w:rsid w:val="00246260"/>
    <w:rsid w:val="00246B9C"/>
    <w:rsid w:val="00247C81"/>
    <w:rsid w:val="0025068B"/>
    <w:rsid w:val="00250986"/>
    <w:rsid w:val="00251A6C"/>
    <w:rsid w:val="00251C7B"/>
    <w:rsid w:val="00252B0B"/>
    <w:rsid w:val="00252F16"/>
    <w:rsid w:val="002537D7"/>
    <w:rsid w:val="002539F3"/>
    <w:rsid w:val="0025424E"/>
    <w:rsid w:val="00254575"/>
    <w:rsid w:val="00255500"/>
    <w:rsid w:val="002561BC"/>
    <w:rsid w:val="00256395"/>
    <w:rsid w:val="00256B41"/>
    <w:rsid w:val="00257166"/>
    <w:rsid w:val="002572A9"/>
    <w:rsid w:val="0026085F"/>
    <w:rsid w:val="00260A05"/>
    <w:rsid w:val="00260A67"/>
    <w:rsid w:val="002614A5"/>
    <w:rsid w:val="00261800"/>
    <w:rsid w:val="00261B0D"/>
    <w:rsid w:val="00262DDE"/>
    <w:rsid w:val="00263679"/>
    <w:rsid w:val="00263AAD"/>
    <w:rsid w:val="00263ADE"/>
    <w:rsid w:val="00263CE6"/>
    <w:rsid w:val="00263D81"/>
    <w:rsid w:val="0026414A"/>
    <w:rsid w:val="002642DB"/>
    <w:rsid w:val="00264498"/>
    <w:rsid w:val="0026531C"/>
    <w:rsid w:val="00265D91"/>
    <w:rsid w:val="002663ED"/>
    <w:rsid w:val="002664C9"/>
    <w:rsid w:val="00266A03"/>
    <w:rsid w:val="00266CFA"/>
    <w:rsid w:val="00267BE0"/>
    <w:rsid w:val="00267DE1"/>
    <w:rsid w:val="00270156"/>
    <w:rsid w:val="00270982"/>
    <w:rsid w:val="00270BFF"/>
    <w:rsid w:val="00270E6A"/>
    <w:rsid w:val="00270FF5"/>
    <w:rsid w:val="002714A7"/>
    <w:rsid w:val="00271854"/>
    <w:rsid w:val="00272120"/>
    <w:rsid w:val="0027297D"/>
    <w:rsid w:val="00272A73"/>
    <w:rsid w:val="002730FF"/>
    <w:rsid w:val="0027361B"/>
    <w:rsid w:val="00274D02"/>
    <w:rsid w:val="00276132"/>
    <w:rsid w:val="00276396"/>
    <w:rsid w:val="00276D3E"/>
    <w:rsid w:val="00277814"/>
    <w:rsid w:val="00277BA0"/>
    <w:rsid w:val="00277BD8"/>
    <w:rsid w:val="00277F66"/>
    <w:rsid w:val="0028015A"/>
    <w:rsid w:val="002802AC"/>
    <w:rsid w:val="002807AD"/>
    <w:rsid w:val="00280E4D"/>
    <w:rsid w:val="00281016"/>
    <w:rsid w:val="00281FAB"/>
    <w:rsid w:val="00282357"/>
    <w:rsid w:val="0028287A"/>
    <w:rsid w:val="0028358F"/>
    <w:rsid w:val="00283F17"/>
    <w:rsid w:val="00283F84"/>
    <w:rsid w:val="00284AC1"/>
    <w:rsid w:val="0028503C"/>
    <w:rsid w:val="00285DDB"/>
    <w:rsid w:val="00285EA9"/>
    <w:rsid w:val="00286512"/>
    <w:rsid w:val="00286E24"/>
    <w:rsid w:val="00286F47"/>
    <w:rsid w:val="002901EC"/>
    <w:rsid w:val="002902D3"/>
    <w:rsid w:val="00290DE5"/>
    <w:rsid w:val="002911FE"/>
    <w:rsid w:val="002914E1"/>
    <w:rsid w:val="00291521"/>
    <w:rsid w:val="002918C3"/>
    <w:rsid w:val="00291F9E"/>
    <w:rsid w:val="00292872"/>
    <w:rsid w:val="00293E9B"/>
    <w:rsid w:val="00293EB8"/>
    <w:rsid w:val="002950D6"/>
    <w:rsid w:val="00295468"/>
    <w:rsid w:val="00296E14"/>
    <w:rsid w:val="0029761B"/>
    <w:rsid w:val="0029780A"/>
    <w:rsid w:val="00297929"/>
    <w:rsid w:val="00297C20"/>
    <w:rsid w:val="00297D48"/>
    <w:rsid w:val="00297F9A"/>
    <w:rsid w:val="002A049C"/>
    <w:rsid w:val="002A08A8"/>
    <w:rsid w:val="002A1928"/>
    <w:rsid w:val="002A1AA2"/>
    <w:rsid w:val="002A221C"/>
    <w:rsid w:val="002A2D2D"/>
    <w:rsid w:val="002A2E79"/>
    <w:rsid w:val="002A2FDF"/>
    <w:rsid w:val="002A32A6"/>
    <w:rsid w:val="002A398F"/>
    <w:rsid w:val="002A3F83"/>
    <w:rsid w:val="002A41A3"/>
    <w:rsid w:val="002A4BB3"/>
    <w:rsid w:val="002A5B3D"/>
    <w:rsid w:val="002A5E8F"/>
    <w:rsid w:val="002A6302"/>
    <w:rsid w:val="002A677A"/>
    <w:rsid w:val="002A6B1F"/>
    <w:rsid w:val="002A6D06"/>
    <w:rsid w:val="002A71FE"/>
    <w:rsid w:val="002A766E"/>
    <w:rsid w:val="002A7741"/>
    <w:rsid w:val="002A77EE"/>
    <w:rsid w:val="002A7829"/>
    <w:rsid w:val="002B02D2"/>
    <w:rsid w:val="002B0491"/>
    <w:rsid w:val="002B09BF"/>
    <w:rsid w:val="002B1121"/>
    <w:rsid w:val="002B243F"/>
    <w:rsid w:val="002B25F2"/>
    <w:rsid w:val="002B2D31"/>
    <w:rsid w:val="002B3AD9"/>
    <w:rsid w:val="002B3ADE"/>
    <w:rsid w:val="002B5371"/>
    <w:rsid w:val="002B57EF"/>
    <w:rsid w:val="002B5A59"/>
    <w:rsid w:val="002B5CF5"/>
    <w:rsid w:val="002B647D"/>
    <w:rsid w:val="002B6534"/>
    <w:rsid w:val="002B6601"/>
    <w:rsid w:val="002B707F"/>
    <w:rsid w:val="002B716D"/>
    <w:rsid w:val="002C0295"/>
    <w:rsid w:val="002C08C7"/>
    <w:rsid w:val="002C08FD"/>
    <w:rsid w:val="002C0B2C"/>
    <w:rsid w:val="002C1202"/>
    <w:rsid w:val="002C166E"/>
    <w:rsid w:val="002C1BB9"/>
    <w:rsid w:val="002C1C48"/>
    <w:rsid w:val="002C1CD9"/>
    <w:rsid w:val="002C2187"/>
    <w:rsid w:val="002C2342"/>
    <w:rsid w:val="002C28F9"/>
    <w:rsid w:val="002C35E4"/>
    <w:rsid w:val="002C3635"/>
    <w:rsid w:val="002C38D3"/>
    <w:rsid w:val="002C3B28"/>
    <w:rsid w:val="002C3D2B"/>
    <w:rsid w:val="002C403D"/>
    <w:rsid w:val="002C4107"/>
    <w:rsid w:val="002C4159"/>
    <w:rsid w:val="002C44FD"/>
    <w:rsid w:val="002C45A7"/>
    <w:rsid w:val="002C4661"/>
    <w:rsid w:val="002C480B"/>
    <w:rsid w:val="002C4F9D"/>
    <w:rsid w:val="002C5B73"/>
    <w:rsid w:val="002C6165"/>
    <w:rsid w:val="002C6930"/>
    <w:rsid w:val="002C723C"/>
    <w:rsid w:val="002C742C"/>
    <w:rsid w:val="002C7D83"/>
    <w:rsid w:val="002C7FC3"/>
    <w:rsid w:val="002D00C4"/>
    <w:rsid w:val="002D1933"/>
    <w:rsid w:val="002D1E0B"/>
    <w:rsid w:val="002D1F51"/>
    <w:rsid w:val="002D2AED"/>
    <w:rsid w:val="002D2CCC"/>
    <w:rsid w:val="002D2E69"/>
    <w:rsid w:val="002D2F10"/>
    <w:rsid w:val="002D3D81"/>
    <w:rsid w:val="002D42E2"/>
    <w:rsid w:val="002D4524"/>
    <w:rsid w:val="002D4587"/>
    <w:rsid w:val="002D565C"/>
    <w:rsid w:val="002D59E2"/>
    <w:rsid w:val="002D5ED6"/>
    <w:rsid w:val="002D746B"/>
    <w:rsid w:val="002D7C63"/>
    <w:rsid w:val="002E0B95"/>
    <w:rsid w:val="002E0E93"/>
    <w:rsid w:val="002E1199"/>
    <w:rsid w:val="002E1721"/>
    <w:rsid w:val="002E1CED"/>
    <w:rsid w:val="002E23AE"/>
    <w:rsid w:val="002E2576"/>
    <w:rsid w:val="002E267E"/>
    <w:rsid w:val="002E27BE"/>
    <w:rsid w:val="002E2E0C"/>
    <w:rsid w:val="002E2F04"/>
    <w:rsid w:val="002E33F4"/>
    <w:rsid w:val="002E354A"/>
    <w:rsid w:val="002E4ABB"/>
    <w:rsid w:val="002E50A2"/>
    <w:rsid w:val="002E527D"/>
    <w:rsid w:val="002E562A"/>
    <w:rsid w:val="002E583A"/>
    <w:rsid w:val="002E5A24"/>
    <w:rsid w:val="002E5BE6"/>
    <w:rsid w:val="002E6514"/>
    <w:rsid w:val="002E73CE"/>
    <w:rsid w:val="002E791C"/>
    <w:rsid w:val="002E7D93"/>
    <w:rsid w:val="002F00EF"/>
    <w:rsid w:val="002F00F9"/>
    <w:rsid w:val="002F01B3"/>
    <w:rsid w:val="002F14CF"/>
    <w:rsid w:val="002F27D4"/>
    <w:rsid w:val="002F2CCA"/>
    <w:rsid w:val="002F4692"/>
    <w:rsid w:val="002F4F96"/>
    <w:rsid w:val="002F5C39"/>
    <w:rsid w:val="002F6BBA"/>
    <w:rsid w:val="002F6EF5"/>
    <w:rsid w:val="002F746C"/>
    <w:rsid w:val="002F7A0C"/>
    <w:rsid w:val="002F7EB0"/>
    <w:rsid w:val="003000B5"/>
    <w:rsid w:val="0030043B"/>
    <w:rsid w:val="0030097B"/>
    <w:rsid w:val="00302850"/>
    <w:rsid w:val="00303AF0"/>
    <w:rsid w:val="003040FA"/>
    <w:rsid w:val="00304508"/>
    <w:rsid w:val="00304895"/>
    <w:rsid w:val="00304B3B"/>
    <w:rsid w:val="00304E99"/>
    <w:rsid w:val="003055FB"/>
    <w:rsid w:val="00305799"/>
    <w:rsid w:val="00305DA4"/>
    <w:rsid w:val="003064F3"/>
    <w:rsid w:val="003065EA"/>
    <w:rsid w:val="00306BD7"/>
    <w:rsid w:val="00306C56"/>
    <w:rsid w:val="00306CF5"/>
    <w:rsid w:val="003070C0"/>
    <w:rsid w:val="003070C5"/>
    <w:rsid w:val="00307119"/>
    <w:rsid w:val="00307177"/>
    <w:rsid w:val="003075ED"/>
    <w:rsid w:val="00307E9F"/>
    <w:rsid w:val="0031027D"/>
    <w:rsid w:val="003104C6"/>
    <w:rsid w:val="003105C9"/>
    <w:rsid w:val="0031078A"/>
    <w:rsid w:val="003107C0"/>
    <w:rsid w:val="00310CC3"/>
    <w:rsid w:val="00311029"/>
    <w:rsid w:val="003124AF"/>
    <w:rsid w:val="00312BBF"/>
    <w:rsid w:val="00312EEF"/>
    <w:rsid w:val="00313A38"/>
    <w:rsid w:val="00313F8B"/>
    <w:rsid w:val="00314126"/>
    <w:rsid w:val="00314B8C"/>
    <w:rsid w:val="0031516B"/>
    <w:rsid w:val="00315187"/>
    <w:rsid w:val="003159D1"/>
    <w:rsid w:val="00315D3E"/>
    <w:rsid w:val="00316595"/>
    <w:rsid w:val="003175DA"/>
    <w:rsid w:val="003175FC"/>
    <w:rsid w:val="0031774D"/>
    <w:rsid w:val="003179B4"/>
    <w:rsid w:val="00320198"/>
    <w:rsid w:val="003218B1"/>
    <w:rsid w:val="003218F8"/>
    <w:rsid w:val="00321C7B"/>
    <w:rsid w:val="00322655"/>
    <w:rsid w:val="00322BC9"/>
    <w:rsid w:val="00322BEE"/>
    <w:rsid w:val="00322C90"/>
    <w:rsid w:val="003234CA"/>
    <w:rsid w:val="0032400D"/>
    <w:rsid w:val="00325207"/>
    <w:rsid w:val="00325238"/>
    <w:rsid w:val="00325BC3"/>
    <w:rsid w:val="00325C44"/>
    <w:rsid w:val="00326AF6"/>
    <w:rsid w:val="00326D65"/>
    <w:rsid w:val="00326E87"/>
    <w:rsid w:val="003275F5"/>
    <w:rsid w:val="00327B50"/>
    <w:rsid w:val="00327C63"/>
    <w:rsid w:val="0033025C"/>
    <w:rsid w:val="00330DEC"/>
    <w:rsid w:val="0033109A"/>
    <w:rsid w:val="003313DB"/>
    <w:rsid w:val="00332113"/>
    <w:rsid w:val="0033255C"/>
    <w:rsid w:val="0033369D"/>
    <w:rsid w:val="00333859"/>
    <w:rsid w:val="00333B40"/>
    <w:rsid w:val="00334023"/>
    <w:rsid w:val="003341AA"/>
    <w:rsid w:val="0033453A"/>
    <w:rsid w:val="00334B45"/>
    <w:rsid w:val="00335124"/>
    <w:rsid w:val="003353FE"/>
    <w:rsid w:val="003359CF"/>
    <w:rsid w:val="00335AE9"/>
    <w:rsid w:val="003375CA"/>
    <w:rsid w:val="003376B3"/>
    <w:rsid w:val="003377E8"/>
    <w:rsid w:val="00337E1D"/>
    <w:rsid w:val="00340636"/>
    <w:rsid w:val="00340736"/>
    <w:rsid w:val="00341084"/>
    <w:rsid w:val="00341510"/>
    <w:rsid w:val="00341DC9"/>
    <w:rsid w:val="0034241D"/>
    <w:rsid w:val="00342B51"/>
    <w:rsid w:val="00342E89"/>
    <w:rsid w:val="00343395"/>
    <w:rsid w:val="0034350B"/>
    <w:rsid w:val="003439C1"/>
    <w:rsid w:val="00343A2F"/>
    <w:rsid w:val="00343B3D"/>
    <w:rsid w:val="00343B7D"/>
    <w:rsid w:val="00344331"/>
    <w:rsid w:val="0034482A"/>
    <w:rsid w:val="00344B6A"/>
    <w:rsid w:val="00344C2B"/>
    <w:rsid w:val="00344CD8"/>
    <w:rsid w:val="00344D0B"/>
    <w:rsid w:val="00345057"/>
    <w:rsid w:val="003451A7"/>
    <w:rsid w:val="003456CC"/>
    <w:rsid w:val="00345911"/>
    <w:rsid w:val="0034594B"/>
    <w:rsid w:val="00346DB7"/>
    <w:rsid w:val="00346FD1"/>
    <w:rsid w:val="003475A8"/>
    <w:rsid w:val="0035053D"/>
    <w:rsid w:val="00350F7F"/>
    <w:rsid w:val="00351DB0"/>
    <w:rsid w:val="0035215C"/>
    <w:rsid w:val="00354093"/>
    <w:rsid w:val="0035572E"/>
    <w:rsid w:val="003563DE"/>
    <w:rsid w:val="00356E25"/>
    <w:rsid w:val="00357431"/>
    <w:rsid w:val="00357EAF"/>
    <w:rsid w:val="003601FA"/>
    <w:rsid w:val="00360C11"/>
    <w:rsid w:val="00362049"/>
    <w:rsid w:val="00362ADE"/>
    <w:rsid w:val="00362CC2"/>
    <w:rsid w:val="00363308"/>
    <w:rsid w:val="00363427"/>
    <w:rsid w:val="00363C96"/>
    <w:rsid w:val="00364211"/>
    <w:rsid w:val="00365260"/>
    <w:rsid w:val="00365BE6"/>
    <w:rsid w:val="0036646B"/>
    <w:rsid w:val="003677A0"/>
    <w:rsid w:val="003677F7"/>
    <w:rsid w:val="003700F9"/>
    <w:rsid w:val="00370A4A"/>
    <w:rsid w:val="00370AD6"/>
    <w:rsid w:val="003712C9"/>
    <w:rsid w:val="0037184B"/>
    <w:rsid w:val="00371BB4"/>
    <w:rsid w:val="00373307"/>
    <w:rsid w:val="003735B9"/>
    <w:rsid w:val="00373656"/>
    <w:rsid w:val="0037401D"/>
    <w:rsid w:val="00374098"/>
    <w:rsid w:val="0037419C"/>
    <w:rsid w:val="003741C9"/>
    <w:rsid w:val="0037445E"/>
    <w:rsid w:val="00374977"/>
    <w:rsid w:val="00374998"/>
    <w:rsid w:val="00374D7D"/>
    <w:rsid w:val="00375A16"/>
    <w:rsid w:val="00375FE9"/>
    <w:rsid w:val="003769D3"/>
    <w:rsid w:val="00376B25"/>
    <w:rsid w:val="00376CE7"/>
    <w:rsid w:val="0037701B"/>
    <w:rsid w:val="00380775"/>
    <w:rsid w:val="00380978"/>
    <w:rsid w:val="00380EED"/>
    <w:rsid w:val="003818FE"/>
    <w:rsid w:val="00382B6C"/>
    <w:rsid w:val="00382E6E"/>
    <w:rsid w:val="00383189"/>
    <w:rsid w:val="003832B9"/>
    <w:rsid w:val="00383567"/>
    <w:rsid w:val="003838A2"/>
    <w:rsid w:val="00383CC1"/>
    <w:rsid w:val="003857C1"/>
    <w:rsid w:val="0038588B"/>
    <w:rsid w:val="00386B57"/>
    <w:rsid w:val="00386D3B"/>
    <w:rsid w:val="00386FD7"/>
    <w:rsid w:val="00387191"/>
    <w:rsid w:val="00387285"/>
    <w:rsid w:val="00387685"/>
    <w:rsid w:val="00387712"/>
    <w:rsid w:val="00387961"/>
    <w:rsid w:val="00390703"/>
    <w:rsid w:val="003917FA"/>
    <w:rsid w:val="00391A7D"/>
    <w:rsid w:val="00392DD0"/>
    <w:rsid w:val="0039315D"/>
    <w:rsid w:val="003934C1"/>
    <w:rsid w:val="00393FF3"/>
    <w:rsid w:val="003942B2"/>
    <w:rsid w:val="0039467B"/>
    <w:rsid w:val="00394BC9"/>
    <w:rsid w:val="00395D63"/>
    <w:rsid w:val="0039602B"/>
    <w:rsid w:val="003964A5"/>
    <w:rsid w:val="003966C6"/>
    <w:rsid w:val="00397748"/>
    <w:rsid w:val="003A0F5B"/>
    <w:rsid w:val="003A1A47"/>
    <w:rsid w:val="003A21CA"/>
    <w:rsid w:val="003A338A"/>
    <w:rsid w:val="003A33FF"/>
    <w:rsid w:val="003A37AF"/>
    <w:rsid w:val="003A3899"/>
    <w:rsid w:val="003A3A91"/>
    <w:rsid w:val="003A3DBD"/>
    <w:rsid w:val="003A3E06"/>
    <w:rsid w:val="003A54F8"/>
    <w:rsid w:val="003A7561"/>
    <w:rsid w:val="003A7828"/>
    <w:rsid w:val="003B0517"/>
    <w:rsid w:val="003B089C"/>
    <w:rsid w:val="003B149E"/>
    <w:rsid w:val="003B187C"/>
    <w:rsid w:val="003B2512"/>
    <w:rsid w:val="003B2D5F"/>
    <w:rsid w:val="003B3CDF"/>
    <w:rsid w:val="003B535E"/>
    <w:rsid w:val="003B5410"/>
    <w:rsid w:val="003B55C4"/>
    <w:rsid w:val="003B6221"/>
    <w:rsid w:val="003B6C67"/>
    <w:rsid w:val="003B6F7C"/>
    <w:rsid w:val="003B747E"/>
    <w:rsid w:val="003B7736"/>
    <w:rsid w:val="003B77B1"/>
    <w:rsid w:val="003C0460"/>
    <w:rsid w:val="003C0A97"/>
    <w:rsid w:val="003C0CA1"/>
    <w:rsid w:val="003C1AD0"/>
    <w:rsid w:val="003C1B9B"/>
    <w:rsid w:val="003C1ED1"/>
    <w:rsid w:val="003C200C"/>
    <w:rsid w:val="003C2995"/>
    <w:rsid w:val="003C325D"/>
    <w:rsid w:val="003C3B6A"/>
    <w:rsid w:val="003C3DCD"/>
    <w:rsid w:val="003C3DD7"/>
    <w:rsid w:val="003C3E23"/>
    <w:rsid w:val="003C4C06"/>
    <w:rsid w:val="003C5494"/>
    <w:rsid w:val="003C7365"/>
    <w:rsid w:val="003D0018"/>
    <w:rsid w:val="003D023A"/>
    <w:rsid w:val="003D07D3"/>
    <w:rsid w:val="003D092E"/>
    <w:rsid w:val="003D1C62"/>
    <w:rsid w:val="003D1F11"/>
    <w:rsid w:val="003D35F9"/>
    <w:rsid w:val="003D3A9F"/>
    <w:rsid w:val="003D3CD6"/>
    <w:rsid w:val="003D4603"/>
    <w:rsid w:val="003D4D27"/>
    <w:rsid w:val="003D4FFA"/>
    <w:rsid w:val="003D511F"/>
    <w:rsid w:val="003D56EA"/>
    <w:rsid w:val="003D5A83"/>
    <w:rsid w:val="003D5B47"/>
    <w:rsid w:val="003D688B"/>
    <w:rsid w:val="003D7368"/>
    <w:rsid w:val="003D7495"/>
    <w:rsid w:val="003D7B42"/>
    <w:rsid w:val="003E01BF"/>
    <w:rsid w:val="003E0E95"/>
    <w:rsid w:val="003E0F2E"/>
    <w:rsid w:val="003E2312"/>
    <w:rsid w:val="003E260E"/>
    <w:rsid w:val="003E2B25"/>
    <w:rsid w:val="003E2B30"/>
    <w:rsid w:val="003E2B6D"/>
    <w:rsid w:val="003E308C"/>
    <w:rsid w:val="003E3238"/>
    <w:rsid w:val="003E3442"/>
    <w:rsid w:val="003E4437"/>
    <w:rsid w:val="003E4B55"/>
    <w:rsid w:val="003E5A68"/>
    <w:rsid w:val="003E5BEA"/>
    <w:rsid w:val="003E64B7"/>
    <w:rsid w:val="003E6832"/>
    <w:rsid w:val="003E6976"/>
    <w:rsid w:val="003E6B9A"/>
    <w:rsid w:val="003E7296"/>
    <w:rsid w:val="003E755C"/>
    <w:rsid w:val="003E76A6"/>
    <w:rsid w:val="003E7F79"/>
    <w:rsid w:val="003F0280"/>
    <w:rsid w:val="003F055C"/>
    <w:rsid w:val="003F0FC8"/>
    <w:rsid w:val="003F122D"/>
    <w:rsid w:val="003F14E1"/>
    <w:rsid w:val="003F185A"/>
    <w:rsid w:val="003F19BA"/>
    <w:rsid w:val="003F25A8"/>
    <w:rsid w:val="003F2ACF"/>
    <w:rsid w:val="003F2D5F"/>
    <w:rsid w:val="003F3007"/>
    <w:rsid w:val="003F36AB"/>
    <w:rsid w:val="003F3AFE"/>
    <w:rsid w:val="003F4A0D"/>
    <w:rsid w:val="003F5468"/>
    <w:rsid w:val="003F5583"/>
    <w:rsid w:val="003F5D88"/>
    <w:rsid w:val="003F6E2E"/>
    <w:rsid w:val="003F71D8"/>
    <w:rsid w:val="003F7ECF"/>
    <w:rsid w:val="00400228"/>
    <w:rsid w:val="00401292"/>
    <w:rsid w:val="0040134F"/>
    <w:rsid w:val="00401FCD"/>
    <w:rsid w:val="00402023"/>
    <w:rsid w:val="00402A3E"/>
    <w:rsid w:val="00403785"/>
    <w:rsid w:val="00404829"/>
    <w:rsid w:val="004048B1"/>
    <w:rsid w:val="0040490E"/>
    <w:rsid w:val="00404B90"/>
    <w:rsid w:val="00404DBB"/>
    <w:rsid w:val="0040509F"/>
    <w:rsid w:val="00405457"/>
    <w:rsid w:val="00405A49"/>
    <w:rsid w:val="00405DA5"/>
    <w:rsid w:val="004061AC"/>
    <w:rsid w:val="00406366"/>
    <w:rsid w:val="00406928"/>
    <w:rsid w:val="00406ADF"/>
    <w:rsid w:val="00406DC5"/>
    <w:rsid w:val="00410C1F"/>
    <w:rsid w:val="004110B7"/>
    <w:rsid w:val="004110CF"/>
    <w:rsid w:val="00412166"/>
    <w:rsid w:val="0041230C"/>
    <w:rsid w:val="00413FEC"/>
    <w:rsid w:val="00414525"/>
    <w:rsid w:val="004146A9"/>
    <w:rsid w:val="00414F81"/>
    <w:rsid w:val="004154C9"/>
    <w:rsid w:val="00415887"/>
    <w:rsid w:val="00415D87"/>
    <w:rsid w:val="00416F23"/>
    <w:rsid w:val="00417068"/>
    <w:rsid w:val="0041709A"/>
    <w:rsid w:val="004173E0"/>
    <w:rsid w:val="0041798E"/>
    <w:rsid w:val="00417F01"/>
    <w:rsid w:val="0042017B"/>
    <w:rsid w:val="00420EFE"/>
    <w:rsid w:val="004212DC"/>
    <w:rsid w:val="00421564"/>
    <w:rsid w:val="00421B46"/>
    <w:rsid w:val="0042201F"/>
    <w:rsid w:val="00422897"/>
    <w:rsid w:val="00423E05"/>
    <w:rsid w:val="00423F48"/>
    <w:rsid w:val="004243D0"/>
    <w:rsid w:val="004249C3"/>
    <w:rsid w:val="00424BD5"/>
    <w:rsid w:val="00425DA0"/>
    <w:rsid w:val="004267BA"/>
    <w:rsid w:val="004272F9"/>
    <w:rsid w:val="0043027E"/>
    <w:rsid w:val="0043047C"/>
    <w:rsid w:val="0043076F"/>
    <w:rsid w:val="0043085E"/>
    <w:rsid w:val="0043087F"/>
    <w:rsid w:val="004308BD"/>
    <w:rsid w:val="00430ECE"/>
    <w:rsid w:val="00431EF9"/>
    <w:rsid w:val="00432102"/>
    <w:rsid w:val="0043267C"/>
    <w:rsid w:val="0043277D"/>
    <w:rsid w:val="004329B2"/>
    <w:rsid w:val="00432B7C"/>
    <w:rsid w:val="00433064"/>
    <w:rsid w:val="00433AB3"/>
    <w:rsid w:val="00434EFA"/>
    <w:rsid w:val="0043554C"/>
    <w:rsid w:val="00435B88"/>
    <w:rsid w:val="00435C1A"/>
    <w:rsid w:val="004361E9"/>
    <w:rsid w:val="00436890"/>
    <w:rsid w:val="00436F4C"/>
    <w:rsid w:val="00436F63"/>
    <w:rsid w:val="00437147"/>
    <w:rsid w:val="0043765E"/>
    <w:rsid w:val="00437C48"/>
    <w:rsid w:val="00440FF3"/>
    <w:rsid w:val="00442634"/>
    <w:rsid w:val="00442A31"/>
    <w:rsid w:val="00442DEF"/>
    <w:rsid w:val="00443540"/>
    <w:rsid w:val="00443C55"/>
    <w:rsid w:val="004446E0"/>
    <w:rsid w:val="004448EE"/>
    <w:rsid w:val="00444902"/>
    <w:rsid w:val="004454A1"/>
    <w:rsid w:val="00445527"/>
    <w:rsid w:val="00446073"/>
    <w:rsid w:val="004460D3"/>
    <w:rsid w:val="004469A6"/>
    <w:rsid w:val="00446C78"/>
    <w:rsid w:val="0044700A"/>
    <w:rsid w:val="00447A23"/>
    <w:rsid w:val="0045060D"/>
    <w:rsid w:val="00450B8D"/>
    <w:rsid w:val="00450BD9"/>
    <w:rsid w:val="00450D27"/>
    <w:rsid w:val="00450D76"/>
    <w:rsid w:val="004528C9"/>
    <w:rsid w:val="00453161"/>
    <w:rsid w:val="0045325E"/>
    <w:rsid w:val="00453BA2"/>
    <w:rsid w:val="0045484B"/>
    <w:rsid w:val="004548C0"/>
    <w:rsid w:val="00454E04"/>
    <w:rsid w:val="0045581B"/>
    <w:rsid w:val="00455C68"/>
    <w:rsid w:val="004560E8"/>
    <w:rsid w:val="00456261"/>
    <w:rsid w:val="00456CA5"/>
    <w:rsid w:val="00456F0C"/>
    <w:rsid w:val="00456F16"/>
    <w:rsid w:val="004570E2"/>
    <w:rsid w:val="00457357"/>
    <w:rsid w:val="00457A95"/>
    <w:rsid w:val="004601BE"/>
    <w:rsid w:val="00460467"/>
    <w:rsid w:val="00460E95"/>
    <w:rsid w:val="00461073"/>
    <w:rsid w:val="0046186A"/>
    <w:rsid w:val="00461CAA"/>
    <w:rsid w:val="004624C2"/>
    <w:rsid w:val="00463857"/>
    <w:rsid w:val="00464160"/>
    <w:rsid w:val="004648FF"/>
    <w:rsid w:val="00464F59"/>
    <w:rsid w:val="00466407"/>
    <w:rsid w:val="00466419"/>
    <w:rsid w:val="00466917"/>
    <w:rsid w:val="00466BF4"/>
    <w:rsid w:val="00467374"/>
    <w:rsid w:val="004674FC"/>
    <w:rsid w:val="00467C1C"/>
    <w:rsid w:val="00470726"/>
    <w:rsid w:val="00470F29"/>
    <w:rsid w:val="0047104C"/>
    <w:rsid w:val="00471E12"/>
    <w:rsid w:val="0047244D"/>
    <w:rsid w:val="00472544"/>
    <w:rsid w:val="004727F5"/>
    <w:rsid w:val="00472B24"/>
    <w:rsid w:val="00472C22"/>
    <w:rsid w:val="004733A7"/>
    <w:rsid w:val="0047402B"/>
    <w:rsid w:val="00476B37"/>
    <w:rsid w:val="00476E00"/>
    <w:rsid w:val="00477315"/>
    <w:rsid w:val="004802BC"/>
    <w:rsid w:val="00480F28"/>
    <w:rsid w:val="00480F6B"/>
    <w:rsid w:val="00481281"/>
    <w:rsid w:val="004818FB"/>
    <w:rsid w:val="00481A61"/>
    <w:rsid w:val="00481DA7"/>
    <w:rsid w:val="0048247F"/>
    <w:rsid w:val="00483560"/>
    <w:rsid w:val="00485175"/>
    <w:rsid w:val="0048537D"/>
    <w:rsid w:val="00485F80"/>
    <w:rsid w:val="004860FC"/>
    <w:rsid w:val="00486422"/>
    <w:rsid w:val="00487473"/>
    <w:rsid w:val="00487B0C"/>
    <w:rsid w:val="00487CC6"/>
    <w:rsid w:val="00487FCA"/>
    <w:rsid w:val="004900AE"/>
    <w:rsid w:val="004902D8"/>
    <w:rsid w:val="004905F0"/>
    <w:rsid w:val="00490F91"/>
    <w:rsid w:val="004914D1"/>
    <w:rsid w:val="00492061"/>
    <w:rsid w:val="00492546"/>
    <w:rsid w:val="004927BF"/>
    <w:rsid w:val="00492F92"/>
    <w:rsid w:val="004937FC"/>
    <w:rsid w:val="00493EFA"/>
    <w:rsid w:val="00493FE8"/>
    <w:rsid w:val="0049426B"/>
    <w:rsid w:val="004945CB"/>
    <w:rsid w:val="00494DCD"/>
    <w:rsid w:val="00494F0A"/>
    <w:rsid w:val="004964AC"/>
    <w:rsid w:val="0049686A"/>
    <w:rsid w:val="00497274"/>
    <w:rsid w:val="004975C1"/>
    <w:rsid w:val="004A01B7"/>
    <w:rsid w:val="004A03B3"/>
    <w:rsid w:val="004A03FA"/>
    <w:rsid w:val="004A0956"/>
    <w:rsid w:val="004A0B63"/>
    <w:rsid w:val="004A1747"/>
    <w:rsid w:val="004A1902"/>
    <w:rsid w:val="004A1FE0"/>
    <w:rsid w:val="004A227A"/>
    <w:rsid w:val="004A2BB6"/>
    <w:rsid w:val="004A2BEF"/>
    <w:rsid w:val="004A2C59"/>
    <w:rsid w:val="004A2FDC"/>
    <w:rsid w:val="004A4939"/>
    <w:rsid w:val="004A4C88"/>
    <w:rsid w:val="004A4F74"/>
    <w:rsid w:val="004A50F2"/>
    <w:rsid w:val="004A5363"/>
    <w:rsid w:val="004A5540"/>
    <w:rsid w:val="004A5850"/>
    <w:rsid w:val="004A5910"/>
    <w:rsid w:val="004A6123"/>
    <w:rsid w:val="004A6300"/>
    <w:rsid w:val="004A6733"/>
    <w:rsid w:val="004A6C7C"/>
    <w:rsid w:val="004B01FB"/>
    <w:rsid w:val="004B0804"/>
    <w:rsid w:val="004B112C"/>
    <w:rsid w:val="004B1511"/>
    <w:rsid w:val="004B1671"/>
    <w:rsid w:val="004B21A1"/>
    <w:rsid w:val="004B22D2"/>
    <w:rsid w:val="004B28AB"/>
    <w:rsid w:val="004B298F"/>
    <w:rsid w:val="004B2A3D"/>
    <w:rsid w:val="004B2B61"/>
    <w:rsid w:val="004B3421"/>
    <w:rsid w:val="004B35A2"/>
    <w:rsid w:val="004B38AD"/>
    <w:rsid w:val="004B4156"/>
    <w:rsid w:val="004B4206"/>
    <w:rsid w:val="004B44FF"/>
    <w:rsid w:val="004B4FE4"/>
    <w:rsid w:val="004B5DED"/>
    <w:rsid w:val="004B6AFB"/>
    <w:rsid w:val="004B6D7B"/>
    <w:rsid w:val="004B78D3"/>
    <w:rsid w:val="004B7A40"/>
    <w:rsid w:val="004B7CCA"/>
    <w:rsid w:val="004B7E6E"/>
    <w:rsid w:val="004C1180"/>
    <w:rsid w:val="004C1445"/>
    <w:rsid w:val="004C151B"/>
    <w:rsid w:val="004C1F36"/>
    <w:rsid w:val="004C204D"/>
    <w:rsid w:val="004C21FF"/>
    <w:rsid w:val="004C31F3"/>
    <w:rsid w:val="004C4F85"/>
    <w:rsid w:val="004C623C"/>
    <w:rsid w:val="004C6442"/>
    <w:rsid w:val="004C647F"/>
    <w:rsid w:val="004C685E"/>
    <w:rsid w:val="004C7190"/>
    <w:rsid w:val="004C7899"/>
    <w:rsid w:val="004C797F"/>
    <w:rsid w:val="004C7A96"/>
    <w:rsid w:val="004C7D03"/>
    <w:rsid w:val="004C7DDB"/>
    <w:rsid w:val="004D03DF"/>
    <w:rsid w:val="004D0574"/>
    <w:rsid w:val="004D0673"/>
    <w:rsid w:val="004D2FAC"/>
    <w:rsid w:val="004D3592"/>
    <w:rsid w:val="004D3C6A"/>
    <w:rsid w:val="004D5060"/>
    <w:rsid w:val="004D5680"/>
    <w:rsid w:val="004D5A8D"/>
    <w:rsid w:val="004D5BC2"/>
    <w:rsid w:val="004D61C0"/>
    <w:rsid w:val="004D66B5"/>
    <w:rsid w:val="004D6D63"/>
    <w:rsid w:val="004D6DDF"/>
    <w:rsid w:val="004D7481"/>
    <w:rsid w:val="004D7C5C"/>
    <w:rsid w:val="004E01BD"/>
    <w:rsid w:val="004E10C8"/>
    <w:rsid w:val="004E1552"/>
    <w:rsid w:val="004E17B1"/>
    <w:rsid w:val="004E1878"/>
    <w:rsid w:val="004E1883"/>
    <w:rsid w:val="004E1BF5"/>
    <w:rsid w:val="004E29CA"/>
    <w:rsid w:val="004E36B4"/>
    <w:rsid w:val="004E3E9B"/>
    <w:rsid w:val="004E41BB"/>
    <w:rsid w:val="004E4446"/>
    <w:rsid w:val="004E47B3"/>
    <w:rsid w:val="004E4A88"/>
    <w:rsid w:val="004E4DDD"/>
    <w:rsid w:val="004E4ED8"/>
    <w:rsid w:val="004E5221"/>
    <w:rsid w:val="004E54DE"/>
    <w:rsid w:val="004E5B33"/>
    <w:rsid w:val="004E5E17"/>
    <w:rsid w:val="004E649E"/>
    <w:rsid w:val="004E6643"/>
    <w:rsid w:val="004E678B"/>
    <w:rsid w:val="004E67F5"/>
    <w:rsid w:val="004E6AE1"/>
    <w:rsid w:val="004E6C7E"/>
    <w:rsid w:val="004E6C86"/>
    <w:rsid w:val="004E6C9E"/>
    <w:rsid w:val="004E7875"/>
    <w:rsid w:val="004E7EE9"/>
    <w:rsid w:val="004F01DB"/>
    <w:rsid w:val="004F25A7"/>
    <w:rsid w:val="004F360F"/>
    <w:rsid w:val="004F3C95"/>
    <w:rsid w:val="004F3F4E"/>
    <w:rsid w:val="004F5282"/>
    <w:rsid w:val="004F54FA"/>
    <w:rsid w:val="004F5672"/>
    <w:rsid w:val="004F5D4D"/>
    <w:rsid w:val="004F60E4"/>
    <w:rsid w:val="004F648D"/>
    <w:rsid w:val="004F6F48"/>
    <w:rsid w:val="004F79DE"/>
    <w:rsid w:val="004F7E60"/>
    <w:rsid w:val="00500119"/>
    <w:rsid w:val="00500161"/>
    <w:rsid w:val="005002B9"/>
    <w:rsid w:val="005002BF"/>
    <w:rsid w:val="005005E2"/>
    <w:rsid w:val="00500A1B"/>
    <w:rsid w:val="00500C09"/>
    <w:rsid w:val="00500CEF"/>
    <w:rsid w:val="00500FFB"/>
    <w:rsid w:val="005012FB"/>
    <w:rsid w:val="00501880"/>
    <w:rsid w:val="00501952"/>
    <w:rsid w:val="00501E45"/>
    <w:rsid w:val="005033C7"/>
    <w:rsid w:val="00503ADA"/>
    <w:rsid w:val="00503E99"/>
    <w:rsid w:val="00504442"/>
    <w:rsid w:val="005049C2"/>
    <w:rsid w:val="00505C3F"/>
    <w:rsid w:val="00506374"/>
    <w:rsid w:val="005064ED"/>
    <w:rsid w:val="00506852"/>
    <w:rsid w:val="00506A08"/>
    <w:rsid w:val="00506F68"/>
    <w:rsid w:val="0050700F"/>
    <w:rsid w:val="0050751C"/>
    <w:rsid w:val="00510169"/>
    <w:rsid w:val="005101A8"/>
    <w:rsid w:val="00510214"/>
    <w:rsid w:val="005103B7"/>
    <w:rsid w:val="0051072D"/>
    <w:rsid w:val="0051116B"/>
    <w:rsid w:val="005119D4"/>
    <w:rsid w:val="00511EA7"/>
    <w:rsid w:val="005120E2"/>
    <w:rsid w:val="005122FB"/>
    <w:rsid w:val="005123F2"/>
    <w:rsid w:val="00512ACD"/>
    <w:rsid w:val="00512D1D"/>
    <w:rsid w:val="00512EDC"/>
    <w:rsid w:val="0051373C"/>
    <w:rsid w:val="00513BF6"/>
    <w:rsid w:val="00513C69"/>
    <w:rsid w:val="005149E1"/>
    <w:rsid w:val="00515607"/>
    <w:rsid w:val="00516062"/>
    <w:rsid w:val="0051699A"/>
    <w:rsid w:val="00516BAF"/>
    <w:rsid w:val="00516CEC"/>
    <w:rsid w:val="0051779D"/>
    <w:rsid w:val="00517CD2"/>
    <w:rsid w:val="00517EEA"/>
    <w:rsid w:val="00517F86"/>
    <w:rsid w:val="005200BE"/>
    <w:rsid w:val="00520DC4"/>
    <w:rsid w:val="00520F66"/>
    <w:rsid w:val="00521773"/>
    <w:rsid w:val="005218F4"/>
    <w:rsid w:val="0052246E"/>
    <w:rsid w:val="0052249E"/>
    <w:rsid w:val="00523116"/>
    <w:rsid w:val="00524A13"/>
    <w:rsid w:val="00524AFD"/>
    <w:rsid w:val="00524C18"/>
    <w:rsid w:val="00524FB0"/>
    <w:rsid w:val="00525611"/>
    <w:rsid w:val="00525ABF"/>
    <w:rsid w:val="00525CAA"/>
    <w:rsid w:val="00525E68"/>
    <w:rsid w:val="00526C70"/>
    <w:rsid w:val="00531F46"/>
    <w:rsid w:val="005324F7"/>
    <w:rsid w:val="00532A20"/>
    <w:rsid w:val="00532DE5"/>
    <w:rsid w:val="005332D5"/>
    <w:rsid w:val="00533855"/>
    <w:rsid w:val="005342D7"/>
    <w:rsid w:val="00534C7D"/>
    <w:rsid w:val="00534EC8"/>
    <w:rsid w:val="00535372"/>
    <w:rsid w:val="005356DC"/>
    <w:rsid w:val="00535C10"/>
    <w:rsid w:val="00536287"/>
    <w:rsid w:val="00537178"/>
    <w:rsid w:val="0053722B"/>
    <w:rsid w:val="0053768F"/>
    <w:rsid w:val="00537CF9"/>
    <w:rsid w:val="005401EB"/>
    <w:rsid w:val="0054045A"/>
    <w:rsid w:val="00540762"/>
    <w:rsid w:val="0054095C"/>
    <w:rsid w:val="0054138F"/>
    <w:rsid w:val="00542404"/>
    <w:rsid w:val="0054261F"/>
    <w:rsid w:val="00542F79"/>
    <w:rsid w:val="00543483"/>
    <w:rsid w:val="005440E0"/>
    <w:rsid w:val="00544423"/>
    <w:rsid w:val="0054451B"/>
    <w:rsid w:val="00544721"/>
    <w:rsid w:val="00544B74"/>
    <w:rsid w:val="00544F20"/>
    <w:rsid w:val="005454ED"/>
    <w:rsid w:val="005463C3"/>
    <w:rsid w:val="005472F0"/>
    <w:rsid w:val="00547835"/>
    <w:rsid w:val="00547B1A"/>
    <w:rsid w:val="00547E8E"/>
    <w:rsid w:val="00550065"/>
    <w:rsid w:val="005503FF"/>
    <w:rsid w:val="00550765"/>
    <w:rsid w:val="005510E4"/>
    <w:rsid w:val="005513DA"/>
    <w:rsid w:val="00551CEE"/>
    <w:rsid w:val="005530D0"/>
    <w:rsid w:val="0055331A"/>
    <w:rsid w:val="005533D4"/>
    <w:rsid w:val="00554061"/>
    <w:rsid w:val="00554279"/>
    <w:rsid w:val="00554FF0"/>
    <w:rsid w:val="00560CF9"/>
    <w:rsid w:val="00561707"/>
    <w:rsid w:val="00561740"/>
    <w:rsid w:val="0056191F"/>
    <w:rsid w:val="00561CFF"/>
    <w:rsid w:val="00561E9E"/>
    <w:rsid w:val="005624AE"/>
    <w:rsid w:val="00562B15"/>
    <w:rsid w:val="00564401"/>
    <w:rsid w:val="005644E0"/>
    <w:rsid w:val="005646E5"/>
    <w:rsid w:val="0056524B"/>
    <w:rsid w:val="00566293"/>
    <w:rsid w:val="00567ABF"/>
    <w:rsid w:val="00570C11"/>
    <w:rsid w:val="00571088"/>
    <w:rsid w:val="00571421"/>
    <w:rsid w:val="00573409"/>
    <w:rsid w:val="0057388B"/>
    <w:rsid w:val="00574551"/>
    <w:rsid w:val="005745E3"/>
    <w:rsid w:val="00574936"/>
    <w:rsid w:val="00574B62"/>
    <w:rsid w:val="00575541"/>
    <w:rsid w:val="00575FBD"/>
    <w:rsid w:val="00576411"/>
    <w:rsid w:val="00577445"/>
    <w:rsid w:val="00577ABC"/>
    <w:rsid w:val="0058014F"/>
    <w:rsid w:val="005804E9"/>
    <w:rsid w:val="005805A0"/>
    <w:rsid w:val="005806CC"/>
    <w:rsid w:val="005807BF"/>
    <w:rsid w:val="00580C03"/>
    <w:rsid w:val="0058169A"/>
    <w:rsid w:val="00581ECD"/>
    <w:rsid w:val="0058221C"/>
    <w:rsid w:val="00582D94"/>
    <w:rsid w:val="005836AD"/>
    <w:rsid w:val="00584F67"/>
    <w:rsid w:val="00585F96"/>
    <w:rsid w:val="00587A2B"/>
    <w:rsid w:val="005901BA"/>
    <w:rsid w:val="00590871"/>
    <w:rsid w:val="00590F9C"/>
    <w:rsid w:val="0059118F"/>
    <w:rsid w:val="00591227"/>
    <w:rsid w:val="005916F5"/>
    <w:rsid w:val="0059321E"/>
    <w:rsid w:val="00593514"/>
    <w:rsid w:val="00594330"/>
    <w:rsid w:val="00594382"/>
    <w:rsid w:val="00594766"/>
    <w:rsid w:val="0059494C"/>
    <w:rsid w:val="00594A5C"/>
    <w:rsid w:val="005952C3"/>
    <w:rsid w:val="00595320"/>
    <w:rsid w:val="005955E9"/>
    <w:rsid w:val="00595BB2"/>
    <w:rsid w:val="00595CCE"/>
    <w:rsid w:val="005962F0"/>
    <w:rsid w:val="0059648D"/>
    <w:rsid w:val="00597054"/>
    <w:rsid w:val="0059756B"/>
    <w:rsid w:val="0059764B"/>
    <w:rsid w:val="005977B9"/>
    <w:rsid w:val="0059781D"/>
    <w:rsid w:val="00597E83"/>
    <w:rsid w:val="005A0398"/>
    <w:rsid w:val="005A093E"/>
    <w:rsid w:val="005A1504"/>
    <w:rsid w:val="005A17FB"/>
    <w:rsid w:val="005A1B99"/>
    <w:rsid w:val="005A1BDD"/>
    <w:rsid w:val="005A1FF5"/>
    <w:rsid w:val="005A238D"/>
    <w:rsid w:val="005A2C0C"/>
    <w:rsid w:val="005A33D5"/>
    <w:rsid w:val="005A40A1"/>
    <w:rsid w:val="005A44D3"/>
    <w:rsid w:val="005A4D10"/>
    <w:rsid w:val="005A5090"/>
    <w:rsid w:val="005A5234"/>
    <w:rsid w:val="005A5858"/>
    <w:rsid w:val="005A5A1E"/>
    <w:rsid w:val="005A609A"/>
    <w:rsid w:val="005A738F"/>
    <w:rsid w:val="005A7BEE"/>
    <w:rsid w:val="005B0074"/>
    <w:rsid w:val="005B09F5"/>
    <w:rsid w:val="005B0B17"/>
    <w:rsid w:val="005B141A"/>
    <w:rsid w:val="005B169E"/>
    <w:rsid w:val="005B19C3"/>
    <w:rsid w:val="005B2356"/>
    <w:rsid w:val="005B295A"/>
    <w:rsid w:val="005B306C"/>
    <w:rsid w:val="005B524E"/>
    <w:rsid w:val="005B594C"/>
    <w:rsid w:val="005B6526"/>
    <w:rsid w:val="005B6596"/>
    <w:rsid w:val="005B6D95"/>
    <w:rsid w:val="005B6F9A"/>
    <w:rsid w:val="005B71FF"/>
    <w:rsid w:val="005B7E5F"/>
    <w:rsid w:val="005C01E5"/>
    <w:rsid w:val="005C040C"/>
    <w:rsid w:val="005C0C85"/>
    <w:rsid w:val="005C0DE2"/>
    <w:rsid w:val="005C1145"/>
    <w:rsid w:val="005C13DD"/>
    <w:rsid w:val="005C1416"/>
    <w:rsid w:val="005C1A10"/>
    <w:rsid w:val="005C2C43"/>
    <w:rsid w:val="005C31F5"/>
    <w:rsid w:val="005C3DB7"/>
    <w:rsid w:val="005C3F5D"/>
    <w:rsid w:val="005C42C3"/>
    <w:rsid w:val="005C4466"/>
    <w:rsid w:val="005C52CF"/>
    <w:rsid w:val="005C5512"/>
    <w:rsid w:val="005C752B"/>
    <w:rsid w:val="005C774A"/>
    <w:rsid w:val="005C79B7"/>
    <w:rsid w:val="005D041E"/>
    <w:rsid w:val="005D12B1"/>
    <w:rsid w:val="005D17A0"/>
    <w:rsid w:val="005D1C04"/>
    <w:rsid w:val="005D33B5"/>
    <w:rsid w:val="005D457B"/>
    <w:rsid w:val="005D46F2"/>
    <w:rsid w:val="005D48DD"/>
    <w:rsid w:val="005D520D"/>
    <w:rsid w:val="005D55DB"/>
    <w:rsid w:val="005D65F0"/>
    <w:rsid w:val="005D6824"/>
    <w:rsid w:val="005D69E9"/>
    <w:rsid w:val="005D78DB"/>
    <w:rsid w:val="005E0614"/>
    <w:rsid w:val="005E0757"/>
    <w:rsid w:val="005E07AF"/>
    <w:rsid w:val="005E0AAA"/>
    <w:rsid w:val="005E0E5B"/>
    <w:rsid w:val="005E12BF"/>
    <w:rsid w:val="005E131B"/>
    <w:rsid w:val="005E17F2"/>
    <w:rsid w:val="005E18BB"/>
    <w:rsid w:val="005E1E39"/>
    <w:rsid w:val="005E2D7C"/>
    <w:rsid w:val="005E4262"/>
    <w:rsid w:val="005E48A5"/>
    <w:rsid w:val="005E55B4"/>
    <w:rsid w:val="005E5A67"/>
    <w:rsid w:val="005E692B"/>
    <w:rsid w:val="005E6FDD"/>
    <w:rsid w:val="005E70F2"/>
    <w:rsid w:val="005E73CD"/>
    <w:rsid w:val="005E75B3"/>
    <w:rsid w:val="005E77E7"/>
    <w:rsid w:val="005F012E"/>
    <w:rsid w:val="005F031A"/>
    <w:rsid w:val="005F0521"/>
    <w:rsid w:val="005F126A"/>
    <w:rsid w:val="005F1927"/>
    <w:rsid w:val="005F1A7C"/>
    <w:rsid w:val="005F1C14"/>
    <w:rsid w:val="005F39BA"/>
    <w:rsid w:val="005F3D11"/>
    <w:rsid w:val="005F4AF2"/>
    <w:rsid w:val="005F51E8"/>
    <w:rsid w:val="005F5A47"/>
    <w:rsid w:val="005F6850"/>
    <w:rsid w:val="005F79BF"/>
    <w:rsid w:val="005F7A74"/>
    <w:rsid w:val="006005F5"/>
    <w:rsid w:val="00600AE6"/>
    <w:rsid w:val="00600C19"/>
    <w:rsid w:val="00600DE7"/>
    <w:rsid w:val="00600F3F"/>
    <w:rsid w:val="00601210"/>
    <w:rsid w:val="00601E2E"/>
    <w:rsid w:val="00602257"/>
    <w:rsid w:val="006023ED"/>
    <w:rsid w:val="00602651"/>
    <w:rsid w:val="00603BCF"/>
    <w:rsid w:val="006045B1"/>
    <w:rsid w:val="00605609"/>
    <w:rsid w:val="0060657B"/>
    <w:rsid w:val="0060676D"/>
    <w:rsid w:val="00606F71"/>
    <w:rsid w:val="00607631"/>
    <w:rsid w:val="00607713"/>
    <w:rsid w:val="006101EF"/>
    <w:rsid w:val="006102CA"/>
    <w:rsid w:val="006106B3"/>
    <w:rsid w:val="00611B3B"/>
    <w:rsid w:val="00611E83"/>
    <w:rsid w:val="0061216B"/>
    <w:rsid w:val="006123C0"/>
    <w:rsid w:val="006125F6"/>
    <w:rsid w:val="00612D5B"/>
    <w:rsid w:val="006130F5"/>
    <w:rsid w:val="00613654"/>
    <w:rsid w:val="00613691"/>
    <w:rsid w:val="0061456F"/>
    <w:rsid w:val="00614D90"/>
    <w:rsid w:val="006153BD"/>
    <w:rsid w:val="00615760"/>
    <w:rsid w:val="00615836"/>
    <w:rsid w:val="00615859"/>
    <w:rsid w:val="00615C78"/>
    <w:rsid w:val="00615F61"/>
    <w:rsid w:val="00616244"/>
    <w:rsid w:val="00616735"/>
    <w:rsid w:val="00616D54"/>
    <w:rsid w:val="00616D65"/>
    <w:rsid w:val="00617450"/>
    <w:rsid w:val="006174A8"/>
    <w:rsid w:val="0061751B"/>
    <w:rsid w:val="00617708"/>
    <w:rsid w:val="006177D8"/>
    <w:rsid w:val="00617DF3"/>
    <w:rsid w:val="006201AA"/>
    <w:rsid w:val="0062056C"/>
    <w:rsid w:val="00620AA5"/>
    <w:rsid w:val="00620E17"/>
    <w:rsid w:val="00620E76"/>
    <w:rsid w:val="0062143D"/>
    <w:rsid w:val="006216A2"/>
    <w:rsid w:val="00621A5F"/>
    <w:rsid w:val="00621B61"/>
    <w:rsid w:val="00621CFA"/>
    <w:rsid w:val="00622129"/>
    <w:rsid w:val="0062221D"/>
    <w:rsid w:val="00622DA1"/>
    <w:rsid w:val="00623112"/>
    <w:rsid w:val="0062534F"/>
    <w:rsid w:val="00626998"/>
    <w:rsid w:val="00626F14"/>
    <w:rsid w:val="006271BA"/>
    <w:rsid w:val="0062741D"/>
    <w:rsid w:val="00627712"/>
    <w:rsid w:val="00627F36"/>
    <w:rsid w:val="0063058F"/>
    <w:rsid w:val="0063088D"/>
    <w:rsid w:val="00630D79"/>
    <w:rsid w:val="00630E31"/>
    <w:rsid w:val="006312A2"/>
    <w:rsid w:val="00631419"/>
    <w:rsid w:val="00631586"/>
    <w:rsid w:val="00631760"/>
    <w:rsid w:val="0063284E"/>
    <w:rsid w:val="006329F8"/>
    <w:rsid w:val="00632B17"/>
    <w:rsid w:val="00633CFC"/>
    <w:rsid w:val="00633E07"/>
    <w:rsid w:val="006342E5"/>
    <w:rsid w:val="00634A17"/>
    <w:rsid w:val="00634A76"/>
    <w:rsid w:val="006352AC"/>
    <w:rsid w:val="00635AE6"/>
    <w:rsid w:val="00636143"/>
    <w:rsid w:val="00636149"/>
    <w:rsid w:val="0063664D"/>
    <w:rsid w:val="0063697E"/>
    <w:rsid w:val="00636B0D"/>
    <w:rsid w:val="00636CF2"/>
    <w:rsid w:val="00637128"/>
    <w:rsid w:val="00637FAC"/>
    <w:rsid w:val="00640774"/>
    <w:rsid w:val="00641666"/>
    <w:rsid w:val="0064180F"/>
    <w:rsid w:val="00641E09"/>
    <w:rsid w:val="00642043"/>
    <w:rsid w:val="00642B8E"/>
    <w:rsid w:val="00642B9B"/>
    <w:rsid w:val="00642CCD"/>
    <w:rsid w:val="00643153"/>
    <w:rsid w:val="00643772"/>
    <w:rsid w:val="00643A19"/>
    <w:rsid w:val="00645C76"/>
    <w:rsid w:val="00645E42"/>
    <w:rsid w:val="00646E57"/>
    <w:rsid w:val="00647CAF"/>
    <w:rsid w:val="00651B63"/>
    <w:rsid w:val="00651DF5"/>
    <w:rsid w:val="0065326F"/>
    <w:rsid w:val="0065372D"/>
    <w:rsid w:val="0065445C"/>
    <w:rsid w:val="006556EF"/>
    <w:rsid w:val="00655CCD"/>
    <w:rsid w:val="00656265"/>
    <w:rsid w:val="0065637A"/>
    <w:rsid w:val="00656C7C"/>
    <w:rsid w:val="00656F36"/>
    <w:rsid w:val="0065734D"/>
    <w:rsid w:val="00657CE2"/>
    <w:rsid w:val="0066029F"/>
    <w:rsid w:val="0066066C"/>
    <w:rsid w:val="00661424"/>
    <w:rsid w:val="00661673"/>
    <w:rsid w:val="00661B62"/>
    <w:rsid w:val="00661F32"/>
    <w:rsid w:val="006625BF"/>
    <w:rsid w:val="00662630"/>
    <w:rsid w:val="0066346A"/>
    <w:rsid w:val="00664152"/>
    <w:rsid w:val="00664416"/>
    <w:rsid w:val="00664816"/>
    <w:rsid w:val="00664989"/>
    <w:rsid w:val="006649ED"/>
    <w:rsid w:val="006656FA"/>
    <w:rsid w:val="006657E5"/>
    <w:rsid w:val="00665A95"/>
    <w:rsid w:val="00666AFA"/>
    <w:rsid w:val="00666B13"/>
    <w:rsid w:val="00667A56"/>
    <w:rsid w:val="00667B1F"/>
    <w:rsid w:val="00667DDC"/>
    <w:rsid w:val="006704A3"/>
    <w:rsid w:val="00670835"/>
    <w:rsid w:val="006712EB"/>
    <w:rsid w:val="00671557"/>
    <w:rsid w:val="006715CC"/>
    <w:rsid w:val="00671950"/>
    <w:rsid w:val="00672177"/>
    <w:rsid w:val="0067228F"/>
    <w:rsid w:val="00672388"/>
    <w:rsid w:val="00672615"/>
    <w:rsid w:val="0067262F"/>
    <w:rsid w:val="00674099"/>
    <w:rsid w:val="006750DE"/>
    <w:rsid w:val="00675699"/>
    <w:rsid w:val="0067599B"/>
    <w:rsid w:val="00675FE1"/>
    <w:rsid w:val="00676633"/>
    <w:rsid w:val="006766E6"/>
    <w:rsid w:val="00676A34"/>
    <w:rsid w:val="00676CB3"/>
    <w:rsid w:val="006770DE"/>
    <w:rsid w:val="00677BCB"/>
    <w:rsid w:val="00681690"/>
    <w:rsid w:val="00681AC9"/>
    <w:rsid w:val="00681E6A"/>
    <w:rsid w:val="00682CF2"/>
    <w:rsid w:val="00682FB2"/>
    <w:rsid w:val="0068317E"/>
    <w:rsid w:val="006836AF"/>
    <w:rsid w:val="00683782"/>
    <w:rsid w:val="00684950"/>
    <w:rsid w:val="00685996"/>
    <w:rsid w:val="00685B0F"/>
    <w:rsid w:val="00685B1A"/>
    <w:rsid w:val="00685EAF"/>
    <w:rsid w:val="006862A5"/>
    <w:rsid w:val="006865F6"/>
    <w:rsid w:val="006870CD"/>
    <w:rsid w:val="00687300"/>
    <w:rsid w:val="00687740"/>
    <w:rsid w:val="006877BB"/>
    <w:rsid w:val="00687931"/>
    <w:rsid w:val="00690614"/>
    <w:rsid w:val="006907DA"/>
    <w:rsid w:val="0069140B"/>
    <w:rsid w:val="00691AEB"/>
    <w:rsid w:val="00691FFC"/>
    <w:rsid w:val="00692156"/>
    <w:rsid w:val="006925E3"/>
    <w:rsid w:val="00692763"/>
    <w:rsid w:val="00693390"/>
    <w:rsid w:val="00693E26"/>
    <w:rsid w:val="00693EE1"/>
    <w:rsid w:val="006945C3"/>
    <w:rsid w:val="0069464C"/>
    <w:rsid w:val="00694949"/>
    <w:rsid w:val="00694DB7"/>
    <w:rsid w:val="00695701"/>
    <w:rsid w:val="00696733"/>
    <w:rsid w:val="0069687A"/>
    <w:rsid w:val="006976E1"/>
    <w:rsid w:val="006A053A"/>
    <w:rsid w:val="006A0EBA"/>
    <w:rsid w:val="006A11AD"/>
    <w:rsid w:val="006A14B0"/>
    <w:rsid w:val="006A15FD"/>
    <w:rsid w:val="006A163F"/>
    <w:rsid w:val="006A1A41"/>
    <w:rsid w:val="006A1DB3"/>
    <w:rsid w:val="006A23F0"/>
    <w:rsid w:val="006A2E0F"/>
    <w:rsid w:val="006A4771"/>
    <w:rsid w:val="006A50CA"/>
    <w:rsid w:val="006A5109"/>
    <w:rsid w:val="006A5240"/>
    <w:rsid w:val="006A5BED"/>
    <w:rsid w:val="006A6E33"/>
    <w:rsid w:val="006A6FAD"/>
    <w:rsid w:val="006A73E2"/>
    <w:rsid w:val="006A77DC"/>
    <w:rsid w:val="006A7AC9"/>
    <w:rsid w:val="006B00C6"/>
    <w:rsid w:val="006B0481"/>
    <w:rsid w:val="006B06C9"/>
    <w:rsid w:val="006B0C32"/>
    <w:rsid w:val="006B1023"/>
    <w:rsid w:val="006B1515"/>
    <w:rsid w:val="006B1A14"/>
    <w:rsid w:val="006B1A3F"/>
    <w:rsid w:val="006B2702"/>
    <w:rsid w:val="006B2BFF"/>
    <w:rsid w:val="006B36E7"/>
    <w:rsid w:val="006B3C5D"/>
    <w:rsid w:val="006B5577"/>
    <w:rsid w:val="006B5E3A"/>
    <w:rsid w:val="006B5F11"/>
    <w:rsid w:val="006B66E5"/>
    <w:rsid w:val="006B7566"/>
    <w:rsid w:val="006B791C"/>
    <w:rsid w:val="006B7AA7"/>
    <w:rsid w:val="006C010E"/>
    <w:rsid w:val="006C02B6"/>
    <w:rsid w:val="006C088D"/>
    <w:rsid w:val="006C0A10"/>
    <w:rsid w:val="006C0FF6"/>
    <w:rsid w:val="006C1484"/>
    <w:rsid w:val="006C21CD"/>
    <w:rsid w:val="006C27A9"/>
    <w:rsid w:val="006C2B71"/>
    <w:rsid w:val="006C3F40"/>
    <w:rsid w:val="006C4926"/>
    <w:rsid w:val="006C527F"/>
    <w:rsid w:val="006C5343"/>
    <w:rsid w:val="006C551D"/>
    <w:rsid w:val="006C5908"/>
    <w:rsid w:val="006C5E97"/>
    <w:rsid w:val="006C6038"/>
    <w:rsid w:val="006C63CF"/>
    <w:rsid w:val="006C63F4"/>
    <w:rsid w:val="006C6D34"/>
    <w:rsid w:val="006C74FE"/>
    <w:rsid w:val="006D2CED"/>
    <w:rsid w:val="006D2D68"/>
    <w:rsid w:val="006D3041"/>
    <w:rsid w:val="006D3061"/>
    <w:rsid w:val="006D3FD7"/>
    <w:rsid w:val="006D4042"/>
    <w:rsid w:val="006D425E"/>
    <w:rsid w:val="006D44B0"/>
    <w:rsid w:val="006D456E"/>
    <w:rsid w:val="006D45E2"/>
    <w:rsid w:val="006D4D7B"/>
    <w:rsid w:val="006D4EDE"/>
    <w:rsid w:val="006D58F0"/>
    <w:rsid w:val="006D5F80"/>
    <w:rsid w:val="006D6223"/>
    <w:rsid w:val="006D636A"/>
    <w:rsid w:val="006D6996"/>
    <w:rsid w:val="006D6E24"/>
    <w:rsid w:val="006D7009"/>
    <w:rsid w:val="006D72E9"/>
    <w:rsid w:val="006D751C"/>
    <w:rsid w:val="006D7730"/>
    <w:rsid w:val="006D7A86"/>
    <w:rsid w:val="006D7D27"/>
    <w:rsid w:val="006D7D56"/>
    <w:rsid w:val="006E00E4"/>
    <w:rsid w:val="006E0707"/>
    <w:rsid w:val="006E1430"/>
    <w:rsid w:val="006E1679"/>
    <w:rsid w:val="006E1B4F"/>
    <w:rsid w:val="006E2D02"/>
    <w:rsid w:val="006E32EF"/>
    <w:rsid w:val="006E346A"/>
    <w:rsid w:val="006E363B"/>
    <w:rsid w:val="006E3A4F"/>
    <w:rsid w:val="006E3B91"/>
    <w:rsid w:val="006E4398"/>
    <w:rsid w:val="006E4478"/>
    <w:rsid w:val="006E4803"/>
    <w:rsid w:val="006E4BA8"/>
    <w:rsid w:val="006E4FC8"/>
    <w:rsid w:val="006E6FE6"/>
    <w:rsid w:val="006E71CC"/>
    <w:rsid w:val="006E720B"/>
    <w:rsid w:val="006E762B"/>
    <w:rsid w:val="006E7C73"/>
    <w:rsid w:val="006E7C79"/>
    <w:rsid w:val="006F0283"/>
    <w:rsid w:val="006F03BB"/>
    <w:rsid w:val="006F0AF6"/>
    <w:rsid w:val="006F0C56"/>
    <w:rsid w:val="006F196A"/>
    <w:rsid w:val="006F1D3C"/>
    <w:rsid w:val="006F20F0"/>
    <w:rsid w:val="006F2B27"/>
    <w:rsid w:val="006F32F4"/>
    <w:rsid w:val="006F3461"/>
    <w:rsid w:val="006F3749"/>
    <w:rsid w:val="006F40B5"/>
    <w:rsid w:val="006F43F6"/>
    <w:rsid w:val="006F4604"/>
    <w:rsid w:val="006F4662"/>
    <w:rsid w:val="006F4724"/>
    <w:rsid w:val="006F5036"/>
    <w:rsid w:val="006F54E3"/>
    <w:rsid w:val="006F565B"/>
    <w:rsid w:val="006F5950"/>
    <w:rsid w:val="006F5AC8"/>
    <w:rsid w:val="006F60B2"/>
    <w:rsid w:val="006F6C75"/>
    <w:rsid w:val="006F6C7B"/>
    <w:rsid w:val="006F72FD"/>
    <w:rsid w:val="006F7D58"/>
    <w:rsid w:val="007000C2"/>
    <w:rsid w:val="00700442"/>
    <w:rsid w:val="007004AB"/>
    <w:rsid w:val="00700F69"/>
    <w:rsid w:val="0070132F"/>
    <w:rsid w:val="00701874"/>
    <w:rsid w:val="00702632"/>
    <w:rsid w:val="00702A62"/>
    <w:rsid w:val="00702DE8"/>
    <w:rsid w:val="00703232"/>
    <w:rsid w:val="00703D5C"/>
    <w:rsid w:val="007043AE"/>
    <w:rsid w:val="00704434"/>
    <w:rsid w:val="007046B8"/>
    <w:rsid w:val="0070498B"/>
    <w:rsid w:val="00704D32"/>
    <w:rsid w:val="00705A44"/>
    <w:rsid w:val="007063AF"/>
    <w:rsid w:val="00706F4C"/>
    <w:rsid w:val="00707188"/>
    <w:rsid w:val="00707507"/>
    <w:rsid w:val="00707874"/>
    <w:rsid w:val="00707BDF"/>
    <w:rsid w:val="0071002B"/>
    <w:rsid w:val="007101FE"/>
    <w:rsid w:val="00710875"/>
    <w:rsid w:val="00710886"/>
    <w:rsid w:val="00710AD8"/>
    <w:rsid w:val="0071238D"/>
    <w:rsid w:val="00712B28"/>
    <w:rsid w:val="00712FB7"/>
    <w:rsid w:val="007132CD"/>
    <w:rsid w:val="00713AA7"/>
    <w:rsid w:val="00713B43"/>
    <w:rsid w:val="00713D18"/>
    <w:rsid w:val="007143D4"/>
    <w:rsid w:val="00714DC0"/>
    <w:rsid w:val="007155A0"/>
    <w:rsid w:val="007163F3"/>
    <w:rsid w:val="007168FB"/>
    <w:rsid w:val="00716EAD"/>
    <w:rsid w:val="00720037"/>
    <w:rsid w:val="00720DAA"/>
    <w:rsid w:val="007214B0"/>
    <w:rsid w:val="007214F5"/>
    <w:rsid w:val="00721846"/>
    <w:rsid w:val="00721B6C"/>
    <w:rsid w:val="00721B9D"/>
    <w:rsid w:val="00721EDD"/>
    <w:rsid w:val="00722095"/>
    <w:rsid w:val="00722372"/>
    <w:rsid w:val="007223FF"/>
    <w:rsid w:val="00723109"/>
    <w:rsid w:val="00723704"/>
    <w:rsid w:val="00723AA4"/>
    <w:rsid w:val="0072462C"/>
    <w:rsid w:val="00724A6A"/>
    <w:rsid w:val="00724C1C"/>
    <w:rsid w:val="007250A9"/>
    <w:rsid w:val="00725D5F"/>
    <w:rsid w:val="007267F1"/>
    <w:rsid w:val="00727A40"/>
    <w:rsid w:val="00727B31"/>
    <w:rsid w:val="00727BA2"/>
    <w:rsid w:val="00727BCE"/>
    <w:rsid w:val="0073087B"/>
    <w:rsid w:val="0073109C"/>
    <w:rsid w:val="00731DBC"/>
    <w:rsid w:val="00732177"/>
    <w:rsid w:val="0073276B"/>
    <w:rsid w:val="00732AA5"/>
    <w:rsid w:val="00732B06"/>
    <w:rsid w:val="007335EA"/>
    <w:rsid w:val="0073361F"/>
    <w:rsid w:val="00734734"/>
    <w:rsid w:val="007349BC"/>
    <w:rsid w:val="00734C02"/>
    <w:rsid w:val="00736189"/>
    <w:rsid w:val="0073639A"/>
    <w:rsid w:val="0073689B"/>
    <w:rsid w:val="007369F9"/>
    <w:rsid w:val="0073712A"/>
    <w:rsid w:val="007371CF"/>
    <w:rsid w:val="007403CF"/>
    <w:rsid w:val="0074117F"/>
    <w:rsid w:val="00741D06"/>
    <w:rsid w:val="00742726"/>
    <w:rsid w:val="0074320E"/>
    <w:rsid w:val="00743254"/>
    <w:rsid w:val="00743941"/>
    <w:rsid w:val="00743BAB"/>
    <w:rsid w:val="00744391"/>
    <w:rsid w:val="007447D5"/>
    <w:rsid w:val="00744B0D"/>
    <w:rsid w:val="0074538E"/>
    <w:rsid w:val="0074542C"/>
    <w:rsid w:val="007457CD"/>
    <w:rsid w:val="0074599D"/>
    <w:rsid w:val="0074605B"/>
    <w:rsid w:val="00746736"/>
    <w:rsid w:val="00750830"/>
    <w:rsid w:val="0075100D"/>
    <w:rsid w:val="0075149F"/>
    <w:rsid w:val="0075324A"/>
    <w:rsid w:val="00753B67"/>
    <w:rsid w:val="00753C38"/>
    <w:rsid w:val="007540E5"/>
    <w:rsid w:val="00754EAD"/>
    <w:rsid w:val="00754FF0"/>
    <w:rsid w:val="00755C3E"/>
    <w:rsid w:val="00756872"/>
    <w:rsid w:val="00756CD1"/>
    <w:rsid w:val="0075715B"/>
    <w:rsid w:val="00760A2A"/>
    <w:rsid w:val="007613D1"/>
    <w:rsid w:val="007621DD"/>
    <w:rsid w:val="007626CD"/>
    <w:rsid w:val="00762E71"/>
    <w:rsid w:val="00762FB2"/>
    <w:rsid w:val="00763137"/>
    <w:rsid w:val="0076326D"/>
    <w:rsid w:val="007633CC"/>
    <w:rsid w:val="00763B0D"/>
    <w:rsid w:val="00764076"/>
    <w:rsid w:val="0076411D"/>
    <w:rsid w:val="00764408"/>
    <w:rsid w:val="00764DAC"/>
    <w:rsid w:val="00764E3D"/>
    <w:rsid w:val="00764EF4"/>
    <w:rsid w:val="00765176"/>
    <w:rsid w:val="007655D9"/>
    <w:rsid w:val="00765841"/>
    <w:rsid w:val="00766C54"/>
    <w:rsid w:val="00766EC0"/>
    <w:rsid w:val="00767401"/>
    <w:rsid w:val="007674FA"/>
    <w:rsid w:val="00767AEB"/>
    <w:rsid w:val="00767EAC"/>
    <w:rsid w:val="00770ADD"/>
    <w:rsid w:val="00771569"/>
    <w:rsid w:val="00771A2E"/>
    <w:rsid w:val="00771B2B"/>
    <w:rsid w:val="00772BF2"/>
    <w:rsid w:val="00772E19"/>
    <w:rsid w:val="00772EAD"/>
    <w:rsid w:val="0077321D"/>
    <w:rsid w:val="00773303"/>
    <w:rsid w:val="00773AEA"/>
    <w:rsid w:val="00775684"/>
    <w:rsid w:val="0077577C"/>
    <w:rsid w:val="00775A1C"/>
    <w:rsid w:val="00775B1F"/>
    <w:rsid w:val="00775DE8"/>
    <w:rsid w:val="007762AF"/>
    <w:rsid w:val="00777555"/>
    <w:rsid w:val="00781407"/>
    <w:rsid w:val="00781EAA"/>
    <w:rsid w:val="0078283C"/>
    <w:rsid w:val="00782BAB"/>
    <w:rsid w:val="00782F61"/>
    <w:rsid w:val="00783DCD"/>
    <w:rsid w:val="00783DF3"/>
    <w:rsid w:val="007840EC"/>
    <w:rsid w:val="00784234"/>
    <w:rsid w:val="00784691"/>
    <w:rsid w:val="00784B10"/>
    <w:rsid w:val="00784B9A"/>
    <w:rsid w:val="007850FD"/>
    <w:rsid w:val="007851E5"/>
    <w:rsid w:val="0078535E"/>
    <w:rsid w:val="00785803"/>
    <w:rsid w:val="0078584A"/>
    <w:rsid w:val="00785850"/>
    <w:rsid w:val="00785A0E"/>
    <w:rsid w:val="0078654F"/>
    <w:rsid w:val="00790189"/>
    <w:rsid w:val="007901CF"/>
    <w:rsid w:val="00790371"/>
    <w:rsid w:val="00790378"/>
    <w:rsid w:val="0079042E"/>
    <w:rsid w:val="007904EC"/>
    <w:rsid w:val="00790F9A"/>
    <w:rsid w:val="00791735"/>
    <w:rsid w:val="0079197D"/>
    <w:rsid w:val="00791F46"/>
    <w:rsid w:val="00792AB5"/>
    <w:rsid w:val="00793223"/>
    <w:rsid w:val="00793241"/>
    <w:rsid w:val="007938CD"/>
    <w:rsid w:val="00793D24"/>
    <w:rsid w:val="00794182"/>
    <w:rsid w:val="00794B90"/>
    <w:rsid w:val="00795933"/>
    <w:rsid w:val="0079606F"/>
    <w:rsid w:val="007960CE"/>
    <w:rsid w:val="007960FB"/>
    <w:rsid w:val="0079643D"/>
    <w:rsid w:val="007964F1"/>
    <w:rsid w:val="00796962"/>
    <w:rsid w:val="00796D11"/>
    <w:rsid w:val="0079712A"/>
    <w:rsid w:val="007971CB"/>
    <w:rsid w:val="007974BB"/>
    <w:rsid w:val="0079785E"/>
    <w:rsid w:val="007A0402"/>
    <w:rsid w:val="007A0E5A"/>
    <w:rsid w:val="007A0EAC"/>
    <w:rsid w:val="007A2199"/>
    <w:rsid w:val="007A34EA"/>
    <w:rsid w:val="007A39CB"/>
    <w:rsid w:val="007A3BD5"/>
    <w:rsid w:val="007A4216"/>
    <w:rsid w:val="007A472B"/>
    <w:rsid w:val="007A564E"/>
    <w:rsid w:val="007A572A"/>
    <w:rsid w:val="007A5895"/>
    <w:rsid w:val="007A5EF2"/>
    <w:rsid w:val="007A5F67"/>
    <w:rsid w:val="007A6192"/>
    <w:rsid w:val="007A631E"/>
    <w:rsid w:val="007A6C71"/>
    <w:rsid w:val="007A7182"/>
    <w:rsid w:val="007A78B4"/>
    <w:rsid w:val="007A7C2C"/>
    <w:rsid w:val="007A7D32"/>
    <w:rsid w:val="007A7DFC"/>
    <w:rsid w:val="007A7FE9"/>
    <w:rsid w:val="007B0CD8"/>
    <w:rsid w:val="007B167C"/>
    <w:rsid w:val="007B23D3"/>
    <w:rsid w:val="007B2CB1"/>
    <w:rsid w:val="007B3D5A"/>
    <w:rsid w:val="007B40A8"/>
    <w:rsid w:val="007B44B3"/>
    <w:rsid w:val="007B5177"/>
    <w:rsid w:val="007B517A"/>
    <w:rsid w:val="007B5E34"/>
    <w:rsid w:val="007B60D2"/>
    <w:rsid w:val="007B6164"/>
    <w:rsid w:val="007B6423"/>
    <w:rsid w:val="007B6665"/>
    <w:rsid w:val="007B7625"/>
    <w:rsid w:val="007B7B63"/>
    <w:rsid w:val="007B7CBD"/>
    <w:rsid w:val="007C05FF"/>
    <w:rsid w:val="007C0932"/>
    <w:rsid w:val="007C1526"/>
    <w:rsid w:val="007C1AB5"/>
    <w:rsid w:val="007C1D28"/>
    <w:rsid w:val="007C1EE0"/>
    <w:rsid w:val="007C2340"/>
    <w:rsid w:val="007C2859"/>
    <w:rsid w:val="007C2BE7"/>
    <w:rsid w:val="007C3BE2"/>
    <w:rsid w:val="007C4540"/>
    <w:rsid w:val="007C4673"/>
    <w:rsid w:val="007C5040"/>
    <w:rsid w:val="007C56E7"/>
    <w:rsid w:val="007C571F"/>
    <w:rsid w:val="007C5E7A"/>
    <w:rsid w:val="007C5EB3"/>
    <w:rsid w:val="007C6E89"/>
    <w:rsid w:val="007D035E"/>
    <w:rsid w:val="007D1166"/>
    <w:rsid w:val="007D1C88"/>
    <w:rsid w:val="007D2829"/>
    <w:rsid w:val="007D28E7"/>
    <w:rsid w:val="007D2D78"/>
    <w:rsid w:val="007D31BE"/>
    <w:rsid w:val="007D363E"/>
    <w:rsid w:val="007D3B12"/>
    <w:rsid w:val="007D409E"/>
    <w:rsid w:val="007D43A6"/>
    <w:rsid w:val="007D551E"/>
    <w:rsid w:val="007D58F0"/>
    <w:rsid w:val="007D62B3"/>
    <w:rsid w:val="007D724E"/>
    <w:rsid w:val="007D7FA5"/>
    <w:rsid w:val="007E005A"/>
    <w:rsid w:val="007E0A4F"/>
    <w:rsid w:val="007E161A"/>
    <w:rsid w:val="007E1B20"/>
    <w:rsid w:val="007E2219"/>
    <w:rsid w:val="007E23C5"/>
    <w:rsid w:val="007E249F"/>
    <w:rsid w:val="007E2823"/>
    <w:rsid w:val="007E2A09"/>
    <w:rsid w:val="007E2F24"/>
    <w:rsid w:val="007E36CC"/>
    <w:rsid w:val="007E3711"/>
    <w:rsid w:val="007E3E04"/>
    <w:rsid w:val="007E3E4C"/>
    <w:rsid w:val="007E451D"/>
    <w:rsid w:val="007E4944"/>
    <w:rsid w:val="007E4FD0"/>
    <w:rsid w:val="007E506A"/>
    <w:rsid w:val="007E597A"/>
    <w:rsid w:val="007E5D58"/>
    <w:rsid w:val="007E6826"/>
    <w:rsid w:val="007E723A"/>
    <w:rsid w:val="007E7B96"/>
    <w:rsid w:val="007E7C77"/>
    <w:rsid w:val="007E7FDE"/>
    <w:rsid w:val="007F08A3"/>
    <w:rsid w:val="007F1538"/>
    <w:rsid w:val="007F1CD4"/>
    <w:rsid w:val="007F1F88"/>
    <w:rsid w:val="007F20FC"/>
    <w:rsid w:val="007F2296"/>
    <w:rsid w:val="007F345B"/>
    <w:rsid w:val="007F5115"/>
    <w:rsid w:val="007F5481"/>
    <w:rsid w:val="007F5500"/>
    <w:rsid w:val="007F5839"/>
    <w:rsid w:val="007F6197"/>
    <w:rsid w:val="007F62B0"/>
    <w:rsid w:val="007F662B"/>
    <w:rsid w:val="007F66D4"/>
    <w:rsid w:val="00800619"/>
    <w:rsid w:val="00800A23"/>
    <w:rsid w:val="00802897"/>
    <w:rsid w:val="00802921"/>
    <w:rsid w:val="00803510"/>
    <w:rsid w:val="008049E0"/>
    <w:rsid w:val="00805266"/>
    <w:rsid w:val="00806173"/>
    <w:rsid w:val="008068FF"/>
    <w:rsid w:val="00806C41"/>
    <w:rsid w:val="00807671"/>
    <w:rsid w:val="00810B1C"/>
    <w:rsid w:val="00810FA3"/>
    <w:rsid w:val="0081158D"/>
    <w:rsid w:val="008128EB"/>
    <w:rsid w:val="00812E9F"/>
    <w:rsid w:val="00812F12"/>
    <w:rsid w:val="00812F15"/>
    <w:rsid w:val="00814240"/>
    <w:rsid w:val="00814575"/>
    <w:rsid w:val="008146FE"/>
    <w:rsid w:val="0081499C"/>
    <w:rsid w:val="00814C11"/>
    <w:rsid w:val="00815432"/>
    <w:rsid w:val="00815DF7"/>
    <w:rsid w:val="0081605F"/>
    <w:rsid w:val="008162B0"/>
    <w:rsid w:val="0081669B"/>
    <w:rsid w:val="00816A4A"/>
    <w:rsid w:val="00817597"/>
    <w:rsid w:val="00817703"/>
    <w:rsid w:val="0082018B"/>
    <w:rsid w:val="00820983"/>
    <w:rsid w:val="00820D49"/>
    <w:rsid w:val="00820F17"/>
    <w:rsid w:val="008214C3"/>
    <w:rsid w:val="00821599"/>
    <w:rsid w:val="0082294B"/>
    <w:rsid w:val="00822DC0"/>
    <w:rsid w:val="00823878"/>
    <w:rsid w:val="00823B7B"/>
    <w:rsid w:val="00823F6B"/>
    <w:rsid w:val="00824309"/>
    <w:rsid w:val="008249E8"/>
    <w:rsid w:val="00824ED4"/>
    <w:rsid w:val="0082556B"/>
    <w:rsid w:val="00825886"/>
    <w:rsid w:val="0082595C"/>
    <w:rsid w:val="008261D3"/>
    <w:rsid w:val="008269F5"/>
    <w:rsid w:val="00826A8C"/>
    <w:rsid w:val="00827999"/>
    <w:rsid w:val="00830441"/>
    <w:rsid w:val="00830AB7"/>
    <w:rsid w:val="00831655"/>
    <w:rsid w:val="00832B7D"/>
    <w:rsid w:val="00833D76"/>
    <w:rsid w:val="0083437F"/>
    <w:rsid w:val="00834494"/>
    <w:rsid w:val="0083537D"/>
    <w:rsid w:val="00835B01"/>
    <w:rsid w:val="00836AD3"/>
    <w:rsid w:val="0083707D"/>
    <w:rsid w:val="008371F4"/>
    <w:rsid w:val="00837340"/>
    <w:rsid w:val="00837ABA"/>
    <w:rsid w:val="00840F15"/>
    <w:rsid w:val="00841C20"/>
    <w:rsid w:val="00841F81"/>
    <w:rsid w:val="008421BB"/>
    <w:rsid w:val="00842E06"/>
    <w:rsid w:val="00842F11"/>
    <w:rsid w:val="00842F69"/>
    <w:rsid w:val="00842FE6"/>
    <w:rsid w:val="00843708"/>
    <w:rsid w:val="0084464F"/>
    <w:rsid w:val="008452F9"/>
    <w:rsid w:val="00845851"/>
    <w:rsid w:val="008458C6"/>
    <w:rsid w:val="00845EED"/>
    <w:rsid w:val="00846284"/>
    <w:rsid w:val="00847003"/>
    <w:rsid w:val="00847D74"/>
    <w:rsid w:val="00847EE6"/>
    <w:rsid w:val="008503ED"/>
    <w:rsid w:val="0085093E"/>
    <w:rsid w:val="008517EB"/>
    <w:rsid w:val="0085188C"/>
    <w:rsid w:val="00853134"/>
    <w:rsid w:val="0085524B"/>
    <w:rsid w:val="008552C7"/>
    <w:rsid w:val="008564F1"/>
    <w:rsid w:val="0085689A"/>
    <w:rsid w:val="00856DD8"/>
    <w:rsid w:val="00856E8F"/>
    <w:rsid w:val="00857B14"/>
    <w:rsid w:val="00860D0D"/>
    <w:rsid w:val="008610E3"/>
    <w:rsid w:val="0086122B"/>
    <w:rsid w:val="008620D7"/>
    <w:rsid w:val="00863496"/>
    <w:rsid w:val="00863E21"/>
    <w:rsid w:val="00864144"/>
    <w:rsid w:val="00864553"/>
    <w:rsid w:val="00864968"/>
    <w:rsid w:val="00864C5B"/>
    <w:rsid w:val="00865BA8"/>
    <w:rsid w:val="00865CA3"/>
    <w:rsid w:val="00866E5B"/>
    <w:rsid w:val="00866F7C"/>
    <w:rsid w:val="008670C0"/>
    <w:rsid w:val="00867439"/>
    <w:rsid w:val="00867497"/>
    <w:rsid w:val="008675AB"/>
    <w:rsid w:val="00867EBA"/>
    <w:rsid w:val="008716FB"/>
    <w:rsid w:val="00871D95"/>
    <w:rsid w:val="008721E0"/>
    <w:rsid w:val="00872A1E"/>
    <w:rsid w:val="00873203"/>
    <w:rsid w:val="008747C1"/>
    <w:rsid w:val="00874DAF"/>
    <w:rsid w:val="00875C1B"/>
    <w:rsid w:val="00876167"/>
    <w:rsid w:val="008779F7"/>
    <w:rsid w:val="0088026C"/>
    <w:rsid w:val="008806F2"/>
    <w:rsid w:val="00880939"/>
    <w:rsid w:val="008810E0"/>
    <w:rsid w:val="00882168"/>
    <w:rsid w:val="00882255"/>
    <w:rsid w:val="008826A5"/>
    <w:rsid w:val="00882D4F"/>
    <w:rsid w:val="00883241"/>
    <w:rsid w:val="00883342"/>
    <w:rsid w:val="00883992"/>
    <w:rsid w:val="00884FC4"/>
    <w:rsid w:val="00885333"/>
    <w:rsid w:val="00885A42"/>
    <w:rsid w:val="00886ACF"/>
    <w:rsid w:val="008872FC"/>
    <w:rsid w:val="0088765E"/>
    <w:rsid w:val="00887A2C"/>
    <w:rsid w:val="0089070E"/>
    <w:rsid w:val="008907C5"/>
    <w:rsid w:val="00891373"/>
    <w:rsid w:val="0089178D"/>
    <w:rsid w:val="00891E3B"/>
    <w:rsid w:val="008923E5"/>
    <w:rsid w:val="0089255E"/>
    <w:rsid w:val="008925DB"/>
    <w:rsid w:val="00892605"/>
    <w:rsid w:val="0089288D"/>
    <w:rsid w:val="00893107"/>
    <w:rsid w:val="00893924"/>
    <w:rsid w:val="00894A37"/>
    <w:rsid w:val="00894C13"/>
    <w:rsid w:val="00894CBB"/>
    <w:rsid w:val="00894FC7"/>
    <w:rsid w:val="008960DB"/>
    <w:rsid w:val="00896322"/>
    <w:rsid w:val="00897485"/>
    <w:rsid w:val="008976AD"/>
    <w:rsid w:val="00897949"/>
    <w:rsid w:val="008A05A3"/>
    <w:rsid w:val="008A1206"/>
    <w:rsid w:val="008A16A9"/>
    <w:rsid w:val="008A1775"/>
    <w:rsid w:val="008A1C9F"/>
    <w:rsid w:val="008A1F7A"/>
    <w:rsid w:val="008A319B"/>
    <w:rsid w:val="008A33EB"/>
    <w:rsid w:val="008A3755"/>
    <w:rsid w:val="008A41EA"/>
    <w:rsid w:val="008A42D0"/>
    <w:rsid w:val="008A4899"/>
    <w:rsid w:val="008A4935"/>
    <w:rsid w:val="008A4B66"/>
    <w:rsid w:val="008A4F54"/>
    <w:rsid w:val="008A5CE6"/>
    <w:rsid w:val="008A660E"/>
    <w:rsid w:val="008A74A0"/>
    <w:rsid w:val="008A784D"/>
    <w:rsid w:val="008A7B45"/>
    <w:rsid w:val="008A7CE5"/>
    <w:rsid w:val="008B0347"/>
    <w:rsid w:val="008B03B3"/>
    <w:rsid w:val="008B0BD6"/>
    <w:rsid w:val="008B10B1"/>
    <w:rsid w:val="008B1185"/>
    <w:rsid w:val="008B138D"/>
    <w:rsid w:val="008B22FE"/>
    <w:rsid w:val="008B2425"/>
    <w:rsid w:val="008B2C09"/>
    <w:rsid w:val="008B38D2"/>
    <w:rsid w:val="008B3CD7"/>
    <w:rsid w:val="008B3E42"/>
    <w:rsid w:val="008B40A7"/>
    <w:rsid w:val="008B4A93"/>
    <w:rsid w:val="008B5225"/>
    <w:rsid w:val="008B527C"/>
    <w:rsid w:val="008B59E8"/>
    <w:rsid w:val="008B64EB"/>
    <w:rsid w:val="008B6C27"/>
    <w:rsid w:val="008B6F27"/>
    <w:rsid w:val="008B6F7B"/>
    <w:rsid w:val="008B71AF"/>
    <w:rsid w:val="008C07B9"/>
    <w:rsid w:val="008C0BF9"/>
    <w:rsid w:val="008C0F64"/>
    <w:rsid w:val="008C1941"/>
    <w:rsid w:val="008C1C21"/>
    <w:rsid w:val="008C223B"/>
    <w:rsid w:val="008C2C6E"/>
    <w:rsid w:val="008C31C8"/>
    <w:rsid w:val="008C36DE"/>
    <w:rsid w:val="008C3B7A"/>
    <w:rsid w:val="008C3D07"/>
    <w:rsid w:val="008C4418"/>
    <w:rsid w:val="008C48BB"/>
    <w:rsid w:val="008C4F60"/>
    <w:rsid w:val="008C57D1"/>
    <w:rsid w:val="008C5E24"/>
    <w:rsid w:val="008C5E40"/>
    <w:rsid w:val="008C5F42"/>
    <w:rsid w:val="008C6A0E"/>
    <w:rsid w:val="008C6A1D"/>
    <w:rsid w:val="008C6F9A"/>
    <w:rsid w:val="008C77F8"/>
    <w:rsid w:val="008D0841"/>
    <w:rsid w:val="008D0F0B"/>
    <w:rsid w:val="008D3312"/>
    <w:rsid w:val="008D3AFF"/>
    <w:rsid w:val="008D3EEB"/>
    <w:rsid w:val="008D418D"/>
    <w:rsid w:val="008D41B2"/>
    <w:rsid w:val="008D4595"/>
    <w:rsid w:val="008D4872"/>
    <w:rsid w:val="008D4B03"/>
    <w:rsid w:val="008D4F8C"/>
    <w:rsid w:val="008D5151"/>
    <w:rsid w:val="008D67FD"/>
    <w:rsid w:val="008D7086"/>
    <w:rsid w:val="008D72F4"/>
    <w:rsid w:val="008D7347"/>
    <w:rsid w:val="008D75BB"/>
    <w:rsid w:val="008D7638"/>
    <w:rsid w:val="008D7FB6"/>
    <w:rsid w:val="008E0414"/>
    <w:rsid w:val="008E0998"/>
    <w:rsid w:val="008E0BC0"/>
    <w:rsid w:val="008E0C21"/>
    <w:rsid w:val="008E230C"/>
    <w:rsid w:val="008E2511"/>
    <w:rsid w:val="008E34E1"/>
    <w:rsid w:val="008E3795"/>
    <w:rsid w:val="008E3AEF"/>
    <w:rsid w:val="008E4656"/>
    <w:rsid w:val="008E4D06"/>
    <w:rsid w:val="008E5A81"/>
    <w:rsid w:val="008E6227"/>
    <w:rsid w:val="008E63D6"/>
    <w:rsid w:val="008E65F4"/>
    <w:rsid w:val="008E6B96"/>
    <w:rsid w:val="008E7171"/>
    <w:rsid w:val="008E71BD"/>
    <w:rsid w:val="008E737F"/>
    <w:rsid w:val="008E743F"/>
    <w:rsid w:val="008E754E"/>
    <w:rsid w:val="008E7CC5"/>
    <w:rsid w:val="008F0613"/>
    <w:rsid w:val="008F091A"/>
    <w:rsid w:val="008F0ACE"/>
    <w:rsid w:val="008F0C74"/>
    <w:rsid w:val="008F0DA9"/>
    <w:rsid w:val="008F160A"/>
    <w:rsid w:val="008F2669"/>
    <w:rsid w:val="008F27E6"/>
    <w:rsid w:val="008F2C14"/>
    <w:rsid w:val="008F2F18"/>
    <w:rsid w:val="008F376B"/>
    <w:rsid w:val="008F3924"/>
    <w:rsid w:val="008F3E13"/>
    <w:rsid w:val="008F41D1"/>
    <w:rsid w:val="008F45BC"/>
    <w:rsid w:val="008F4821"/>
    <w:rsid w:val="008F4A4F"/>
    <w:rsid w:val="008F4DEE"/>
    <w:rsid w:val="008F4E46"/>
    <w:rsid w:val="008F5992"/>
    <w:rsid w:val="008F5EA7"/>
    <w:rsid w:val="008F5F13"/>
    <w:rsid w:val="008F6462"/>
    <w:rsid w:val="008F66EA"/>
    <w:rsid w:val="008F7278"/>
    <w:rsid w:val="008F7B46"/>
    <w:rsid w:val="008F7BD3"/>
    <w:rsid w:val="008F7D03"/>
    <w:rsid w:val="0090010A"/>
    <w:rsid w:val="00901FD8"/>
    <w:rsid w:val="009025E4"/>
    <w:rsid w:val="00902897"/>
    <w:rsid w:val="009028E3"/>
    <w:rsid w:val="009028FC"/>
    <w:rsid w:val="00902BB4"/>
    <w:rsid w:val="009032E8"/>
    <w:rsid w:val="00903916"/>
    <w:rsid w:val="0090413F"/>
    <w:rsid w:val="0090432E"/>
    <w:rsid w:val="009046B9"/>
    <w:rsid w:val="00904AD1"/>
    <w:rsid w:val="00904DC0"/>
    <w:rsid w:val="00904F20"/>
    <w:rsid w:val="00905307"/>
    <w:rsid w:val="0090535F"/>
    <w:rsid w:val="009055B3"/>
    <w:rsid w:val="009064A0"/>
    <w:rsid w:val="0090651D"/>
    <w:rsid w:val="00906696"/>
    <w:rsid w:val="009077AC"/>
    <w:rsid w:val="00910056"/>
    <w:rsid w:val="00910175"/>
    <w:rsid w:val="00910420"/>
    <w:rsid w:val="009105E8"/>
    <w:rsid w:val="009110C1"/>
    <w:rsid w:val="00911292"/>
    <w:rsid w:val="009118E9"/>
    <w:rsid w:val="00911BFA"/>
    <w:rsid w:val="0091258E"/>
    <w:rsid w:val="009128A4"/>
    <w:rsid w:val="00913ABA"/>
    <w:rsid w:val="00913B8A"/>
    <w:rsid w:val="009144E7"/>
    <w:rsid w:val="009144F2"/>
    <w:rsid w:val="00914665"/>
    <w:rsid w:val="009163A8"/>
    <w:rsid w:val="0091743F"/>
    <w:rsid w:val="00917CDA"/>
    <w:rsid w:val="00917E99"/>
    <w:rsid w:val="00920A59"/>
    <w:rsid w:val="00920CC7"/>
    <w:rsid w:val="00921254"/>
    <w:rsid w:val="00922639"/>
    <w:rsid w:val="009231F7"/>
    <w:rsid w:val="00923483"/>
    <w:rsid w:val="0092367C"/>
    <w:rsid w:val="00923D5C"/>
    <w:rsid w:val="00923E02"/>
    <w:rsid w:val="00924349"/>
    <w:rsid w:val="00924A75"/>
    <w:rsid w:val="009251E3"/>
    <w:rsid w:val="009258BD"/>
    <w:rsid w:val="00925964"/>
    <w:rsid w:val="00925B17"/>
    <w:rsid w:val="009261B8"/>
    <w:rsid w:val="009261F1"/>
    <w:rsid w:val="00926292"/>
    <w:rsid w:val="0092690A"/>
    <w:rsid w:val="00926C28"/>
    <w:rsid w:val="00926E61"/>
    <w:rsid w:val="00927082"/>
    <w:rsid w:val="0092737B"/>
    <w:rsid w:val="0092744E"/>
    <w:rsid w:val="00927475"/>
    <w:rsid w:val="00927542"/>
    <w:rsid w:val="00930AC1"/>
    <w:rsid w:val="00930CDF"/>
    <w:rsid w:val="00930D13"/>
    <w:rsid w:val="00931521"/>
    <w:rsid w:val="009319CF"/>
    <w:rsid w:val="00931D0D"/>
    <w:rsid w:val="00931E54"/>
    <w:rsid w:val="00932091"/>
    <w:rsid w:val="00932114"/>
    <w:rsid w:val="0093264B"/>
    <w:rsid w:val="0093394E"/>
    <w:rsid w:val="00933D0B"/>
    <w:rsid w:val="009340AD"/>
    <w:rsid w:val="00935396"/>
    <w:rsid w:val="009357FE"/>
    <w:rsid w:val="00935C12"/>
    <w:rsid w:val="009362EE"/>
    <w:rsid w:val="009366DE"/>
    <w:rsid w:val="009377C6"/>
    <w:rsid w:val="0093782F"/>
    <w:rsid w:val="00937FC8"/>
    <w:rsid w:val="0094003D"/>
    <w:rsid w:val="0094071C"/>
    <w:rsid w:val="0094074C"/>
    <w:rsid w:val="00940910"/>
    <w:rsid w:val="0094155D"/>
    <w:rsid w:val="00942943"/>
    <w:rsid w:val="00942B40"/>
    <w:rsid w:val="00942E14"/>
    <w:rsid w:val="00943198"/>
    <w:rsid w:val="00943249"/>
    <w:rsid w:val="009432EB"/>
    <w:rsid w:val="009435CE"/>
    <w:rsid w:val="00943C56"/>
    <w:rsid w:val="00944384"/>
    <w:rsid w:val="009443BF"/>
    <w:rsid w:val="009454F5"/>
    <w:rsid w:val="00945A08"/>
    <w:rsid w:val="00946F4F"/>
    <w:rsid w:val="00947438"/>
    <w:rsid w:val="009474D8"/>
    <w:rsid w:val="009475B1"/>
    <w:rsid w:val="00950804"/>
    <w:rsid w:val="00951785"/>
    <w:rsid w:val="0095183B"/>
    <w:rsid w:val="009518EA"/>
    <w:rsid w:val="0095373B"/>
    <w:rsid w:val="00953893"/>
    <w:rsid w:val="00953CEE"/>
    <w:rsid w:val="009541E8"/>
    <w:rsid w:val="0095484D"/>
    <w:rsid w:val="00955A21"/>
    <w:rsid w:val="00955CDB"/>
    <w:rsid w:val="00956474"/>
    <w:rsid w:val="00956798"/>
    <w:rsid w:val="00956E7E"/>
    <w:rsid w:val="009574D0"/>
    <w:rsid w:val="009576B5"/>
    <w:rsid w:val="00957F6E"/>
    <w:rsid w:val="009604EA"/>
    <w:rsid w:val="009607F9"/>
    <w:rsid w:val="0096139F"/>
    <w:rsid w:val="009615EB"/>
    <w:rsid w:val="00961C33"/>
    <w:rsid w:val="00961E58"/>
    <w:rsid w:val="0096328D"/>
    <w:rsid w:val="00963AEC"/>
    <w:rsid w:val="009643A7"/>
    <w:rsid w:val="009645B1"/>
    <w:rsid w:val="00964BE3"/>
    <w:rsid w:val="00964FA9"/>
    <w:rsid w:val="00965305"/>
    <w:rsid w:val="009662A0"/>
    <w:rsid w:val="0096632A"/>
    <w:rsid w:val="00966DE3"/>
    <w:rsid w:val="00967246"/>
    <w:rsid w:val="0096797E"/>
    <w:rsid w:val="00967AF5"/>
    <w:rsid w:val="009701C8"/>
    <w:rsid w:val="009706D2"/>
    <w:rsid w:val="00970A23"/>
    <w:rsid w:val="00970FA2"/>
    <w:rsid w:val="00971964"/>
    <w:rsid w:val="00971981"/>
    <w:rsid w:val="00971C77"/>
    <w:rsid w:val="00971DDD"/>
    <w:rsid w:val="00971FCC"/>
    <w:rsid w:val="00972B66"/>
    <w:rsid w:val="0097386C"/>
    <w:rsid w:val="00973ECB"/>
    <w:rsid w:val="0097464D"/>
    <w:rsid w:val="0097531E"/>
    <w:rsid w:val="00975330"/>
    <w:rsid w:val="009758EA"/>
    <w:rsid w:val="00975966"/>
    <w:rsid w:val="00975DD1"/>
    <w:rsid w:val="009776F0"/>
    <w:rsid w:val="009800FC"/>
    <w:rsid w:val="00980D39"/>
    <w:rsid w:val="00980DFC"/>
    <w:rsid w:val="0098100A"/>
    <w:rsid w:val="00981191"/>
    <w:rsid w:val="0098124B"/>
    <w:rsid w:val="00981311"/>
    <w:rsid w:val="009824C6"/>
    <w:rsid w:val="009825F4"/>
    <w:rsid w:val="009826E3"/>
    <w:rsid w:val="00983029"/>
    <w:rsid w:val="00983782"/>
    <w:rsid w:val="0098384D"/>
    <w:rsid w:val="00984049"/>
    <w:rsid w:val="00984151"/>
    <w:rsid w:val="0098446C"/>
    <w:rsid w:val="009850B6"/>
    <w:rsid w:val="009853C4"/>
    <w:rsid w:val="00985796"/>
    <w:rsid w:val="00985C4B"/>
    <w:rsid w:val="00985E9E"/>
    <w:rsid w:val="0098624E"/>
    <w:rsid w:val="0098678A"/>
    <w:rsid w:val="00986AE5"/>
    <w:rsid w:val="00986C82"/>
    <w:rsid w:val="00986F27"/>
    <w:rsid w:val="00987DB4"/>
    <w:rsid w:val="00987F69"/>
    <w:rsid w:val="00987FA4"/>
    <w:rsid w:val="0099002F"/>
    <w:rsid w:val="00990150"/>
    <w:rsid w:val="00990D55"/>
    <w:rsid w:val="0099188E"/>
    <w:rsid w:val="00992AA8"/>
    <w:rsid w:val="00992EDA"/>
    <w:rsid w:val="00994057"/>
    <w:rsid w:val="009941F1"/>
    <w:rsid w:val="0099441F"/>
    <w:rsid w:val="00995476"/>
    <w:rsid w:val="00996574"/>
    <w:rsid w:val="009965AE"/>
    <w:rsid w:val="009968D5"/>
    <w:rsid w:val="00997142"/>
    <w:rsid w:val="009972C0"/>
    <w:rsid w:val="009A0559"/>
    <w:rsid w:val="009A09CD"/>
    <w:rsid w:val="009A10F8"/>
    <w:rsid w:val="009A11D2"/>
    <w:rsid w:val="009A21D0"/>
    <w:rsid w:val="009A265C"/>
    <w:rsid w:val="009A2ECA"/>
    <w:rsid w:val="009A3377"/>
    <w:rsid w:val="009A368A"/>
    <w:rsid w:val="009A46AC"/>
    <w:rsid w:val="009A5331"/>
    <w:rsid w:val="009A5516"/>
    <w:rsid w:val="009A6811"/>
    <w:rsid w:val="009A6C28"/>
    <w:rsid w:val="009A789B"/>
    <w:rsid w:val="009A7B73"/>
    <w:rsid w:val="009B038E"/>
    <w:rsid w:val="009B0E62"/>
    <w:rsid w:val="009B110D"/>
    <w:rsid w:val="009B1FB1"/>
    <w:rsid w:val="009B2B32"/>
    <w:rsid w:val="009B33C3"/>
    <w:rsid w:val="009B4065"/>
    <w:rsid w:val="009B41E8"/>
    <w:rsid w:val="009B4AC6"/>
    <w:rsid w:val="009B4BB0"/>
    <w:rsid w:val="009B51AF"/>
    <w:rsid w:val="009B52DC"/>
    <w:rsid w:val="009B530A"/>
    <w:rsid w:val="009B560C"/>
    <w:rsid w:val="009B5639"/>
    <w:rsid w:val="009B5A14"/>
    <w:rsid w:val="009B5F30"/>
    <w:rsid w:val="009B6029"/>
    <w:rsid w:val="009B692B"/>
    <w:rsid w:val="009B6937"/>
    <w:rsid w:val="009B6B3A"/>
    <w:rsid w:val="009B77ED"/>
    <w:rsid w:val="009C0239"/>
    <w:rsid w:val="009C05FC"/>
    <w:rsid w:val="009C10FC"/>
    <w:rsid w:val="009C1336"/>
    <w:rsid w:val="009C1339"/>
    <w:rsid w:val="009C1410"/>
    <w:rsid w:val="009C175B"/>
    <w:rsid w:val="009C24CD"/>
    <w:rsid w:val="009C29D1"/>
    <w:rsid w:val="009C2D9A"/>
    <w:rsid w:val="009C3658"/>
    <w:rsid w:val="009C489B"/>
    <w:rsid w:val="009C5C64"/>
    <w:rsid w:val="009C6193"/>
    <w:rsid w:val="009C7067"/>
    <w:rsid w:val="009C7088"/>
    <w:rsid w:val="009C74AD"/>
    <w:rsid w:val="009C755B"/>
    <w:rsid w:val="009C7D22"/>
    <w:rsid w:val="009C7F02"/>
    <w:rsid w:val="009C7FE5"/>
    <w:rsid w:val="009D027C"/>
    <w:rsid w:val="009D12D1"/>
    <w:rsid w:val="009D133B"/>
    <w:rsid w:val="009D1391"/>
    <w:rsid w:val="009D15B1"/>
    <w:rsid w:val="009D16E8"/>
    <w:rsid w:val="009D1DC5"/>
    <w:rsid w:val="009D332B"/>
    <w:rsid w:val="009D33F1"/>
    <w:rsid w:val="009D38A3"/>
    <w:rsid w:val="009D3BA7"/>
    <w:rsid w:val="009D3F35"/>
    <w:rsid w:val="009D4B0D"/>
    <w:rsid w:val="009D5399"/>
    <w:rsid w:val="009D5B38"/>
    <w:rsid w:val="009D6357"/>
    <w:rsid w:val="009D6407"/>
    <w:rsid w:val="009E058F"/>
    <w:rsid w:val="009E1052"/>
    <w:rsid w:val="009E1665"/>
    <w:rsid w:val="009E1C84"/>
    <w:rsid w:val="009E289B"/>
    <w:rsid w:val="009E386C"/>
    <w:rsid w:val="009E3EB8"/>
    <w:rsid w:val="009E4791"/>
    <w:rsid w:val="009E4C3C"/>
    <w:rsid w:val="009E4DE3"/>
    <w:rsid w:val="009E50E8"/>
    <w:rsid w:val="009E512B"/>
    <w:rsid w:val="009E5FB1"/>
    <w:rsid w:val="009E5FBD"/>
    <w:rsid w:val="009E629D"/>
    <w:rsid w:val="009E6852"/>
    <w:rsid w:val="009E6F96"/>
    <w:rsid w:val="009E71E6"/>
    <w:rsid w:val="009E7C70"/>
    <w:rsid w:val="009E7E17"/>
    <w:rsid w:val="009E7F4E"/>
    <w:rsid w:val="009F0384"/>
    <w:rsid w:val="009F078A"/>
    <w:rsid w:val="009F1057"/>
    <w:rsid w:val="009F22E3"/>
    <w:rsid w:val="009F2C17"/>
    <w:rsid w:val="009F2CD1"/>
    <w:rsid w:val="009F3136"/>
    <w:rsid w:val="009F335E"/>
    <w:rsid w:val="009F3A36"/>
    <w:rsid w:val="009F3A96"/>
    <w:rsid w:val="009F3B6A"/>
    <w:rsid w:val="009F3BC0"/>
    <w:rsid w:val="009F3E7C"/>
    <w:rsid w:val="009F46F7"/>
    <w:rsid w:val="009F4B7B"/>
    <w:rsid w:val="009F6B71"/>
    <w:rsid w:val="009F6BB8"/>
    <w:rsid w:val="009F6C13"/>
    <w:rsid w:val="009F6D9B"/>
    <w:rsid w:val="009F6E4D"/>
    <w:rsid w:val="009F70A4"/>
    <w:rsid w:val="009F7972"/>
    <w:rsid w:val="009F79C5"/>
    <w:rsid w:val="009F7B3E"/>
    <w:rsid w:val="00A00206"/>
    <w:rsid w:val="00A00EAC"/>
    <w:rsid w:val="00A01037"/>
    <w:rsid w:val="00A01810"/>
    <w:rsid w:val="00A01A00"/>
    <w:rsid w:val="00A01F50"/>
    <w:rsid w:val="00A021D2"/>
    <w:rsid w:val="00A022D0"/>
    <w:rsid w:val="00A0320F"/>
    <w:rsid w:val="00A03688"/>
    <w:rsid w:val="00A037F9"/>
    <w:rsid w:val="00A03C88"/>
    <w:rsid w:val="00A041FD"/>
    <w:rsid w:val="00A04875"/>
    <w:rsid w:val="00A04A0B"/>
    <w:rsid w:val="00A04C98"/>
    <w:rsid w:val="00A04D1E"/>
    <w:rsid w:val="00A05C7A"/>
    <w:rsid w:val="00A06224"/>
    <w:rsid w:val="00A06F43"/>
    <w:rsid w:val="00A10443"/>
    <w:rsid w:val="00A11778"/>
    <w:rsid w:val="00A11920"/>
    <w:rsid w:val="00A11931"/>
    <w:rsid w:val="00A11E0E"/>
    <w:rsid w:val="00A145E5"/>
    <w:rsid w:val="00A14DD1"/>
    <w:rsid w:val="00A151E9"/>
    <w:rsid w:val="00A1566C"/>
    <w:rsid w:val="00A1634A"/>
    <w:rsid w:val="00A16B5F"/>
    <w:rsid w:val="00A16B80"/>
    <w:rsid w:val="00A172E4"/>
    <w:rsid w:val="00A17422"/>
    <w:rsid w:val="00A17FA3"/>
    <w:rsid w:val="00A20EC2"/>
    <w:rsid w:val="00A2130E"/>
    <w:rsid w:val="00A21A68"/>
    <w:rsid w:val="00A22B61"/>
    <w:rsid w:val="00A231B3"/>
    <w:rsid w:val="00A239FA"/>
    <w:rsid w:val="00A23E00"/>
    <w:rsid w:val="00A24133"/>
    <w:rsid w:val="00A24661"/>
    <w:rsid w:val="00A246D9"/>
    <w:rsid w:val="00A2470F"/>
    <w:rsid w:val="00A248EE"/>
    <w:rsid w:val="00A252E8"/>
    <w:rsid w:val="00A252F8"/>
    <w:rsid w:val="00A25979"/>
    <w:rsid w:val="00A25E06"/>
    <w:rsid w:val="00A26E89"/>
    <w:rsid w:val="00A26F3A"/>
    <w:rsid w:val="00A26FEE"/>
    <w:rsid w:val="00A27113"/>
    <w:rsid w:val="00A271F7"/>
    <w:rsid w:val="00A27358"/>
    <w:rsid w:val="00A27CC3"/>
    <w:rsid w:val="00A3016A"/>
    <w:rsid w:val="00A309F4"/>
    <w:rsid w:val="00A30CEE"/>
    <w:rsid w:val="00A30D18"/>
    <w:rsid w:val="00A30EB6"/>
    <w:rsid w:val="00A33C50"/>
    <w:rsid w:val="00A33CEA"/>
    <w:rsid w:val="00A34C31"/>
    <w:rsid w:val="00A34D74"/>
    <w:rsid w:val="00A3531D"/>
    <w:rsid w:val="00A3576B"/>
    <w:rsid w:val="00A372A2"/>
    <w:rsid w:val="00A3753B"/>
    <w:rsid w:val="00A400F7"/>
    <w:rsid w:val="00A402DF"/>
    <w:rsid w:val="00A40633"/>
    <w:rsid w:val="00A422A9"/>
    <w:rsid w:val="00A425F8"/>
    <w:rsid w:val="00A42930"/>
    <w:rsid w:val="00A4364C"/>
    <w:rsid w:val="00A442DB"/>
    <w:rsid w:val="00A443C8"/>
    <w:rsid w:val="00A44624"/>
    <w:rsid w:val="00A44F7A"/>
    <w:rsid w:val="00A45138"/>
    <w:rsid w:val="00A45155"/>
    <w:rsid w:val="00A456E8"/>
    <w:rsid w:val="00A46E50"/>
    <w:rsid w:val="00A47516"/>
    <w:rsid w:val="00A50000"/>
    <w:rsid w:val="00A50205"/>
    <w:rsid w:val="00A5077A"/>
    <w:rsid w:val="00A50DAA"/>
    <w:rsid w:val="00A511BD"/>
    <w:rsid w:val="00A513A2"/>
    <w:rsid w:val="00A528D4"/>
    <w:rsid w:val="00A537D3"/>
    <w:rsid w:val="00A54827"/>
    <w:rsid w:val="00A552A3"/>
    <w:rsid w:val="00A5612E"/>
    <w:rsid w:val="00A562FC"/>
    <w:rsid w:val="00A56557"/>
    <w:rsid w:val="00A567D3"/>
    <w:rsid w:val="00A56959"/>
    <w:rsid w:val="00A56E6E"/>
    <w:rsid w:val="00A571F1"/>
    <w:rsid w:val="00A57C43"/>
    <w:rsid w:val="00A6137E"/>
    <w:rsid w:val="00A613EC"/>
    <w:rsid w:val="00A61697"/>
    <w:rsid w:val="00A61F21"/>
    <w:rsid w:val="00A6224F"/>
    <w:rsid w:val="00A62749"/>
    <w:rsid w:val="00A6291D"/>
    <w:rsid w:val="00A62CC9"/>
    <w:rsid w:val="00A62CF1"/>
    <w:rsid w:val="00A63A31"/>
    <w:rsid w:val="00A64259"/>
    <w:rsid w:val="00A64309"/>
    <w:rsid w:val="00A648B0"/>
    <w:rsid w:val="00A64BBD"/>
    <w:rsid w:val="00A65620"/>
    <w:rsid w:val="00A65A79"/>
    <w:rsid w:val="00A65B08"/>
    <w:rsid w:val="00A65D24"/>
    <w:rsid w:val="00A6619E"/>
    <w:rsid w:val="00A6663B"/>
    <w:rsid w:val="00A66661"/>
    <w:rsid w:val="00A66920"/>
    <w:rsid w:val="00A729EA"/>
    <w:rsid w:val="00A72DD3"/>
    <w:rsid w:val="00A736EC"/>
    <w:rsid w:val="00A7372B"/>
    <w:rsid w:val="00A74915"/>
    <w:rsid w:val="00A74BD3"/>
    <w:rsid w:val="00A74EEF"/>
    <w:rsid w:val="00A755CC"/>
    <w:rsid w:val="00A757CE"/>
    <w:rsid w:val="00A76209"/>
    <w:rsid w:val="00A76F5E"/>
    <w:rsid w:val="00A77308"/>
    <w:rsid w:val="00A7766F"/>
    <w:rsid w:val="00A77E12"/>
    <w:rsid w:val="00A80136"/>
    <w:rsid w:val="00A809F4"/>
    <w:rsid w:val="00A80B6B"/>
    <w:rsid w:val="00A80C69"/>
    <w:rsid w:val="00A80CAA"/>
    <w:rsid w:val="00A81B90"/>
    <w:rsid w:val="00A81DED"/>
    <w:rsid w:val="00A8229E"/>
    <w:rsid w:val="00A8281E"/>
    <w:rsid w:val="00A8308A"/>
    <w:rsid w:val="00A8359B"/>
    <w:rsid w:val="00A84025"/>
    <w:rsid w:val="00A8493D"/>
    <w:rsid w:val="00A85434"/>
    <w:rsid w:val="00A8576E"/>
    <w:rsid w:val="00A8637A"/>
    <w:rsid w:val="00A874A2"/>
    <w:rsid w:val="00A87813"/>
    <w:rsid w:val="00A879F5"/>
    <w:rsid w:val="00A90604"/>
    <w:rsid w:val="00A9145D"/>
    <w:rsid w:val="00A91809"/>
    <w:rsid w:val="00A91BC7"/>
    <w:rsid w:val="00A91BFA"/>
    <w:rsid w:val="00A91E2C"/>
    <w:rsid w:val="00A9290E"/>
    <w:rsid w:val="00A92FE9"/>
    <w:rsid w:val="00A942A3"/>
    <w:rsid w:val="00A94636"/>
    <w:rsid w:val="00A94948"/>
    <w:rsid w:val="00A94950"/>
    <w:rsid w:val="00A94B5B"/>
    <w:rsid w:val="00A95010"/>
    <w:rsid w:val="00A9564F"/>
    <w:rsid w:val="00A95C5E"/>
    <w:rsid w:val="00A95DCB"/>
    <w:rsid w:val="00A961A7"/>
    <w:rsid w:val="00A96657"/>
    <w:rsid w:val="00A970BA"/>
    <w:rsid w:val="00AA059E"/>
    <w:rsid w:val="00AA0A21"/>
    <w:rsid w:val="00AA1D8E"/>
    <w:rsid w:val="00AA2A47"/>
    <w:rsid w:val="00AA2CFA"/>
    <w:rsid w:val="00AA3064"/>
    <w:rsid w:val="00AA31B8"/>
    <w:rsid w:val="00AA37C3"/>
    <w:rsid w:val="00AA3BDB"/>
    <w:rsid w:val="00AA3D9F"/>
    <w:rsid w:val="00AA3E54"/>
    <w:rsid w:val="00AA415B"/>
    <w:rsid w:val="00AA4B13"/>
    <w:rsid w:val="00AA4E7C"/>
    <w:rsid w:val="00AA4F02"/>
    <w:rsid w:val="00AA5EB8"/>
    <w:rsid w:val="00AA60A7"/>
    <w:rsid w:val="00AA64A2"/>
    <w:rsid w:val="00AA68F9"/>
    <w:rsid w:val="00AA7122"/>
    <w:rsid w:val="00AB0122"/>
    <w:rsid w:val="00AB116F"/>
    <w:rsid w:val="00AB14C7"/>
    <w:rsid w:val="00AB1649"/>
    <w:rsid w:val="00AB191F"/>
    <w:rsid w:val="00AB2068"/>
    <w:rsid w:val="00AB2A22"/>
    <w:rsid w:val="00AB2C52"/>
    <w:rsid w:val="00AB3080"/>
    <w:rsid w:val="00AB312E"/>
    <w:rsid w:val="00AB3ED5"/>
    <w:rsid w:val="00AB5AE1"/>
    <w:rsid w:val="00AB692C"/>
    <w:rsid w:val="00AB76D0"/>
    <w:rsid w:val="00AB7808"/>
    <w:rsid w:val="00AB7A06"/>
    <w:rsid w:val="00AB7EA7"/>
    <w:rsid w:val="00AB7FBD"/>
    <w:rsid w:val="00AC0266"/>
    <w:rsid w:val="00AC0FA8"/>
    <w:rsid w:val="00AC105D"/>
    <w:rsid w:val="00AC10F2"/>
    <w:rsid w:val="00AC248B"/>
    <w:rsid w:val="00AC2E7B"/>
    <w:rsid w:val="00AC2FDC"/>
    <w:rsid w:val="00AC4163"/>
    <w:rsid w:val="00AC419C"/>
    <w:rsid w:val="00AC4748"/>
    <w:rsid w:val="00AC5082"/>
    <w:rsid w:val="00AC5320"/>
    <w:rsid w:val="00AC6073"/>
    <w:rsid w:val="00AC60EF"/>
    <w:rsid w:val="00AC64CB"/>
    <w:rsid w:val="00AC6845"/>
    <w:rsid w:val="00AC6947"/>
    <w:rsid w:val="00AC6ACC"/>
    <w:rsid w:val="00AC717E"/>
    <w:rsid w:val="00AC73E3"/>
    <w:rsid w:val="00AC7668"/>
    <w:rsid w:val="00AC78ED"/>
    <w:rsid w:val="00AC7CAE"/>
    <w:rsid w:val="00AD12C1"/>
    <w:rsid w:val="00AD17C5"/>
    <w:rsid w:val="00AD1CC9"/>
    <w:rsid w:val="00AD2341"/>
    <w:rsid w:val="00AD37EE"/>
    <w:rsid w:val="00AD42B3"/>
    <w:rsid w:val="00AD43D6"/>
    <w:rsid w:val="00AD441E"/>
    <w:rsid w:val="00AD44DC"/>
    <w:rsid w:val="00AD4D64"/>
    <w:rsid w:val="00AD4E3D"/>
    <w:rsid w:val="00AD5A15"/>
    <w:rsid w:val="00AD5D44"/>
    <w:rsid w:val="00AD644B"/>
    <w:rsid w:val="00AD6F1D"/>
    <w:rsid w:val="00AD71E1"/>
    <w:rsid w:val="00AE0549"/>
    <w:rsid w:val="00AE09F6"/>
    <w:rsid w:val="00AE0E5E"/>
    <w:rsid w:val="00AE1635"/>
    <w:rsid w:val="00AE1946"/>
    <w:rsid w:val="00AE1A2E"/>
    <w:rsid w:val="00AE1B2C"/>
    <w:rsid w:val="00AE1EB9"/>
    <w:rsid w:val="00AE2A7A"/>
    <w:rsid w:val="00AE2CBF"/>
    <w:rsid w:val="00AE339F"/>
    <w:rsid w:val="00AE3B3F"/>
    <w:rsid w:val="00AE52AC"/>
    <w:rsid w:val="00AE663E"/>
    <w:rsid w:val="00AE6BC9"/>
    <w:rsid w:val="00AE6F79"/>
    <w:rsid w:val="00AE7E04"/>
    <w:rsid w:val="00AF0750"/>
    <w:rsid w:val="00AF0C2E"/>
    <w:rsid w:val="00AF0CB9"/>
    <w:rsid w:val="00AF1189"/>
    <w:rsid w:val="00AF11B8"/>
    <w:rsid w:val="00AF1EAB"/>
    <w:rsid w:val="00AF1F8F"/>
    <w:rsid w:val="00AF29FE"/>
    <w:rsid w:val="00AF3ADE"/>
    <w:rsid w:val="00AF3C0B"/>
    <w:rsid w:val="00AF3F11"/>
    <w:rsid w:val="00AF43DA"/>
    <w:rsid w:val="00AF4E7F"/>
    <w:rsid w:val="00AF4F12"/>
    <w:rsid w:val="00AF548B"/>
    <w:rsid w:val="00AF661A"/>
    <w:rsid w:val="00AF6801"/>
    <w:rsid w:val="00AF6890"/>
    <w:rsid w:val="00AF742C"/>
    <w:rsid w:val="00AF7C1B"/>
    <w:rsid w:val="00AF7D20"/>
    <w:rsid w:val="00B0072C"/>
    <w:rsid w:val="00B00BAC"/>
    <w:rsid w:val="00B00E8D"/>
    <w:rsid w:val="00B01A99"/>
    <w:rsid w:val="00B0218B"/>
    <w:rsid w:val="00B021E2"/>
    <w:rsid w:val="00B02306"/>
    <w:rsid w:val="00B02479"/>
    <w:rsid w:val="00B0274A"/>
    <w:rsid w:val="00B02889"/>
    <w:rsid w:val="00B03954"/>
    <w:rsid w:val="00B03A8B"/>
    <w:rsid w:val="00B03E44"/>
    <w:rsid w:val="00B0428A"/>
    <w:rsid w:val="00B04699"/>
    <w:rsid w:val="00B0494F"/>
    <w:rsid w:val="00B04E8B"/>
    <w:rsid w:val="00B04ED3"/>
    <w:rsid w:val="00B04F2F"/>
    <w:rsid w:val="00B067D2"/>
    <w:rsid w:val="00B068F7"/>
    <w:rsid w:val="00B0747C"/>
    <w:rsid w:val="00B07B94"/>
    <w:rsid w:val="00B10210"/>
    <w:rsid w:val="00B10245"/>
    <w:rsid w:val="00B10382"/>
    <w:rsid w:val="00B105B3"/>
    <w:rsid w:val="00B10BCD"/>
    <w:rsid w:val="00B10FA4"/>
    <w:rsid w:val="00B11058"/>
    <w:rsid w:val="00B114A7"/>
    <w:rsid w:val="00B11B23"/>
    <w:rsid w:val="00B11B8D"/>
    <w:rsid w:val="00B122FE"/>
    <w:rsid w:val="00B1245D"/>
    <w:rsid w:val="00B129D8"/>
    <w:rsid w:val="00B13686"/>
    <w:rsid w:val="00B13CFE"/>
    <w:rsid w:val="00B13F58"/>
    <w:rsid w:val="00B14B18"/>
    <w:rsid w:val="00B14D1F"/>
    <w:rsid w:val="00B14EDF"/>
    <w:rsid w:val="00B169B1"/>
    <w:rsid w:val="00B16EA1"/>
    <w:rsid w:val="00B16F0D"/>
    <w:rsid w:val="00B17381"/>
    <w:rsid w:val="00B1759B"/>
    <w:rsid w:val="00B20268"/>
    <w:rsid w:val="00B20332"/>
    <w:rsid w:val="00B207F1"/>
    <w:rsid w:val="00B20C08"/>
    <w:rsid w:val="00B212A9"/>
    <w:rsid w:val="00B21559"/>
    <w:rsid w:val="00B231AC"/>
    <w:rsid w:val="00B2345D"/>
    <w:rsid w:val="00B2387B"/>
    <w:rsid w:val="00B2388E"/>
    <w:rsid w:val="00B23E0B"/>
    <w:rsid w:val="00B2452B"/>
    <w:rsid w:val="00B25038"/>
    <w:rsid w:val="00B2566E"/>
    <w:rsid w:val="00B266A1"/>
    <w:rsid w:val="00B2675A"/>
    <w:rsid w:val="00B26CFF"/>
    <w:rsid w:val="00B274A0"/>
    <w:rsid w:val="00B30AEE"/>
    <w:rsid w:val="00B30B8E"/>
    <w:rsid w:val="00B31160"/>
    <w:rsid w:val="00B3138E"/>
    <w:rsid w:val="00B31698"/>
    <w:rsid w:val="00B31CA0"/>
    <w:rsid w:val="00B31EDC"/>
    <w:rsid w:val="00B32802"/>
    <w:rsid w:val="00B32955"/>
    <w:rsid w:val="00B336EE"/>
    <w:rsid w:val="00B34131"/>
    <w:rsid w:val="00B342BE"/>
    <w:rsid w:val="00B34437"/>
    <w:rsid w:val="00B3497B"/>
    <w:rsid w:val="00B34C64"/>
    <w:rsid w:val="00B34E3B"/>
    <w:rsid w:val="00B356D9"/>
    <w:rsid w:val="00B358AC"/>
    <w:rsid w:val="00B35BFB"/>
    <w:rsid w:val="00B36824"/>
    <w:rsid w:val="00B37061"/>
    <w:rsid w:val="00B403FC"/>
    <w:rsid w:val="00B404AB"/>
    <w:rsid w:val="00B407B0"/>
    <w:rsid w:val="00B409D8"/>
    <w:rsid w:val="00B40A39"/>
    <w:rsid w:val="00B40DE3"/>
    <w:rsid w:val="00B40E0A"/>
    <w:rsid w:val="00B4151C"/>
    <w:rsid w:val="00B41626"/>
    <w:rsid w:val="00B4196D"/>
    <w:rsid w:val="00B41E9C"/>
    <w:rsid w:val="00B42ADD"/>
    <w:rsid w:val="00B43046"/>
    <w:rsid w:val="00B43058"/>
    <w:rsid w:val="00B431DA"/>
    <w:rsid w:val="00B4345A"/>
    <w:rsid w:val="00B4372B"/>
    <w:rsid w:val="00B4373D"/>
    <w:rsid w:val="00B43CEC"/>
    <w:rsid w:val="00B4403B"/>
    <w:rsid w:val="00B44683"/>
    <w:rsid w:val="00B44BC7"/>
    <w:rsid w:val="00B44D1D"/>
    <w:rsid w:val="00B450F8"/>
    <w:rsid w:val="00B45B38"/>
    <w:rsid w:val="00B45F21"/>
    <w:rsid w:val="00B47128"/>
    <w:rsid w:val="00B4772C"/>
    <w:rsid w:val="00B47765"/>
    <w:rsid w:val="00B479FD"/>
    <w:rsid w:val="00B50AEB"/>
    <w:rsid w:val="00B50E84"/>
    <w:rsid w:val="00B50FEC"/>
    <w:rsid w:val="00B512C0"/>
    <w:rsid w:val="00B51B9B"/>
    <w:rsid w:val="00B5218C"/>
    <w:rsid w:val="00B538A5"/>
    <w:rsid w:val="00B54D5B"/>
    <w:rsid w:val="00B55561"/>
    <w:rsid w:val="00B56089"/>
    <w:rsid w:val="00B5668B"/>
    <w:rsid w:val="00B56E61"/>
    <w:rsid w:val="00B56FD1"/>
    <w:rsid w:val="00B575D4"/>
    <w:rsid w:val="00B605F3"/>
    <w:rsid w:val="00B60A2C"/>
    <w:rsid w:val="00B60DF0"/>
    <w:rsid w:val="00B61206"/>
    <w:rsid w:val="00B61673"/>
    <w:rsid w:val="00B61BEC"/>
    <w:rsid w:val="00B625FA"/>
    <w:rsid w:val="00B63D5C"/>
    <w:rsid w:val="00B63FF2"/>
    <w:rsid w:val="00B6487E"/>
    <w:rsid w:val="00B64ACD"/>
    <w:rsid w:val="00B64D6E"/>
    <w:rsid w:val="00B65034"/>
    <w:rsid w:val="00B653BA"/>
    <w:rsid w:val="00B65941"/>
    <w:rsid w:val="00B659F0"/>
    <w:rsid w:val="00B67545"/>
    <w:rsid w:val="00B675A9"/>
    <w:rsid w:val="00B67D83"/>
    <w:rsid w:val="00B7065B"/>
    <w:rsid w:val="00B70A79"/>
    <w:rsid w:val="00B7148D"/>
    <w:rsid w:val="00B71B27"/>
    <w:rsid w:val="00B71D18"/>
    <w:rsid w:val="00B72478"/>
    <w:rsid w:val="00B72490"/>
    <w:rsid w:val="00B72775"/>
    <w:rsid w:val="00B73542"/>
    <w:rsid w:val="00B738ED"/>
    <w:rsid w:val="00B73ED0"/>
    <w:rsid w:val="00B74089"/>
    <w:rsid w:val="00B74873"/>
    <w:rsid w:val="00B750EF"/>
    <w:rsid w:val="00B75D45"/>
    <w:rsid w:val="00B75EB1"/>
    <w:rsid w:val="00B76500"/>
    <w:rsid w:val="00B76B4A"/>
    <w:rsid w:val="00B76F99"/>
    <w:rsid w:val="00B77057"/>
    <w:rsid w:val="00B779A0"/>
    <w:rsid w:val="00B803B2"/>
    <w:rsid w:val="00B807EC"/>
    <w:rsid w:val="00B80BDC"/>
    <w:rsid w:val="00B80C5C"/>
    <w:rsid w:val="00B81CD8"/>
    <w:rsid w:val="00B81D64"/>
    <w:rsid w:val="00B8213C"/>
    <w:rsid w:val="00B82D5D"/>
    <w:rsid w:val="00B831AF"/>
    <w:rsid w:val="00B833C3"/>
    <w:rsid w:val="00B8344E"/>
    <w:rsid w:val="00B83F97"/>
    <w:rsid w:val="00B84403"/>
    <w:rsid w:val="00B8444F"/>
    <w:rsid w:val="00B85671"/>
    <w:rsid w:val="00B863AF"/>
    <w:rsid w:val="00B86471"/>
    <w:rsid w:val="00B864AF"/>
    <w:rsid w:val="00B866B4"/>
    <w:rsid w:val="00B86B2C"/>
    <w:rsid w:val="00B86DDB"/>
    <w:rsid w:val="00B86FB8"/>
    <w:rsid w:val="00B8722D"/>
    <w:rsid w:val="00B91771"/>
    <w:rsid w:val="00B92F44"/>
    <w:rsid w:val="00B93127"/>
    <w:rsid w:val="00B9319B"/>
    <w:rsid w:val="00B93BF9"/>
    <w:rsid w:val="00B93C36"/>
    <w:rsid w:val="00B953AA"/>
    <w:rsid w:val="00B9549F"/>
    <w:rsid w:val="00B95CCB"/>
    <w:rsid w:val="00B96303"/>
    <w:rsid w:val="00B963C5"/>
    <w:rsid w:val="00B9689D"/>
    <w:rsid w:val="00B970BE"/>
    <w:rsid w:val="00B97C96"/>
    <w:rsid w:val="00B97FF1"/>
    <w:rsid w:val="00BA00BD"/>
    <w:rsid w:val="00BA0173"/>
    <w:rsid w:val="00BA07F6"/>
    <w:rsid w:val="00BA0945"/>
    <w:rsid w:val="00BA1707"/>
    <w:rsid w:val="00BA1FE9"/>
    <w:rsid w:val="00BA2589"/>
    <w:rsid w:val="00BA3241"/>
    <w:rsid w:val="00BA3D59"/>
    <w:rsid w:val="00BA4AA1"/>
    <w:rsid w:val="00BA4FF8"/>
    <w:rsid w:val="00BA51AF"/>
    <w:rsid w:val="00BA5276"/>
    <w:rsid w:val="00BA52AC"/>
    <w:rsid w:val="00BA56B6"/>
    <w:rsid w:val="00BA5A59"/>
    <w:rsid w:val="00BA66C1"/>
    <w:rsid w:val="00BA677D"/>
    <w:rsid w:val="00BA7168"/>
    <w:rsid w:val="00BA748F"/>
    <w:rsid w:val="00BA7C88"/>
    <w:rsid w:val="00BA7DDD"/>
    <w:rsid w:val="00BB0A66"/>
    <w:rsid w:val="00BB0D6D"/>
    <w:rsid w:val="00BB0F61"/>
    <w:rsid w:val="00BB1582"/>
    <w:rsid w:val="00BB26DD"/>
    <w:rsid w:val="00BB2FAF"/>
    <w:rsid w:val="00BB320D"/>
    <w:rsid w:val="00BB3267"/>
    <w:rsid w:val="00BB3E29"/>
    <w:rsid w:val="00BB4D6E"/>
    <w:rsid w:val="00BB4E72"/>
    <w:rsid w:val="00BB553D"/>
    <w:rsid w:val="00BB571A"/>
    <w:rsid w:val="00BB649B"/>
    <w:rsid w:val="00BB7EF8"/>
    <w:rsid w:val="00BC05F2"/>
    <w:rsid w:val="00BC0A69"/>
    <w:rsid w:val="00BC0E28"/>
    <w:rsid w:val="00BC114B"/>
    <w:rsid w:val="00BC1304"/>
    <w:rsid w:val="00BC15F5"/>
    <w:rsid w:val="00BC1757"/>
    <w:rsid w:val="00BC189A"/>
    <w:rsid w:val="00BC1A77"/>
    <w:rsid w:val="00BC211B"/>
    <w:rsid w:val="00BC263E"/>
    <w:rsid w:val="00BC2BFA"/>
    <w:rsid w:val="00BC31A1"/>
    <w:rsid w:val="00BC38AF"/>
    <w:rsid w:val="00BC3E9E"/>
    <w:rsid w:val="00BC41D6"/>
    <w:rsid w:val="00BC42DF"/>
    <w:rsid w:val="00BC4B03"/>
    <w:rsid w:val="00BC5165"/>
    <w:rsid w:val="00BC5C20"/>
    <w:rsid w:val="00BC6590"/>
    <w:rsid w:val="00BC6815"/>
    <w:rsid w:val="00BC7198"/>
    <w:rsid w:val="00BC7A5A"/>
    <w:rsid w:val="00BC7FFC"/>
    <w:rsid w:val="00BD036A"/>
    <w:rsid w:val="00BD0CB5"/>
    <w:rsid w:val="00BD16DF"/>
    <w:rsid w:val="00BD2648"/>
    <w:rsid w:val="00BD2925"/>
    <w:rsid w:val="00BD39CC"/>
    <w:rsid w:val="00BD3AE0"/>
    <w:rsid w:val="00BD420C"/>
    <w:rsid w:val="00BD46D2"/>
    <w:rsid w:val="00BD55C6"/>
    <w:rsid w:val="00BD5910"/>
    <w:rsid w:val="00BD5AB7"/>
    <w:rsid w:val="00BD5D8F"/>
    <w:rsid w:val="00BD663D"/>
    <w:rsid w:val="00BD66AD"/>
    <w:rsid w:val="00BD69B8"/>
    <w:rsid w:val="00BD69CA"/>
    <w:rsid w:val="00BD6E90"/>
    <w:rsid w:val="00BD710F"/>
    <w:rsid w:val="00BD747C"/>
    <w:rsid w:val="00BD77B1"/>
    <w:rsid w:val="00BD7C25"/>
    <w:rsid w:val="00BD7CDA"/>
    <w:rsid w:val="00BE00CC"/>
    <w:rsid w:val="00BE0230"/>
    <w:rsid w:val="00BE0AA0"/>
    <w:rsid w:val="00BE0F9E"/>
    <w:rsid w:val="00BE1166"/>
    <w:rsid w:val="00BE17B1"/>
    <w:rsid w:val="00BE19BA"/>
    <w:rsid w:val="00BE24FA"/>
    <w:rsid w:val="00BE36DB"/>
    <w:rsid w:val="00BE384E"/>
    <w:rsid w:val="00BE3873"/>
    <w:rsid w:val="00BE3E17"/>
    <w:rsid w:val="00BE4D8F"/>
    <w:rsid w:val="00BE527A"/>
    <w:rsid w:val="00BE5637"/>
    <w:rsid w:val="00BE5AC5"/>
    <w:rsid w:val="00BE5F12"/>
    <w:rsid w:val="00BE66D0"/>
    <w:rsid w:val="00BE6AB9"/>
    <w:rsid w:val="00BE6B3E"/>
    <w:rsid w:val="00BE6BFE"/>
    <w:rsid w:val="00BE6F4B"/>
    <w:rsid w:val="00BE738C"/>
    <w:rsid w:val="00BF06C1"/>
    <w:rsid w:val="00BF0951"/>
    <w:rsid w:val="00BF1116"/>
    <w:rsid w:val="00BF1734"/>
    <w:rsid w:val="00BF2472"/>
    <w:rsid w:val="00BF3D21"/>
    <w:rsid w:val="00BF3DEC"/>
    <w:rsid w:val="00BF4B16"/>
    <w:rsid w:val="00BF4F59"/>
    <w:rsid w:val="00BF4FC0"/>
    <w:rsid w:val="00BF54C6"/>
    <w:rsid w:val="00BF5571"/>
    <w:rsid w:val="00BF69CA"/>
    <w:rsid w:val="00BF6F64"/>
    <w:rsid w:val="00BF7206"/>
    <w:rsid w:val="00BF73B0"/>
    <w:rsid w:val="00BF744E"/>
    <w:rsid w:val="00BF7824"/>
    <w:rsid w:val="00BF7F1B"/>
    <w:rsid w:val="00C013DB"/>
    <w:rsid w:val="00C017AD"/>
    <w:rsid w:val="00C01886"/>
    <w:rsid w:val="00C01FDB"/>
    <w:rsid w:val="00C02413"/>
    <w:rsid w:val="00C030A0"/>
    <w:rsid w:val="00C034C4"/>
    <w:rsid w:val="00C03A6B"/>
    <w:rsid w:val="00C03BCE"/>
    <w:rsid w:val="00C04D8C"/>
    <w:rsid w:val="00C0522E"/>
    <w:rsid w:val="00C05484"/>
    <w:rsid w:val="00C054AB"/>
    <w:rsid w:val="00C055B4"/>
    <w:rsid w:val="00C05CB6"/>
    <w:rsid w:val="00C0650E"/>
    <w:rsid w:val="00C06A48"/>
    <w:rsid w:val="00C06AAD"/>
    <w:rsid w:val="00C06FD5"/>
    <w:rsid w:val="00C07800"/>
    <w:rsid w:val="00C07BB7"/>
    <w:rsid w:val="00C07BC4"/>
    <w:rsid w:val="00C07DF8"/>
    <w:rsid w:val="00C115C2"/>
    <w:rsid w:val="00C1224C"/>
    <w:rsid w:val="00C12842"/>
    <w:rsid w:val="00C1302A"/>
    <w:rsid w:val="00C13409"/>
    <w:rsid w:val="00C13856"/>
    <w:rsid w:val="00C13BF7"/>
    <w:rsid w:val="00C14033"/>
    <w:rsid w:val="00C14121"/>
    <w:rsid w:val="00C14A2C"/>
    <w:rsid w:val="00C14A3E"/>
    <w:rsid w:val="00C14A3F"/>
    <w:rsid w:val="00C15944"/>
    <w:rsid w:val="00C15F2B"/>
    <w:rsid w:val="00C15FE0"/>
    <w:rsid w:val="00C16514"/>
    <w:rsid w:val="00C17BE7"/>
    <w:rsid w:val="00C17DC3"/>
    <w:rsid w:val="00C2039A"/>
    <w:rsid w:val="00C20D77"/>
    <w:rsid w:val="00C20EC7"/>
    <w:rsid w:val="00C21767"/>
    <w:rsid w:val="00C21D5E"/>
    <w:rsid w:val="00C2240B"/>
    <w:rsid w:val="00C22758"/>
    <w:rsid w:val="00C235CF"/>
    <w:rsid w:val="00C24985"/>
    <w:rsid w:val="00C252EC"/>
    <w:rsid w:val="00C26224"/>
    <w:rsid w:val="00C264E5"/>
    <w:rsid w:val="00C26E32"/>
    <w:rsid w:val="00C26ECB"/>
    <w:rsid w:val="00C27D03"/>
    <w:rsid w:val="00C303F8"/>
    <w:rsid w:val="00C30484"/>
    <w:rsid w:val="00C308B5"/>
    <w:rsid w:val="00C31A20"/>
    <w:rsid w:val="00C31A2B"/>
    <w:rsid w:val="00C31C10"/>
    <w:rsid w:val="00C31D93"/>
    <w:rsid w:val="00C326E8"/>
    <w:rsid w:val="00C327AA"/>
    <w:rsid w:val="00C32A56"/>
    <w:rsid w:val="00C33768"/>
    <w:rsid w:val="00C33E10"/>
    <w:rsid w:val="00C34522"/>
    <w:rsid w:val="00C34C1F"/>
    <w:rsid w:val="00C34E91"/>
    <w:rsid w:val="00C35074"/>
    <w:rsid w:val="00C352B7"/>
    <w:rsid w:val="00C35F85"/>
    <w:rsid w:val="00C36AB0"/>
    <w:rsid w:val="00C36BAD"/>
    <w:rsid w:val="00C37140"/>
    <w:rsid w:val="00C371CF"/>
    <w:rsid w:val="00C37305"/>
    <w:rsid w:val="00C37B83"/>
    <w:rsid w:val="00C40B66"/>
    <w:rsid w:val="00C40FD4"/>
    <w:rsid w:val="00C4101A"/>
    <w:rsid w:val="00C41230"/>
    <w:rsid w:val="00C414EC"/>
    <w:rsid w:val="00C4158C"/>
    <w:rsid w:val="00C415D0"/>
    <w:rsid w:val="00C41891"/>
    <w:rsid w:val="00C41ACB"/>
    <w:rsid w:val="00C425F2"/>
    <w:rsid w:val="00C4272D"/>
    <w:rsid w:val="00C433AB"/>
    <w:rsid w:val="00C43497"/>
    <w:rsid w:val="00C44CB5"/>
    <w:rsid w:val="00C46383"/>
    <w:rsid w:val="00C46E6D"/>
    <w:rsid w:val="00C475E1"/>
    <w:rsid w:val="00C47924"/>
    <w:rsid w:val="00C47D44"/>
    <w:rsid w:val="00C47F54"/>
    <w:rsid w:val="00C503D0"/>
    <w:rsid w:val="00C50C10"/>
    <w:rsid w:val="00C51773"/>
    <w:rsid w:val="00C51E1C"/>
    <w:rsid w:val="00C52842"/>
    <w:rsid w:val="00C52AA2"/>
    <w:rsid w:val="00C53086"/>
    <w:rsid w:val="00C536EF"/>
    <w:rsid w:val="00C53883"/>
    <w:rsid w:val="00C53EE6"/>
    <w:rsid w:val="00C546D1"/>
    <w:rsid w:val="00C547E3"/>
    <w:rsid w:val="00C549B2"/>
    <w:rsid w:val="00C554A8"/>
    <w:rsid w:val="00C55A71"/>
    <w:rsid w:val="00C603C0"/>
    <w:rsid w:val="00C60852"/>
    <w:rsid w:val="00C60963"/>
    <w:rsid w:val="00C6176C"/>
    <w:rsid w:val="00C61B64"/>
    <w:rsid w:val="00C61B75"/>
    <w:rsid w:val="00C61D0A"/>
    <w:rsid w:val="00C61FAB"/>
    <w:rsid w:val="00C6234B"/>
    <w:rsid w:val="00C62729"/>
    <w:rsid w:val="00C62A52"/>
    <w:rsid w:val="00C6361F"/>
    <w:rsid w:val="00C637E4"/>
    <w:rsid w:val="00C6429C"/>
    <w:rsid w:val="00C6467E"/>
    <w:rsid w:val="00C648F5"/>
    <w:rsid w:val="00C64B28"/>
    <w:rsid w:val="00C65679"/>
    <w:rsid w:val="00C65A8A"/>
    <w:rsid w:val="00C66287"/>
    <w:rsid w:val="00C6656E"/>
    <w:rsid w:val="00C66E07"/>
    <w:rsid w:val="00C67243"/>
    <w:rsid w:val="00C67B09"/>
    <w:rsid w:val="00C67FFC"/>
    <w:rsid w:val="00C7052E"/>
    <w:rsid w:val="00C70916"/>
    <w:rsid w:val="00C70D9B"/>
    <w:rsid w:val="00C70FB2"/>
    <w:rsid w:val="00C712D0"/>
    <w:rsid w:val="00C71318"/>
    <w:rsid w:val="00C720AB"/>
    <w:rsid w:val="00C720DF"/>
    <w:rsid w:val="00C7229E"/>
    <w:rsid w:val="00C72795"/>
    <w:rsid w:val="00C72FE0"/>
    <w:rsid w:val="00C7302A"/>
    <w:rsid w:val="00C738DC"/>
    <w:rsid w:val="00C74125"/>
    <w:rsid w:val="00C7413B"/>
    <w:rsid w:val="00C74D69"/>
    <w:rsid w:val="00C754FB"/>
    <w:rsid w:val="00C75A04"/>
    <w:rsid w:val="00C75C00"/>
    <w:rsid w:val="00C761BE"/>
    <w:rsid w:val="00C761E4"/>
    <w:rsid w:val="00C7658C"/>
    <w:rsid w:val="00C76A88"/>
    <w:rsid w:val="00C76F51"/>
    <w:rsid w:val="00C77488"/>
    <w:rsid w:val="00C77985"/>
    <w:rsid w:val="00C806C8"/>
    <w:rsid w:val="00C8079D"/>
    <w:rsid w:val="00C80C52"/>
    <w:rsid w:val="00C81577"/>
    <w:rsid w:val="00C8196E"/>
    <w:rsid w:val="00C81E6E"/>
    <w:rsid w:val="00C81E92"/>
    <w:rsid w:val="00C82860"/>
    <w:rsid w:val="00C82EB2"/>
    <w:rsid w:val="00C82EB9"/>
    <w:rsid w:val="00C843E2"/>
    <w:rsid w:val="00C84DBE"/>
    <w:rsid w:val="00C84FE1"/>
    <w:rsid w:val="00C85967"/>
    <w:rsid w:val="00C85CB3"/>
    <w:rsid w:val="00C8665A"/>
    <w:rsid w:val="00C868DB"/>
    <w:rsid w:val="00C86A5C"/>
    <w:rsid w:val="00C874F3"/>
    <w:rsid w:val="00C90034"/>
    <w:rsid w:val="00C90462"/>
    <w:rsid w:val="00C9252C"/>
    <w:rsid w:val="00C9278E"/>
    <w:rsid w:val="00C92B22"/>
    <w:rsid w:val="00C93FEA"/>
    <w:rsid w:val="00C94A08"/>
    <w:rsid w:val="00C94CBB"/>
    <w:rsid w:val="00C950C9"/>
    <w:rsid w:val="00C9535F"/>
    <w:rsid w:val="00C95BC1"/>
    <w:rsid w:val="00C95DFB"/>
    <w:rsid w:val="00C96222"/>
    <w:rsid w:val="00C96870"/>
    <w:rsid w:val="00C96979"/>
    <w:rsid w:val="00CA0149"/>
    <w:rsid w:val="00CA05DB"/>
    <w:rsid w:val="00CA0750"/>
    <w:rsid w:val="00CA0882"/>
    <w:rsid w:val="00CA0B44"/>
    <w:rsid w:val="00CA0C0D"/>
    <w:rsid w:val="00CA0E1B"/>
    <w:rsid w:val="00CA0F9A"/>
    <w:rsid w:val="00CA1BFE"/>
    <w:rsid w:val="00CA1E50"/>
    <w:rsid w:val="00CA2B3E"/>
    <w:rsid w:val="00CA37DA"/>
    <w:rsid w:val="00CA3ADB"/>
    <w:rsid w:val="00CA4DD3"/>
    <w:rsid w:val="00CA5459"/>
    <w:rsid w:val="00CA6697"/>
    <w:rsid w:val="00CA675C"/>
    <w:rsid w:val="00CA6C1E"/>
    <w:rsid w:val="00CA75DF"/>
    <w:rsid w:val="00CA7F5A"/>
    <w:rsid w:val="00CA7FEA"/>
    <w:rsid w:val="00CB01B3"/>
    <w:rsid w:val="00CB089F"/>
    <w:rsid w:val="00CB0B06"/>
    <w:rsid w:val="00CB0FAC"/>
    <w:rsid w:val="00CB1BA4"/>
    <w:rsid w:val="00CB2636"/>
    <w:rsid w:val="00CB270B"/>
    <w:rsid w:val="00CB2C05"/>
    <w:rsid w:val="00CB2D41"/>
    <w:rsid w:val="00CB2FDA"/>
    <w:rsid w:val="00CB44B4"/>
    <w:rsid w:val="00CB4719"/>
    <w:rsid w:val="00CB48BE"/>
    <w:rsid w:val="00CB503D"/>
    <w:rsid w:val="00CB5099"/>
    <w:rsid w:val="00CB61DA"/>
    <w:rsid w:val="00CB6C23"/>
    <w:rsid w:val="00CB724C"/>
    <w:rsid w:val="00CB745B"/>
    <w:rsid w:val="00CB7790"/>
    <w:rsid w:val="00CB77D5"/>
    <w:rsid w:val="00CB78B1"/>
    <w:rsid w:val="00CB7A9F"/>
    <w:rsid w:val="00CC1549"/>
    <w:rsid w:val="00CC21A6"/>
    <w:rsid w:val="00CC2422"/>
    <w:rsid w:val="00CC28FE"/>
    <w:rsid w:val="00CC294E"/>
    <w:rsid w:val="00CC3B34"/>
    <w:rsid w:val="00CC4528"/>
    <w:rsid w:val="00CC577D"/>
    <w:rsid w:val="00CC5C9F"/>
    <w:rsid w:val="00CC5FE7"/>
    <w:rsid w:val="00CC61DB"/>
    <w:rsid w:val="00CC62DC"/>
    <w:rsid w:val="00CC6D25"/>
    <w:rsid w:val="00CC6E95"/>
    <w:rsid w:val="00CC7137"/>
    <w:rsid w:val="00CC76C1"/>
    <w:rsid w:val="00CC7ED7"/>
    <w:rsid w:val="00CD02A9"/>
    <w:rsid w:val="00CD1318"/>
    <w:rsid w:val="00CD273E"/>
    <w:rsid w:val="00CD2EAC"/>
    <w:rsid w:val="00CD3F15"/>
    <w:rsid w:val="00CD4254"/>
    <w:rsid w:val="00CD4539"/>
    <w:rsid w:val="00CD55D6"/>
    <w:rsid w:val="00CD5DCF"/>
    <w:rsid w:val="00CD5F32"/>
    <w:rsid w:val="00CD6969"/>
    <w:rsid w:val="00CD735E"/>
    <w:rsid w:val="00CE0660"/>
    <w:rsid w:val="00CE147F"/>
    <w:rsid w:val="00CE17F0"/>
    <w:rsid w:val="00CE1928"/>
    <w:rsid w:val="00CE1CA8"/>
    <w:rsid w:val="00CE2443"/>
    <w:rsid w:val="00CE2561"/>
    <w:rsid w:val="00CE2BB6"/>
    <w:rsid w:val="00CE33C7"/>
    <w:rsid w:val="00CE3BAD"/>
    <w:rsid w:val="00CE3DFF"/>
    <w:rsid w:val="00CE44B9"/>
    <w:rsid w:val="00CE451B"/>
    <w:rsid w:val="00CE4B63"/>
    <w:rsid w:val="00CE4E67"/>
    <w:rsid w:val="00CE5436"/>
    <w:rsid w:val="00CE5555"/>
    <w:rsid w:val="00CE579F"/>
    <w:rsid w:val="00CE583E"/>
    <w:rsid w:val="00CE58D2"/>
    <w:rsid w:val="00CE5EF3"/>
    <w:rsid w:val="00CE6983"/>
    <w:rsid w:val="00CE70CC"/>
    <w:rsid w:val="00CE722C"/>
    <w:rsid w:val="00CE7710"/>
    <w:rsid w:val="00CF034A"/>
    <w:rsid w:val="00CF059F"/>
    <w:rsid w:val="00CF0C2A"/>
    <w:rsid w:val="00CF1094"/>
    <w:rsid w:val="00CF1986"/>
    <w:rsid w:val="00CF1E63"/>
    <w:rsid w:val="00CF1FEC"/>
    <w:rsid w:val="00CF2481"/>
    <w:rsid w:val="00CF27BD"/>
    <w:rsid w:val="00CF34C4"/>
    <w:rsid w:val="00CF4740"/>
    <w:rsid w:val="00CF4B59"/>
    <w:rsid w:val="00CF4F0A"/>
    <w:rsid w:val="00CF4F4B"/>
    <w:rsid w:val="00CF59C5"/>
    <w:rsid w:val="00CF6013"/>
    <w:rsid w:val="00CF63AD"/>
    <w:rsid w:val="00CF66A7"/>
    <w:rsid w:val="00CF685B"/>
    <w:rsid w:val="00CF71C1"/>
    <w:rsid w:val="00CF7214"/>
    <w:rsid w:val="00CF7B02"/>
    <w:rsid w:val="00D003FE"/>
    <w:rsid w:val="00D00847"/>
    <w:rsid w:val="00D03170"/>
    <w:rsid w:val="00D03188"/>
    <w:rsid w:val="00D059AB"/>
    <w:rsid w:val="00D05A76"/>
    <w:rsid w:val="00D05A9F"/>
    <w:rsid w:val="00D05AFD"/>
    <w:rsid w:val="00D05D91"/>
    <w:rsid w:val="00D060E9"/>
    <w:rsid w:val="00D0610E"/>
    <w:rsid w:val="00D0691E"/>
    <w:rsid w:val="00D06B7F"/>
    <w:rsid w:val="00D070CB"/>
    <w:rsid w:val="00D076F3"/>
    <w:rsid w:val="00D0781D"/>
    <w:rsid w:val="00D10680"/>
    <w:rsid w:val="00D10968"/>
    <w:rsid w:val="00D10EC2"/>
    <w:rsid w:val="00D115F9"/>
    <w:rsid w:val="00D11747"/>
    <w:rsid w:val="00D12094"/>
    <w:rsid w:val="00D130F8"/>
    <w:rsid w:val="00D13900"/>
    <w:rsid w:val="00D15052"/>
    <w:rsid w:val="00D154FD"/>
    <w:rsid w:val="00D15A5B"/>
    <w:rsid w:val="00D15BD7"/>
    <w:rsid w:val="00D16801"/>
    <w:rsid w:val="00D17515"/>
    <w:rsid w:val="00D20013"/>
    <w:rsid w:val="00D205D2"/>
    <w:rsid w:val="00D20CA0"/>
    <w:rsid w:val="00D216E1"/>
    <w:rsid w:val="00D21C98"/>
    <w:rsid w:val="00D222BF"/>
    <w:rsid w:val="00D224BB"/>
    <w:rsid w:val="00D22579"/>
    <w:rsid w:val="00D22B6D"/>
    <w:rsid w:val="00D23C5C"/>
    <w:rsid w:val="00D2429F"/>
    <w:rsid w:val="00D24414"/>
    <w:rsid w:val="00D2448A"/>
    <w:rsid w:val="00D2487F"/>
    <w:rsid w:val="00D24B84"/>
    <w:rsid w:val="00D24CB0"/>
    <w:rsid w:val="00D2510E"/>
    <w:rsid w:val="00D25817"/>
    <w:rsid w:val="00D2590F"/>
    <w:rsid w:val="00D259C8"/>
    <w:rsid w:val="00D25B2E"/>
    <w:rsid w:val="00D25BB7"/>
    <w:rsid w:val="00D2653C"/>
    <w:rsid w:val="00D26E6E"/>
    <w:rsid w:val="00D26EE9"/>
    <w:rsid w:val="00D2711B"/>
    <w:rsid w:val="00D2745E"/>
    <w:rsid w:val="00D27593"/>
    <w:rsid w:val="00D277A4"/>
    <w:rsid w:val="00D30330"/>
    <w:rsid w:val="00D30CCF"/>
    <w:rsid w:val="00D3190F"/>
    <w:rsid w:val="00D31C5C"/>
    <w:rsid w:val="00D324FC"/>
    <w:rsid w:val="00D32882"/>
    <w:rsid w:val="00D32ED3"/>
    <w:rsid w:val="00D3337B"/>
    <w:rsid w:val="00D3366B"/>
    <w:rsid w:val="00D3394C"/>
    <w:rsid w:val="00D33CFF"/>
    <w:rsid w:val="00D34135"/>
    <w:rsid w:val="00D348B9"/>
    <w:rsid w:val="00D34D2C"/>
    <w:rsid w:val="00D35094"/>
    <w:rsid w:val="00D3544B"/>
    <w:rsid w:val="00D3561E"/>
    <w:rsid w:val="00D35820"/>
    <w:rsid w:val="00D358FB"/>
    <w:rsid w:val="00D35F9A"/>
    <w:rsid w:val="00D35FBA"/>
    <w:rsid w:val="00D36AAC"/>
    <w:rsid w:val="00D3784E"/>
    <w:rsid w:val="00D40279"/>
    <w:rsid w:val="00D40D4C"/>
    <w:rsid w:val="00D40DC6"/>
    <w:rsid w:val="00D41DC0"/>
    <w:rsid w:val="00D424A8"/>
    <w:rsid w:val="00D42BC6"/>
    <w:rsid w:val="00D42BC7"/>
    <w:rsid w:val="00D436BF"/>
    <w:rsid w:val="00D445B3"/>
    <w:rsid w:val="00D44733"/>
    <w:rsid w:val="00D44A72"/>
    <w:rsid w:val="00D44EAB"/>
    <w:rsid w:val="00D457AC"/>
    <w:rsid w:val="00D46657"/>
    <w:rsid w:val="00D46A2E"/>
    <w:rsid w:val="00D46A33"/>
    <w:rsid w:val="00D47852"/>
    <w:rsid w:val="00D47A3F"/>
    <w:rsid w:val="00D47C1D"/>
    <w:rsid w:val="00D5083B"/>
    <w:rsid w:val="00D5091E"/>
    <w:rsid w:val="00D5098C"/>
    <w:rsid w:val="00D50A17"/>
    <w:rsid w:val="00D50BA7"/>
    <w:rsid w:val="00D50F50"/>
    <w:rsid w:val="00D5121E"/>
    <w:rsid w:val="00D513A5"/>
    <w:rsid w:val="00D51B49"/>
    <w:rsid w:val="00D52110"/>
    <w:rsid w:val="00D52460"/>
    <w:rsid w:val="00D526AD"/>
    <w:rsid w:val="00D5530F"/>
    <w:rsid w:val="00D55509"/>
    <w:rsid w:val="00D55716"/>
    <w:rsid w:val="00D55725"/>
    <w:rsid w:val="00D569A5"/>
    <w:rsid w:val="00D573C2"/>
    <w:rsid w:val="00D575DA"/>
    <w:rsid w:val="00D57727"/>
    <w:rsid w:val="00D57BE1"/>
    <w:rsid w:val="00D57FAE"/>
    <w:rsid w:val="00D60582"/>
    <w:rsid w:val="00D6084D"/>
    <w:rsid w:val="00D614AA"/>
    <w:rsid w:val="00D617BB"/>
    <w:rsid w:val="00D618D1"/>
    <w:rsid w:val="00D61E03"/>
    <w:rsid w:val="00D62073"/>
    <w:rsid w:val="00D6281B"/>
    <w:rsid w:val="00D6287F"/>
    <w:rsid w:val="00D62C62"/>
    <w:rsid w:val="00D635C1"/>
    <w:rsid w:val="00D636D9"/>
    <w:rsid w:val="00D63AEA"/>
    <w:rsid w:val="00D64425"/>
    <w:rsid w:val="00D64543"/>
    <w:rsid w:val="00D64CA4"/>
    <w:rsid w:val="00D66E28"/>
    <w:rsid w:val="00D66FB6"/>
    <w:rsid w:val="00D7044C"/>
    <w:rsid w:val="00D70F1B"/>
    <w:rsid w:val="00D71992"/>
    <w:rsid w:val="00D74241"/>
    <w:rsid w:val="00D74451"/>
    <w:rsid w:val="00D75E62"/>
    <w:rsid w:val="00D763AB"/>
    <w:rsid w:val="00D76A98"/>
    <w:rsid w:val="00D76C1A"/>
    <w:rsid w:val="00D76F28"/>
    <w:rsid w:val="00D77EB1"/>
    <w:rsid w:val="00D80EB2"/>
    <w:rsid w:val="00D814D9"/>
    <w:rsid w:val="00D8244E"/>
    <w:rsid w:val="00D82893"/>
    <w:rsid w:val="00D837F3"/>
    <w:rsid w:val="00D83CAD"/>
    <w:rsid w:val="00D84E1E"/>
    <w:rsid w:val="00D85FB6"/>
    <w:rsid w:val="00D867CF"/>
    <w:rsid w:val="00D87067"/>
    <w:rsid w:val="00D8798F"/>
    <w:rsid w:val="00D87E9B"/>
    <w:rsid w:val="00D90275"/>
    <w:rsid w:val="00D903A1"/>
    <w:rsid w:val="00D90700"/>
    <w:rsid w:val="00D913C7"/>
    <w:rsid w:val="00D916C2"/>
    <w:rsid w:val="00D9174B"/>
    <w:rsid w:val="00D91965"/>
    <w:rsid w:val="00D91D61"/>
    <w:rsid w:val="00D927B1"/>
    <w:rsid w:val="00D92AEE"/>
    <w:rsid w:val="00D92C2A"/>
    <w:rsid w:val="00D92CC8"/>
    <w:rsid w:val="00D9323A"/>
    <w:rsid w:val="00D93407"/>
    <w:rsid w:val="00D93E09"/>
    <w:rsid w:val="00D94472"/>
    <w:rsid w:val="00D946CD"/>
    <w:rsid w:val="00D948E9"/>
    <w:rsid w:val="00D94A8F"/>
    <w:rsid w:val="00D94CC0"/>
    <w:rsid w:val="00D9500F"/>
    <w:rsid w:val="00D95900"/>
    <w:rsid w:val="00D96162"/>
    <w:rsid w:val="00D96567"/>
    <w:rsid w:val="00D96CF5"/>
    <w:rsid w:val="00D9705A"/>
    <w:rsid w:val="00D9724D"/>
    <w:rsid w:val="00D9752D"/>
    <w:rsid w:val="00DA01EB"/>
    <w:rsid w:val="00DA18A7"/>
    <w:rsid w:val="00DA1EDB"/>
    <w:rsid w:val="00DA2279"/>
    <w:rsid w:val="00DA29F3"/>
    <w:rsid w:val="00DA4148"/>
    <w:rsid w:val="00DA442D"/>
    <w:rsid w:val="00DA476E"/>
    <w:rsid w:val="00DA4B3C"/>
    <w:rsid w:val="00DA52EC"/>
    <w:rsid w:val="00DA53FE"/>
    <w:rsid w:val="00DA59CF"/>
    <w:rsid w:val="00DA6435"/>
    <w:rsid w:val="00DA683A"/>
    <w:rsid w:val="00DA6E19"/>
    <w:rsid w:val="00DA7556"/>
    <w:rsid w:val="00DB06FE"/>
    <w:rsid w:val="00DB08D4"/>
    <w:rsid w:val="00DB0D5B"/>
    <w:rsid w:val="00DB0DA8"/>
    <w:rsid w:val="00DB15BA"/>
    <w:rsid w:val="00DB1F78"/>
    <w:rsid w:val="00DB28F1"/>
    <w:rsid w:val="00DB2BFC"/>
    <w:rsid w:val="00DB2CF3"/>
    <w:rsid w:val="00DB3918"/>
    <w:rsid w:val="00DB3C54"/>
    <w:rsid w:val="00DB3D23"/>
    <w:rsid w:val="00DB44A0"/>
    <w:rsid w:val="00DB49D7"/>
    <w:rsid w:val="00DB4D8E"/>
    <w:rsid w:val="00DB5308"/>
    <w:rsid w:val="00DB5ADE"/>
    <w:rsid w:val="00DB696D"/>
    <w:rsid w:val="00DB7935"/>
    <w:rsid w:val="00DB7D5B"/>
    <w:rsid w:val="00DC008B"/>
    <w:rsid w:val="00DC0AE2"/>
    <w:rsid w:val="00DC1E63"/>
    <w:rsid w:val="00DC2EFE"/>
    <w:rsid w:val="00DC34C4"/>
    <w:rsid w:val="00DC37DF"/>
    <w:rsid w:val="00DC3A48"/>
    <w:rsid w:val="00DC45E9"/>
    <w:rsid w:val="00DC46C1"/>
    <w:rsid w:val="00DC478E"/>
    <w:rsid w:val="00DC5B3D"/>
    <w:rsid w:val="00DC62F4"/>
    <w:rsid w:val="00DC6340"/>
    <w:rsid w:val="00DC6BEB"/>
    <w:rsid w:val="00DC7B9E"/>
    <w:rsid w:val="00DC7C3C"/>
    <w:rsid w:val="00DD0C19"/>
    <w:rsid w:val="00DD12A5"/>
    <w:rsid w:val="00DD1428"/>
    <w:rsid w:val="00DD1781"/>
    <w:rsid w:val="00DD1BBA"/>
    <w:rsid w:val="00DD2008"/>
    <w:rsid w:val="00DD2811"/>
    <w:rsid w:val="00DD2901"/>
    <w:rsid w:val="00DD3264"/>
    <w:rsid w:val="00DD3433"/>
    <w:rsid w:val="00DD3D7F"/>
    <w:rsid w:val="00DD4E00"/>
    <w:rsid w:val="00DD53D7"/>
    <w:rsid w:val="00DD56D2"/>
    <w:rsid w:val="00DD576C"/>
    <w:rsid w:val="00DD5902"/>
    <w:rsid w:val="00DD6268"/>
    <w:rsid w:val="00DD6BA2"/>
    <w:rsid w:val="00DD6E67"/>
    <w:rsid w:val="00DD74E6"/>
    <w:rsid w:val="00DD759B"/>
    <w:rsid w:val="00DD7634"/>
    <w:rsid w:val="00DD773F"/>
    <w:rsid w:val="00DD7DB6"/>
    <w:rsid w:val="00DE0306"/>
    <w:rsid w:val="00DE03C5"/>
    <w:rsid w:val="00DE061F"/>
    <w:rsid w:val="00DE06EC"/>
    <w:rsid w:val="00DE0FCD"/>
    <w:rsid w:val="00DE11C3"/>
    <w:rsid w:val="00DE13BD"/>
    <w:rsid w:val="00DE1CEE"/>
    <w:rsid w:val="00DE2196"/>
    <w:rsid w:val="00DE222D"/>
    <w:rsid w:val="00DE2336"/>
    <w:rsid w:val="00DE253A"/>
    <w:rsid w:val="00DE2A05"/>
    <w:rsid w:val="00DE3AC1"/>
    <w:rsid w:val="00DE3B95"/>
    <w:rsid w:val="00DE3BBC"/>
    <w:rsid w:val="00DE45E2"/>
    <w:rsid w:val="00DE486C"/>
    <w:rsid w:val="00DE489E"/>
    <w:rsid w:val="00DE4D5A"/>
    <w:rsid w:val="00DE4EE6"/>
    <w:rsid w:val="00DE4EEA"/>
    <w:rsid w:val="00DE56BB"/>
    <w:rsid w:val="00DE59E9"/>
    <w:rsid w:val="00DE6048"/>
    <w:rsid w:val="00DE604A"/>
    <w:rsid w:val="00DE6905"/>
    <w:rsid w:val="00DE6B0E"/>
    <w:rsid w:val="00DE7062"/>
    <w:rsid w:val="00DE7609"/>
    <w:rsid w:val="00DF03F8"/>
    <w:rsid w:val="00DF19F7"/>
    <w:rsid w:val="00DF1EE7"/>
    <w:rsid w:val="00DF1FD2"/>
    <w:rsid w:val="00DF2684"/>
    <w:rsid w:val="00DF275B"/>
    <w:rsid w:val="00DF28BC"/>
    <w:rsid w:val="00DF33D6"/>
    <w:rsid w:val="00DF376C"/>
    <w:rsid w:val="00DF42E0"/>
    <w:rsid w:val="00DF4CCD"/>
    <w:rsid w:val="00DF50C0"/>
    <w:rsid w:val="00DF5762"/>
    <w:rsid w:val="00DF629B"/>
    <w:rsid w:val="00DF64EF"/>
    <w:rsid w:val="00DF70A8"/>
    <w:rsid w:val="00DF7818"/>
    <w:rsid w:val="00DF7A38"/>
    <w:rsid w:val="00DF7EF2"/>
    <w:rsid w:val="00E003F4"/>
    <w:rsid w:val="00E00A5F"/>
    <w:rsid w:val="00E01490"/>
    <w:rsid w:val="00E01CD1"/>
    <w:rsid w:val="00E01CEA"/>
    <w:rsid w:val="00E022C9"/>
    <w:rsid w:val="00E02895"/>
    <w:rsid w:val="00E02A72"/>
    <w:rsid w:val="00E031F9"/>
    <w:rsid w:val="00E03569"/>
    <w:rsid w:val="00E03678"/>
    <w:rsid w:val="00E03795"/>
    <w:rsid w:val="00E0381D"/>
    <w:rsid w:val="00E03ECE"/>
    <w:rsid w:val="00E046B6"/>
    <w:rsid w:val="00E050D2"/>
    <w:rsid w:val="00E0529C"/>
    <w:rsid w:val="00E05AF0"/>
    <w:rsid w:val="00E0603B"/>
    <w:rsid w:val="00E068F8"/>
    <w:rsid w:val="00E074D6"/>
    <w:rsid w:val="00E1031F"/>
    <w:rsid w:val="00E10CF1"/>
    <w:rsid w:val="00E12613"/>
    <w:rsid w:val="00E12928"/>
    <w:rsid w:val="00E12A02"/>
    <w:rsid w:val="00E13369"/>
    <w:rsid w:val="00E13530"/>
    <w:rsid w:val="00E13B45"/>
    <w:rsid w:val="00E13F3D"/>
    <w:rsid w:val="00E1429E"/>
    <w:rsid w:val="00E14772"/>
    <w:rsid w:val="00E14B87"/>
    <w:rsid w:val="00E1571A"/>
    <w:rsid w:val="00E15A6A"/>
    <w:rsid w:val="00E15A93"/>
    <w:rsid w:val="00E16269"/>
    <w:rsid w:val="00E16DB7"/>
    <w:rsid w:val="00E16E24"/>
    <w:rsid w:val="00E171FF"/>
    <w:rsid w:val="00E17554"/>
    <w:rsid w:val="00E2037B"/>
    <w:rsid w:val="00E20D3C"/>
    <w:rsid w:val="00E2118F"/>
    <w:rsid w:val="00E21E1C"/>
    <w:rsid w:val="00E228DA"/>
    <w:rsid w:val="00E23E85"/>
    <w:rsid w:val="00E24573"/>
    <w:rsid w:val="00E24633"/>
    <w:rsid w:val="00E24CCB"/>
    <w:rsid w:val="00E24D7A"/>
    <w:rsid w:val="00E25BC6"/>
    <w:rsid w:val="00E25DEC"/>
    <w:rsid w:val="00E26706"/>
    <w:rsid w:val="00E26818"/>
    <w:rsid w:val="00E26893"/>
    <w:rsid w:val="00E26B88"/>
    <w:rsid w:val="00E26E7A"/>
    <w:rsid w:val="00E27113"/>
    <w:rsid w:val="00E276B0"/>
    <w:rsid w:val="00E27B9F"/>
    <w:rsid w:val="00E27E48"/>
    <w:rsid w:val="00E31437"/>
    <w:rsid w:val="00E31F2C"/>
    <w:rsid w:val="00E3229A"/>
    <w:rsid w:val="00E322EF"/>
    <w:rsid w:val="00E3237A"/>
    <w:rsid w:val="00E3255E"/>
    <w:rsid w:val="00E32C49"/>
    <w:rsid w:val="00E32DB3"/>
    <w:rsid w:val="00E333BD"/>
    <w:rsid w:val="00E34B07"/>
    <w:rsid w:val="00E353A9"/>
    <w:rsid w:val="00E35E16"/>
    <w:rsid w:val="00E3644D"/>
    <w:rsid w:val="00E3695E"/>
    <w:rsid w:val="00E36A74"/>
    <w:rsid w:val="00E36C60"/>
    <w:rsid w:val="00E373FA"/>
    <w:rsid w:val="00E375A9"/>
    <w:rsid w:val="00E37C0E"/>
    <w:rsid w:val="00E41230"/>
    <w:rsid w:val="00E428DA"/>
    <w:rsid w:val="00E4377A"/>
    <w:rsid w:val="00E4390E"/>
    <w:rsid w:val="00E43C74"/>
    <w:rsid w:val="00E43E61"/>
    <w:rsid w:val="00E453A8"/>
    <w:rsid w:val="00E46351"/>
    <w:rsid w:val="00E4689D"/>
    <w:rsid w:val="00E46A79"/>
    <w:rsid w:val="00E47836"/>
    <w:rsid w:val="00E508DF"/>
    <w:rsid w:val="00E514B2"/>
    <w:rsid w:val="00E5234E"/>
    <w:rsid w:val="00E52489"/>
    <w:rsid w:val="00E525E4"/>
    <w:rsid w:val="00E5399A"/>
    <w:rsid w:val="00E54488"/>
    <w:rsid w:val="00E54AFA"/>
    <w:rsid w:val="00E554BE"/>
    <w:rsid w:val="00E55940"/>
    <w:rsid w:val="00E55AD8"/>
    <w:rsid w:val="00E55B46"/>
    <w:rsid w:val="00E562B4"/>
    <w:rsid w:val="00E5653A"/>
    <w:rsid w:val="00E56DEE"/>
    <w:rsid w:val="00E603BA"/>
    <w:rsid w:val="00E60EAF"/>
    <w:rsid w:val="00E61E8E"/>
    <w:rsid w:val="00E61FC4"/>
    <w:rsid w:val="00E61FF1"/>
    <w:rsid w:val="00E624F9"/>
    <w:rsid w:val="00E62B9F"/>
    <w:rsid w:val="00E62E46"/>
    <w:rsid w:val="00E634E5"/>
    <w:rsid w:val="00E64CD3"/>
    <w:rsid w:val="00E651A0"/>
    <w:rsid w:val="00E65219"/>
    <w:rsid w:val="00E6546C"/>
    <w:rsid w:val="00E6558D"/>
    <w:rsid w:val="00E65A3B"/>
    <w:rsid w:val="00E662F8"/>
    <w:rsid w:val="00E6641E"/>
    <w:rsid w:val="00E66504"/>
    <w:rsid w:val="00E66826"/>
    <w:rsid w:val="00E66B82"/>
    <w:rsid w:val="00E66CE4"/>
    <w:rsid w:val="00E7001B"/>
    <w:rsid w:val="00E7054F"/>
    <w:rsid w:val="00E71317"/>
    <w:rsid w:val="00E741E5"/>
    <w:rsid w:val="00E74A87"/>
    <w:rsid w:val="00E761DC"/>
    <w:rsid w:val="00E76B71"/>
    <w:rsid w:val="00E77504"/>
    <w:rsid w:val="00E77BA7"/>
    <w:rsid w:val="00E8031B"/>
    <w:rsid w:val="00E81B3D"/>
    <w:rsid w:val="00E81F53"/>
    <w:rsid w:val="00E8255B"/>
    <w:rsid w:val="00E825D9"/>
    <w:rsid w:val="00E82B38"/>
    <w:rsid w:val="00E82FB8"/>
    <w:rsid w:val="00E83429"/>
    <w:rsid w:val="00E837ED"/>
    <w:rsid w:val="00E8392D"/>
    <w:rsid w:val="00E841F4"/>
    <w:rsid w:val="00E847A0"/>
    <w:rsid w:val="00E84A20"/>
    <w:rsid w:val="00E852B2"/>
    <w:rsid w:val="00E856B2"/>
    <w:rsid w:val="00E85F34"/>
    <w:rsid w:val="00E861A7"/>
    <w:rsid w:val="00E8768C"/>
    <w:rsid w:val="00E8781A"/>
    <w:rsid w:val="00E90C8C"/>
    <w:rsid w:val="00E91388"/>
    <w:rsid w:val="00E917C3"/>
    <w:rsid w:val="00E91B16"/>
    <w:rsid w:val="00E9243E"/>
    <w:rsid w:val="00E929D2"/>
    <w:rsid w:val="00E92BBE"/>
    <w:rsid w:val="00E93230"/>
    <w:rsid w:val="00E933D1"/>
    <w:rsid w:val="00E935C9"/>
    <w:rsid w:val="00E93AF6"/>
    <w:rsid w:val="00E941C7"/>
    <w:rsid w:val="00E94202"/>
    <w:rsid w:val="00E9458B"/>
    <w:rsid w:val="00E94621"/>
    <w:rsid w:val="00E94EB1"/>
    <w:rsid w:val="00E956C8"/>
    <w:rsid w:val="00E959F9"/>
    <w:rsid w:val="00E965B1"/>
    <w:rsid w:val="00E96AC2"/>
    <w:rsid w:val="00E96D6F"/>
    <w:rsid w:val="00E97224"/>
    <w:rsid w:val="00E972EF"/>
    <w:rsid w:val="00E97605"/>
    <w:rsid w:val="00E97B55"/>
    <w:rsid w:val="00E97F49"/>
    <w:rsid w:val="00E97F64"/>
    <w:rsid w:val="00EA153B"/>
    <w:rsid w:val="00EA1C30"/>
    <w:rsid w:val="00EA2567"/>
    <w:rsid w:val="00EA27E3"/>
    <w:rsid w:val="00EA29F4"/>
    <w:rsid w:val="00EA2BEA"/>
    <w:rsid w:val="00EA3814"/>
    <w:rsid w:val="00EA3BF4"/>
    <w:rsid w:val="00EA456C"/>
    <w:rsid w:val="00EA4B4B"/>
    <w:rsid w:val="00EA52B2"/>
    <w:rsid w:val="00EA5B11"/>
    <w:rsid w:val="00EA5DF5"/>
    <w:rsid w:val="00EA5E39"/>
    <w:rsid w:val="00EA6307"/>
    <w:rsid w:val="00EA655D"/>
    <w:rsid w:val="00EA6C3E"/>
    <w:rsid w:val="00EA6C6A"/>
    <w:rsid w:val="00EA6E2E"/>
    <w:rsid w:val="00EA6F71"/>
    <w:rsid w:val="00EA746F"/>
    <w:rsid w:val="00EA7FDD"/>
    <w:rsid w:val="00EB0CA6"/>
    <w:rsid w:val="00EB0ECD"/>
    <w:rsid w:val="00EB119D"/>
    <w:rsid w:val="00EB1384"/>
    <w:rsid w:val="00EB13CA"/>
    <w:rsid w:val="00EB1763"/>
    <w:rsid w:val="00EB1A1E"/>
    <w:rsid w:val="00EB1D9C"/>
    <w:rsid w:val="00EB1FF5"/>
    <w:rsid w:val="00EB2097"/>
    <w:rsid w:val="00EB2252"/>
    <w:rsid w:val="00EB34E8"/>
    <w:rsid w:val="00EB3739"/>
    <w:rsid w:val="00EB385A"/>
    <w:rsid w:val="00EB3DF9"/>
    <w:rsid w:val="00EB4912"/>
    <w:rsid w:val="00EB595A"/>
    <w:rsid w:val="00EB60CF"/>
    <w:rsid w:val="00EB7DB5"/>
    <w:rsid w:val="00EC03C2"/>
    <w:rsid w:val="00EC040A"/>
    <w:rsid w:val="00EC1BDC"/>
    <w:rsid w:val="00EC1CEB"/>
    <w:rsid w:val="00EC1D1B"/>
    <w:rsid w:val="00EC1E1F"/>
    <w:rsid w:val="00EC1EC7"/>
    <w:rsid w:val="00EC1F2F"/>
    <w:rsid w:val="00EC3EAD"/>
    <w:rsid w:val="00EC4269"/>
    <w:rsid w:val="00EC476E"/>
    <w:rsid w:val="00EC56B4"/>
    <w:rsid w:val="00EC58DA"/>
    <w:rsid w:val="00EC5A2F"/>
    <w:rsid w:val="00EC6045"/>
    <w:rsid w:val="00EC71D3"/>
    <w:rsid w:val="00EC73F8"/>
    <w:rsid w:val="00EC77E6"/>
    <w:rsid w:val="00EC7B56"/>
    <w:rsid w:val="00EC7E3B"/>
    <w:rsid w:val="00EC7FEC"/>
    <w:rsid w:val="00EC7FF4"/>
    <w:rsid w:val="00ED01F9"/>
    <w:rsid w:val="00ED02D8"/>
    <w:rsid w:val="00ED0469"/>
    <w:rsid w:val="00ED0963"/>
    <w:rsid w:val="00ED0990"/>
    <w:rsid w:val="00ED1C3B"/>
    <w:rsid w:val="00ED2326"/>
    <w:rsid w:val="00ED2336"/>
    <w:rsid w:val="00ED2D3B"/>
    <w:rsid w:val="00ED34C0"/>
    <w:rsid w:val="00ED40E5"/>
    <w:rsid w:val="00ED4633"/>
    <w:rsid w:val="00ED4E68"/>
    <w:rsid w:val="00ED5A74"/>
    <w:rsid w:val="00ED5DC5"/>
    <w:rsid w:val="00ED60EA"/>
    <w:rsid w:val="00ED66D2"/>
    <w:rsid w:val="00ED6A13"/>
    <w:rsid w:val="00ED72BB"/>
    <w:rsid w:val="00ED73B6"/>
    <w:rsid w:val="00ED7ADA"/>
    <w:rsid w:val="00ED7ADB"/>
    <w:rsid w:val="00ED7FAF"/>
    <w:rsid w:val="00EE04E3"/>
    <w:rsid w:val="00EE0794"/>
    <w:rsid w:val="00EE0F2F"/>
    <w:rsid w:val="00EE148F"/>
    <w:rsid w:val="00EE1B39"/>
    <w:rsid w:val="00EE1D66"/>
    <w:rsid w:val="00EE276F"/>
    <w:rsid w:val="00EE2803"/>
    <w:rsid w:val="00EE284B"/>
    <w:rsid w:val="00EE2BC2"/>
    <w:rsid w:val="00EE30AC"/>
    <w:rsid w:val="00EE30B9"/>
    <w:rsid w:val="00EE36F0"/>
    <w:rsid w:val="00EE4E85"/>
    <w:rsid w:val="00EE4F3A"/>
    <w:rsid w:val="00EE5A7E"/>
    <w:rsid w:val="00EE5B10"/>
    <w:rsid w:val="00EE5FD4"/>
    <w:rsid w:val="00EE6238"/>
    <w:rsid w:val="00EE649B"/>
    <w:rsid w:val="00EE6C92"/>
    <w:rsid w:val="00EE6DA3"/>
    <w:rsid w:val="00EE6E4A"/>
    <w:rsid w:val="00EE76F1"/>
    <w:rsid w:val="00EE7733"/>
    <w:rsid w:val="00EE791A"/>
    <w:rsid w:val="00EE7CA2"/>
    <w:rsid w:val="00EE7D41"/>
    <w:rsid w:val="00EF0E5A"/>
    <w:rsid w:val="00EF0F17"/>
    <w:rsid w:val="00EF111C"/>
    <w:rsid w:val="00EF174E"/>
    <w:rsid w:val="00EF2A9A"/>
    <w:rsid w:val="00EF2B03"/>
    <w:rsid w:val="00EF2D39"/>
    <w:rsid w:val="00EF31E4"/>
    <w:rsid w:val="00EF40D5"/>
    <w:rsid w:val="00EF4114"/>
    <w:rsid w:val="00EF4804"/>
    <w:rsid w:val="00EF4C4E"/>
    <w:rsid w:val="00EF5707"/>
    <w:rsid w:val="00EF5A72"/>
    <w:rsid w:val="00EF652D"/>
    <w:rsid w:val="00EF67F6"/>
    <w:rsid w:val="00EF6AB2"/>
    <w:rsid w:val="00EF6B99"/>
    <w:rsid w:val="00EF71BD"/>
    <w:rsid w:val="00EF7496"/>
    <w:rsid w:val="00EF756C"/>
    <w:rsid w:val="00EF75D5"/>
    <w:rsid w:val="00EF7DBD"/>
    <w:rsid w:val="00EF7EBD"/>
    <w:rsid w:val="00EF7F53"/>
    <w:rsid w:val="00F002F4"/>
    <w:rsid w:val="00F00726"/>
    <w:rsid w:val="00F00DFB"/>
    <w:rsid w:val="00F00E91"/>
    <w:rsid w:val="00F01590"/>
    <w:rsid w:val="00F01C2D"/>
    <w:rsid w:val="00F02B4A"/>
    <w:rsid w:val="00F030FE"/>
    <w:rsid w:val="00F03817"/>
    <w:rsid w:val="00F0433D"/>
    <w:rsid w:val="00F04355"/>
    <w:rsid w:val="00F04863"/>
    <w:rsid w:val="00F0494E"/>
    <w:rsid w:val="00F0501C"/>
    <w:rsid w:val="00F05B94"/>
    <w:rsid w:val="00F0639A"/>
    <w:rsid w:val="00F0672C"/>
    <w:rsid w:val="00F06848"/>
    <w:rsid w:val="00F06AE2"/>
    <w:rsid w:val="00F07425"/>
    <w:rsid w:val="00F07CC6"/>
    <w:rsid w:val="00F07CEE"/>
    <w:rsid w:val="00F105E6"/>
    <w:rsid w:val="00F1074C"/>
    <w:rsid w:val="00F10844"/>
    <w:rsid w:val="00F10C1A"/>
    <w:rsid w:val="00F10C93"/>
    <w:rsid w:val="00F10E31"/>
    <w:rsid w:val="00F1116F"/>
    <w:rsid w:val="00F12691"/>
    <w:rsid w:val="00F13244"/>
    <w:rsid w:val="00F1350C"/>
    <w:rsid w:val="00F13DE5"/>
    <w:rsid w:val="00F13FD6"/>
    <w:rsid w:val="00F144A4"/>
    <w:rsid w:val="00F146F6"/>
    <w:rsid w:val="00F14801"/>
    <w:rsid w:val="00F156C0"/>
    <w:rsid w:val="00F16285"/>
    <w:rsid w:val="00F17153"/>
    <w:rsid w:val="00F17AB6"/>
    <w:rsid w:val="00F17DC4"/>
    <w:rsid w:val="00F2026D"/>
    <w:rsid w:val="00F20342"/>
    <w:rsid w:val="00F208F7"/>
    <w:rsid w:val="00F20F4D"/>
    <w:rsid w:val="00F21327"/>
    <w:rsid w:val="00F2141B"/>
    <w:rsid w:val="00F2142C"/>
    <w:rsid w:val="00F21A16"/>
    <w:rsid w:val="00F22485"/>
    <w:rsid w:val="00F22766"/>
    <w:rsid w:val="00F228A4"/>
    <w:rsid w:val="00F231D4"/>
    <w:rsid w:val="00F239E5"/>
    <w:rsid w:val="00F24051"/>
    <w:rsid w:val="00F2564C"/>
    <w:rsid w:val="00F25E87"/>
    <w:rsid w:val="00F2643D"/>
    <w:rsid w:val="00F2665B"/>
    <w:rsid w:val="00F26A94"/>
    <w:rsid w:val="00F26F5E"/>
    <w:rsid w:val="00F273B7"/>
    <w:rsid w:val="00F27B69"/>
    <w:rsid w:val="00F27BD6"/>
    <w:rsid w:val="00F310D3"/>
    <w:rsid w:val="00F31710"/>
    <w:rsid w:val="00F334BF"/>
    <w:rsid w:val="00F33DD3"/>
    <w:rsid w:val="00F34244"/>
    <w:rsid w:val="00F35258"/>
    <w:rsid w:val="00F35323"/>
    <w:rsid w:val="00F35497"/>
    <w:rsid w:val="00F359D9"/>
    <w:rsid w:val="00F366EC"/>
    <w:rsid w:val="00F37C66"/>
    <w:rsid w:val="00F41368"/>
    <w:rsid w:val="00F4199B"/>
    <w:rsid w:val="00F41C5F"/>
    <w:rsid w:val="00F42CE5"/>
    <w:rsid w:val="00F42D8A"/>
    <w:rsid w:val="00F452B9"/>
    <w:rsid w:val="00F4582C"/>
    <w:rsid w:val="00F464D1"/>
    <w:rsid w:val="00F465D2"/>
    <w:rsid w:val="00F4684A"/>
    <w:rsid w:val="00F4687F"/>
    <w:rsid w:val="00F46C1C"/>
    <w:rsid w:val="00F46C65"/>
    <w:rsid w:val="00F472DD"/>
    <w:rsid w:val="00F474B5"/>
    <w:rsid w:val="00F47B14"/>
    <w:rsid w:val="00F47BEA"/>
    <w:rsid w:val="00F47C05"/>
    <w:rsid w:val="00F47C97"/>
    <w:rsid w:val="00F50899"/>
    <w:rsid w:val="00F50DC9"/>
    <w:rsid w:val="00F51679"/>
    <w:rsid w:val="00F52A9B"/>
    <w:rsid w:val="00F52CC9"/>
    <w:rsid w:val="00F52FB5"/>
    <w:rsid w:val="00F538EC"/>
    <w:rsid w:val="00F53EB4"/>
    <w:rsid w:val="00F53FAB"/>
    <w:rsid w:val="00F54548"/>
    <w:rsid w:val="00F545EC"/>
    <w:rsid w:val="00F54C72"/>
    <w:rsid w:val="00F54D68"/>
    <w:rsid w:val="00F551EB"/>
    <w:rsid w:val="00F56260"/>
    <w:rsid w:val="00F56A71"/>
    <w:rsid w:val="00F56C8A"/>
    <w:rsid w:val="00F57022"/>
    <w:rsid w:val="00F5716D"/>
    <w:rsid w:val="00F5797F"/>
    <w:rsid w:val="00F57CD3"/>
    <w:rsid w:val="00F6008F"/>
    <w:rsid w:val="00F600FC"/>
    <w:rsid w:val="00F6058C"/>
    <w:rsid w:val="00F60BC9"/>
    <w:rsid w:val="00F62678"/>
    <w:rsid w:val="00F6278B"/>
    <w:rsid w:val="00F62AF8"/>
    <w:rsid w:val="00F62ECB"/>
    <w:rsid w:val="00F6362E"/>
    <w:rsid w:val="00F63A00"/>
    <w:rsid w:val="00F64335"/>
    <w:rsid w:val="00F64839"/>
    <w:rsid w:val="00F64924"/>
    <w:rsid w:val="00F64C96"/>
    <w:rsid w:val="00F64F68"/>
    <w:rsid w:val="00F6503D"/>
    <w:rsid w:val="00F654C7"/>
    <w:rsid w:val="00F658D6"/>
    <w:rsid w:val="00F65FEA"/>
    <w:rsid w:val="00F667D7"/>
    <w:rsid w:val="00F66FA5"/>
    <w:rsid w:val="00F67965"/>
    <w:rsid w:val="00F67E44"/>
    <w:rsid w:val="00F70BC8"/>
    <w:rsid w:val="00F70C65"/>
    <w:rsid w:val="00F71D2E"/>
    <w:rsid w:val="00F71DF3"/>
    <w:rsid w:val="00F73245"/>
    <w:rsid w:val="00F739D9"/>
    <w:rsid w:val="00F740E6"/>
    <w:rsid w:val="00F7453C"/>
    <w:rsid w:val="00F74C0E"/>
    <w:rsid w:val="00F74EB8"/>
    <w:rsid w:val="00F75099"/>
    <w:rsid w:val="00F7531D"/>
    <w:rsid w:val="00F75D89"/>
    <w:rsid w:val="00F76EA3"/>
    <w:rsid w:val="00F77195"/>
    <w:rsid w:val="00F77650"/>
    <w:rsid w:val="00F77939"/>
    <w:rsid w:val="00F819C0"/>
    <w:rsid w:val="00F81CFB"/>
    <w:rsid w:val="00F823AF"/>
    <w:rsid w:val="00F82BE2"/>
    <w:rsid w:val="00F82EED"/>
    <w:rsid w:val="00F83055"/>
    <w:rsid w:val="00F83247"/>
    <w:rsid w:val="00F83EB3"/>
    <w:rsid w:val="00F842CD"/>
    <w:rsid w:val="00F848BC"/>
    <w:rsid w:val="00F8499D"/>
    <w:rsid w:val="00F84A26"/>
    <w:rsid w:val="00F84F97"/>
    <w:rsid w:val="00F8649E"/>
    <w:rsid w:val="00F86D61"/>
    <w:rsid w:val="00F86E77"/>
    <w:rsid w:val="00F87460"/>
    <w:rsid w:val="00F8769D"/>
    <w:rsid w:val="00F8789A"/>
    <w:rsid w:val="00F902B6"/>
    <w:rsid w:val="00F9036A"/>
    <w:rsid w:val="00F904EF"/>
    <w:rsid w:val="00F909AC"/>
    <w:rsid w:val="00F932DB"/>
    <w:rsid w:val="00F933F5"/>
    <w:rsid w:val="00F9353E"/>
    <w:rsid w:val="00F94216"/>
    <w:rsid w:val="00F95350"/>
    <w:rsid w:val="00F969B0"/>
    <w:rsid w:val="00F97042"/>
    <w:rsid w:val="00F97A97"/>
    <w:rsid w:val="00F97B5B"/>
    <w:rsid w:val="00FA0B8C"/>
    <w:rsid w:val="00FA0EE5"/>
    <w:rsid w:val="00FA189F"/>
    <w:rsid w:val="00FA18C6"/>
    <w:rsid w:val="00FA2678"/>
    <w:rsid w:val="00FA2FCD"/>
    <w:rsid w:val="00FA3E9F"/>
    <w:rsid w:val="00FA43CC"/>
    <w:rsid w:val="00FA47D4"/>
    <w:rsid w:val="00FA4DA4"/>
    <w:rsid w:val="00FA601B"/>
    <w:rsid w:val="00FA6222"/>
    <w:rsid w:val="00FA6D80"/>
    <w:rsid w:val="00FA71F4"/>
    <w:rsid w:val="00FB10C3"/>
    <w:rsid w:val="00FB1566"/>
    <w:rsid w:val="00FB1595"/>
    <w:rsid w:val="00FB15B6"/>
    <w:rsid w:val="00FB1DCE"/>
    <w:rsid w:val="00FB224F"/>
    <w:rsid w:val="00FB2253"/>
    <w:rsid w:val="00FB2684"/>
    <w:rsid w:val="00FB2928"/>
    <w:rsid w:val="00FB2C1D"/>
    <w:rsid w:val="00FB3365"/>
    <w:rsid w:val="00FB458E"/>
    <w:rsid w:val="00FB4901"/>
    <w:rsid w:val="00FB4C73"/>
    <w:rsid w:val="00FB7BAD"/>
    <w:rsid w:val="00FB7C01"/>
    <w:rsid w:val="00FC0AD9"/>
    <w:rsid w:val="00FC1CE6"/>
    <w:rsid w:val="00FC1DD1"/>
    <w:rsid w:val="00FC2953"/>
    <w:rsid w:val="00FC2AB6"/>
    <w:rsid w:val="00FC2EBB"/>
    <w:rsid w:val="00FC3AEC"/>
    <w:rsid w:val="00FC40BE"/>
    <w:rsid w:val="00FC54A0"/>
    <w:rsid w:val="00FC589A"/>
    <w:rsid w:val="00FC59A2"/>
    <w:rsid w:val="00FC5B34"/>
    <w:rsid w:val="00FC5B7C"/>
    <w:rsid w:val="00FC5C07"/>
    <w:rsid w:val="00FC6148"/>
    <w:rsid w:val="00FC65E7"/>
    <w:rsid w:val="00FC7065"/>
    <w:rsid w:val="00FC71EC"/>
    <w:rsid w:val="00FC74CA"/>
    <w:rsid w:val="00FC768A"/>
    <w:rsid w:val="00FC77A7"/>
    <w:rsid w:val="00FC7D31"/>
    <w:rsid w:val="00FD0044"/>
    <w:rsid w:val="00FD0AF5"/>
    <w:rsid w:val="00FD11C5"/>
    <w:rsid w:val="00FD23A7"/>
    <w:rsid w:val="00FD394A"/>
    <w:rsid w:val="00FD397D"/>
    <w:rsid w:val="00FD41D2"/>
    <w:rsid w:val="00FD4BF5"/>
    <w:rsid w:val="00FD4FFD"/>
    <w:rsid w:val="00FD5610"/>
    <w:rsid w:val="00FD56DC"/>
    <w:rsid w:val="00FD58EA"/>
    <w:rsid w:val="00FD5BA2"/>
    <w:rsid w:val="00FD5C1E"/>
    <w:rsid w:val="00FD7986"/>
    <w:rsid w:val="00FD7C23"/>
    <w:rsid w:val="00FE11DD"/>
    <w:rsid w:val="00FE1D35"/>
    <w:rsid w:val="00FE2158"/>
    <w:rsid w:val="00FE2C5C"/>
    <w:rsid w:val="00FE31AE"/>
    <w:rsid w:val="00FE3210"/>
    <w:rsid w:val="00FE33E1"/>
    <w:rsid w:val="00FE3893"/>
    <w:rsid w:val="00FE38B6"/>
    <w:rsid w:val="00FE3A65"/>
    <w:rsid w:val="00FE3AA4"/>
    <w:rsid w:val="00FE3E91"/>
    <w:rsid w:val="00FE4519"/>
    <w:rsid w:val="00FE4660"/>
    <w:rsid w:val="00FE47E9"/>
    <w:rsid w:val="00FE4FEB"/>
    <w:rsid w:val="00FE5451"/>
    <w:rsid w:val="00FE54FE"/>
    <w:rsid w:val="00FE5F55"/>
    <w:rsid w:val="00FE6639"/>
    <w:rsid w:val="00FE70AA"/>
    <w:rsid w:val="00FE78C7"/>
    <w:rsid w:val="00FF0477"/>
    <w:rsid w:val="00FF0D5C"/>
    <w:rsid w:val="00FF12B9"/>
    <w:rsid w:val="00FF138C"/>
    <w:rsid w:val="00FF1B0D"/>
    <w:rsid w:val="00FF1B3F"/>
    <w:rsid w:val="00FF1F1F"/>
    <w:rsid w:val="00FF2CCE"/>
    <w:rsid w:val="00FF37E8"/>
    <w:rsid w:val="00FF3A3B"/>
    <w:rsid w:val="00FF3D5C"/>
    <w:rsid w:val="00FF4FD7"/>
    <w:rsid w:val="00FF50C3"/>
    <w:rsid w:val="00FF534F"/>
    <w:rsid w:val="00FF5A5E"/>
    <w:rsid w:val="00FF5B75"/>
    <w:rsid w:val="00FF5E90"/>
    <w:rsid w:val="00FF6C0C"/>
    <w:rsid w:val="00FF6C9F"/>
    <w:rsid w:val="00FF6FEE"/>
    <w:rsid w:val="00FF717C"/>
    <w:rsid w:val="00FF7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99082"/>
  <w15:docId w15:val="{2EECE74B-0575-46BB-A4CA-E6A5CB44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9"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 w:unhideWhenUsed="1" w:qFormat="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33"/>
    <w:pPr>
      <w:autoSpaceDE w:val="0"/>
      <w:autoSpaceDN w:val="0"/>
      <w:adjustRightInd w:val="0"/>
      <w:spacing w:line="360" w:lineRule="auto"/>
      <w:ind w:firstLine="709"/>
      <w:jc w:val="both"/>
    </w:pPr>
    <w:rPr>
      <w:rFonts w:ascii="Times New Roman" w:eastAsia="Times New Roman" w:hAnsi="Times New Roman"/>
      <w:sz w:val="24"/>
      <w:szCs w:val="24"/>
    </w:rPr>
  </w:style>
  <w:style w:type="paragraph" w:styleId="Ttulo1">
    <w:name w:val="heading 1"/>
    <w:basedOn w:val="Normal"/>
    <w:next w:val="Normal"/>
    <w:link w:val="Ttulo1Char"/>
    <w:uiPriority w:val="9"/>
    <w:qFormat/>
    <w:locked/>
    <w:rsid w:val="00205E33"/>
    <w:pPr>
      <w:keepNext/>
      <w:numPr>
        <w:numId w:val="21"/>
      </w:numPr>
      <w:spacing w:before="120" w:after="360"/>
      <w:jc w:val="left"/>
      <w:outlineLvl w:val="0"/>
    </w:pPr>
    <w:rPr>
      <w:b/>
      <w:bCs/>
      <w:caps/>
      <w:kern w:val="32"/>
      <w:szCs w:val="32"/>
    </w:rPr>
  </w:style>
  <w:style w:type="paragraph" w:styleId="Ttulo2">
    <w:name w:val="heading 2"/>
    <w:basedOn w:val="Normal"/>
    <w:next w:val="Normal"/>
    <w:link w:val="Ttulo2Char"/>
    <w:uiPriority w:val="9"/>
    <w:qFormat/>
    <w:locked/>
    <w:rsid w:val="00205E33"/>
    <w:pPr>
      <w:keepNext/>
      <w:numPr>
        <w:ilvl w:val="1"/>
        <w:numId w:val="21"/>
      </w:numPr>
      <w:spacing w:before="360" w:after="360"/>
      <w:jc w:val="left"/>
      <w:outlineLvl w:val="1"/>
    </w:pPr>
    <w:rPr>
      <w:b/>
      <w:bCs/>
      <w:iCs/>
    </w:rPr>
  </w:style>
  <w:style w:type="paragraph" w:styleId="Ttulo3">
    <w:name w:val="heading 3"/>
    <w:basedOn w:val="Normal"/>
    <w:next w:val="PargrafoTexto"/>
    <w:link w:val="Ttulo3Char"/>
    <w:uiPriority w:val="9"/>
    <w:qFormat/>
    <w:locked/>
    <w:rsid w:val="00043744"/>
    <w:pPr>
      <w:keepNext/>
      <w:numPr>
        <w:ilvl w:val="2"/>
        <w:numId w:val="21"/>
      </w:numPr>
      <w:spacing w:before="360" w:after="360"/>
      <w:jc w:val="left"/>
      <w:outlineLvl w:val="2"/>
    </w:pPr>
    <w:rPr>
      <w:bCs/>
      <w:szCs w:val="26"/>
    </w:rPr>
  </w:style>
  <w:style w:type="paragraph" w:styleId="Ttulo4">
    <w:name w:val="heading 4"/>
    <w:basedOn w:val="Normal"/>
    <w:next w:val="Normal"/>
    <w:link w:val="Ttulo4Char"/>
    <w:uiPriority w:val="9"/>
    <w:qFormat/>
    <w:locked/>
    <w:rsid w:val="007B7625"/>
    <w:pPr>
      <w:keepNext/>
      <w:numPr>
        <w:ilvl w:val="3"/>
        <w:numId w:val="21"/>
      </w:numPr>
      <w:spacing w:before="240" w:after="60"/>
      <w:outlineLvl w:val="3"/>
    </w:pPr>
    <w:rPr>
      <w:bCs/>
    </w:rPr>
  </w:style>
  <w:style w:type="paragraph" w:styleId="Ttulo5">
    <w:name w:val="heading 5"/>
    <w:basedOn w:val="Normal"/>
    <w:next w:val="Normal"/>
    <w:link w:val="Ttulo5Char"/>
    <w:uiPriority w:val="9"/>
    <w:qFormat/>
    <w:locked/>
    <w:rsid w:val="007B7625"/>
    <w:pPr>
      <w:numPr>
        <w:ilvl w:val="4"/>
        <w:numId w:val="21"/>
      </w:numPr>
      <w:spacing w:before="240" w:after="60"/>
      <w:outlineLvl w:val="4"/>
    </w:pPr>
    <w:rPr>
      <w:b/>
      <w:bCs/>
      <w:i/>
      <w:iCs/>
      <w:sz w:val="26"/>
      <w:szCs w:val="26"/>
    </w:rPr>
  </w:style>
  <w:style w:type="paragraph" w:styleId="Ttulo6">
    <w:name w:val="heading 6"/>
    <w:basedOn w:val="Normal"/>
    <w:next w:val="Normal"/>
    <w:link w:val="Ttulo6Char"/>
    <w:uiPriority w:val="9"/>
    <w:qFormat/>
    <w:locked/>
    <w:rsid w:val="007B7625"/>
    <w:pPr>
      <w:numPr>
        <w:ilvl w:val="5"/>
        <w:numId w:val="21"/>
      </w:numPr>
      <w:spacing w:before="240" w:after="60"/>
      <w:outlineLvl w:val="5"/>
    </w:pPr>
    <w:rPr>
      <w:b/>
      <w:bCs/>
      <w:sz w:val="20"/>
      <w:szCs w:val="20"/>
    </w:rPr>
  </w:style>
  <w:style w:type="paragraph" w:styleId="Ttulo7">
    <w:name w:val="heading 7"/>
    <w:basedOn w:val="Normal"/>
    <w:next w:val="Normal"/>
    <w:link w:val="Ttulo7Char"/>
    <w:uiPriority w:val="99"/>
    <w:locked/>
    <w:rsid w:val="007B7625"/>
    <w:pPr>
      <w:numPr>
        <w:ilvl w:val="6"/>
        <w:numId w:val="21"/>
      </w:numPr>
      <w:spacing w:before="240" w:after="60"/>
      <w:outlineLvl w:val="6"/>
    </w:pPr>
  </w:style>
  <w:style w:type="paragraph" w:styleId="Ttulo8">
    <w:name w:val="heading 8"/>
    <w:basedOn w:val="Normal"/>
    <w:next w:val="Normal"/>
    <w:link w:val="Ttulo8Char"/>
    <w:uiPriority w:val="99"/>
    <w:locked/>
    <w:rsid w:val="007B7625"/>
    <w:pPr>
      <w:numPr>
        <w:ilvl w:val="7"/>
        <w:numId w:val="21"/>
      </w:numPr>
      <w:spacing w:before="240" w:after="60"/>
      <w:outlineLvl w:val="7"/>
    </w:pPr>
    <w:rPr>
      <w:i/>
      <w:iCs/>
    </w:rPr>
  </w:style>
  <w:style w:type="paragraph" w:styleId="Ttulo9">
    <w:name w:val="heading 9"/>
    <w:basedOn w:val="Normal"/>
    <w:next w:val="Normal"/>
    <w:link w:val="Ttulo9Char"/>
    <w:uiPriority w:val="99"/>
    <w:locked/>
    <w:rsid w:val="007B7625"/>
    <w:pPr>
      <w:numPr>
        <w:ilvl w:val="8"/>
        <w:numId w:val="21"/>
      </w:numPr>
      <w:spacing w:before="240" w:after="60"/>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uiPriority w:val="99"/>
    <w:locked/>
    <w:rsid w:val="00FB7BAD"/>
    <w:rPr>
      <w:rFonts w:ascii="Cambria" w:hAnsi="Cambria" w:cs="Times New Roman"/>
      <w:b/>
      <w:bCs/>
      <w:kern w:val="32"/>
      <w:sz w:val="32"/>
      <w:szCs w:val="32"/>
    </w:rPr>
  </w:style>
  <w:style w:type="character" w:customStyle="1" w:styleId="Heading2Char">
    <w:name w:val="Heading 2 Char"/>
    <w:uiPriority w:val="99"/>
    <w:semiHidden/>
    <w:locked/>
    <w:rsid w:val="00FB7BAD"/>
    <w:rPr>
      <w:rFonts w:ascii="Cambria" w:hAnsi="Cambria" w:cs="Times New Roman"/>
      <w:b/>
      <w:bCs/>
      <w:i/>
      <w:iCs/>
      <w:sz w:val="28"/>
      <w:szCs w:val="28"/>
    </w:rPr>
  </w:style>
  <w:style w:type="character" w:customStyle="1" w:styleId="Heading3Char">
    <w:name w:val="Heading 3 Char"/>
    <w:uiPriority w:val="99"/>
    <w:semiHidden/>
    <w:locked/>
    <w:rsid w:val="00FB7BAD"/>
    <w:rPr>
      <w:rFonts w:ascii="Cambria" w:hAnsi="Cambria" w:cs="Times New Roman"/>
      <w:b/>
      <w:bCs/>
      <w:sz w:val="26"/>
      <w:szCs w:val="26"/>
    </w:rPr>
  </w:style>
  <w:style w:type="character" w:customStyle="1" w:styleId="Ttulo4Char">
    <w:name w:val="Título 4 Char"/>
    <w:link w:val="Ttulo4"/>
    <w:uiPriority w:val="9"/>
    <w:locked/>
    <w:rsid w:val="007B7625"/>
    <w:rPr>
      <w:rFonts w:ascii="Times New Roman" w:eastAsia="Times New Roman" w:hAnsi="Times New Roman"/>
      <w:bCs/>
      <w:sz w:val="24"/>
      <w:szCs w:val="28"/>
    </w:rPr>
  </w:style>
  <w:style w:type="character" w:customStyle="1" w:styleId="Ttulo5Char">
    <w:name w:val="Título 5 Char"/>
    <w:link w:val="Ttulo5"/>
    <w:uiPriority w:val="9"/>
    <w:locked/>
    <w:rsid w:val="007B7625"/>
    <w:rPr>
      <w:rFonts w:ascii="Times New Roman" w:eastAsia="Times New Roman" w:hAnsi="Times New Roman"/>
      <w:b/>
      <w:bCs/>
      <w:i/>
      <w:iCs/>
      <w:sz w:val="26"/>
      <w:szCs w:val="26"/>
    </w:rPr>
  </w:style>
  <w:style w:type="character" w:customStyle="1" w:styleId="Ttulo6Char">
    <w:name w:val="Título 6 Char"/>
    <w:link w:val="Ttulo6"/>
    <w:uiPriority w:val="9"/>
    <w:locked/>
    <w:rsid w:val="007B7625"/>
    <w:rPr>
      <w:rFonts w:ascii="Times New Roman" w:eastAsia="Times New Roman" w:hAnsi="Times New Roman"/>
      <w:b/>
      <w:bCs/>
    </w:rPr>
  </w:style>
  <w:style w:type="character" w:customStyle="1" w:styleId="Ttulo7Char">
    <w:name w:val="Título 7 Char"/>
    <w:link w:val="Ttulo7"/>
    <w:uiPriority w:val="99"/>
    <w:locked/>
    <w:rsid w:val="007B7625"/>
    <w:rPr>
      <w:rFonts w:ascii="Times New Roman" w:eastAsia="Times New Roman" w:hAnsi="Times New Roman"/>
      <w:sz w:val="24"/>
      <w:szCs w:val="24"/>
    </w:rPr>
  </w:style>
  <w:style w:type="character" w:customStyle="1" w:styleId="Ttulo8Char">
    <w:name w:val="Título 8 Char"/>
    <w:link w:val="Ttulo8"/>
    <w:uiPriority w:val="99"/>
    <w:locked/>
    <w:rsid w:val="007B7625"/>
    <w:rPr>
      <w:rFonts w:ascii="Times New Roman" w:eastAsia="Times New Roman" w:hAnsi="Times New Roman"/>
      <w:i/>
      <w:iCs/>
      <w:sz w:val="24"/>
      <w:szCs w:val="24"/>
    </w:rPr>
  </w:style>
  <w:style w:type="character" w:customStyle="1" w:styleId="Ttulo9Char">
    <w:name w:val="Título 9 Char"/>
    <w:link w:val="Ttulo9"/>
    <w:uiPriority w:val="99"/>
    <w:locked/>
    <w:rsid w:val="007B7625"/>
    <w:rPr>
      <w:rFonts w:ascii="Arial" w:eastAsia="Times New Roman" w:hAnsi="Arial"/>
    </w:rPr>
  </w:style>
  <w:style w:type="character" w:customStyle="1" w:styleId="Ttulo1Char">
    <w:name w:val="Título 1 Char"/>
    <w:link w:val="Ttulo1"/>
    <w:uiPriority w:val="9"/>
    <w:locked/>
    <w:rsid w:val="00205E33"/>
    <w:rPr>
      <w:rFonts w:ascii="Times New Roman" w:eastAsia="Times New Roman" w:hAnsi="Times New Roman"/>
      <w:b/>
      <w:bCs/>
      <w:caps/>
      <w:kern w:val="32"/>
      <w:sz w:val="24"/>
      <w:szCs w:val="32"/>
    </w:rPr>
  </w:style>
  <w:style w:type="character" w:customStyle="1" w:styleId="Ttulo2Char">
    <w:name w:val="Título 2 Char"/>
    <w:link w:val="Ttulo2"/>
    <w:uiPriority w:val="9"/>
    <w:locked/>
    <w:rsid w:val="00205E33"/>
    <w:rPr>
      <w:rFonts w:ascii="Times New Roman" w:eastAsia="Times New Roman" w:hAnsi="Times New Roman"/>
      <w:b/>
      <w:bCs/>
      <w:iCs/>
      <w:sz w:val="24"/>
      <w:szCs w:val="24"/>
    </w:rPr>
  </w:style>
  <w:style w:type="character" w:customStyle="1" w:styleId="Ttulo3Char">
    <w:name w:val="Título 3 Char"/>
    <w:link w:val="Ttulo3"/>
    <w:uiPriority w:val="9"/>
    <w:locked/>
    <w:rsid w:val="00043744"/>
    <w:rPr>
      <w:rFonts w:ascii="Arial" w:eastAsia="Times New Roman" w:hAnsi="Arial" w:cs="Arial"/>
      <w:bCs/>
      <w:sz w:val="24"/>
      <w:szCs w:val="26"/>
    </w:rPr>
  </w:style>
  <w:style w:type="paragraph" w:customStyle="1" w:styleId="PargrafodaLista1">
    <w:name w:val="Parágrafo da Lista1"/>
    <w:basedOn w:val="Normal"/>
    <w:uiPriority w:val="99"/>
    <w:semiHidden/>
    <w:rsid w:val="007A7DFC"/>
    <w:pPr>
      <w:ind w:left="720"/>
    </w:pPr>
    <w:rPr>
      <w:rFonts w:eastAsia="Calibri"/>
    </w:rPr>
  </w:style>
  <w:style w:type="paragraph" w:customStyle="1" w:styleId="Default">
    <w:name w:val="Default"/>
    <w:rsid w:val="001E626B"/>
    <w:pPr>
      <w:autoSpaceDE w:val="0"/>
      <w:autoSpaceDN w:val="0"/>
      <w:adjustRightInd w:val="0"/>
      <w:spacing w:line="360" w:lineRule="auto"/>
      <w:ind w:firstLine="706"/>
      <w:jc w:val="both"/>
    </w:pPr>
    <w:rPr>
      <w:rFonts w:ascii="BLABDE+ArialNarrow" w:eastAsia="Times New Roman" w:hAnsi="BLABDE+ArialNarrow" w:cs="BLABDE+ArialNarrow"/>
      <w:color w:val="000000"/>
      <w:sz w:val="24"/>
      <w:szCs w:val="24"/>
    </w:rPr>
  </w:style>
  <w:style w:type="table" w:styleId="Tabelacomgrade">
    <w:name w:val="Table Grid"/>
    <w:basedOn w:val="Tabelanormal"/>
    <w:uiPriority w:val="99"/>
    <w:rsid w:val="00270E6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41">
    <w:name w:val="Sombreamento Claro - Ênfase 41"/>
    <w:uiPriority w:val="99"/>
    <w:semiHidden/>
    <w:rsid w:val="00270E6A"/>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SombreamentoClaro-nfase31">
    <w:name w:val="Sombreamento Claro - Ênfase 31"/>
    <w:uiPriority w:val="99"/>
    <w:semiHidden/>
    <w:rsid w:val="00270E6A"/>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Estilo1">
    <w:name w:val="Estilo1"/>
    <w:basedOn w:val="TabeladaWeb2"/>
    <w:uiPriority w:val="99"/>
    <w:semiHidden/>
    <w:rsid w:val="00270E6A"/>
    <w:tbl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70E6A"/>
    <w:pPr>
      <w:autoSpaceDE w:val="0"/>
      <w:autoSpaceDN w:val="0"/>
      <w:adjustRightInd w:val="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SombreamentoClaro-nfase11">
    <w:name w:val="Sombreamento Claro - Ênfase 11"/>
    <w:uiPriority w:val="99"/>
    <w:semiHidden/>
    <w:rsid w:val="00270E6A"/>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mentoClaro1">
    <w:name w:val="Sombreamento Claro1"/>
    <w:uiPriority w:val="99"/>
    <w:semiHidden/>
    <w:rsid w:val="00270E6A"/>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staColorida-nfase41">
    <w:name w:val="Lista Colorida - Ênfase 41"/>
    <w:uiPriority w:val="99"/>
    <w:semiHidden/>
    <w:rsid w:val="00270E6A"/>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Estilo2">
    <w:name w:val="Estilo2"/>
    <w:uiPriority w:val="99"/>
    <w:semiHidden/>
    <w:rsid w:val="00270E6A"/>
    <w:rPr>
      <w:rFonts w:eastAsia="Times New Roman"/>
    </w:rPr>
    <w:tblPr>
      <w:tblCellMar>
        <w:top w:w="0" w:type="dxa"/>
        <w:left w:w="108" w:type="dxa"/>
        <w:bottom w:w="0" w:type="dxa"/>
        <w:right w:w="108" w:type="dxa"/>
      </w:tblCellMar>
    </w:tblPr>
  </w:style>
  <w:style w:type="table" w:customStyle="1" w:styleId="Estilo3">
    <w:name w:val="Estilo3"/>
    <w:uiPriority w:val="99"/>
    <w:semiHidden/>
    <w:rsid w:val="005D48DD"/>
    <w:rPr>
      <w:rFonts w:eastAsia="Times New Roman"/>
    </w:rPr>
    <w:tblPr>
      <w:tblStyleRowBandSize w:val="1"/>
      <w:tblCellMar>
        <w:top w:w="0" w:type="dxa"/>
        <w:left w:w="108" w:type="dxa"/>
        <w:bottom w:w="0" w:type="dxa"/>
        <w:right w:w="108" w:type="dxa"/>
      </w:tblCellMar>
    </w:tblPr>
  </w:style>
  <w:style w:type="table" w:customStyle="1" w:styleId="Estilo4">
    <w:name w:val="Estilo4"/>
    <w:basedOn w:val="Tabelaprofissional"/>
    <w:uiPriority w:val="99"/>
    <w:semiHidden/>
    <w:rsid w:val="005D48DD"/>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profissional">
    <w:name w:val="Table Professional"/>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Estilo5">
    <w:name w:val="Estilo5"/>
    <w:basedOn w:val="Tabelaelegante"/>
    <w:uiPriority w:val="99"/>
    <w:semiHidden/>
    <w:rsid w:val="005D48DD"/>
    <w:tblPr/>
    <w:tblStylePr w:type="firstRow">
      <w:rPr>
        <w:rFonts w:cs="Times New Roman"/>
        <w:caps/>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5D48DD"/>
    <w:pPr>
      <w:autoSpaceDE w:val="0"/>
      <w:autoSpaceDN w:val="0"/>
      <w:adjustRightInd w:val="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Estilo6">
    <w:name w:val="Estilo6"/>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colunas5">
    <w:name w:val="Table Columns 5"/>
    <w:basedOn w:val="Tabelanormal"/>
    <w:uiPriority w:val="99"/>
    <w:semiHidden/>
    <w:rsid w:val="005D48DD"/>
    <w:pPr>
      <w:autoSpaceDE w:val="0"/>
      <w:autoSpaceDN w:val="0"/>
      <w:adjustRightInd w:val="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7">
    <w:name w:val="Estilo7"/>
    <w:basedOn w:val="Tabelaemlista4"/>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4">
    <w:name w:val="Table List 4"/>
    <w:basedOn w:val="Tabelanormal"/>
    <w:uiPriority w:val="99"/>
    <w:semiHidden/>
    <w:rsid w:val="005D48DD"/>
    <w:pPr>
      <w:autoSpaceDE w:val="0"/>
      <w:autoSpaceDN w:val="0"/>
      <w:adjustRightInd w:val="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8">
    <w:name w:val="Estilo8"/>
    <w:basedOn w:val="Tabelaemlista5"/>
    <w:uiPriority w:val="99"/>
    <w:semiHidden/>
    <w:rsid w:val="005D48DD"/>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5">
    <w:name w:val="Table List 5"/>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Estilo9">
    <w:name w:val="Estilo9"/>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10">
    <w:name w:val="Estilo10"/>
    <w:basedOn w:val="Tabelacomgrade4"/>
    <w:uiPriority w:val="99"/>
    <w:semiHidden/>
    <w:rsid w:val="005D48DD"/>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5D48DD"/>
    <w:pPr>
      <w:autoSpaceDE w:val="0"/>
      <w:autoSpaceDN w:val="0"/>
      <w:adjustRightInd w:val="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Estilo11">
    <w:name w:val="Estilo11"/>
    <w:uiPriority w:val="99"/>
    <w:semiHidden/>
    <w:rsid w:val="005D48DD"/>
    <w:rPr>
      <w:rFonts w:eastAsia="Times New Roman"/>
    </w:rPr>
    <w:tblPr>
      <w:tblCellMar>
        <w:top w:w="0" w:type="dxa"/>
        <w:left w:w="108" w:type="dxa"/>
        <w:bottom w:w="0" w:type="dxa"/>
        <w:right w:w="108" w:type="dxa"/>
      </w:tblCellMar>
    </w:tblPr>
  </w:style>
  <w:style w:type="table" w:customStyle="1" w:styleId="Estilo12">
    <w:name w:val="Estilo12"/>
    <w:uiPriority w:val="99"/>
    <w:semiHidden/>
    <w:rsid w:val="005D48DD"/>
    <w:rPr>
      <w:rFonts w:eastAsia="Times New Roman"/>
    </w:rPr>
    <w:tblPr>
      <w:tblCellMar>
        <w:top w:w="0" w:type="dxa"/>
        <w:left w:w="108" w:type="dxa"/>
        <w:bottom w:w="0" w:type="dxa"/>
        <w:right w:w="108" w:type="dxa"/>
      </w:tblCellMar>
    </w:tblPr>
  </w:style>
  <w:style w:type="table" w:customStyle="1" w:styleId="Estilo13">
    <w:name w:val="Estilo13"/>
    <w:uiPriority w:val="99"/>
    <w:semiHidden/>
    <w:rsid w:val="005D48DD"/>
    <w:rPr>
      <w:rFonts w:eastAsia="Times New Roman"/>
    </w:rPr>
    <w:tblPr>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style>
  <w:style w:type="table" w:customStyle="1" w:styleId="Estilo14">
    <w:name w:val="Estilo14"/>
    <w:uiPriority w:val="99"/>
    <w:semiHidden/>
    <w:rsid w:val="005D48DD"/>
    <w:rPr>
      <w:rFonts w:eastAsia="Times New Roman"/>
    </w:rPr>
    <w:tblPr>
      <w:tblBorders>
        <w:insideH w:val="single" w:sz="18" w:space="0" w:color="auto"/>
        <w:insideV w:val="single" w:sz="18" w:space="0" w:color="auto"/>
      </w:tblBorders>
      <w:tblCellMar>
        <w:top w:w="0" w:type="dxa"/>
        <w:left w:w="108" w:type="dxa"/>
        <w:bottom w:w="0" w:type="dxa"/>
        <w:right w:w="108" w:type="dxa"/>
      </w:tblCellMar>
    </w:tblPr>
  </w:style>
  <w:style w:type="table" w:customStyle="1" w:styleId="Estilo15">
    <w:name w:val="Estilo15"/>
    <w:uiPriority w:val="99"/>
    <w:semiHidden/>
    <w:rsid w:val="005D48DD"/>
    <w:rPr>
      <w:rFonts w:eastAsia="Times New Roman"/>
    </w:rPr>
    <w:tblPr>
      <w:tblBorders>
        <w:insideH w:val="single" w:sz="18" w:space="0" w:color="auto"/>
      </w:tblBorders>
      <w:tblCellMar>
        <w:top w:w="0" w:type="dxa"/>
        <w:left w:w="108" w:type="dxa"/>
        <w:bottom w:w="0" w:type="dxa"/>
        <w:right w:w="108" w:type="dxa"/>
      </w:tblCellMar>
    </w:tblPr>
  </w:style>
  <w:style w:type="table" w:customStyle="1" w:styleId="Estilo16">
    <w:name w:val="Estilo16"/>
    <w:basedOn w:val="Estilo7"/>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17">
    <w:name w:val="Estilo17"/>
    <w:basedOn w:val="Estilo5"/>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8">
    <w:name w:val="Estilo18"/>
    <w:basedOn w:val="Estilo17"/>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9">
    <w:name w:val="Estilo19"/>
    <w:basedOn w:val="Tabelaemlista5"/>
    <w:uiPriority w:val="99"/>
    <w:semiHidden/>
    <w:rsid w:val="00656C7C"/>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rsid w:val="00701874"/>
    <w:rPr>
      <w:rFonts w:ascii="Tahoma" w:eastAsia="Calibri" w:hAnsi="Tahoma"/>
      <w:sz w:val="16"/>
      <w:szCs w:val="16"/>
    </w:rPr>
  </w:style>
  <w:style w:type="character" w:customStyle="1" w:styleId="TextodebaloChar">
    <w:name w:val="Texto de balão Char"/>
    <w:link w:val="Textodebalo"/>
    <w:uiPriority w:val="99"/>
    <w:semiHidden/>
    <w:locked/>
    <w:rsid w:val="00701874"/>
    <w:rPr>
      <w:rFonts w:ascii="Tahoma" w:hAnsi="Tahoma" w:cs="Tahoma"/>
      <w:sz w:val="16"/>
      <w:szCs w:val="16"/>
    </w:rPr>
  </w:style>
  <w:style w:type="paragraph" w:styleId="MapadoDocumento">
    <w:name w:val="Document Map"/>
    <w:basedOn w:val="Normal"/>
    <w:link w:val="MapadoDocumentoChar"/>
    <w:uiPriority w:val="99"/>
    <w:semiHidden/>
    <w:rsid w:val="00AC6947"/>
    <w:pPr>
      <w:shd w:val="clear" w:color="auto" w:fill="000080"/>
    </w:pPr>
    <w:rPr>
      <w:rFonts w:eastAsia="Calibri"/>
      <w:sz w:val="2"/>
      <w:szCs w:val="20"/>
    </w:rPr>
  </w:style>
  <w:style w:type="character" w:customStyle="1" w:styleId="MapadoDocumentoChar">
    <w:name w:val="Mapa do Documento Char"/>
    <w:link w:val="MapadoDocumento"/>
    <w:uiPriority w:val="99"/>
    <w:semiHidden/>
    <w:locked/>
    <w:rsid w:val="00F64F68"/>
    <w:rPr>
      <w:rFonts w:ascii="Times New Roman" w:hAnsi="Times New Roman" w:cs="Times New Roman"/>
      <w:sz w:val="2"/>
    </w:rPr>
  </w:style>
  <w:style w:type="paragraph" w:styleId="Sumrio1">
    <w:name w:val="toc 1"/>
    <w:basedOn w:val="Normal"/>
    <w:next w:val="Normal"/>
    <w:autoRedefine/>
    <w:uiPriority w:val="39"/>
    <w:locked/>
    <w:rsid w:val="00E13369"/>
    <w:pPr>
      <w:tabs>
        <w:tab w:val="left" w:pos="567"/>
        <w:tab w:val="right" w:leader="dot" w:pos="9072"/>
      </w:tabs>
      <w:ind w:firstLine="0"/>
      <w:jc w:val="center"/>
    </w:pPr>
    <w:rPr>
      <w:rFonts w:cs="Calibri"/>
      <w:bCs/>
      <w:caps/>
      <w:szCs w:val="20"/>
    </w:rPr>
  </w:style>
  <w:style w:type="paragraph" w:styleId="Sumrio2">
    <w:name w:val="toc 2"/>
    <w:basedOn w:val="Normal"/>
    <w:next w:val="Normal"/>
    <w:autoRedefine/>
    <w:uiPriority w:val="39"/>
    <w:locked/>
    <w:rsid w:val="004C4F85"/>
    <w:pPr>
      <w:tabs>
        <w:tab w:val="left" w:pos="454"/>
        <w:tab w:val="right" w:leader="dot" w:pos="9072"/>
      </w:tabs>
      <w:ind w:firstLine="0"/>
      <w:jc w:val="left"/>
    </w:pPr>
    <w:rPr>
      <w:rFonts w:cs="Calibri"/>
      <w:b/>
      <w:szCs w:val="20"/>
    </w:rPr>
  </w:style>
  <w:style w:type="paragraph" w:styleId="Sumrio3">
    <w:name w:val="toc 3"/>
    <w:basedOn w:val="Normal"/>
    <w:next w:val="Normal"/>
    <w:autoRedefine/>
    <w:uiPriority w:val="39"/>
    <w:locked/>
    <w:rsid w:val="004C4F85"/>
    <w:pPr>
      <w:tabs>
        <w:tab w:val="left" w:pos="680"/>
        <w:tab w:val="right" w:leader="dot" w:pos="9061"/>
      </w:tabs>
      <w:ind w:firstLine="0"/>
      <w:jc w:val="left"/>
    </w:pPr>
    <w:rPr>
      <w:rFonts w:cs="Calibri"/>
      <w:iCs/>
      <w:szCs w:val="20"/>
    </w:rPr>
  </w:style>
  <w:style w:type="paragraph" w:styleId="Sumrio4">
    <w:name w:val="toc 4"/>
    <w:basedOn w:val="Normal"/>
    <w:next w:val="Normal"/>
    <w:autoRedefine/>
    <w:uiPriority w:val="99"/>
    <w:semiHidden/>
    <w:locked/>
    <w:rsid w:val="008D0F0B"/>
    <w:pPr>
      <w:ind w:left="720"/>
      <w:jc w:val="left"/>
    </w:pPr>
    <w:rPr>
      <w:rFonts w:ascii="Calibri" w:hAnsi="Calibri" w:cs="Calibri"/>
      <w:sz w:val="18"/>
      <w:szCs w:val="18"/>
    </w:rPr>
  </w:style>
  <w:style w:type="paragraph" w:customStyle="1" w:styleId="PargrafodaLista2">
    <w:name w:val="Parágrafo da Lista2"/>
    <w:basedOn w:val="Normal"/>
    <w:uiPriority w:val="99"/>
    <w:semiHidden/>
    <w:rsid w:val="00926E61"/>
    <w:pPr>
      <w:ind w:left="720"/>
      <w:contextualSpacing/>
    </w:pPr>
  </w:style>
  <w:style w:type="paragraph" w:customStyle="1" w:styleId="Bibliografiaingls">
    <w:name w:val="Bibliografia inglês"/>
    <w:basedOn w:val="Default"/>
    <w:next w:val="Default"/>
    <w:uiPriority w:val="99"/>
    <w:semiHidden/>
    <w:rsid w:val="006656FA"/>
    <w:pPr>
      <w:spacing w:line="240" w:lineRule="auto"/>
      <w:ind w:firstLine="0"/>
      <w:jc w:val="left"/>
    </w:pPr>
    <w:rPr>
      <w:rFonts w:eastAsia="Calibri" w:cs="Times New Roman"/>
      <w:color w:val="auto"/>
    </w:rPr>
  </w:style>
  <w:style w:type="paragraph" w:styleId="Legenda">
    <w:name w:val="caption"/>
    <w:basedOn w:val="Normal"/>
    <w:next w:val="Normal"/>
    <w:link w:val="LegendaChar"/>
    <w:qFormat/>
    <w:locked/>
    <w:rsid w:val="00944384"/>
    <w:pPr>
      <w:keepNext/>
      <w:spacing w:after="120" w:line="240" w:lineRule="auto"/>
      <w:ind w:firstLine="0"/>
      <w:jc w:val="center"/>
    </w:pPr>
    <w:rPr>
      <w:rFonts w:eastAsia="Calibri"/>
      <w:bCs/>
      <w:sz w:val="22"/>
      <w:szCs w:val="20"/>
    </w:rPr>
  </w:style>
  <w:style w:type="character" w:customStyle="1" w:styleId="LegendaChar">
    <w:name w:val="Legenda Char"/>
    <w:link w:val="Legenda"/>
    <w:locked/>
    <w:rsid w:val="00944384"/>
    <w:rPr>
      <w:rFonts w:ascii="Times New Roman" w:hAnsi="Times New Roman"/>
      <w:bCs/>
      <w:sz w:val="22"/>
    </w:rPr>
  </w:style>
  <w:style w:type="paragraph" w:customStyle="1" w:styleId="EstiloLegendaCentralizado">
    <w:name w:val="Estilo Legenda + Centralizado"/>
    <w:basedOn w:val="Legenda"/>
    <w:uiPriority w:val="99"/>
    <w:semiHidden/>
    <w:rsid w:val="00D03170"/>
    <w:rPr>
      <w:sz w:val="24"/>
    </w:rPr>
  </w:style>
  <w:style w:type="paragraph" w:customStyle="1" w:styleId="EstiloLegendaCentralizado1">
    <w:name w:val="Estilo Legenda + Centralizado1"/>
    <w:basedOn w:val="Legenda"/>
    <w:uiPriority w:val="99"/>
    <w:semiHidden/>
    <w:rsid w:val="00C806C8"/>
    <w:rPr>
      <w:sz w:val="24"/>
    </w:rPr>
  </w:style>
  <w:style w:type="paragraph" w:customStyle="1" w:styleId="Estilo20">
    <w:name w:val="Estilo20"/>
    <w:basedOn w:val="Ttulo2"/>
    <w:uiPriority w:val="99"/>
    <w:semiHidden/>
    <w:rsid w:val="002A41A3"/>
  </w:style>
  <w:style w:type="paragraph" w:styleId="ndicedeilustraes">
    <w:name w:val="table of figures"/>
    <w:basedOn w:val="Normal"/>
    <w:next w:val="Normal"/>
    <w:uiPriority w:val="99"/>
    <w:rsid w:val="008A33EB"/>
    <w:pPr>
      <w:ind w:firstLine="0"/>
      <w:jc w:val="left"/>
    </w:pPr>
  </w:style>
  <w:style w:type="character" w:styleId="Nmerodepgina">
    <w:name w:val="page number"/>
    <w:uiPriority w:val="99"/>
    <w:semiHidden/>
    <w:rsid w:val="00325238"/>
    <w:rPr>
      <w:rFonts w:ascii="Arial" w:hAnsi="Arial" w:cs="Times New Roman"/>
      <w:b w:val="0"/>
      <w:i w:val="0"/>
      <w:sz w:val="22"/>
    </w:rPr>
  </w:style>
  <w:style w:type="paragraph" w:customStyle="1" w:styleId="Item">
    <w:name w:val="Item"/>
    <w:basedOn w:val="Normal"/>
    <w:uiPriority w:val="99"/>
    <w:semiHidden/>
    <w:rsid w:val="00796D11"/>
    <w:pPr>
      <w:numPr>
        <w:numId w:val="11"/>
      </w:numPr>
    </w:pPr>
  </w:style>
  <w:style w:type="paragraph" w:styleId="Assinatura">
    <w:name w:val="Signature"/>
    <w:basedOn w:val="Normal"/>
    <w:link w:val="AssinaturaChar"/>
    <w:uiPriority w:val="99"/>
    <w:semiHidden/>
    <w:rsid w:val="00F4684A"/>
    <w:pPr>
      <w:ind w:left="4252"/>
    </w:pPr>
    <w:rPr>
      <w:rFonts w:eastAsia="Calibri"/>
      <w:sz w:val="28"/>
    </w:rPr>
  </w:style>
  <w:style w:type="character" w:customStyle="1" w:styleId="AssinaturaChar">
    <w:name w:val="Assinatura Char"/>
    <w:link w:val="Assinatura"/>
    <w:uiPriority w:val="99"/>
    <w:semiHidden/>
    <w:locked/>
    <w:rsid w:val="00F64F68"/>
    <w:rPr>
      <w:rFonts w:ascii="Times New Roman" w:hAnsi="Times New Roman" w:cs="Times New Roman"/>
      <w:sz w:val="28"/>
      <w:szCs w:val="28"/>
    </w:rPr>
  </w:style>
  <w:style w:type="paragraph" w:customStyle="1" w:styleId="PargrdeFigura">
    <w:name w:val="Parágr de Figura"/>
    <w:basedOn w:val="Normal"/>
    <w:link w:val="PargrdeFiguraChar"/>
    <w:autoRedefine/>
    <w:uiPriority w:val="99"/>
    <w:semiHidden/>
    <w:rsid w:val="00B4772C"/>
    <w:pPr>
      <w:keepNext/>
      <w:spacing w:before="240" w:after="120"/>
      <w:jc w:val="center"/>
    </w:pPr>
    <w:rPr>
      <w:rFonts w:eastAsia="Calibri"/>
      <w:noProof/>
      <w:sz w:val="28"/>
    </w:rPr>
  </w:style>
  <w:style w:type="character" w:customStyle="1" w:styleId="PargrdeFiguraChar">
    <w:name w:val="Parágr de Figura Char"/>
    <w:link w:val="PargrdeFigura"/>
    <w:uiPriority w:val="99"/>
    <w:locked/>
    <w:rsid w:val="00B4772C"/>
    <w:rPr>
      <w:rFonts w:ascii="Times New Roman" w:hAnsi="Times New Roman" w:cs="Times New Roman"/>
      <w:noProof/>
      <w:sz w:val="28"/>
      <w:szCs w:val="28"/>
    </w:rPr>
  </w:style>
  <w:style w:type="paragraph" w:styleId="Sumrio5">
    <w:name w:val="toc 5"/>
    <w:basedOn w:val="Normal"/>
    <w:next w:val="Normal"/>
    <w:autoRedefine/>
    <w:uiPriority w:val="99"/>
    <w:semiHidden/>
    <w:locked/>
    <w:rsid w:val="00672177"/>
    <w:pPr>
      <w:ind w:left="960"/>
      <w:jc w:val="left"/>
    </w:pPr>
    <w:rPr>
      <w:rFonts w:ascii="Calibri" w:hAnsi="Calibri" w:cs="Calibri"/>
      <w:sz w:val="18"/>
      <w:szCs w:val="18"/>
    </w:rPr>
  </w:style>
  <w:style w:type="paragraph" w:styleId="Sumrio6">
    <w:name w:val="toc 6"/>
    <w:basedOn w:val="Normal"/>
    <w:next w:val="Normal"/>
    <w:autoRedefine/>
    <w:uiPriority w:val="99"/>
    <w:semiHidden/>
    <w:locked/>
    <w:rsid w:val="00A729EA"/>
    <w:pPr>
      <w:tabs>
        <w:tab w:val="right" w:leader="dot" w:pos="9072"/>
      </w:tabs>
      <w:jc w:val="left"/>
    </w:pPr>
    <w:rPr>
      <w:rFonts w:cs="Calibri"/>
      <w:szCs w:val="18"/>
    </w:rPr>
  </w:style>
  <w:style w:type="paragraph" w:styleId="Sumrio7">
    <w:name w:val="toc 7"/>
    <w:basedOn w:val="Normal"/>
    <w:next w:val="Normal"/>
    <w:autoRedefine/>
    <w:uiPriority w:val="99"/>
    <w:semiHidden/>
    <w:locked/>
    <w:rsid w:val="00672177"/>
    <w:pPr>
      <w:ind w:left="1440"/>
      <w:jc w:val="left"/>
    </w:pPr>
    <w:rPr>
      <w:rFonts w:ascii="Calibri" w:hAnsi="Calibri" w:cs="Calibri"/>
      <w:sz w:val="18"/>
      <w:szCs w:val="18"/>
    </w:rPr>
  </w:style>
  <w:style w:type="paragraph" w:styleId="Sumrio8">
    <w:name w:val="toc 8"/>
    <w:basedOn w:val="Normal"/>
    <w:next w:val="Normal"/>
    <w:autoRedefine/>
    <w:uiPriority w:val="99"/>
    <w:semiHidden/>
    <w:locked/>
    <w:rsid w:val="00672177"/>
    <w:pPr>
      <w:ind w:left="1680"/>
      <w:jc w:val="left"/>
    </w:pPr>
    <w:rPr>
      <w:rFonts w:ascii="Calibri" w:hAnsi="Calibri" w:cs="Calibri"/>
      <w:sz w:val="18"/>
      <w:szCs w:val="18"/>
    </w:rPr>
  </w:style>
  <w:style w:type="paragraph" w:styleId="Sumrio9">
    <w:name w:val="toc 9"/>
    <w:basedOn w:val="Normal"/>
    <w:next w:val="Normal"/>
    <w:autoRedefine/>
    <w:uiPriority w:val="99"/>
    <w:semiHidden/>
    <w:locked/>
    <w:rsid w:val="00672177"/>
    <w:pPr>
      <w:ind w:left="1920"/>
      <w:jc w:val="left"/>
    </w:pPr>
    <w:rPr>
      <w:rFonts w:ascii="Calibri" w:hAnsi="Calibri" w:cs="Calibri"/>
      <w:sz w:val="18"/>
      <w:szCs w:val="18"/>
    </w:rPr>
  </w:style>
  <w:style w:type="paragraph" w:styleId="Ttulo">
    <w:name w:val="Title"/>
    <w:basedOn w:val="Normal"/>
    <w:next w:val="Normal"/>
    <w:link w:val="TtuloChar"/>
    <w:qFormat/>
    <w:locked/>
    <w:rsid w:val="00034350"/>
    <w:pPr>
      <w:spacing w:after="360"/>
      <w:contextualSpacing/>
      <w:jc w:val="center"/>
    </w:pPr>
    <w:rPr>
      <w:rFonts w:ascii="Calibri" w:hAnsi="Calibri"/>
      <w:b/>
      <w:caps/>
      <w:spacing w:val="5"/>
      <w:kern w:val="28"/>
      <w:sz w:val="52"/>
      <w:szCs w:val="52"/>
    </w:rPr>
  </w:style>
  <w:style w:type="character" w:customStyle="1" w:styleId="TtuloChar">
    <w:name w:val="Título Char"/>
    <w:link w:val="Ttulo"/>
    <w:uiPriority w:val="10"/>
    <w:locked/>
    <w:rsid w:val="00034350"/>
    <w:rPr>
      <w:rFonts w:eastAsia="Times New Roman" w:cs="Times New Roman"/>
      <w:b/>
      <w:caps/>
      <w:spacing w:val="5"/>
      <w:kern w:val="28"/>
      <w:sz w:val="52"/>
      <w:szCs w:val="52"/>
      <w:lang w:val="pt-BR" w:eastAsia="pt-BR" w:bidi="ar-SA"/>
    </w:rPr>
  </w:style>
  <w:style w:type="paragraph" w:customStyle="1" w:styleId="PPGEClinhaembranco">
    <w:name w:val="PPGEC: linha em branco"/>
    <w:basedOn w:val="Normal"/>
    <w:uiPriority w:val="99"/>
    <w:semiHidden/>
    <w:rsid w:val="00EF652D"/>
    <w:pPr>
      <w:autoSpaceDE/>
      <w:autoSpaceDN/>
      <w:adjustRightInd/>
    </w:pPr>
    <w:rPr>
      <w:szCs w:val="20"/>
    </w:rPr>
  </w:style>
  <w:style w:type="paragraph" w:customStyle="1" w:styleId="PPGECautorfichacatalogrfica">
    <w:name w:val="PPGEC: autor ficha catalográfica"/>
    <w:basedOn w:val="PPGEClinhaembranco"/>
    <w:uiPriority w:val="99"/>
    <w:semiHidden/>
    <w:rsid w:val="00EF652D"/>
    <w:pPr>
      <w:spacing w:before="480"/>
      <w:ind w:left="567" w:right="284"/>
    </w:pPr>
  </w:style>
  <w:style w:type="paragraph" w:customStyle="1" w:styleId="PPGECdadosfichacatalogrfica">
    <w:name w:val="PPGEC: dados ficha catalográfica"/>
    <w:basedOn w:val="PPGEClinhaembranco"/>
    <w:uiPriority w:val="99"/>
    <w:semiHidden/>
    <w:rsid w:val="00EF652D"/>
    <w:pPr>
      <w:spacing w:before="120"/>
      <w:ind w:left="1021" w:right="284"/>
      <w:jc w:val="left"/>
    </w:pPr>
  </w:style>
  <w:style w:type="paragraph" w:customStyle="1" w:styleId="PPGECcdigofichacatalogrfica">
    <w:name w:val="PPGEC: código ficha catalográfica"/>
    <w:basedOn w:val="PPGECdadosfichacatalogrfica"/>
    <w:uiPriority w:val="99"/>
    <w:semiHidden/>
    <w:rsid w:val="00EF652D"/>
    <w:pPr>
      <w:spacing w:before="240"/>
      <w:ind w:left="4820"/>
      <w:jc w:val="both"/>
    </w:pPr>
  </w:style>
  <w:style w:type="paragraph" w:customStyle="1" w:styleId="TextoTabela">
    <w:name w:val="TextoTabela"/>
    <w:basedOn w:val="Normal"/>
    <w:uiPriority w:val="99"/>
    <w:semiHidden/>
    <w:rsid w:val="00931D0D"/>
    <w:pPr>
      <w:keepNext/>
      <w:keepLines/>
      <w:jc w:val="center"/>
    </w:pPr>
    <w:rPr>
      <w:sz w:val="20"/>
      <w:szCs w:val="20"/>
    </w:rPr>
  </w:style>
  <w:style w:type="paragraph" w:customStyle="1" w:styleId="PargrafoTexto">
    <w:name w:val="Parágrafo Texto"/>
    <w:basedOn w:val="Normal"/>
    <w:link w:val="PargrafoTextoChar"/>
    <w:uiPriority w:val="99"/>
    <w:semiHidden/>
    <w:rsid w:val="00034350"/>
    <w:rPr>
      <w:rFonts w:ascii="Calibri" w:hAnsi="Calibri"/>
      <w:sz w:val="28"/>
    </w:rPr>
  </w:style>
  <w:style w:type="character" w:customStyle="1" w:styleId="PargrafoTextoChar">
    <w:name w:val="Parágrafo Texto Char"/>
    <w:link w:val="PargrafoTexto"/>
    <w:uiPriority w:val="99"/>
    <w:locked/>
    <w:rsid w:val="00034350"/>
    <w:rPr>
      <w:rFonts w:eastAsia="Times New Roman" w:cs="Times New Roman"/>
      <w:sz w:val="28"/>
      <w:szCs w:val="28"/>
      <w:lang w:val="pt-BR" w:eastAsia="pt-BR" w:bidi="ar-SA"/>
    </w:rPr>
  </w:style>
  <w:style w:type="paragraph" w:customStyle="1" w:styleId="Citao-recuado">
    <w:name w:val="Citação-recuado"/>
    <w:basedOn w:val="Normal"/>
    <w:uiPriority w:val="99"/>
    <w:rsid w:val="00321C7B"/>
    <w:pPr>
      <w:spacing w:before="360" w:after="360" w:line="240" w:lineRule="auto"/>
      <w:ind w:left="2268" w:firstLine="0"/>
    </w:pPr>
    <w:rPr>
      <w:sz w:val="20"/>
    </w:rPr>
  </w:style>
  <w:style w:type="paragraph" w:customStyle="1" w:styleId="LegendaTabela">
    <w:name w:val="Legenda Tabela"/>
    <w:basedOn w:val="Legenda"/>
    <w:uiPriority w:val="99"/>
    <w:rsid w:val="00931D0D"/>
    <w:pPr>
      <w:spacing w:before="240" w:after="60"/>
    </w:pPr>
  </w:style>
  <w:style w:type="paragraph" w:customStyle="1" w:styleId="ParagFonte">
    <w:name w:val="Parag_Fonte"/>
    <w:basedOn w:val="Normal"/>
    <w:uiPriority w:val="99"/>
    <w:semiHidden/>
    <w:rsid w:val="00931D0D"/>
    <w:pPr>
      <w:spacing w:after="240"/>
      <w:jc w:val="center"/>
    </w:pPr>
    <w:rPr>
      <w:sz w:val="20"/>
    </w:rPr>
  </w:style>
  <w:style w:type="character" w:styleId="Hyperlink">
    <w:name w:val="Hyperlink"/>
    <w:uiPriority w:val="99"/>
    <w:rsid w:val="006C02B6"/>
    <w:rPr>
      <w:rFonts w:cs="Times New Roman"/>
      <w:color w:val="0000FF"/>
      <w:u w:val="single"/>
    </w:rPr>
  </w:style>
  <w:style w:type="paragraph" w:styleId="Cabealho">
    <w:name w:val="header"/>
    <w:basedOn w:val="Normal"/>
    <w:link w:val="CabealhoChar"/>
    <w:uiPriority w:val="99"/>
    <w:rsid w:val="005F126A"/>
    <w:pPr>
      <w:tabs>
        <w:tab w:val="center" w:pos="4513"/>
        <w:tab w:val="right" w:pos="9026"/>
      </w:tabs>
    </w:pPr>
    <w:rPr>
      <w:rFonts w:eastAsia="Calibri"/>
      <w:sz w:val="28"/>
    </w:rPr>
  </w:style>
  <w:style w:type="character" w:customStyle="1" w:styleId="CabealhoChar">
    <w:name w:val="Cabeçalho Char"/>
    <w:link w:val="Cabealho"/>
    <w:uiPriority w:val="99"/>
    <w:locked/>
    <w:rsid w:val="007964F1"/>
    <w:rPr>
      <w:rFonts w:ascii="Times New Roman" w:hAnsi="Times New Roman" w:cs="Times New Roman"/>
      <w:sz w:val="28"/>
      <w:szCs w:val="28"/>
    </w:rPr>
  </w:style>
  <w:style w:type="paragraph" w:styleId="Rodap">
    <w:name w:val="footer"/>
    <w:basedOn w:val="Normal"/>
    <w:link w:val="RodapChar"/>
    <w:uiPriority w:val="99"/>
    <w:rsid w:val="005F126A"/>
    <w:pPr>
      <w:tabs>
        <w:tab w:val="center" w:pos="4513"/>
        <w:tab w:val="right" w:pos="9026"/>
      </w:tabs>
    </w:pPr>
    <w:rPr>
      <w:rFonts w:eastAsia="Calibri"/>
      <w:sz w:val="28"/>
    </w:rPr>
  </w:style>
  <w:style w:type="character" w:customStyle="1" w:styleId="RodapChar">
    <w:name w:val="Rodapé Char"/>
    <w:link w:val="Rodap"/>
    <w:uiPriority w:val="99"/>
    <w:locked/>
    <w:rsid w:val="005F126A"/>
    <w:rPr>
      <w:rFonts w:ascii="Times New Roman" w:hAnsi="Times New Roman" w:cs="Times New Roman"/>
      <w:sz w:val="28"/>
      <w:szCs w:val="28"/>
    </w:rPr>
  </w:style>
  <w:style w:type="paragraph" w:customStyle="1" w:styleId="PargItens">
    <w:name w:val="Parág_Itens"/>
    <w:basedOn w:val="PargrafoTexto"/>
    <w:uiPriority w:val="99"/>
    <w:semiHidden/>
    <w:rsid w:val="00007CF2"/>
    <w:pPr>
      <w:numPr>
        <w:numId w:val="13"/>
      </w:numPr>
      <w:ind w:left="981" w:hanging="57"/>
    </w:pPr>
  </w:style>
  <w:style w:type="character" w:styleId="Refdecomentrio">
    <w:name w:val="annotation reference"/>
    <w:uiPriority w:val="99"/>
    <w:semiHidden/>
    <w:rsid w:val="009D1DC5"/>
    <w:rPr>
      <w:rFonts w:cs="Times New Roman"/>
      <w:sz w:val="16"/>
      <w:szCs w:val="16"/>
    </w:rPr>
  </w:style>
  <w:style w:type="paragraph" w:styleId="Textodecomentrio">
    <w:name w:val="annotation text"/>
    <w:basedOn w:val="Normal"/>
    <w:link w:val="TextodecomentrioChar"/>
    <w:uiPriority w:val="99"/>
    <w:semiHidden/>
    <w:rsid w:val="009D1DC5"/>
    <w:rPr>
      <w:rFonts w:eastAsia="Calibri"/>
      <w:sz w:val="20"/>
      <w:szCs w:val="20"/>
    </w:rPr>
  </w:style>
  <w:style w:type="character" w:customStyle="1" w:styleId="TextodecomentrioChar">
    <w:name w:val="Texto de comentário Char"/>
    <w:link w:val="Textodecomentrio"/>
    <w:uiPriority w:val="99"/>
    <w:semiHidden/>
    <w:locked/>
    <w:rsid w:val="00F64F6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9D1DC5"/>
    <w:rPr>
      <w:b/>
      <w:bCs/>
    </w:rPr>
  </w:style>
  <w:style w:type="character" w:customStyle="1" w:styleId="AssuntodocomentrioChar">
    <w:name w:val="Assunto do comentário Char"/>
    <w:link w:val="Assuntodocomentrio"/>
    <w:uiPriority w:val="99"/>
    <w:semiHidden/>
    <w:locked/>
    <w:rsid w:val="00F64F68"/>
    <w:rPr>
      <w:rFonts w:ascii="Times New Roman" w:hAnsi="Times New Roman" w:cs="Times New Roman"/>
      <w:b/>
      <w:bCs/>
      <w:sz w:val="20"/>
      <w:szCs w:val="20"/>
    </w:rPr>
  </w:style>
  <w:style w:type="paragraph" w:customStyle="1" w:styleId="TtuloApendAnexo">
    <w:name w:val="TítuloApend_Anexo"/>
    <w:basedOn w:val="Ttulo"/>
    <w:link w:val="TtuloApendAnexoChar"/>
    <w:uiPriority w:val="99"/>
    <w:rsid w:val="00E9458B"/>
  </w:style>
  <w:style w:type="paragraph" w:customStyle="1" w:styleId="TRABDIPreferencia">
    <w:name w:val="TRAB_DIP: referencia"/>
    <w:basedOn w:val="Normal"/>
    <w:uiPriority w:val="99"/>
    <w:rsid w:val="00FF0477"/>
    <w:pPr>
      <w:tabs>
        <w:tab w:val="left" w:pos="8505"/>
      </w:tabs>
      <w:autoSpaceDE/>
      <w:autoSpaceDN/>
      <w:adjustRightInd/>
      <w:spacing w:after="240"/>
      <w:jc w:val="left"/>
    </w:pPr>
    <w:rPr>
      <w:szCs w:val="20"/>
    </w:rPr>
  </w:style>
  <w:style w:type="paragraph" w:customStyle="1" w:styleId="Ttuloreferncias">
    <w:name w:val="Título_referências"/>
    <w:basedOn w:val="Normal"/>
    <w:next w:val="Normal"/>
    <w:uiPriority w:val="99"/>
    <w:rsid w:val="00E9458B"/>
    <w:pPr>
      <w:spacing w:after="360"/>
      <w:jc w:val="center"/>
    </w:pPr>
    <w:rPr>
      <w:b/>
      <w:caps/>
    </w:rPr>
  </w:style>
  <w:style w:type="paragraph" w:customStyle="1" w:styleId="EstiloTRABDIPttuloapndiceAntes0pt">
    <w:name w:val="Estilo TRAB_DIP: título apêndice + Antes:  0 pt"/>
    <w:basedOn w:val="Normal"/>
    <w:uiPriority w:val="99"/>
    <w:semiHidden/>
    <w:rsid w:val="00E9458B"/>
    <w:pPr>
      <w:keepNext/>
      <w:autoSpaceDE/>
      <w:autoSpaceDN/>
      <w:adjustRightInd/>
      <w:spacing w:after="120"/>
      <w:jc w:val="center"/>
      <w:outlineLvl w:val="1"/>
    </w:pPr>
    <w:rPr>
      <w:rFonts w:eastAsia="Calibri"/>
      <w:bCs/>
      <w:szCs w:val="20"/>
    </w:rPr>
  </w:style>
  <w:style w:type="paragraph" w:customStyle="1" w:styleId="ALINEA">
    <w:name w:val="ALINEA"/>
    <w:basedOn w:val="Normal"/>
    <w:next w:val="Normal"/>
    <w:uiPriority w:val="99"/>
    <w:rsid w:val="003000B5"/>
    <w:pPr>
      <w:numPr>
        <w:numId w:val="14"/>
      </w:numPr>
    </w:pPr>
  </w:style>
  <w:style w:type="character" w:styleId="AcrnimoHTML">
    <w:name w:val="HTML Acronym"/>
    <w:uiPriority w:val="99"/>
    <w:semiHidden/>
    <w:locked/>
    <w:rsid w:val="003000B5"/>
    <w:rPr>
      <w:rFonts w:cs="Times New Roman"/>
    </w:rPr>
  </w:style>
  <w:style w:type="paragraph" w:styleId="AssinaturadeEmail">
    <w:name w:val="E-mail Signature"/>
    <w:basedOn w:val="Normal"/>
    <w:link w:val="AssinaturadeEmailChar"/>
    <w:uiPriority w:val="99"/>
    <w:semiHidden/>
    <w:locked/>
    <w:rsid w:val="003000B5"/>
    <w:rPr>
      <w:rFonts w:eastAsia="Calibri"/>
      <w:sz w:val="28"/>
    </w:rPr>
  </w:style>
  <w:style w:type="character" w:customStyle="1" w:styleId="AssinaturadeEmailChar">
    <w:name w:val="Assinatura de Email Char"/>
    <w:link w:val="AssinaturadeEmail"/>
    <w:uiPriority w:val="99"/>
    <w:semiHidden/>
    <w:locked/>
    <w:rsid w:val="002049B0"/>
    <w:rPr>
      <w:rFonts w:ascii="Times New Roman" w:hAnsi="Times New Roman" w:cs="Times New Roman"/>
      <w:sz w:val="28"/>
      <w:szCs w:val="28"/>
    </w:rPr>
  </w:style>
  <w:style w:type="paragraph" w:styleId="Cabealhodamensagem">
    <w:name w:val="Message Header"/>
    <w:basedOn w:val="Normal"/>
    <w:link w:val="CabealhodamensagemChar"/>
    <w:uiPriority w:val="99"/>
    <w:semiHidden/>
    <w:locked/>
    <w:rsid w:val="00325238"/>
    <w:pPr>
      <w:pBdr>
        <w:top w:val="single" w:sz="6" w:space="1" w:color="auto"/>
        <w:left w:val="single" w:sz="6" w:space="1" w:color="auto"/>
        <w:bottom w:val="single" w:sz="6" w:space="1" w:color="auto"/>
        <w:right w:val="single" w:sz="6" w:space="1" w:color="auto"/>
      </w:pBdr>
      <w:shd w:val="pct20" w:color="auto" w:fill="auto"/>
      <w:tabs>
        <w:tab w:val="right" w:leader="dot" w:pos="9072"/>
      </w:tabs>
      <w:ind w:left="1134" w:hanging="1134"/>
    </w:pPr>
  </w:style>
  <w:style w:type="character" w:customStyle="1" w:styleId="CabealhodamensagemChar">
    <w:name w:val="Cabeçalho da mensagem Char"/>
    <w:link w:val="Cabealhodamensagem"/>
    <w:uiPriority w:val="99"/>
    <w:semiHidden/>
    <w:locked/>
    <w:rsid w:val="00325238"/>
    <w:rPr>
      <w:rFonts w:ascii="Arial" w:eastAsia="Times New Roman" w:hAnsi="Arial" w:cs="Arial"/>
      <w:sz w:val="24"/>
      <w:szCs w:val="24"/>
      <w:shd w:val="pct20" w:color="auto" w:fill="auto"/>
    </w:rPr>
  </w:style>
  <w:style w:type="character" w:styleId="CitaoHTML">
    <w:name w:val="HTML Cite"/>
    <w:uiPriority w:val="99"/>
    <w:semiHidden/>
    <w:locked/>
    <w:rsid w:val="003000B5"/>
    <w:rPr>
      <w:rFonts w:cs="Times New Roman"/>
      <w:i/>
      <w:iCs/>
    </w:rPr>
  </w:style>
  <w:style w:type="character" w:styleId="CdigoHTML">
    <w:name w:val="HTML Code"/>
    <w:uiPriority w:val="99"/>
    <w:semiHidden/>
    <w:locked/>
    <w:rsid w:val="003000B5"/>
    <w:rPr>
      <w:rFonts w:ascii="Courier New" w:hAnsi="Courier New" w:cs="Courier New"/>
      <w:sz w:val="20"/>
      <w:szCs w:val="20"/>
    </w:rPr>
  </w:style>
  <w:style w:type="paragraph" w:styleId="Commarcadores">
    <w:name w:val="List Bullet"/>
    <w:basedOn w:val="Normal"/>
    <w:uiPriority w:val="99"/>
    <w:semiHidden/>
    <w:locked/>
    <w:rsid w:val="003000B5"/>
    <w:pPr>
      <w:numPr>
        <w:numId w:val="1"/>
      </w:numPr>
      <w:ind w:left="360"/>
    </w:pPr>
  </w:style>
  <w:style w:type="paragraph" w:styleId="Commarcadores2">
    <w:name w:val="List Bullet 2"/>
    <w:basedOn w:val="Normal"/>
    <w:uiPriority w:val="99"/>
    <w:semiHidden/>
    <w:locked/>
    <w:rsid w:val="003000B5"/>
    <w:pPr>
      <w:numPr>
        <w:numId w:val="2"/>
      </w:numPr>
      <w:tabs>
        <w:tab w:val="num" w:pos="643"/>
      </w:tabs>
      <w:ind w:left="643"/>
    </w:pPr>
  </w:style>
  <w:style w:type="paragraph" w:styleId="Commarcadores3">
    <w:name w:val="List Bullet 3"/>
    <w:basedOn w:val="Normal"/>
    <w:uiPriority w:val="99"/>
    <w:semiHidden/>
    <w:locked/>
    <w:rsid w:val="003000B5"/>
    <w:pPr>
      <w:numPr>
        <w:numId w:val="3"/>
      </w:numPr>
      <w:tabs>
        <w:tab w:val="num" w:pos="926"/>
      </w:tabs>
      <w:ind w:left="926"/>
    </w:pPr>
  </w:style>
  <w:style w:type="paragraph" w:styleId="Commarcadores4">
    <w:name w:val="List Bullet 4"/>
    <w:basedOn w:val="Normal"/>
    <w:uiPriority w:val="99"/>
    <w:semiHidden/>
    <w:locked/>
    <w:rsid w:val="003000B5"/>
    <w:pPr>
      <w:numPr>
        <w:numId w:val="4"/>
      </w:numPr>
      <w:tabs>
        <w:tab w:val="clear" w:pos="360"/>
        <w:tab w:val="num" w:pos="1209"/>
        <w:tab w:val="num" w:pos="1786"/>
      </w:tabs>
      <w:ind w:left="1209"/>
    </w:pPr>
  </w:style>
  <w:style w:type="paragraph" w:styleId="Commarcadores5">
    <w:name w:val="List Bullet 5"/>
    <w:basedOn w:val="Normal"/>
    <w:uiPriority w:val="99"/>
    <w:semiHidden/>
    <w:locked/>
    <w:rsid w:val="003000B5"/>
    <w:pPr>
      <w:numPr>
        <w:numId w:val="5"/>
      </w:numPr>
      <w:tabs>
        <w:tab w:val="clear" w:pos="643"/>
        <w:tab w:val="num" w:pos="0"/>
        <w:tab w:val="num" w:pos="1492"/>
      </w:tabs>
      <w:ind w:left="1492"/>
    </w:pPr>
  </w:style>
  <w:style w:type="paragraph" w:styleId="Corpodetexto">
    <w:name w:val="Body Text"/>
    <w:basedOn w:val="Normal"/>
    <w:link w:val="CorpodetextoChar"/>
    <w:qFormat/>
    <w:locked/>
    <w:rsid w:val="003000B5"/>
    <w:pPr>
      <w:spacing w:after="120"/>
    </w:pPr>
    <w:rPr>
      <w:rFonts w:eastAsia="Calibri"/>
      <w:sz w:val="28"/>
    </w:rPr>
  </w:style>
  <w:style w:type="character" w:customStyle="1" w:styleId="CorpodetextoChar">
    <w:name w:val="Corpo de texto Char"/>
    <w:link w:val="Corpodetexto"/>
    <w:locked/>
    <w:rsid w:val="002049B0"/>
    <w:rPr>
      <w:rFonts w:ascii="Times New Roman" w:hAnsi="Times New Roman" w:cs="Times New Roman"/>
      <w:sz w:val="28"/>
      <w:szCs w:val="28"/>
    </w:rPr>
  </w:style>
  <w:style w:type="paragraph" w:styleId="Corpodetexto2">
    <w:name w:val="Body Text 2"/>
    <w:basedOn w:val="Normal"/>
    <w:link w:val="Corpodetexto2Char"/>
    <w:uiPriority w:val="99"/>
    <w:semiHidden/>
    <w:locked/>
    <w:rsid w:val="003000B5"/>
    <w:pPr>
      <w:spacing w:after="120" w:line="480" w:lineRule="auto"/>
    </w:pPr>
    <w:rPr>
      <w:rFonts w:eastAsia="Calibri"/>
      <w:sz w:val="28"/>
    </w:rPr>
  </w:style>
  <w:style w:type="character" w:customStyle="1" w:styleId="Corpodetexto2Char">
    <w:name w:val="Corpo de texto 2 Char"/>
    <w:link w:val="Corpodetexto2"/>
    <w:uiPriority w:val="99"/>
    <w:semiHidden/>
    <w:locked/>
    <w:rsid w:val="002049B0"/>
    <w:rPr>
      <w:rFonts w:ascii="Times New Roman" w:hAnsi="Times New Roman" w:cs="Times New Roman"/>
      <w:sz w:val="28"/>
      <w:szCs w:val="28"/>
    </w:rPr>
  </w:style>
  <w:style w:type="paragraph" w:styleId="Corpodetexto3">
    <w:name w:val="Body Text 3"/>
    <w:basedOn w:val="Normal"/>
    <w:link w:val="Corpodetexto3Char"/>
    <w:uiPriority w:val="99"/>
    <w:semiHidden/>
    <w:locked/>
    <w:rsid w:val="003000B5"/>
    <w:pPr>
      <w:spacing w:after="120"/>
    </w:pPr>
    <w:rPr>
      <w:rFonts w:eastAsia="Calibri"/>
      <w:sz w:val="16"/>
      <w:szCs w:val="16"/>
    </w:rPr>
  </w:style>
  <w:style w:type="character" w:customStyle="1" w:styleId="Corpodetexto3Char">
    <w:name w:val="Corpo de texto 3 Char"/>
    <w:link w:val="Corpodetexto3"/>
    <w:uiPriority w:val="99"/>
    <w:semiHidden/>
    <w:locked/>
    <w:rsid w:val="002049B0"/>
    <w:rPr>
      <w:rFonts w:ascii="Times New Roman" w:hAnsi="Times New Roman" w:cs="Times New Roman"/>
      <w:sz w:val="16"/>
      <w:szCs w:val="16"/>
    </w:rPr>
  </w:style>
  <w:style w:type="paragraph" w:styleId="Data">
    <w:name w:val="Date"/>
    <w:basedOn w:val="Normal"/>
    <w:next w:val="Normal"/>
    <w:link w:val="DataChar"/>
    <w:qFormat/>
    <w:locked/>
    <w:rsid w:val="003000B5"/>
    <w:rPr>
      <w:rFonts w:eastAsia="Calibri"/>
      <w:sz w:val="28"/>
    </w:rPr>
  </w:style>
  <w:style w:type="character" w:customStyle="1" w:styleId="DataChar">
    <w:name w:val="Data Char"/>
    <w:link w:val="Data"/>
    <w:locked/>
    <w:rsid w:val="002049B0"/>
    <w:rPr>
      <w:rFonts w:ascii="Times New Roman" w:hAnsi="Times New Roman" w:cs="Times New Roman"/>
      <w:sz w:val="28"/>
      <w:szCs w:val="28"/>
    </w:rPr>
  </w:style>
  <w:style w:type="character" w:styleId="DefinioHTML">
    <w:name w:val="HTML Definition"/>
    <w:uiPriority w:val="99"/>
    <w:semiHidden/>
    <w:locked/>
    <w:rsid w:val="003000B5"/>
    <w:rPr>
      <w:rFonts w:cs="Times New Roman"/>
      <w:i/>
      <w:iCs/>
    </w:rPr>
  </w:style>
  <w:style w:type="paragraph" w:styleId="Destinatrio">
    <w:name w:val="envelope address"/>
    <w:basedOn w:val="Normal"/>
    <w:uiPriority w:val="99"/>
    <w:semiHidden/>
    <w:locked/>
    <w:rsid w:val="003000B5"/>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locked/>
    <w:rsid w:val="003000B5"/>
    <w:pPr>
      <w:ind w:left="4252"/>
    </w:pPr>
    <w:rPr>
      <w:rFonts w:eastAsia="Calibri"/>
      <w:sz w:val="28"/>
    </w:rPr>
  </w:style>
  <w:style w:type="character" w:customStyle="1" w:styleId="EncerramentoChar">
    <w:name w:val="Encerramento Char"/>
    <w:link w:val="Encerramento"/>
    <w:uiPriority w:val="99"/>
    <w:semiHidden/>
    <w:locked/>
    <w:rsid w:val="002049B0"/>
    <w:rPr>
      <w:rFonts w:ascii="Times New Roman" w:hAnsi="Times New Roman" w:cs="Times New Roman"/>
      <w:sz w:val="28"/>
      <w:szCs w:val="28"/>
    </w:rPr>
  </w:style>
  <w:style w:type="paragraph" w:styleId="EndereoHTML">
    <w:name w:val="HTML Address"/>
    <w:basedOn w:val="Normal"/>
    <w:link w:val="EndereoHTMLChar"/>
    <w:uiPriority w:val="99"/>
    <w:semiHidden/>
    <w:locked/>
    <w:rsid w:val="003000B5"/>
    <w:rPr>
      <w:rFonts w:eastAsia="Calibri"/>
      <w:i/>
      <w:iCs/>
      <w:sz w:val="28"/>
    </w:rPr>
  </w:style>
  <w:style w:type="character" w:customStyle="1" w:styleId="EndereoHTMLChar">
    <w:name w:val="Endereço HTML Char"/>
    <w:link w:val="EndereoHTML"/>
    <w:uiPriority w:val="99"/>
    <w:semiHidden/>
    <w:locked/>
    <w:rsid w:val="002049B0"/>
    <w:rPr>
      <w:rFonts w:ascii="Times New Roman" w:hAnsi="Times New Roman" w:cs="Times New Roman"/>
      <w:i/>
      <w:iCs/>
      <w:sz w:val="28"/>
      <w:szCs w:val="28"/>
    </w:rPr>
  </w:style>
  <w:style w:type="character" w:styleId="nfase">
    <w:name w:val="Emphasis"/>
    <w:uiPriority w:val="99"/>
    <w:locked/>
    <w:rsid w:val="003000B5"/>
    <w:rPr>
      <w:rFonts w:cs="Times New Roman"/>
      <w:i/>
      <w:iCs/>
    </w:rPr>
  </w:style>
  <w:style w:type="character" w:styleId="ExemploHTML">
    <w:name w:val="HTML Sample"/>
    <w:uiPriority w:val="99"/>
    <w:semiHidden/>
    <w:locked/>
    <w:rsid w:val="003000B5"/>
    <w:rPr>
      <w:rFonts w:ascii="Courier New" w:hAnsi="Courier New" w:cs="Courier New"/>
    </w:rPr>
  </w:style>
  <w:style w:type="character" w:styleId="Forte">
    <w:name w:val="Strong"/>
    <w:uiPriority w:val="99"/>
    <w:locked/>
    <w:rsid w:val="003000B5"/>
    <w:rPr>
      <w:rFonts w:cs="Times New Roman"/>
      <w:b/>
      <w:bCs/>
    </w:rPr>
  </w:style>
  <w:style w:type="character" w:styleId="HiperlinkVisitado">
    <w:name w:val="FollowedHyperlink"/>
    <w:uiPriority w:val="99"/>
    <w:semiHidden/>
    <w:locked/>
    <w:rsid w:val="003000B5"/>
    <w:rPr>
      <w:rFonts w:cs="Times New Roman"/>
      <w:color w:val="800080"/>
      <w:u w:val="single"/>
    </w:rPr>
  </w:style>
  <w:style w:type="paragraph" w:styleId="Lista">
    <w:name w:val="List"/>
    <w:basedOn w:val="Normal"/>
    <w:uiPriority w:val="99"/>
    <w:semiHidden/>
    <w:locked/>
    <w:rsid w:val="003000B5"/>
    <w:pPr>
      <w:ind w:left="283" w:hanging="283"/>
    </w:pPr>
  </w:style>
  <w:style w:type="paragraph" w:styleId="Lista2">
    <w:name w:val="List 2"/>
    <w:basedOn w:val="Normal"/>
    <w:uiPriority w:val="99"/>
    <w:semiHidden/>
    <w:locked/>
    <w:rsid w:val="003000B5"/>
    <w:pPr>
      <w:ind w:left="566" w:hanging="283"/>
    </w:pPr>
  </w:style>
  <w:style w:type="paragraph" w:styleId="Lista3">
    <w:name w:val="List 3"/>
    <w:basedOn w:val="Normal"/>
    <w:uiPriority w:val="99"/>
    <w:semiHidden/>
    <w:locked/>
    <w:rsid w:val="003000B5"/>
    <w:pPr>
      <w:ind w:left="849" w:hanging="283"/>
    </w:pPr>
  </w:style>
  <w:style w:type="paragraph" w:styleId="Lista4">
    <w:name w:val="List 4"/>
    <w:basedOn w:val="Normal"/>
    <w:uiPriority w:val="99"/>
    <w:semiHidden/>
    <w:locked/>
    <w:rsid w:val="003000B5"/>
    <w:pPr>
      <w:ind w:left="1132" w:hanging="283"/>
    </w:pPr>
  </w:style>
  <w:style w:type="paragraph" w:styleId="Lista5">
    <w:name w:val="List 5"/>
    <w:basedOn w:val="Normal"/>
    <w:uiPriority w:val="99"/>
    <w:semiHidden/>
    <w:locked/>
    <w:rsid w:val="003000B5"/>
    <w:pPr>
      <w:ind w:left="1415" w:hanging="283"/>
    </w:pPr>
  </w:style>
  <w:style w:type="paragraph" w:styleId="Listadecontinuao">
    <w:name w:val="List Continue"/>
    <w:basedOn w:val="Normal"/>
    <w:uiPriority w:val="99"/>
    <w:semiHidden/>
    <w:locked/>
    <w:rsid w:val="003000B5"/>
    <w:pPr>
      <w:spacing w:after="120"/>
      <w:ind w:left="283"/>
    </w:pPr>
  </w:style>
  <w:style w:type="paragraph" w:styleId="Listadecontinuao2">
    <w:name w:val="List Continue 2"/>
    <w:basedOn w:val="Normal"/>
    <w:uiPriority w:val="99"/>
    <w:semiHidden/>
    <w:locked/>
    <w:rsid w:val="003000B5"/>
    <w:pPr>
      <w:spacing w:after="120"/>
      <w:ind w:left="566"/>
    </w:pPr>
  </w:style>
  <w:style w:type="paragraph" w:styleId="Listadecontinuao3">
    <w:name w:val="List Continue 3"/>
    <w:basedOn w:val="Normal"/>
    <w:uiPriority w:val="99"/>
    <w:semiHidden/>
    <w:locked/>
    <w:rsid w:val="003000B5"/>
    <w:pPr>
      <w:spacing w:after="120"/>
      <w:ind w:left="849"/>
    </w:pPr>
  </w:style>
  <w:style w:type="paragraph" w:styleId="Listadecontinuao4">
    <w:name w:val="List Continue 4"/>
    <w:basedOn w:val="Normal"/>
    <w:uiPriority w:val="99"/>
    <w:semiHidden/>
    <w:locked/>
    <w:rsid w:val="003000B5"/>
    <w:pPr>
      <w:spacing w:after="120"/>
      <w:ind w:left="1132"/>
    </w:pPr>
  </w:style>
  <w:style w:type="paragraph" w:styleId="Listadecontinuao5">
    <w:name w:val="List Continue 5"/>
    <w:basedOn w:val="Normal"/>
    <w:uiPriority w:val="99"/>
    <w:semiHidden/>
    <w:locked/>
    <w:rsid w:val="003000B5"/>
    <w:pPr>
      <w:spacing w:after="120"/>
      <w:ind w:left="1415"/>
    </w:pPr>
  </w:style>
  <w:style w:type="character" w:styleId="MquinadeescreverHTML">
    <w:name w:val="HTML Typewriter"/>
    <w:uiPriority w:val="99"/>
    <w:semiHidden/>
    <w:locked/>
    <w:rsid w:val="003000B5"/>
    <w:rPr>
      <w:rFonts w:ascii="Courier New" w:hAnsi="Courier New" w:cs="Courier New"/>
      <w:sz w:val="20"/>
      <w:szCs w:val="20"/>
    </w:rPr>
  </w:style>
  <w:style w:type="paragraph" w:styleId="NormalWeb">
    <w:name w:val="Normal (Web)"/>
    <w:basedOn w:val="Normal"/>
    <w:uiPriority w:val="99"/>
    <w:semiHidden/>
    <w:locked/>
    <w:rsid w:val="003000B5"/>
  </w:style>
  <w:style w:type="paragraph" w:styleId="Numerada">
    <w:name w:val="List Number"/>
    <w:basedOn w:val="Normal"/>
    <w:uiPriority w:val="99"/>
    <w:semiHidden/>
    <w:locked/>
    <w:rsid w:val="003000B5"/>
    <w:pPr>
      <w:numPr>
        <w:numId w:val="6"/>
      </w:numPr>
      <w:tabs>
        <w:tab w:val="clear" w:pos="926"/>
      </w:tabs>
      <w:ind w:left="360"/>
    </w:pPr>
  </w:style>
  <w:style w:type="paragraph" w:styleId="Numerada2">
    <w:name w:val="List Number 2"/>
    <w:basedOn w:val="Normal"/>
    <w:uiPriority w:val="99"/>
    <w:semiHidden/>
    <w:locked/>
    <w:rsid w:val="003000B5"/>
    <w:pPr>
      <w:numPr>
        <w:numId w:val="7"/>
      </w:numPr>
      <w:tabs>
        <w:tab w:val="clear" w:pos="1209"/>
        <w:tab w:val="num" w:pos="643"/>
        <w:tab w:val="num" w:pos="1021"/>
      </w:tabs>
      <w:ind w:left="643"/>
    </w:pPr>
  </w:style>
  <w:style w:type="paragraph" w:styleId="Numerada3">
    <w:name w:val="List Number 3"/>
    <w:basedOn w:val="Normal"/>
    <w:uiPriority w:val="99"/>
    <w:semiHidden/>
    <w:locked/>
    <w:rsid w:val="003000B5"/>
    <w:pPr>
      <w:numPr>
        <w:numId w:val="8"/>
      </w:numPr>
      <w:tabs>
        <w:tab w:val="clear" w:pos="1492"/>
        <w:tab w:val="num" w:pos="926"/>
      </w:tabs>
      <w:ind w:left="926"/>
    </w:pPr>
  </w:style>
  <w:style w:type="paragraph" w:styleId="Numerada4">
    <w:name w:val="List Number 4"/>
    <w:basedOn w:val="Normal"/>
    <w:uiPriority w:val="99"/>
    <w:semiHidden/>
    <w:locked/>
    <w:rsid w:val="003000B5"/>
    <w:pPr>
      <w:numPr>
        <w:numId w:val="9"/>
      </w:numPr>
      <w:tabs>
        <w:tab w:val="clear" w:pos="360"/>
        <w:tab w:val="num" w:pos="1209"/>
      </w:tabs>
      <w:ind w:left="1209"/>
    </w:pPr>
  </w:style>
  <w:style w:type="paragraph" w:styleId="Numerada5">
    <w:name w:val="List Number 5"/>
    <w:basedOn w:val="Normal"/>
    <w:uiPriority w:val="99"/>
    <w:semiHidden/>
    <w:locked/>
    <w:rsid w:val="003000B5"/>
    <w:pPr>
      <w:numPr>
        <w:numId w:val="10"/>
      </w:numPr>
      <w:tabs>
        <w:tab w:val="clear" w:pos="643"/>
        <w:tab w:val="num" w:pos="1492"/>
        <w:tab w:val="num" w:pos="1800"/>
      </w:tabs>
      <w:ind w:left="1492"/>
    </w:pPr>
  </w:style>
  <w:style w:type="character" w:styleId="Nmerodelinha">
    <w:name w:val="line number"/>
    <w:uiPriority w:val="99"/>
    <w:semiHidden/>
    <w:locked/>
    <w:rsid w:val="003000B5"/>
    <w:rPr>
      <w:rFonts w:cs="Times New Roman"/>
    </w:rPr>
  </w:style>
  <w:style w:type="paragraph" w:styleId="Pr-formataoHTML">
    <w:name w:val="HTML Preformatted"/>
    <w:basedOn w:val="Normal"/>
    <w:link w:val="Pr-formataoHTMLChar"/>
    <w:uiPriority w:val="99"/>
    <w:semiHidden/>
    <w:locked/>
    <w:rsid w:val="003000B5"/>
    <w:rPr>
      <w:rFonts w:ascii="Courier New" w:eastAsia="Calibri" w:hAnsi="Courier New"/>
      <w:sz w:val="20"/>
      <w:szCs w:val="20"/>
    </w:rPr>
  </w:style>
  <w:style w:type="character" w:customStyle="1" w:styleId="Pr-formataoHTMLChar">
    <w:name w:val="Pré-formatação HTML Char"/>
    <w:link w:val="Pr-formataoHTML"/>
    <w:uiPriority w:val="99"/>
    <w:semiHidden/>
    <w:locked/>
    <w:rsid w:val="002049B0"/>
    <w:rPr>
      <w:rFonts w:ascii="Courier New" w:hAnsi="Courier New" w:cs="Courier New"/>
      <w:sz w:val="20"/>
      <w:szCs w:val="20"/>
    </w:rPr>
  </w:style>
  <w:style w:type="paragraph" w:styleId="Primeirorecuodecorpodetexto">
    <w:name w:val="Body Text First Indent"/>
    <w:basedOn w:val="Corpodetexto"/>
    <w:link w:val="PrimeirorecuodecorpodetextoChar"/>
    <w:uiPriority w:val="99"/>
    <w:semiHidden/>
    <w:locked/>
    <w:rsid w:val="003000B5"/>
    <w:pPr>
      <w:ind w:firstLine="210"/>
    </w:pPr>
  </w:style>
  <w:style w:type="character" w:customStyle="1" w:styleId="PrimeirorecuodecorpodetextoChar">
    <w:name w:val="Primeiro recuo de corpo de texto Char"/>
    <w:link w:val="Primeirorecuodecorpodetexto"/>
    <w:uiPriority w:val="99"/>
    <w:semiHidden/>
    <w:locked/>
    <w:rsid w:val="002049B0"/>
    <w:rPr>
      <w:rFonts w:ascii="Times New Roman" w:hAnsi="Times New Roman" w:cs="Times New Roman"/>
      <w:sz w:val="28"/>
      <w:szCs w:val="28"/>
    </w:rPr>
  </w:style>
  <w:style w:type="paragraph" w:styleId="Recuodecorpodetexto">
    <w:name w:val="Body Text Indent"/>
    <w:basedOn w:val="Normal"/>
    <w:link w:val="RecuodecorpodetextoChar"/>
    <w:uiPriority w:val="99"/>
    <w:semiHidden/>
    <w:locked/>
    <w:rsid w:val="003000B5"/>
    <w:pPr>
      <w:spacing w:after="120"/>
      <w:ind w:left="283"/>
    </w:pPr>
    <w:rPr>
      <w:rFonts w:eastAsia="Calibri"/>
      <w:sz w:val="28"/>
    </w:rPr>
  </w:style>
  <w:style w:type="character" w:customStyle="1" w:styleId="RecuodecorpodetextoChar">
    <w:name w:val="Recuo de corpo de texto Char"/>
    <w:link w:val="Recuodecorpodetexto"/>
    <w:uiPriority w:val="99"/>
    <w:semiHidden/>
    <w:locked/>
    <w:rsid w:val="002049B0"/>
    <w:rPr>
      <w:rFonts w:ascii="Times New Roman" w:hAnsi="Times New Roman" w:cs="Times New Roman"/>
      <w:sz w:val="28"/>
      <w:szCs w:val="28"/>
    </w:rPr>
  </w:style>
  <w:style w:type="paragraph" w:styleId="Primeirorecuodecorpodetexto2">
    <w:name w:val="Body Text First Indent 2"/>
    <w:basedOn w:val="Recuodecorpodetexto"/>
    <w:link w:val="Primeirorecuodecorpodetexto2Char"/>
    <w:uiPriority w:val="99"/>
    <w:semiHidden/>
    <w:locked/>
    <w:rsid w:val="003000B5"/>
    <w:pPr>
      <w:ind w:firstLine="210"/>
    </w:pPr>
  </w:style>
  <w:style w:type="character" w:customStyle="1" w:styleId="Primeirorecuodecorpodetexto2Char">
    <w:name w:val="Primeiro recuo de corpo de texto 2 Char"/>
    <w:link w:val="Primeirorecuodecorpodetexto2"/>
    <w:uiPriority w:val="99"/>
    <w:semiHidden/>
    <w:locked/>
    <w:rsid w:val="002049B0"/>
    <w:rPr>
      <w:rFonts w:ascii="Times New Roman" w:hAnsi="Times New Roman" w:cs="Times New Roman"/>
      <w:sz w:val="28"/>
      <w:szCs w:val="28"/>
    </w:rPr>
  </w:style>
  <w:style w:type="paragraph" w:styleId="Recuodecorpodetexto2">
    <w:name w:val="Body Text Indent 2"/>
    <w:basedOn w:val="Normal"/>
    <w:link w:val="Recuodecorpodetexto2Char"/>
    <w:uiPriority w:val="99"/>
    <w:semiHidden/>
    <w:locked/>
    <w:rsid w:val="003000B5"/>
    <w:pPr>
      <w:spacing w:after="120" w:line="480" w:lineRule="auto"/>
      <w:ind w:left="283"/>
    </w:pPr>
    <w:rPr>
      <w:rFonts w:eastAsia="Calibri"/>
      <w:sz w:val="28"/>
    </w:rPr>
  </w:style>
  <w:style w:type="character" w:customStyle="1" w:styleId="Recuodecorpodetexto2Char">
    <w:name w:val="Recuo de corpo de texto 2 Char"/>
    <w:link w:val="Recuodecorpodetexto2"/>
    <w:uiPriority w:val="99"/>
    <w:semiHidden/>
    <w:locked/>
    <w:rsid w:val="002049B0"/>
    <w:rPr>
      <w:rFonts w:ascii="Times New Roman" w:hAnsi="Times New Roman" w:cs="Times New Roman"/>
      <w:sz w:val="28"/>
      <w:szCs w:val="28"/>
    </w:rPr>
  </w:style>
  <w:style w:type="paragraph" w:styleId="Recuodecorpodetexto3">
    <w:name w:val="Body Text Indent 3"/>
    <w:basedOn w:val="Normal"/>
    <w:link w:val="Recuodecorpodetexto3Char"/>
    <w:uiPriority w:val="99"/>
    <w:semiHidden/>
    <w:locked/>
    <w:rsid w:val="003000B5"/>
    <w:pPr>
      <w:spacing w:after="120"/>
      <w:ind w:left="283"/>
    </w:pPr>
    <w:rPr>
      <w:rFonts w:eastAsia="Calibri"/>
      <w:sz w:val="16"/>
      <w:szCs w:val="16"/>
    </w:rPr>
  </w:style>
  <w:style w:type="character" w:customStyle="1" w:styleId="Recuodecorpodetexto3Char">
    <w:name w:val="Recuo de corpo de texto 3 Char"/>
    <w:link w:val="Recuodecorpodetexto3"/>
    <w:uiPriority w:val="99"/>
    <w:semiHidden/>
    <w:locked/>
    <w:rsid w:val="002049B0"/>
    <w:rPr>
      <w:rFonts w:ascii="Times New Roman" w:hAnsi="Times New Roman" w:cs="Times New Roman"/>
      <w:sz w:val="16"/>
      <w:szCs w:val="16"/>
    </w:rPr>
  </w:style>
  <w:style w:type="paragraph" w:styleId="Recuonormal">
    <w:name w:val="Normal Indent"/>
    <w:basedOn w:val="Normal"/>
    <w:uiPriority w:val="99"/>
    <w:semiHidden/>
    <w:locked/>
    <w:rsid w:val="003000B5"/>
    <w:pPr>
      <w:ind w:left="708"/>
    </w:pPr>
  </w:style>
  <w:style w:type="character" w:styleId="Refdenotaderodap">
    <w:name w:val="footnote reference"/>
    <w:qFormat/>
    <w:locked/>
    <w:rsid w:val="00043744"/>
    <w:rPr>
      <w:rFonts w:ascii="Arial" w:hAnsi="Arial" w:cs="Times New Roman"/>
      <w:b w:val="0"/>
      <w:i w:val="0"/>
      <w:sz w:val="20"/>
      <w:vertAlign w:val="superscript"/>
    </w:rPr>
  </w:style>
  <w:style w:type="paragraph" w:styleId="Remetente">
    <w:name w:val="envelope return"/>
    <w:basedOn w:val="Normal"/>
    <w:uiPriority w:val="99"/>
    <w:semiHidden/>
    <w:locked/>
    <w:rsid w:val="003000B5"/>
    <w:rPr>
      <w:rFonts w:cs="Arial"/>
      <w:sz w:val="20"/>
      <w:szCs w:val="20"/>
    </w:rPr>
  </w:style>
  <w:style w:type="paragraph" w:styleId="Saudao">
    <w:name w:val="Salutation"/>
    <w:basedOn w:val="Normal"/>
    <w:next w:val="Normal"/>
    <w:link w:val="SaudaoChar"/>
    <w:uiPriority w:val="99"/>
    <w:semiHidden/>
    <w:locked/>
    <w:rsid w:val="003000B5"/>
    <w:rPr>
      <w:rFonts w:eastAsia="Calibri"/>
      <w:sz w:val="28"/>
    </w:rPr>
  </w:style>
  <w:style w:type="character" w:customStyle="1" w:styleId="SaudaoChar">
    <w:name w:val="Saudação Char"/>
    <w:link w:val="Saudao"/>
    <w:uiPriority w:val="99"/>
    <w:semiHidden/>
    <w:locked/>
    <w:rsid w:val="002049B0"/>
    <w:rPr>
      <w:rFonts w:ascii="Times New Roman" w:hAnsi="Times New Roman" w:cs="Times New Roman"/>
      <w:sz w:val="28"/>
      <w:szCs w:val="28"/>
    </w:rPr>
  </w:style>
  <w:style w:type="paragraph" w:styleId="Subttulo">
    <w:name w:val="Subtitle"/>
    <w:basedOn w:val="Normal"/>
    <w:link w:val="SubttuloChar"/>
    <w:qFormat/>
    <w:locked/>
    <w:rsid w:val="003000B5"/>
    <w:pPr>
      <w:spacing w:after="60"/>
      <w:jc w:val="center"/>
      <w:outlineLvl w:val="1"/>
    </w:pPr>
    <w:rPr>
      <w:rFonts w:ascii="Cambria" w:eastAsia="Calibri" w:hAnsi="Cambria"/>
    </w:rPr>
  </w:style>
  <w:style w:type="character" w:customStyle="1" w:styleId="SubttuloChar">
    <w:name w:val="Subtítulo Char"/>
    <w:link w:val="Subttulo"/>
    <w:locked/>
    <w:rsid w:val="002049B0"/>
    <w:rPr>
      <w:rFonts w:ascii="Cambria" w:hAnsi="Cambria" w:cs="Times New Roman"/>
      <w:sz w:val="24"/>
      <w:szCs w:val="24"/>
    </w:rPr>
  </w:style>
  <w:style w:type="table" w:styleId="Tabelaclssica1">
    <w:name w:val="Table Classic 1"/>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lssica2">
    <w:name w:val="Table Classic 2"/>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elaclssica3">
    <w:name w:val="Table Classic 3"/>
    <w:basedOn w:val="Tabelanormal"/>
    <w:uiPriority w:val="99"/>
    <w:semiHidden/>
    <w:locked/>
    <w:rsid w:val="003000B5"/>
    <w:pPr>
      <w:autoSpaceDE w:val="0"/>
      <w:autoSpaceDN w:val="0"/>
      <w:adjustRightInd w:val="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elaclssica4">
    <w:name w:val="Table Classic 4"/>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lorida1">
    <w:name w:val="Table Colorful 1"/>
    <w:basedOn w:val="Tabelanormal"/>
    <w:uiPriority w:val="99"/>
    <w:semiHidden/>
    <w:locked/>
    <w:rsid w:val="003000B5"/>
    <w:pPr>
      <w:autoSpaceDE w:val="0"/>
      <w:autoSpaceDN w:val="0"/>
      <w:adjustRightInd w:val="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elacolorida2">
    <w:name w:val="Table Colorful 2"/>
    <w:basedOn w:val="Tabelanormal"/>
    <w:uiPriority w:val="99"/>
    <w:semiHidden/>
    <w:locked/>
    <w:rsid w:val="003000B5"/>
    <w:pPr>
      <w:autoSpaceDE w:val="0"/>
      <w:autoSpaceDN w:val="0"/>
      <w:adjustRightInd w:val="0"/>
      <w:jc w:val="both"/>
    </w:pPr>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elacolorida3">
    <w:name w:val="Table Colorful 3"/>
    <w:basedOn w:val="Tabelanormal"/>
    <w:uiPriority w:val="99"/>
    <w:semiHidden/>
    <w:locked/>
    <w:rsid w:val="003000B5"/>
    <w:pPr>
      <w:autoSpaceDE w:val="0"/>
      <w:autoSpaceDN w:val="0"/>
      <w:adjustRightInd w:val="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locked/>
    <w:rsid w:val="003000B5"/>
    <w:pPr>
      <w:autoSpaceDE w:val="0"/>
      <w:autoSpaceDN w:val="0"/>
      <w:adjustRightInd w:val="0"/>
      <w:jc w:val="both"/>
    </w:pPr>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locked/>
    <w:rsid w:val="003000B5"/>
    <w:pPr>
      <w:autoSpaceDE w:val="0"/>
      <w:autoSpaceDN w:val="0"/>
      <w:adjustRightInd w:val="0"/>
      <w:jc w:val="both"/>
    </w:pPr>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efeitos3D3">
    <w:name w:val="Table 3D effects 3"/>
    <w:basedOn w:val="Tabelanormal"/>
    <w:uiPriority w:val="99"/>
    <w:semiHidden/>
    <w:locked/>
    <w:rsid w:val="003000B5"/>
    <w:pPr>
      <w:autoSpaceDE w:val="0"/>
      <w:autoSpaceDN w:val="0"/>
      <w:adjustRightInd w:val="0"/>
      <w:jc w:val="both"/>
    </w:pPr>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grade1">
    <w:name w:val="Table Grid 1"/>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2">
    <w:name w:val="Table Grid 2"/>
    <w:basedOn w:val="Tabelanormal"/>
    <w:uiPriority w:val="99"/>
    <w:semiHidden/>
    <w:locked/>
    <w:rsid w:val="003000B5"/>
    <w:pPr>
      <w:autoSpaceDE w:val="0"/>
      <w:autoSpaceDN w:val="0"/>
      <w:adjustRightInd w:val="0"/>
      <w:jc w:val="both"/>
    </w:pPr>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3">
    <w:name w:val="Table Grid 3"/>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5">
    <w:name w:val="Table Grid 5"/>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locked/>
    <w:rsid w:val="003000B5"/>
    <w:pPr>
      <w:autoSpaceDE w:val="0"/>
      <w:autoSpaceDN w:val="0"/>
      <w:adjustRightInd w:val="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locked/>
    <w:rsid w:val="003000B5"/>
    <w:pPr>
      <w:autoSpaceDE w:val="0"/>
      <w:autoSpaceDN w:val="0"/>
      <w:adjustRightInd w:val="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tema">
    <w:name w:val="Table Theme"/>
    <w:basedOn w:val="Tabelanormal"/>
    <w:uiPriority w:val="99"/>
    <w:semiHidden/>
    <w:locked/>
    <w:rsid w:val="003000B5"/>
    <w:pPr>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locked/>
    <w:rsid w:val="003000B5"/>
    <w:pPr>
      <w:autoSpaceDE w:val="0"/>
      <w:autoSpaceDN w:val="0"/>
      <w:adjustRightInd w:val="0"/>
      <w:jc w:val="both"/>
    </w:pPr>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locked/>
    <w:rsid w:val="003000B5"/>
    <w:pPr>
      <w:autoSpaceDE w:val="0"/>
      <w:autoSpaceDN w:val="0"/>
      <w:adjustRightInd w:val="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daWeb3">
    <w:name w:val="Table Web 3"/>
    <w:basedOn w:val="Tabelanormal"/>
    <w:uiPriority w:val="99"/>
    <w:semiHidden/>
    <w:locked/>
    <w:rsid w:val="003000B5"/>
    <w:pPr>
      <w:autoSpaceDE w:val="0"/>
      <w:autoSpaceDN w:val="0"/>
      <w:adjustRightInd w:val="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emcolunas1">
    <w:name w:val="Table Columns 1"/>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2">
    <w:name w:val="Table Columns 2"/>
    <w:basedOn w:val="Tabelanormal"/>
    <w:uiPriority w:val="99"/>
    <w:semiHidden/>
    <w:locked/>
    <w:rsid w:val="003000B5"/>
    <w:pPr>
      <w:autoSpaceDE w:val="0"/>
      <w:autoSpaceDN w:val="0"/>
      <w:adjustRightInd w:val="0"/>
      <w:jc w:val="both"/>
    </w:pPr>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3">
    <w:name w:val="Table Columns 3"/>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elaemcolunas4">
    <w:name w:val="Table Columns 4"/>
    <w:basedOn w:val="Tabelanormal"/>
    <w:uiPriority w:val="99"/>
    <w:semiHidden/>
    <w:locked/>
    <w:rsid w:val="003000B5"/>
    <w:pPr>
      <w:autoSpaceDE w:val="0"/>
      <w:autoSpaceDN w:val="0"/>
      <w:adjustRightInd w:val="0"/>
      <w:jc w:val="both"/>
    </w:pPr>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elaemlista1">
    <w:name w:val="Table List 1"/>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2">
    <w:name w:val="Table List 2"/>
    <w:basedOn w:val="Tabelanormal"/>
    <w:uiPriority w:val="99"/>
    <w:semiHidden/>
    <w:locked/>
    <w:rsid w:val="003000B5"/>
    <w:pPr>
      <w:autoSpaceDE w:val="0"/>
      <w:autoSpaceDN w:val="0"/>
      <w:adjustRightInd w:val="0"/>
      <w:jc w:val="both"/>
    </w:pPr>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3">
    <w:name w:val="Table List 3"/>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6">
    <w:name w:val="Table List 6"/>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simples1">
    <w:name w:val="Table Simple 1"/>
    <w:basedOn w:val="Tabelanormal"/>
    <w:uiPriority w:val="99"/>
    <w:semiHidden/>
    <w:locked/>
    <w:rsid w:val="003000B5"/>
    <w:pPr>
      <w:autoSpaceDE w:val="0"/>
      <w:autoSpaceDN w:val="0"/>
      <w:adjustRightInd w:val="0"/>
      <w:jc w:val="both"/>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locked/>
    <w:rsid w:val="003000B5"/>
    <w:pPr>
      <w:autoSpaceDE w:val="0"/>
      <w:autoSpaceDN w:val="0"/>
      <w:adjustRightInd w:val="0"/>
      <w:jc w:val="both"/>
    </w:pPr>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locked/>
    <w:rsid w:val="003000B5"/>
    <w:pPr>
      <w:autoSpaceDE w:val="0"/>
      <w:autoSpaceDN w:val="0"/>
      <w:adjustRightInd w:val="0"/>
      <w:jc w:val="both"/>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sutil2">
    <w:name w:val="Table Subtle 2"/>
    <w:basedOn w:val="Tabelanormal"/>
    <w:uiPriority w:val="99"/>
    <w:semiHidden/>
    <w:locked/>
    <w:rsid w:val="003000B5"/>
    <w:pPr>
      <w:autoSpaceDE w:val="0"/>
      <w:autoSpaceDN w:val="0"/>
      <w:adjustRightInd w:val="0"/>
      <w:jc w:val="both"/>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TecladoHTML">
    <w:name w:val="HTML Keyboard"/>
    <w:uiPriority w:val="99"/>
    <w:semiHidden/>
    <w:locked/>
    <w:rsid w:val="003000B5"/>
    <w:rPr>
      <w:rFonts w:ascii="Courier New" w:hAnsi="Courier New" w:cs="Courier New"/>
      <w:sz w:val="20"/>
      <w:szCs w:val="20"/>
    </w:rPr>
  </w:style>
  <w:style w:type="paragraph" w:styleId="Textodenotaderodap">
    <w:name w:val="footnote text"/>
    <w:basedOn w:val="Normal"/>
    <w:link w:val="TextodenotaderodapChar"/>
    <w:uiPriority w:val="9"/>
    <w:qFormat/>
    <w:locked/>
    <w:rsid w:val="00043744"/>
    <w:pPr>
      <w:spacing w:line="240" w:lineRule="auto"/>
      <w:ind w:firstLine="0"/>
    </w:pPr>
    <w:rPr>
      <w:sz w:val="20"/>
      <w:szCs w:val="20"/>
    </w:rPr>
  </w:style>
  <w:style w:type="character" w:customStyle="1" w:styleId="TextodenotaderodapChar">
    <w:name w:val="Texto de nota de rodapé Char"/>
    <w:link w:val="Textodenotaderodap"/>
    <w:uiPriority w:val="99"/>
    <w:locked/>
    <w:rsid w:val="00043744"/>
    <w:rPr>
      <w:rFonts w:ascii="Arial" w:eastAsia="Times New Roman" w:hAnsi="Arial"/>
      <w:sz w:val="20"/>
      <w:szCs w:val="20"/>
    </w:rPr>
  </w:style>
  <w:style w:type="paragraph" w:styleId="Textoembloco">
    <w:name w:val="Block Text"/>
    <w:basedOn w:val="Normal"/>
    <w:uiPriority w:val="9"/>
    <w:qFormat/>
    <w:locked/>
    <w:rsid w:val="003000B5"/>
    <w:pPr>
      <w:spacing w:after="120"/>
      <w:ind w:left="1440" w:right="1440"/>
    </w:pPr>
  </w:style>
  <w:style w:type="paragraph" w:styleId="TextosemFormatao">
    <w:name w:val="Plain Text"/>
    <w:basedOn w:val="Normal"/>
    <w:link w:val="TextosemFormataoChar"/>
    <w:uiPriority w:val="99"/>
    <w:semiHidden/>
    <w:locked/>
    <w:rsid w:val="003000B5"/>
    <w:rPr>
      <w:rFonts w:ascii="Courier New" w:eastAsia="Calibri" w:hAnsi="Courier New"/>
      <w:sz w:val="20"/>
      <w:szCs w:val="20"/>
    </w:rPr>
  </w:style>
  <w:style w:type="character" w:customStyle="1" w:styleId="TextosemFormataoChar">
    <w:name w:val="Texto sem Formatação Char"/>
    <w:link w:val="TextosemFormatao"/>
    <w:uiPriority w:val="99"/>
    <w:semiHidden/>
    <w:locked/>
    <w:rsid w:val="002049B0"/>
    <w:rPr>
      <w:rFonts w:ascii="Courier New" w:hAnsi="Courier New" w:cs="Courier New"/>
      <w:sz w:val="20"/>
      <w:szCs w:val="20"/>
    </w:rPr>
  </w:style>
  <w:style w:type="paragraph" w:styleId="Ttulodanota">
    <w:name w:val="Note Heading"/>
    <w:basedOn w:val="Normal"/>
    <w:next w:val="Normal"/>
    <w:link w:val="TtulodanotaChar"/>
    <w:uiPriority w:val="99"/>
    <w:semiHidden/>
    <w:locked/>
    <w:rsid w:val="003000B5"/>
    <w:rPr>
      <w:rFonts w:eastAsia="Calibri"/>
      <w:sz w:val="28"/>
    </w:rPr>
  </w:style>
  <w:style w:type="character" w:customStyle="1" w:styleId="TtulodanotaChar">
    <w:name w:val="Título da nota Char"/>
    <w:link w:val="Ttulodanota"/>
    <w:uiPriority w:val="99"/>
    <w:semiHidden/>
    <w:locked/>
    <w:rsid w:val="002049B0"/>
    <w:rPr>
      <w:rFonts w:ascii="Times New Roman" w:hAnsi="Times New Roman" w:cs="Times New Roman"/>
      <w:sz w:val="28"/>
      <w:szCs w:val="28"/>
    </w:rPr>
  </w:style>
  <w:style w:type="character" w:styleId="VarivelHTML">
    <w:name w:val="HTML Variable"/>
    <w:uiPriority w:val="99"/>
    <w:semiHidden/>
    <w:locked/>
    <w:rsid w:val="003000B5"/>
    <w:rPr>
      <w:rFonts w:cs="Times New Roman"/>
      <w:i/>
      <w:iCs/>
    </w:rPr>
  </w:style>
  <w:style w:type="character" w:customStyle="1" w:styleId="TtuloApendAnexoChar">
    <w:name w:val="TítuloApend_Anexo Char"/>
    <w:link w:val="TtuloApendAnexo"/>
    <w:uiPriority w:val="99"/>
    <w:locked/>
    <w:rsid w:val="003000B5"/>
    <w:rPr>
      <w:rFonts w:eastAsia="Times New Roman" w:cs="Times New Roman"/>
      <w:b/>
      <w:caps/>
      <w:spacing w:val="5"/>
      <w:kern w:val="28"/>
      <w:sz w:val="52"/>
      <w:szCs w:val="52"/>
      <w:lang w:val="pt-BR" w:eastAsia="pt-BR" w:bidi="ar-SA"/>
    </w:rPr>
  </w:style>
  <w:style w:type="numbering" w:customStyle="1" w:styleId="Artigoseo1">
    <w:name w:val="Artigo / seção1"/>
    <w:rsid w:val="00C250ED"/>
    <w:pPr>
      <w:numPr>
        <w:numId w:val="17"/>
      </w:numPr>
    </w:pPr>
  </w:style>
  <w:style w:type="numbering" w:styleId="111111">
    <w:name w:val="Outline List 2"/>
    <w:basedOn w:val="Semlista"/>
    <w:uiPriority w:val="99"/>
    <w:semiHidden/>
    <w:unhideWhenUsed/>
    <w:locked/>
    <w:rsid w:val="00C250ED"/>
    <w:pPr>
      <w:numPr>
        <w:numId w:val="15"/>
      </w:numPr>
    </w:pPr>
  </w:style>
  <w:style w:type="numbering" w:styleId="1ai">
    <w:name w:val="Outline List 1"/>
    <w:basedOn w:val="Semlista"/>
    <w:uiPriority w:val="99"/>
    <w:semiHidden/>
    <w:unhideWhenUsed/>
    <w:locked/>
    <w:rsid w:val="00C250ED"/>
    <w:pPr>
      <w:numPr>
        <w:numId w:val="16"/>
      </w:numPr>
    </w:pPr>
  </w:style>
  <w:style w:type="paragraph" w:styleId="Citao">
    <w:name w:val="Quote"/>
    <w:aliases w:val="CITAÇÃO LONGA"/>
    <w:basedOn w:val="Normal"/>
    <w:next w:val="Normal"/>
    <w:link w:val="CitaoChar"/>
    <w:qFormat/>
    <w:rsid w:val="00043744"/>
    <w:pPr>
      <w:spacing w:before="360" w:after="360" w:line="240" w:lineRule="auto"/>
      <w:ind w:left="2268" w:firstLine="0"/>
    </w:pPr>
    <w:rPr>
      <w:iCs/>
      <w:color w:val="000000"/>
      <w:sz w:val="20"/>
    </w:rPr>
  </w:style>
  <w:style w:type="character" w:customStyle="1" w:styleId="CitaoChar">
    <w:name w:val="Citação Char"/>
    <w:aliases w:val="CITAÇÃO LONGA Char"/>
    <w:link w:val="Citao"/>
    <w:uiPriority w:val="29"/>
    <w:rsid w:val="00043744"/>
    <w:rPr>
      <w:rFonts w:ascii="Arial" w:eastAsia="Times New Roman" w:hAnsi="Arial"/>
      <w:iCs/>
      <w:color w:val="000000"/>
      <w:sz w:val="20"/>
      <w:szCs w:val="28"/>
    </w:rPr>
  </w:style>
  <w:style w:type="character" w:styleId="RefernciaSutil">
    <w:name w:val="Subtle Reference"/>
    <w:uiPriority w:val="31"/>
    <w:rsid w:val="00A62CF1"/>
    <w:rPr>
      <w:smallCaps/>
      <w:color w:val="C0504D"/>
      <w:u w:val="single"/>
    </w:rPr>
  </w:style>
  <w:style w:type="character" w:styleId="RefernciaIntensa">
    <w:name w:val="Intense Reference"/>
    <w:uiPriority w:val="32"/>
    <w:rsid w:val="00A62CF1"/>
    <w:rPr>
      <w:b/>
      <w:bCs/>
      <w:smallCaps/>
      <w:color w:val="C0504D"/>
      <w:spacing w:val="5"/>
      <w:u w:val="single"/>
    </w:rPr>
  </w:style>
  <w:style w:type="paragraph" w:customStyle="1" w:styleId="REFERNCIA">
    <w:name w:val="REFERÊNCIA"/>
    <w:basedOn w:val="Normal"/>
    <w:next w:val="Normal"/>
    <w:rsid w:val="00A62CF1"/>
    <w:pPr>
      <w:spacing w:after="240" w:line="240" w:lineRule="auto"/>
      <w:ind w:firstLine="0"/>
      <w:jc w:val="left"/>
    </w:pPr>
  </w:style>
  <w:style w:type="character" w:customStyle="1" w:styleId="CommentTextChar">
    <w:name w:val="Comment Text Char"/>
    <w:semiHidden/>
    <w:locked/>
    <w:rsid w:val="00E428DA"/>
    <w:rPr>
      <w:rFonts w:ascii="Arial" w:eastAsia="Calibri" w:hAnsi="Arial" w:cs="Comic Sans MS"/>
      <w:szCs w:val="24"/>
      <w:lang w:val="pt-BR" w:eastAsia="en-US" w:bidi="ar-SA"/>
    </w:rPr>
  </w:style>
  <w:style w:type="character" w:customStyle="1" w:styleId="CharChar20">
    <w:name w:val="Char Char20"/>
    <w:semiHidden/>
    <w:locked/>
    <w:rsid w:val="00666B13"/>
    <w:rPr>
      <w:rFonts w:ascii="Arial" w:hAnsi="Arial" w:cs="Arial"/>
      <w:lang w:val="pt-BR" w:eastAsia="pt-BR" w:bidi="ar-SA"/>
    </w:rPr>
  </w:style>
  <w:style w:type="character" w:customStyle="1" w:styleId="hps">
    <w:name w:val="hps"/>
    <w:rsid w:val="00CD2EAC"/>
  </w:style>
  <w:style w:type="paragraph" w:styleId="Textodenotadefim">
    <w:name w:val="endnote text"/>
    <w:basedOn w:val="Normal"/>
    <w:link w:val="TextodenotadefimChar"/>
    <w:uiPriority w:val="99"/>
    <w:semiHidden/>
    <w:unhideWhenUsed/>
    <w:locked/>
    <w:rsid w:val="009F6D9B"/>
    <w:rPr>
      <w:sz w:val="20"/>
      <w:szCs w:val="20"/>
    </w:rPr>
  </w:style>
  <w:style w:type="character" w:customStyle="1" w:styleId="TextodenotadefimChar">
    <w:name w:val="Texto de nota de fim Char"/>
    <w:link w:val="Textodenotadefim"/>
    <w:uiPriority w:val="99"/>
    <w:semiHidden/>
    <w:rsid w:val="009F6D9B"/>
    <w:rPr>
      <w:rFonts w:ascii="Arial" w:eastAsia="Times New Roman" w:hAnsi="Arial"/>
    </w:rPr>
  </w:style>
  <w:style w:type="character" w:styleId="Refdenotadefim">
    <w:name w:val="endnote reference"/>
    <w:uiPriority w:val="99"/>
    <w:semiHidden/>
    <w:unhideWhenUsed/>
    <w:locked/>
    <w:rsid w:val="009F6D9B"/>
    <w:rPr>
      <w:vertAlign w:val="superscript"/>
    </w:rPr>
  </w:style>
  <w:style w:type="paragraph" w:styleId="CabealhodoSumrio">
    <w:name w:val="TOC Heading"/>
    <w:basedOn w:val="Ttulo1"/>
    <w:next w:val="Normal"/>
    <w:uiPriority w:val="39"/>
    <w:unhideWhenUsed/>
    <w:qFormat/>
    <w:rsid w:val="000C464F"/>
    <w:pPr>
      <w:keepLines/>
      <w:autoSpaceDE/>
      <w:autoSpaceDN/>
      <w:adjustRightInd/>
      <w:spacing w:before="480" w:after="0" w:line="276" w:lineRule="auto"/>
      <w:outlineLvl w:val="9"/>
    </w:pPr>
    <w:rPr>
      <w:rFonts w:ascii="Cambria" w:hAnsi="Cambria"/>
      <w:caps w:val="0"/>
      <w:color w:val="365F91"/>
      <w:kern w:val="0"/>
      <w:sz w:val="28"/>
      <w:szCs w:val="28"/>
      <w:lang w:eastAsia="en-US"/>
    </w:rPr>
  </w:style>
  <w:style w:type="paragraph" w:styleId="PargrafodaLista">
    <w:name w:val="List Paragraph"/>
    <w:basedOn w:val="Normal"/>
    <w:uiPriority w:val="34"/>
    <w:rsid w:val="00421B46"/>
    <w:pPr>
      <w:ind w:left="720"/>
      <w:contextualSpacing/>
    </w:pPr>
  </w:style>
  <w:style w:type="paragraph" w:customStyle="1" w:styleId="Tabletitle">
    <w:name w:val="Table title"/>
    <w:basedOn w:val="Normal"/>
    <w:next w:val="Normal"/>
    <w:qFormat/>
    <w:rsid w:val="00456261"/>
    <w:pPr>
      <w:autoSpaceDE/>
      <w:autoSpaceDN/>
      <w:adjustRightInd/>
      <w:spacing w:before="240"/>
      <w:ind w:firstLine="0"/>
      <w:jc w:val="left"/>
    </w:pPr>
    <w:rPr>
      <w:lang w:val="en-GB" w:eastAsia="en-GB"/>
    </w:rPr>
  </w:style>
  <w:style w:type="paragraph" w:customStyle="1" w:styleId="Newparagraph">
    <w:name w:val="New paragraph"/>
    <w:basedOn w:val="Normal"/>
    <w:qFormat/>
    <w:rsid w:val="00456261"/>
    <w:pPr>
      <w:autoSpaceDE/>
      <w:autoSpaceDN/>
      <w:adjustRightInd/>
      <w:spacing w:line="480" w:lineRule="auto"/>
      <w:ind w:firstLine="720"/>
      <w:jc w:val="left"/>
    </w:pPr>
    <w:rPr>
      <w:lang w:val="en-GB" w:eastAsia="en-GB"/>
    </w:rPr>
  </w:style>
  <w:style w:type="paragraph" w:customStyle="1" w:styleId="CitaoLonga">
    <w:name w:val="Citação Longa"/>
    <w:basedOn w:val="Normal"/>
    <w:next w:val="Normal"/>
    <w:qFormat/>
    <w:rsid w:val="00C51E1C"/>
    <w:pPr>
      <w:autoSpaceDE/>
      <w:autoSpaceDN/>
      <w:adjustRightInd/>
      <w:spacing w:before="360" w:after="360" w:line="240" w:lineRule="auto"/>
      <w:ind w:left="2268" w:firstLine="0"/>
      <w:contextualSpacing/>
    </w:pPr>
    <w:rPr>
      <w:rFonts w:cs="Comic Sans MS"/>
      <w:sz w:val="20"/>
    </w:rPr>
  </w:style>
  <w:style w:type="paragraph" w:customStyle="1" w:styleId="ALNEAS">
    <w:name w:val="ALÍNEAS"/>
    <w:basedOn w:val="Normal"/>
    <w:semiHidden/>
    <w:rsid w:val="001F2D20"/>
    <w:pPr>
      <w:numPr>
        <w:numId w:val="24"/>
      </w:numPr>
      <w:autoSpaceDE/>
      <w:autoSpaceDN/>
      <w:adjustRightInd/>
    </w:pPr>
    <w:rPr>
      <w:rFonts w:ascii="Arial" w:eastAsia="Calibri" w:hAnsi="Arial"/>
      <w:szCs w:val="22"/>
      <w:lang w:eastAsia="en-US"/>
    </w:rPr>
  </w:style>
  <w:style w:type="paragraph" w:customStyle="1" w:styleId="FONTEDASILUSTRAES">
    <w:name w:val="FONTE DAS ILUSTRAÇÕES"/>
    <w:basedOn w:val="Normal"/>
    <w:next w:val="Normal"/>
    <w:qFormat/>
    <w:rsid w:val="001F2D20"/>
    <w:pPr>
      <w:autoSpaceDE/>
      <w:autoSpaceDN/>
      <w:adjustRightInd/>
      <w:spacing w:before="120" w:after="360" w:line="240" w:lineRule="auto"/>
      <w:ind w:firstLine="0"/>
      <w:contextualSpacing/>
      <w:jc w:val="center"/>
    </w:pPr>
    <w:rPr>
      <w:rFonts w:ascii="Arial" w:eastAsia="Calibri" w:hAnsi="Arial" w:cs="Arial"/>
      <w:sz w:val="22"/>
      <w:szCs w:val="22"/>
      <w:lang w:eastAsia="en-US"/>
    </w:rPr>
  </w:style>
  <w:style w:type="paragraph" w:customStyle="1" w:styleId="REFERNCIAS">
    <w:name w:val="REFERÊNCIAS"/>
    <w:semiHidden/>
    <w:rsid w:val="001F2D20"/>
    <w:pPr>
      <w:spacing w:after="240"/>
    </w:pPr>
    <w:rPr>
      <w:rFonts w:ascii="Arial" w:eastAsia="Times New Roman" w:hAnsi="Arial"/>
      <w:sz w:val="24"/>
      <w:szCs w:val="28"/>
      <w:lang w:eastAsia="en-US"/>
    </w:rPr>
  </w:style>
  <w:style w:type="character" w:styleId="TextodoEspaoReservado">
    <w:name w:val="Placeholder Text"/>
    <w:basedOn w:val="Fontepargpadro"/>
    <w:uiPriority w:val="99"/>
    <w:semiHidden/>
    <w:rsid w:val="001F2D20"/>
    <w:rPr>
      <w:color w:val="808080"/>
    </w:rPr>
  </w:style>
  <w:style w:type="table" w:styleId="TabelaSimples30">
    <w:name w:val="Plain Table 3"/>
    <w:basedOn w:val="Tabelanormal"/>
    <w:uiPriority w:val="43"/>
    <w:rsid w:val="001F2D20"/>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F2D20"/>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Corpodetexto"/>
    <w:qFormat/>
    <w:rsid w:val="001F2D20"/>
    <w:pPr>
      <w:autoSpaceDE/>
      <w:autoSpaceDN/>
      <w:adjustRightInd/>
      <w:spacing w:before="36" w:after="36" w:line="240" w:lineRule="auto"/>
      <w:ind w:firstLine="0"/>
      <w:jc w:val="left"/>
    </w:pPr>
    <w:rPr>
      <w:rFonts w:asciiTheme="minorHAnsi" w:eastAsiaTheme="minorHAnsi" w:hAnsiTheme="minorHAnsi" w:cstheme="minorBidi"/>
      <w:sz w:val="24"/>
      <w:lang w:val="en-US" w:eastAsia="en-US"/>
    </w:rPr>
  </w:style>
  <w:style w:type="paragraph" w:customStyle="1" w:styleId="TableCaption">
    <w:name w:val="Table Caption"/>
    <w:basedOn w:val="Legenda"/>
    <w:rsid w:val="001F2D20"/>
    <w:pPr>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rstParagraph">
    <w:name w:val="First Paragraph"/>
    <w:basedOn w:val="Corpodetexto"/>
    <w:next w:val="Corpodetexto"/>
    <w:qFormat/>
    <w:rsid w:val="001F2D20"/>
    <w:pPr>
      <w:autoSpaceDE/>
      <w:autoSpaceDN/>
      <w:adjustRightInd/>
      <w:spacing w:before="180" w:after="180" w:line="240" w:lineRule="auto"/>
      <w:ind w:firstLine="0"/>
      <w:jc w:val="left"/>
    </w:pPr>
    <w:rPr>
      <w:rFonts w:asciiTheme="minorHAnsi" w:eastAsiaTheme="minorHAnsi" w:hAnsiTheme="minorHAnsi" w:cstheme="minorBidi"/>
      <w:sz w:val="24"/>
      <w:lang w:val="en-US" w:eastAsia="en-US"/>
    </w:rPr>
  </w:style>
  <w:style w:type="paragraph" w:customStyle="1" w:styleId="Author">
    <w:name w:val="Author"/>
    <w:next w:val="Corpodetexto"/>
    <w:qFormat/>
    <w:rsid w:val="001F2D20"/>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Corpodetexto"/>
    <w:qFormat/>
    <w:rsid w:val="001F2D20"/>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1F2D20"/>
    <w:pPr>
      <w:keepNext/>
      <w:keepLines/>
      <w:autoSpaceDE/>
      <w:autoSpaceDN/>
      <w:adjustRightInd/>
      <w:spacing w:line="240" w:lineRule="auto"/>
      <w:ind w:firstLine="0"/>
      <w:jc w:val="left"/>
    </w:pPr>
    <w:rPr>
      <w:rFonts w:asciiTheme="minorHAnsi" w:eastAsiaTheme="minorHAnsi" w:hAnsiTheme="minorHAnsi" w:cstheme="minorBidi"/>
      <w:b/>
      <w:lang w:val="en-US" w:eastAsia="en-US"/>
    </w:rPr>
  </w:style>
  <w:style w:type="paragraph" w:customStyle="1" w:styleId="Definition">
    <w:name w:val="Definition"/>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ImageCaption">
    <w:name w:val="Image Caption"/>
    <w:basedOn w:val="Legenda"/>
    <w:rsid w:val="001F2D20"/>
    <w:pPr>
      <w:keepNext w:val="0"/>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gure">
    <w:name w:val="Figure"/>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FigurewithCaption">
    <w:name w:val="Figure with Caption"/>
    <w:basedOn w:val="Figure"/>
    <w:rsid w:val="001F2D20"/>
    <w:pPr>
      <w:keepNext/>
    </w:pPr>
  </w:style>
  <w:style w:type="character" w:customStyle="1" w:styleId="VerbatimChar">
    <w:name w:val="Verbatim Char"/>
    <w:basedOn w:val="LegendaChar"/>
    <w:link w:val="SourceCode"/>
    <w:rsid w:val="001F2D20"/>
    <w:rPr>
      <w:rFonts w:ascii="Consolas" w:eastAsia="Times New Roman" w:hAnsi="Consolas"/>
      <w:bCs w:val="0"/>
      <w:color w:val="000000"/>
      <w:sz w:val="24"/>
      <w:szCs w:val="18"/>
      <w:shd w:val="clear" w:color="auto" w:fill="F8F8F8"/>
    </w:rPr>
  </w:style>
  <w:style w:type="paragraph" w:customStyle="1" w:styleId="SourceCode">
    <w:name w:val="Source Code"/>
    <w:basedOn w:val="Normal"/>
    <w:link w:val="VerbatimChar"/>
    <w:rsid w:val="001F2D20"/>
    <w:pPr>
      <w:shd w:val="clear" w:color="auto" w:fill="F8F8F8"/>
      <w:wordWrap w:val="0"/>
      <w:autoSpaceDE/>
      <w:autoSpaceDN/>
      <w:adjustRightInd/>
      <w:spacing w:after="200" w:line="240" w:lineRule="auto"/>
      <w:ind w:firstLine="0"/>
      <w:jc w:val="left"/>
    </w:pPr>
    <w:rPr>
      <w:rFonts w:ascii="Consolas" w:hAnsi="Consolas"/>
      <w:color w:val="000000"/>
      <w:szCs w:val="18"/>
    </w:rPr>
  </w:style>
  <w:style w:type="character" w:customStyle="1" w:styleId="KeywordTok">
    <w:name w:val="KeywordTok"/>
    <w:basedOn w:val="VerbatimChar"/>
    <w:rsid w:val="001F2D20"/>
    <w:rPr>
      <w:rFonts w:ascii="Consolas" w:eastAsia="Times New Roman" w:hAnsi="Consolas"/>
      <w:bCs w:val="0"/>
      <w:color w:val="000000"/>
      <w:sz w:val="24"/>
      <w:szCs w:val="18"/>
      <w:shd w:val="clear" w:color="auto" w:fill="F8F8F8"/>
    </w:rPr>
  </w:style>
  <w:style w:type="character" w:customStyle="1" w:styleId="DataTypeTok">
    <w:name w:val="DataTypeTok"/>
    <w:basedOn w:val="VerbatimChar"/>
    <w:rsid w:val="001F2D20"/>
    <w:rPr>
      <w:rFonts w:ascii="Consolas" w:eastAsia="Times New Roman" w:hAnsi="Consolas"/>
      <w:bCs w:val="0"/>
      <w:color w:val="000000"/>
      <w:sz w:val="24"/>
      <w:szCs w:val="18"/>
      <w:shd w:val="clear" w:color="auto" w:fill="F8F8F8"/>
    </w:rPr>
  </w:style>
  <w:style w:type="character" w:customStyle="1" w:styleId="DecValTok">
    <w:name w:val="DecValTok"/>
    <w:basedOn w:val="VerbatimChar"/>
    <w:rsid w:val="001F2D20"/>
    <w:rPr>
      <w:rFonts w:ascii="Consolas" w:eastAsia="Times New Roman" w:hAnsi="Consolas"/>
      <w:bCs w:val="0"/>
      <w:color w:val="000000"/>
      <w:sz w:val="24"/>
      <w:szCs w:val="18"/>
      <w:shd w:val="clear" w:color="auto" w:fill="F8F8F8"/>
    </w:rPr>
  </w:style>
  <w:style w:type="character" w:customStyle="1" w:styleId="BaseNTok">
    <w:name w:val="BaseNTok"/>
    <w:basedOn w:val="VerbatimChar"/>
    <w:rsid w:val="001F2D20"/>
    <w:rPr>
      <w:rFonts w:ascii="Consolas" w:eastAsia="Times New Roman" w:hAnsi="Consolas"/>
      <w:bCs w:val="0"/>
      <w:color w:val="000000"/>
      <w:sz w:val="24"/>
      <w:szCs w:val="18"/>
      <w:shd w:val="clear" w:color="auto" w:fill="F8F8F8"/>
    </w:rPr>
  </w:style>
  <w:style w:type="character" w:customStyle="1" w:styleId="FloatTok">
    <w:name w:val="FloatTok"/>
    <w:basedOn w:val="VerbatimChar"/>
    <w:rsid w:val="001F2D20"/>
    <w:rPr>
      <w:rFonts w:ascii="Consolas" w:eastAsia="Times New Roman" w:hAnsi="Consolas"/>
      <w:bCs w:val="0"/>
      <w:color w:val="000000"/>
      <w:sz w:val="24"/>
      <w:szCs w:val="18"/>
      <w:shd w:val="clear" w:color="auto" w:fill="F8F8F8"/>
    </w:rPr>
  </w:style>
  <w:style w:type="character" w:customStyle="1" w:styleId="ConstantTok">
    <w:name w:val="ConstantTok"/>
    <w:basedOn w:val="VerbatimChar"/>
    <w:rsid w:val="001F2D20"/>
    <w:rPr>
      <w:rFonts w:ascii="Consolas" w:eastAsia="Times New Roman" w:hAnsi="Consolas"/>
      <w:bCs w:val="0"/>
      <w:color w:val="000000"/>
      <w:sz w:val="24"/>
      <w:szCs w:val="18"/>
      <w:shd w:val="clear" w:color="auto" w:fill="F8F8F8"/>
    </w:rPr>
  </w:style>
  <w:style w:type="character" w:customStyle="1" w:styleId="CharTok">
    <w:name w:val="CharTok"/>
    <w:basedOn w:val="VerbatimChar"/>
    <w:rsid w:val="001F2D20"/>
    <w:rPr>
      <w:rFonts w:ascii="Consolas" w:eastAsia="Times New Roman" w:hAnsi="Consolas"/>
      <w:bCs w:val="0"/>
      <w:color w:val="000000"/>
      <w:sz w:val="24"/>
      <w:szCs w:val="18"/>
      <w:shd w:val="clear" w:color="auto" w:fill="F8F8F8"/>
    </w:rPr>
  </w:style>
  <w:style w:type="character" w:customStyle="1" w:styleId="SpecialCharTok">
    <w:name w:val="SpecialCharTok"/>
    <w:basedOn w:val="VerbatimChar"/>
    <w:rsid w:val="001F2D20"/>
    <w:rPr>
      <w:rFonts w:ascii="Consolas" w:eastAsia="Times New Roman" w:hAnsi="Consolas"/>
      <w:bCs w:val="0"/>
      <w:color w:val="000000"/>
      <w:sz w:val="24"/>
      <w:szCs w:val="18"/>
      <w:shd w:val="clear" w:color="auto" w:fill="F8F8F8"/>
    </w:rPr>
  </w:style>
  <w:style w:type="character" w:customStyle="1" w:styleId="StringTok">
    <w:name w:val="StringTok"/>
    <w:basedOn w:val="VerbatimChar"/>
    <w:rsid w:val="001F2D20"/>
    <w:rPr>
      <w:rFonts w:ascii="Consolas" w:eastAsia="Times New Roman" w:hAnsi="Consolas"/>
      <w:bCs w:val="0"/>
      <w:color w:val="000000"/>
      <w:sz w:val="24"/>
      <w:szCs w:val="18"/>
      <w:shd w:val="clear" w:color="auto" w:fill="F8F8F8"/>
    </w:rPr>
  </w:style>
  <w:style w:type="character" w:customStyle="1" w:styleId="VerbatimStringTok">
    <w:name w:val="VerbatimStringTok"/>
    <w:basedOn w:val="VerbatimChar"/>
    <w:rsid w:val="001F2D20"/>
    <w:rPr>
      <w:rFonts w:ascii="Consolas" w:eastAsia="Times New Roman" w:hAnsi="Consolas"/>
      <w:bCs w:val="0"/>
      <w:color w:val="000000"/>
      <w:sz w:val="24"/>
      <w:szCs w:val="18"/>
      <w:shd w:val="clear" w:color="auto" w:fill="F8F8F8"/>
    </w:rPr>
  </w:style>
  <w:style w:type="character" w:customStyle="1" w:styleId="SpecialStringTok">
    <w:name w:val="SpecialStringTok"/>
    <w:basedOn w:val="VerbatimChar"/>
    <w:rsid w:val="001F2D20"/>
    <w:rPr>
      <w:rFonts w:ascii="Consolas" w:eastAsia="Times New Roman" w:hAnsi="Consolas"/>
      <w:bCs w:val="0"/>
      <w:color w:val="000000"/>
      <w:sz w:val="24"/>
      <w:szCs w:val="18"/>
      <w:shd w:val="clear" w:color="auto" w:fill="F8F8F8"/>
    </w:rPr>
  </w:style>
  <w:style w:type="character" w:customStyle="1" w:styleId="ImportTok">
    <w:name w:val="ImportTok"/>
    <w:basedOn w:val="VerbatimChar"/>
    <w:rsid w:val="001F2D20"/>
    <w:rPr>
      <w:rFonts w:ascii="Consolas" w:eastAsia="Times New Roman" w:hAnsi="Consolas"/>
      <w:bCs w:val="0"/>
      <w:color w:val="000000"/>
      <w:sz w:val="24"/>
      <w:szCs w:val="18"/>
      <w:shd w:val="clear" w:color="auto" w:fill="F8F8F8"/>
    </w:rPr>
  </w:style>
  <w:style w:type="character" w:customStyle="1" w:styleId="CommentTok">
    <w:name w:val="CommentTok"/>
    <w:basedOn w:val="VerbatimChar"/>
    <w:rsid w:val="001F2D20"/>
    <w:rPr>
      <w:rFonts w:ascii="Consolas" w:eastAsia="Times New Roman" w:hAnsi="Consolas"/>
      <w:bCs w:val="0"/>
      <w:color w:val="000000"/>
      <w:sz w:val="24"/>
      <w:szCs w:val="18"/>
      <w:shd w:val="clear" w:color="auto" w:fill="F8F8F8"/>
    </w:rPr>
  </w:style>
  <w:style w:type="character" w:customStyle="1" w:styleId="DocumentationTok">
    <w:name w:val="DocumentationTok"/>
    <w:basedOn w:val="VerbatimChar"/>
    <w:rsid w:val="001F2D20"/>
    <w:rPr>
      <w:rFonts w:ascii="Consolas" w:eastAsia="Times New Roman" w:hAnsi="Consolas"/>
      <w:bCs w:val="0"/>
      <w:color w:val="000000"/>
      <w:sz w:val="24"/>
      <w:szCs w:val="18"/>
      <w:shd w:val="clear" w:color="auto" w:fill="F8F8F8"/>
    </w:rPr>
  </w:style>
  <w:style w:type="character" w:customStyle="1" w:styleId="AnnotationTok">
    <w:name w:val="AnnotationTok"/>
    <w:basedOn w:val="VerbatimChar"/>
    <w:rsid w:val="001F2D20"/>
    <w:rPr>
      <w:rFonts w:ascii="Consolas" w:eastAsia="Times New Roman" w:hAnsi="Consolas"/>
      <w:bCs w:val="0"/>
      <w:color w:val="000000"/>
      <w:sz w:val="24"/>
      <w:szCs w:val="18"/>
      <w:shd w:val="clear" w:color="auto" w:fill="F8F8F8"/>
    </w:rPr>
  </w:style>
  <w:style w:type="character" w:customStyle="1" w:styleId="CommentVarTok">
    <w:name w:val="CommentVarTok"/>
    <w:basedOn w:val="VerbatimChar"/>
    <w:rsid w:val="001F2D20"/>
    <w:rPr>
      <w:rFonts w:ascii="Consolas" w:eastAsia="Times New Roman" w:hAnsi="Consolas"/>
      <w:bCs w:val="0"/>
      <w:color w:val="000000"/>
      <w:sz w:val="24"/>
      <w:szCs w:val="18"/>
      <w:shd w:val="clear" w:color="auto" w:fill="F8F8F8"/>
    </w:rPr>
  </w:style>
  <w:style w:type="character" w:customStyle="1" w:styleId="OtherTok">
    <w:name w:val="OtherTok"/>
    <w:basedOn w:val="VerbatimChar"/>
    <w:rsid w:val="001F2D20"/>
    <w:rPr>
      <w:rFonts w:ascii="Consolas" w:eastAsia="Times New Roman" w:hAnsi="Consolas"/>
      <w:bCs w:val="0"/>
      <w:color w:val="000000"/>
      <w:sz w:val="24"/>
      <w:szCs w:val="18"/>
      <w:shd w:val="clear" w:color="auto" w:fill="F8F8F8"/>
    </w:rPr>
  </w:style>
  <w:style w:type="character" w:customStyle="1" w:styleId="FunctionTok">
    <w:name w:val="FunctionTok"/>
    <w:basedOn w:val="VerbatimChar"/>
    <w:rsid w:val="001F2D20"/>
    <w:rPr>
      <w:rFonts w:ascii="Consolas" w:eastAsia="Times New Roman" w:hAnsi="Consolas"/>
      <w:bCs w:val="0"/>
      <w:color w:val="000000"/>
      <w:sz w:val="24"/>
      <w:szCs w:val="18"/>
      <w:shd w:val="clear" w:color="auto" w:fill="F8F8F8"/>
    </w:rPr>
  </w:style>
  <w:style w:type="character" w:customStyle="1" w:styleId="VariableTok">
    <w:name w:val="VariableTok"/>
    <w:basedOn w:val="VerbatimChar"/>
    <w:rsid w:val="001F2D20"/>
    <w:rPr>
      <w:rFonts w:ascii="Consolas" w:eastAsia="Times New Roman" w:hAnsi="Consolas"/>
      <w:bCs w:val="0"/>
      <w:color w:val="000000"/>
      <w:sz w:val="24"/>
      <w:szCs w:val="18"/>
      <w:shd w:val="clear" w:color="auto" w:fill="F8F8F8"/>
    </w:rPr>
  </w:style>
  <w:style w:type="character" w:customStyle="1" w:styleId="ControlFlowTok">
    <w:name w:val="ControlFlowTok"/>
    <w:basedOn w:val="VerbatimChar"/>
    <w:rsid w:val="001F2D20"/>
    <w:rPr>
      <w:rFonts w:ascii="Consolas" w:eastAsia="Times New Roman" w:hAnsi="Consolas"/>
      <w:bCs w:val="0"/>
      <w:color w:val="000000"/>
      <w:sz w:val="24"/>
      <w:szCs w:val="18"/>
      <w:shd w:val="clear" w:color="auto" w:fill="F8F8F8"/>
    </w:rPr>
  </w:style>
  <w:style w:type="character" w:customStyle="1" w:styleId="OperatorTok">
    <w:name w:val="OperatorTok"/>
    <w:basedOn w:val="VerbatimChar"/>
    <w:rsid w:val="001F2D20"/>
    <w:rPr>
      <w:rFonts w:ascii="Consolas" w:eastAsia="Times New Roman" w:hAnsi="Consolas"/>
      <w:bCs w:val="0"/>
      <w:color w:val="000000"/>
      <w:sz w:val="24"/>
      <w:szCs w:val="18"/>
      <w:shd w:val="clear" w:color="auto" w:fill="F8F8F8"/>
    </w:rPr>
  </w:style>
  <w:style w:type="character" w:customStyle="1" w:styleId="BuiltInTok">
    <w:name w:val="BuiltInTok"/>
    <w:basedOn w:val="VerbatimChar"/>
    <w:rsid w:val="001F2D20"/>
    <w:rPr>
      <w:rFonts w:ascii="Consolas" w:eastAsia="Times New Roman" w:hAnsi="Consolas"/>
      <w:bCs w:val="0"/>
      <w:color w:val="000000"/>
      <w:sz w:val="24"/>
      <w:szCs w:val="18"/>
      <w:shd w:val="clear" w:color="auto" w:fill="F8F8F8"/>
    </w:rPr>
  </w:style>
  <w:style w:type="character" w:customStyle="1" w:styleId="ExtensionTok">
    <w:name w:val="ExtensionTok"/>
    <w:basedOn w:val="VerbatimChar"/>
    <w:rsid w:val="001F2D20"/>
    <w:rPr>
      <w:rFonts w:ascii="Consolas" w:eastAsia="Times New Roman" w:hAnsi="Consolas"/>
      <w:bCs w:val="0"/>
      <w:color w:val="000000"/>
      <w:sz w:val="24"/>
      <w:szCs w:val="18"/>
      <w:shd w:val="clear" w:color="auto" w:fill="F8F8F8"/>
    </w:rPr>
  </w:style>
  <w:style w:type="character" w:customStyle="1" w:styleId="PreprocessorTok">
    <w:name w:val="PreprocessorTok"/>
    <w:basedOn w:val="VerbatimChar"/>
    <w:rsid w:val="001F2D20"/>
    <w:rPr>
      <w:rFonts w:ascii="Consolas" w:eastAsia="Times New Roman" w:hAnsi="Consolas"/>
      <w:bCs w:val="0"/>
      <w:color w:val="000000"/>
      <w:sz w:val="24"/>
      <w:szCs w:val="18"/>
      <w:shd w:val="clear" w:color="auto" w:fill="F8F8F8"/>
    </w:rPr>
  </w:style>
  <w:style w:type="character" w:customStyle="1" w:styleId="AttributeTok">
    <w:name w:val="AttributeTok"/>
    <w:basedOn w:val="VerbatimChar"/>
    <w:rsid w:val="001F2D20"/>
    <w:rPr>
      <w:rFonts w:ascii="Consolas" w:eastAsia="Times New Roman" w:hAnsi="Consolas"/>
      <w:bCs w:val="0"/>
      <w:color w:val="000000"/>
      <w:sz w:val="24"/>
      <w:szCs w:val="18"/>
      <w:shd w:val="clear" w:color="auto" w:fill="F8F8F8"/>
    </w:rPr>
  </w:style>
  <w:style w:type="character" w:customStyle="1" w:styleId="RegionMarkerTok">
    <w:name w:val="RegionMarkerTok"/>
    <w:basedOn w:val="VerbatimChar"/>
    <w:rsid w:val="001F2D20"/>
    <w:rPr>
      <w:rFonts w:ascii="Consolas" w:eastAsia="Times New Roman" w:hAnsi="Consolas"/>
      <w:bCs w:val="0"/>
      <w:color w:val="000000"/>
      <w:sz w:val="24"/>
      <w:szCs w:val="18"/>
      <w:shd w:val="clear" w:color="auto" w:fill="F8F8F8"/>
    </w:rPr>
  </w:style>
  <w:style w:type="character" w:customStyle="1" w:styleId="InformationTok">
    <w:name w:val="InformationTok"/>
    <w:basedOn w:val="VerbatimChar"/>
    <w:rsid w:val="001F2D20"/>
    <w:rPr>
      <w:rFonts w:ascii="Consolas" w:eastAsia="Times New Roman" w:hAnsi="Consolas"/>
      <w:bCs w:val="0"/>
      <w:color w:val="000000"/>
      <w:sz w:val="24"/>
      <w:szCs w:val="18"/>
      <w:shd w:val="clear" w:color="auto" w:fill="F8F8F8"/>
    </w:rPr>
  </w:style>
  <w:style w:type="character" w:customStyle="1" w:styleId="WarningTok">
    <w:name w:val="WarningTok"/>
    <w:basedOn w:val="VerbatimChar"/>
    <w:rsid w:val="001F2D20"/>
    <w:rPr>
      <w:rFonts w:ascii="Consolas" w:eastAsia="Times New Roman" w:hAnsi="Consolas"/>
      <w:bCs w:val="0"/>
      <w:color w:val="000000"/>
      <w:sz w:val="24"/>
      <w:szCs w:val="18"/>
      <w:shd w:val="clear" w:color="auto" w:fill="F8F8F8"/>
    </w:rPr>
  </w:style>
  <w:style w:type="character" w:customStyle="1" w:styleId="AlertTok">
    <w:name w:val="AlertTok"/>
    <w:basedOn w:val="VerbatimChar"/>
    <w:rsid w:val="001F2D20"/>
    <w:rPr>
      <w:rFonts w:ascii="Consolas" w:eastAsia="Times New Roman" w:hAnsi="Consolas"/>
      <w:bCs w:val="0"/>
      <w:color w:val="000000"/>
      <w:sz w:val="24"/>
      <w:szCs w:val="18"/>
      <w:shd w:val="clear" w:color="auto" w:fill="F8F8F8"/>
    </w:rPr>
  </w:style>
  <w:style w:type="character" w:customStyle="1" w:styleId="ErrorTok">
    <w:name w:val="ErrorTok"/>
    <w:basedOn w:val="VerbatimChar"/>
    <w:rsid w:val="001F2D20"/>
    <w:rPr>
      <w:rFonts w:ascii="Consolas" w:eastAsia="Times New Roman" w:hAnsi="Consolas"/>
      <w:bCs w:val="0"/>
      <w:color w:val="000000"/>
      <w:sz w:val="24"/>
      <w:szCs w:val="18"/>
      <w:shd w:val="clear" w:color="auto" w:fill="F8F8F8"/>
    </w:rPr>
  </w:style>
  <w:style w:type="character" w:customStyle="1" w:styleId="NormalTok">
    <w:name w:val="NormalTok"/>
    <w:basedOn w:val="VerbatimChar"/>
    <w:rsid w:val="001F2D20"/>
    <w:rPr>
      <w:rFonts w:ascii="Consolas" w:eastAsia="Times New Roman" w:hAnsi="Consolas"/>
      <w:bCs w:val="0"/>
      <w:color w:val="000000"/>
      <w:sz w:val="24"/>
      <w:szCs w:val="18"/>
      <w:shd w:val="clear" w:color="auto" w:fill="F8F8F8"/>
    </w:rPr>
  </w:style>
  <w:style w:type="paragraph" w:styleId="Reviso">
    <w:name w:val="Revision"/>
    <w:hidden/>
    <w:uiPriority w:val="99"/>
    <w:semiHidden/>
    <w:rsid w:val="001F2D20"/>
    <w:rPr>
      <w:rFonts w:ascii="Arial" w:eastAsia="Times New Roman" w:hAnsi="Arial"/>
      <w:sz w:val="24"/>
      <w:szCs w:val="28"/>
    </w:rPr>
  </w:style>
  <w:style w:type="table" w:styleId="TabelaSimples4">
    <w:name w:val="Plain Table 4"/>
    <w:basedOn w:val="Tabelanormal"/>
    <w:uiPriority w:val="44"/>
    <w:rsid w:val="001F2D20"/>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1F2D20"/>
    <w:rPr>
      <w:rFonts w:asciiTheme="minorHAnsi" w:eastAsiaTheme="minorHAnsi" w:hAnsiTheme="minorHAnsi" w:cstheme="minorBidi"/>
      <w:sz w:val="22"/>
      <w:szCs w:val="22"/>
      <w:lang w:eastAsia="en-US"/>
    </w:r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1F2D20"/>
    <w:pPr>
      <w:autoSpaceDE/>
      <w:autoSpaceDN/>
      <w:adjustRightInd/>
      <w:spacing w:before="100" w:beforeAutospacing="1" w:after="100" w:afterAutospacing="1" w:line="240" w:lineRule="auto"/>
      <w:ind w:firstLine="0"/>
      <w:jc w:val="left"/>
    </w:pPr>
  </w:style>
  <w:style w:type="paragraph" w:customStyle="1" w:styleId="sc1">
    <w:name w:val="sc1"/>
    <w:basedOn w:val="Normal"/>
    <w:rsid w:val="001F2D20"/>
    <w:pPr>
      <w:autoSpaceDE/>
      <w:autoSpaceDN/>
      <w:adjustRightInd/>
      <w:spacing w:before="100" w:beforeAutospacing="1" w:after="100" w:afterAutospacing="1" w:line="240" w:lineRule="auto"/>
      <w:ind w:firstLine="0"/>
      <w:jc w:val="left"/>
    </w:pPr>
    <w:rPr>
      <w:color w:val="008000"/>
    </w:rPr>
  </w:style>
  <w:style w:type="paragraph" w:customStyle="1" w:styleId="sc2">
    <w:name w:val="sc2"/>
    <w:basedOn w:val="Normal"/>
    <w:rsid w:val="001F2D20"/>
    <w:pPr>
      <w:autoSpaceDE/>
      <w:autoSpaceDN/>
      <w:adjustRightInd/>
      <w:spacing w:before="100" w:beforeAutospacing="1" w:after="100" w:afterAutospacing="1" w:line="240" w:lineRule="auto"/>
      <w:ind w:firstLine="0"/>
      <w:jc w:val="left"/>
    </w:pPr>
    <w:rPr>
      <w:b/>
      <w:bCs/>
      <w:color w:val="0000FF"/>
    </w:rPr>
  </w:style>
  <w:style w:type="paragraph" w:customStyle="1" w:styleId="sc3">
    <w:name w:val="sc3"/>
    <w:basedOn w:val="Normal"/>
    <w:rsid w:val="001F2D20"/>
    <w:pPr>
      <w:autoSpaceDE/>
      <w:autoSpaceDN/>
      <w:adjustRightInd/>
      <w:spacing w:before="100" w:beforeAutospacing="1" w:after="100" w:afterAutospacing="1" w:line="240" w:lineRule="auto"/>
      <w:ind w:firstLine="0"/>
      <w:jc w:val="left"/>
    </w:pPr>
    <w:rPr>
      <w:color w:val="8000FF"/>
    </w:rPr>
  </w:style>
  <w:style w:type="paragraph" w:customStyle="1" w:styleId="sc5">
    <w:name w:val="sc5"/>
    <w:basedOn w:val="Normal"/>
    <w:rsid w:val="001F2D20"/>
    <w:pPr>
      <w:autoSpaceDE/>
      <w:autoSpaceDN/>
      <w:adjustRightInd/>
      <w:spacing w:before="100" w:beforeAutospacing="1" w:after="100" w:afterAutospacing="1" w:line="240" w:lineRule="auto"/>
      <w:ind w:firstLine="0"/>
      <w:jc w:val="left"/>
    </w:pPr>
    <w:rPr>
      <w:color w:val="FF8000"/>
    </w:rPr>
  </w:style>
  <w:style w:type="paragraph" w:customStyle="1" w:styleId="sc6">
    <w:name w:val="sc6"/>
    <w:basedOn w:val="Normal"/>
    <w:rsid w:val="001F2D20"/>
    <w:pPr>
      <w:autoSpaceDE/>
      <w:autoSpaceDN/>
      <w:adjustRightInd/>
      <w:spacing w:before="100" w:beforeAutospacing="1" w:after="100" w:afterAutospacing="1" w:line="240" w:lineRule="auto"/>
      <w:ind w:firstLine="0"/>
      <w:jc w:val="left"/>
    </w:pPr>
    <w:rPr>
      <w:color w:val="808080"/>
    </w:rPr>
  </w:style>
  <w:style w:type="paragraph" w:customStyle="1" w:styleId="sc8">
    <w:name w:val="sc8"/>
    <w:basedOn w:val="Normal"/>
    <w:rsid w:val="001F2D20"/>
    <w:pPr>
      <w:autoSpaceDE/>
      <w:autoSpaceDN/>
      <w:adjustRightInd/>
      <w:spacing w:before="100" w:beforeAutospacing="1" w:after="100" w:afterAutospacing="1" w:line="240" w:lineRule="auto"/>
      <w:ind w:firstLine="0"/>
      <w:jc w:val="left"/>
    </w:pPr>
    <w:rPr>
      <w:b/>
      <w:bCs/>
      <w:color w:val="000080"/>
    </w:rPr>
  </w:style>
  <w:style w:type="character" w:customStyle="1" w:styleId="sc11">
    <w:name w:val="sc11"/>
    <w:basedOn w:val="Fontepargpadro"/>
    <w:rsid w:val="001F2D20"/>
    <w:rPr>
      <w:rFonts w:ascii="Courier New" w:hAnsi="Courier New" w:cs="Courier New" w:hint="default"/>
      <w:color w:val="008000"/>
      <w:sz w:val="20"/>
      <w:szCs w:val="20"/>
    </w:rPr>
  </w:style>
  <w:style w:type="character" w:customStyle="1" w:styleId="sc0">
    <w:name w:val="sc0"/>
    <w:basedOn w:val="Fontepargpadro"/>
    <w:rsid w:val="001F2D20"/>
    <w:rPr>
      <w:rFonts w:ascii="Courier New" w:hAnsi="Courier New" w:cs="Courier New" w:hint="default"/>
      <w:color w:val="000000"/>
      <w:sz w:val="20"/>
      <w:szCs w:val="20"/>
    </w:rPr>
  </w:style>
  <w:style w:type="character" w:customStyle="1" w:styleId="sc9">
    <w:name w:val="sc9"/>
    <w:basedOn w:val="Fontepargpadro"/>
    <w:rsid w:val="001F2D20"/>
    <w:rPr>
      <w:rFonts w:ascii="Courier New" w:hAnsi="Courier New" w:cs="Courier New" w:hint="default"/>
      <w:color w:val="000000"/>
      <w:sz w:val="20"/>
      <w:szCs w:val="20"/>
    </w:rPr>
  </w:style>
  <w:style w:type="character" w:customStyle="1" w:styleId="sc81">
    <w:name w:val="sc81"/>
    <w:basedOn w:val="Fontepargpadro"/>
    <w:rsid w:val="001F2D20"/>
    <w:rPr>
      <w:rFonts w:ascii="Courier New" w:hAnsi="Courier New" w:cs="Courier New" w:hint="default"/>
      <w:b/>
      <w:bCs/>
      <w:color w:val="000080"/>
      <w:sz w:val="20"/>
      <w:szCs w:val="20"/>
    </w:rPr>
  </w:style>
  <w:style w:type="character" w:customStyle="1" w:styleId="sc61">
    <w:name w:val="sc61"/>
    <w:basedOn w:val="Fontepargpadro"/>
    <w:rsid w:val="001F2D20"/>
    <w:rPr>
      <w:rFonts w:ascii="Courier New" w:hAnsi="Courier New" w:cs="Courier New" w:hint="default"/>
      <w:color w:val="808080"/>
      <w:sz w:val="20"/>
      <w:szCs w:val="20"/>
    </w:rPr>
  </w:style>
  <w:style w:type="character" w:customStyle="1" w:styleId="sc21">
    <w:name w:val="sc21"/>
    <w:basedOn w:val="Fontepargpadro"/>
    <w:rsid w:val="001F2D20"/>
    <w:rPr>
      <w:rFonts w:ascii="Courier New" w:hAnsi="Courier New" w:cs="Courier New" w:hint="default"/>
      <w:b/>
      <w:bCs/>
      <w:color w:val="0000FF"/>
      <w:sz w:val="20"/>
      <w:szCs w:val="20"/>
    </w:rPr>
  </w:style>
  <w:style w:type="character" w:customStyle="1" w:styleId="sc51">
    <w:name w:val="sc51"/>
    <w:basedOn w:val="Fontepargpadro"/>
    <w:rsid w:val="001F2D20"/>
    <w:rPr>
      <w:rFonts w:ascii="Courier New" w:hAnsi="Courier New" w:cs="Courier New" w:hint="default"/>
      <w:color w:val="FF8000"/>
      <w:sz w:val="20"/>
      <w:szCs w:val="20"/>
    </w:rPr>
  </w:style>
  <w:style w:type="character" w:customStyle="1" w:styleId="sc31">
    <w:name w:val="sc31"/>
    <w:basedOn w:val="Fontepargpadro"/>
    <w:rsid w:val="001F2D20"/>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1F2D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588">
      <w:bodyDiv w:val="1"/>
      <w:marLeft w:val="0"/>
      <w:marRight w:val="0"/>
      <w:marTop w:val="0"/>
      <w:marBottom w:val="0"/>
      <w:divBdr>
        <w:top w:val="none" w:sz="0" w:space="0" w:color="auto"/>
        <w:left w:val="none" w:sz="0" w:space="0" w:color="auto"/>
        <w:bottom w:val="none" w:sz="0" w:space="0" w:color="auto"/>
        <w:right w:val="none" w:sz="0" w:space="0" w:color="auto"/>
      </w:divBdr>
      <w:divsChild>
        <w:div w:id="1666544168">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sChild>
                <w:div w:id="154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9247">
      <w:bodyDiv w:val="1"/>
      <w:marLeft w:val="0"/>
      <w:marRight w:val="0"/>
      <w:marTop w:val="0"/>
      <w:marBottom w:val="0"/>
      <w:divBdr>
        <w:top w:val="none" w:sz="0" w:space="0" w:color="auto"/>
        <w:left w:val="none" w:sz="0" w:space="0" w:color="auto"/>
        <w:bottom w:val="none" w:sz="0" w:space="0" w:color="auto"/>
        <w:right w:val="none" w:sz="0" w:space="0" w:color="auto"/>
      </w:divBdr>
    </w:div>
    <w:div w:id="210382943">
      <w:bodyDiv w:val="1"/>
      <w:marLeft w:val="0"/>
      <w:marRight w:val="0"/>
      <w:marTop w:val="0"/>
      <w:marBottom w:val="0"/>
      <w:divBdr>
        <w:top w:val="none" w:sz="0" w:space="0" w:color="auto"/>
        <w:left w:val="none" w:sz="0" w:space="0" w:color="auto"/>
        <w:bottom w:val="none" w:sz="0" w:space="0" w:color="auto"/>
        <w:right w:val="none" w:sz="0" w:space="0" w:color="auto"/>
      </w:divBdr>
      <w:divsChild>
        <w:div w:id="179197448">
          <w:marLeft w:val="0"/>
          <w:marRight w:val="0"/>
          <w:marTop w:val="0"/>
          <w:marBottom w:val="0"/>
          <w:divBdr>
            <w:top w:val="none" w:sz="0" w:space="0" w:color="auto"/>
            <w:left w:val="none" w:sz="0" w:space="0" w:color="auto"/>
            <w:bottom w:val="none" w:sz="0" w:space="0" w:color="auto"/>
            <w:right w:val="none" w:sz="0" w:space="0" w:color="auto"/>
          </w:divBdr>
          <w:divsChild>
            <w:div w:id="1064254605">
              <w:marLeft w:val="0"/>
              <w:marRight w:val="0"/>
              <w:marTop w:val="0"/>
              <w:marBottom w:val="0"/>
              <w:divBdr>
                <w:top w:val="none" w:sz="0" w:space="0" w:color="auto"/>
                <w:left w:val="none" w:sz="0" w:space="0" w:color="auto"/>
                <w:bottom w:val="none" w:sz="0" w:space="0" w:color="auto"/>
                <w:right w:val="none" w:sz="0" w:space="0" w:color="auto"/>
              </w:divBdr>
              <w:divsChild>
                <w:div w:id="512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929">
      <w:bodyDiv w:val="1"/>
      <w:marLeft w:val="0"/>
      <w:marRight w:val="0"/>
      <w:marTop w:val="0"/>
      <w:marBottom w:val="0"/>
      <w:divBdr>
        <w:top w:val="none" w:sz="0" w:space="0" w:color="auto"/>
        <w:left w:val="none" w:sz="0" w:space="0" w:color="auto"/>
        <w:bottom w:val="none" w:sz="0" w:space="0" w:color="auto"/>
        <w:right w:val="none" w:sz="0" w:space="0" w:color="auto"/>
      </w:divBdr>
      <w:divsChild>
        <w:div w:id="344523773">
          <w:marLeft w:val="0"/>
          <w:marRight w:val="0"/>
          <w:marTop w:val="0"/>
          <w:marBottom w:val="0"/>
          <w:divBdr>
            <w:top w:val="none" w:sz="0" w:space="0" w:color="auto"/>
            <w:left w:val="none" w:sz="0" w:space="0" w:color="auto"/>
            <w:bottom w:val="none" w:sz="0" w:space="0" w:color="auto"/>
            <w:right w:val="none" w:sz="0" w:space="0" w:color="auto"/>
          </w:divBdr>
          <w:divsChild>
            <w:div w:id="967779611">
              <w:marLeft w:val="0"/>
              <w:marRight w:val="0"/>
              <w:marTop w:val="0"/>
              <w:marBottom w:val="0"/>
              <w:divBdr>
                <w:top w:val="none" w:sz="0" w:space="0" w:color="auto"/>
                <w:left w:val="none" w:sz="0" w:space="0" w:color="auto"/>
                <w:bottom w:val="none" w:sz="0" w:space="0" w:color="auto"/>
                <w:right w:val="none" w:sz="0" w:space="0" w:color="auto"/>
              </w:divBdr>
              <w:divsChild>
                <w:div w:id="18125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82">
      <w:bodyDiv w:val="1"/>
      <w:marLeft w:val="0"/>
      <w:marRight w:val="0"/>
      <w:marTop w:val="0"/>
      <w:marBottom w:val="0"/>
      <w:divBdr>
        <w:top w:val="none" w:sz="0" w:space="0" w:color="auto"/>
        <w:left w:val="none" w:sz="0" w:space="0" w:color="auto"/>
        <w:bottom w:val="none" w:sz="0" w:space="0" w:color="auto"/>
        <w:right w:val="none" w:sz="0" w:space="0" w:color="auto"/>
      </w:divBdr>
      <w:divsChild>
        <w:div w:id="236671486">
          <w:marLeft w:val="0"/>
          <w:marRight w:val="0"/>
          <w:marTop w:val="0"/>
          <w:marBottom w:val="0"/>
          <w:divBdr>
            <w:top w:val="none" w:sz="0" w:space="0" w:color="auto"/>
            <w:left w:val="none" w:sz="0" w:space="0" w:color="auto"/>
            <w:bottom w:val="none" w:sz="0" w:space="0" w:color="auto"/>
            <w:right w:val="none" w:sz="0" w:space="0" w:color="auto"/>
          </w:divBdr>
          <w:divsChild>
            <w:div w:id="735277798">
              <w:marLeft w:val="0"/>
              <w:marRight w:val="0"/>
              <w:marTop w:val="0"/>
              <w:marBottom w:val="0"/>
              <w:divBdr>
                <w:top w:val="none" w:sz="0" w:space="0" w:color="auto"/>
                <w:left w:val="none" w:sz="0" w:space="0" w:color="auto"/>
                <w:bottom w:val="none" w:sz="0" w:space="0" w:color="auto"/>
                <w:right w:val="none" w:sz="0" w:space="0" w:color="auto"/>
              </w:divBdr>
              <w:divsChild>
                <w:div w:id="426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9378">
      <w:bodyDiv w:val="1"/>
      <w:marLeft w:val="0"/>
      <w:marRight w:val="0"/>
      <w:marTop w:val="0"/>
      <w:marBottom w:val="0"/>
      <w:divBdr>
        <w:top w:val="none" w:sz="0" w:space="0" w:color="auto"/>
        <w:left w:val="none" w:sz="0" w:space="0" w:color="auto"/>
        <w:bottom w:val="none" w:sz="0" w:space="0" w:color="auto"/>
        <w:right w:val="none" w:sz="0" w:space="0" w:color="auto"/>
      </w:divBdr>
    </w:div>
    <w:div w:id="519705366">
      <w:bodyDiv w:val="1"/>
      <w:marLeft w:val="0"/>
      <w:marRight w:val="0"/>
      <w:marTop w:val="0"/>
      <w:marBottom w:val="0"/>
      <w:divBdr>
        <w:top w:val="none" w:sz="0" w:space="0" w:color="auto"/>
        <w:left w:val="none" w:sz="0" w:space="0" w:color="auto"/>
        <w:bottom w:val="none" w:sz="0" w:space="0" w:color="auto"/>
        <w:right w:val="none" w:sz="0" w:space="0" w:color="auto"/>
      </w:divBdr>
    </w:div>
    <w:div w:id="580717328">
      <w:bodyDiv w:val="1"/>
      <w:marLeft w:val="0"/>
      <w:marRight w:val="0"/>
      <w:marTop w:val="0"/>
      <w:marBottom w:val="0"/>
      <w:divBdr>
        <w:top w:val="none" w:sz="0" w:space="0" w:color="auto"/>
        <w:left w:val="none" w:sz="0" w:space="0" w:color="auto"/>
        <w:bottom w:val="none" w:sz="0" w:space="0" w:color="auto"/>
        <w:right w:val="none" w:sz="0" w:space="0" w:color="auto"/>
      </w:divBdr>
    </w:div>
    <w:div w:id="638993884">
      <w:bodyDiv w:val="1"/>
      <w:marLeft w:val="0"/>
      <w:marRight w:val="0"/>
      <w:marTop w:val="0"/>
      <w:marBottom w:val="0"/>
      <w:divBdr>
        <w:top w:val="none" w:sz="0" w:space="0" w:color="auto"/>
        <w:left w:val="none" w:sz="0" w:space="0" w:color="auto"/>
        <w:bottom w:val="none" w:sz="0" w:space="0" w:color="auto"/>
        <w:right w:val="none" w:sz="0" w:space="0" w:color="auto"/>
      </w:divBdr>
    </w:div>
    <w:div w:id="664744689">
      <w:bodyDiv w:val="1"/>
      <w:marLeft w:val="0"/>
      <w:marRight w:val="0"/>
      <w:marTop w:val="0"/>
      <w:marBottom w:val="0"/>
      <w:divBdr>
        <w:top w:val="none" w:sz="0" w:space="0" w:color="auto"/>
        <w:left w:val="none" w:sz="0" w:space="0" w:color="auto"/>
        <w:bottom w:val="none" w:sz="0" w:space="0" w:color="auto"/>
        <w:right w:val="none" w:sz="0" w:space="0" w:color="auto"/>
      </w:divBdr>
    </w:div>
    <w:div w:id="667711840">
      <w:bodyDiv w:val="1"/>
      <w:marLeft w:val="0"/>
      <w:marRight w:val="0"/>
      <w:marTop w:val="0"/>
      <w:marBottom w:val="0"/>
      <w:divBdr>
        <w:top w:val="none" w:sz="0" w:space="0" w:color="auto"/>
        <w:left w:val="none" w:sz="0" w:space="0" w:color="auto"/>
        <w:bottom w:val="none" w:sz="0" w:space="0" w:color="auto"/>
        <w:right w:val="none" w:sz="0" w:space="0" w:color="auto"/>
      </w:divBdr>
    </w:div>
    <w:div w:id="686761463">
      <w:bodyDiv w:val="1"/>
      <w:marLeft w:val="0"/>
      <w:marRight w:val="0"/>
      <w:marTop w:val="0"/>
      <w:marBottom w:val="0"/>
      <w:divBdr>
        <w:top w:val="none" w:sz="0" w:space="0" w:color="auto"/>
        <w:left w:val="none" w:sz="0" w:space="0" w:color="auto"/>
        <w:bottom w:val="none" w:sz="0" w:space="0" w:color="auto"/>
        <w:right w:val="none" w:sz="0" w:space="0" w:color="auto"/>
      </w:divBdr>
    </w:div>
    <w:div w:id="699090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908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650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031">
      <w:bodyDiv w:val="1"/>
      <w:marLeft w:val="0"/>
      <w:marRight w:val="0"/>
      <w:marTop w:val="0"/>
      <w:marBottom w:val="0"/>
      <w:divBdr>
        <w:top w:val="none" w:sz="0" w:space="0" w:color="auto"/>
        <w:left w:val="none" w:sz="0" w:space="0" w:color="auto"/>
        <w:bottom w:val="none" w:sz="0" w:space="0" w:color="auto"/>
        <w:right w:val="none" w:sz="0" w:space="0" w:color="auto"/>
      </w:divBdr>
    </w:div>
    <w:div w:id="813253509">
      <w:bodyDiv w:val="1"/>
      <w:marLeft w:val="0"/>
      <w:marRight w:val="0"/>
      <w:marTop w:val="0"/>
      <w:marBottom w:val="0"/>
      <w:divBdr>
        <w:top w:val="none" w:sz="0" w:space="0" w:color="auto"/>
        <w:left w:val="none" w:sz="0" w:space="0" w:color="auto"/>
        <w:bottom w:val="none" w:sz="0" w:space="0" w:color="auto"/>
        <w:right w:val="none" w:sz="0" w:space="0" w:color="auto"/>
      </w:divBdr>
    </w:div>
    <w:div w:id="823085786">
      <w:bodyDiv w:val="1"/>
      <w:marLeft w:val="0"/>
      <w:marRight w:val="0"/>
      <w:marTop w:val="0"/>
      <w:marBottom w:val="0"/>
      <w:divBdr>
        <w:top w:val="none" w:sz="0" w:space="0" w:color="auto"/>
        <w:left w:val="none" w:sz="0" w:space="0" w:color="auto"/>
        <w:bottom w:val="none" w:sz="0" w:space="0" w:color="auto"/>
        <w:right w:val="none" w:sz="0" w:space="0" w:color="auto"/>
      </w:divBdr>
    </w:div>
    <w:div w:id="882911376">
      <w:bodyDiv w:val="1"/>
      <w:marLeft w:val="0"/>
      <w:marRight w:val="0"/>
      <w:marTop w:val="0"/>
      <w:marBottom w:val="0"/>
      <w:divBdr>
        <w:top w:val="none" w:sz="0" w:space="0" w:color="auto"/>
        <w:left w:val="none" w:sz="0" w:space="0" w:color="auto"/>
        <w:bottom w:val="none" w:sz="0" w:space="0" w:color="auto"/>
        <w:right w:val="none" w:sz="0" w:space="0" w:color="auto"/>
      </w:divBdr>
      <w:divsChild>
        <w:div w:id="1572882442">
          <w:marLeft w:val="0"/>
          <w:marRight w:val="0"/>
          <w:marTop w:val="0"/>
          <w:marBottom w:val="0"/>
          <w:divBdr>
            <w:top w:val="none" w:sz="0" w:space="0" w:color="auto"/>
            <w:left w:val="none" w:sz="0" w:space="0" w:color="auto"/>
            <w:bottom w:val="none" w:sz="0" w:space="0" w:color="auto"/>
            <w:right w:val="none" w:sz="0" w:space="0" w:color="auto"/>
          </w:divBdr>
          <w:divsChild>
            <w:div w:id="371655049">
              <w:marLeft w:val="0"/>
              <w:marRight w:val="0"/>
              <w:marTop w:val="0"/>
              <w:marBottom w:val="0"/>
              <w:divBdr>
                <w:top w:val="none" w:sz="0" w:space="0" w:color="auto"/>
                <w:left w:val="none" w:sz="0" w:space="0" w:color="auto"/>
                <w:bottom w:val="none" w:sz="0" w:space="0" w:color="auto"/>
                <w:right w:val="none" w:sz="0" w:space="0" w:color="auto"/>
              </w:divBdr>
              <w:divsChild>
                <w:div w:id="719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571">
      <w:bodyDiv w:val="1"/>
      <w:marLeft w:val="0"/>
      <w:marRight w:val="0"/>
      <w:marTop w:val="0"/>
      <w:marBottom w:val="0"/>
      <w:divBdr>
        <w:top w:val="none" w:sz="0" w:space="0" w:color="auto"/>
        <w:left w:val="none" w:sz="0" w:space="0" w:color="auto"/>
        <w:bottom w:val="none" w:sz="0" w:space="0" w:color="auto"/>
        <w:right w:val="none" w:sz="0" w:space="0" w:color="auto"/>
      </w:divBdr>
    </w:div>
    <w:div w:id="983659126">
      <w:bodyDiv w:val="1"/>
      <w:marLeft w:val="0"/>
      <w:marRight w:val="0"/>
      <w:marTop w:val="0"/>
      <w:marBottom w:val="0"/>
      <w:divBdr>
        <w:top w:val="none" w:sz="0" w:space="0" w:color="auto"/>
        <w:left w:val="none" w:sz="0" w:space="0" w:color="auto"/>
        <w:bottom w:val="none" w:sz="0" w:space="0" w:color="auto"/>
        <w:right w:val="none" w:sz="0" w:space="0" w:color="auto"/>
      </w:divBdr>
    </w:div>
    <w:div w:id="1213346677">
      <w:bodyDiv w:val="1"/>
      <w:marLeft w:val="0"/>
      <w:marRight w:val="0"/>
      <w:marTop w:val="0"/>
      <w:marBottom w:val="0"/>
      <w:divBdr>
        <w:top w:val="none" w:sz="0" w:space="0" w:color="auto"/>
        <w:left w:val="none" w:sz="0" w:space="0" w:color="auto"/>
        <w:bottom w:val="none" w:sz="0" w:space="0" w:color="auto"/>
        <w:right w:val="none" w:sz="0" w:space="0" w:color="auto"/>
      </w:divBdr>
    </w:div>
    <w:div w:id="1347829325">
      <w:bodyDiv w:val="1"/>
      <w:marLeft w:val="0"/>
      <w:marRight w:val="0"/>
      <w:marTop w:val="0"/>
      <w:marBottom w:val="0"/>
      <w:divBdr>
        <w:top w:val="none" w:sz="0" w:space="0" w:color="auto"/>
        <w:left w:val="none" w:sz="0" w:space="0" w:color="auto"/>
        <w:bottom w:val="none" w:sz="0" w:space="0" w:color="auto"/>
        <w:right w:val="none" w:sz="0" w:space="0" w:color="auto"/>
      </w:divBdr>
      <w:divsChild>
        <w:div w:id="261914251">
          <w:marLeft w:val="0"/>
          <w:marRight w:val="0"/>
          <w:marTop w:val="0"/>
          <w:marBottom w:val="0"/>
          <w:divBdr>
            <w:top w:val="none" w:sz="0" w:space="0" w:color="auto"/>
            <w:left w:val="none" w:sz="0" w:space="0" w:color="auto"/>
            <w:bottom w:val="none" w:sz="0" w:space="0" w:color="auto"/>
            <w:right w:val="none" w:sz="0" w:space="0" w:color="auto"/>
          </w:divBdr>
          <w:divsChild>
            <w:div w:id="1240863712">
              <w:marLeft w:val="0"/>
              <w:marRight w:val="0"/>
              <w:marTop w:val="0"/>
              <w:marBottom w:val="0"/>
              <w:divBdr>
                <w:top w:val="none" w:sz="0" w:space="0" w:color="auto"/>
                <w:left w:val="none" w:sz="0" w:space="0" w:color="auto"/>
                <w:bottom w:val="none" w:sz="0" w:space="0" w:color="auto"/>
                <w:right w:val="none" w:sz="0" w:space="0" w:color="auto"/>
              </w:divBdr>
              <w:divsChild>
                <w:div w:id="1322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0476">
      <w:bodyDiv w:val="1"/>
      <w:marLeft w:val="0"/>
      <w:marRight w:val="0"/>
      <w:marTop w:val="0"/>
      <w:marBottom w:val="0"/>
      <w:divBdr>
        <w:top w:val="none" w:sz="0" w:space="0" w:color="auto"/>
        <w:left w:val="none" w:sz="0" w:space="0" w:color="auto"/>
        <w:bottom w:val="none" w:sz="0" w:space="0" w:color="auto"/>
        <w:right w:val="none" w:sz="0" w:space="0" w:color="auto"/>
      </w:divBdr>
      <w:divsChild>
        <w:div w:id="1166087805">
          <w:marLeft w:val="0"/>
          <w:marRight w:val="0"/>
          <w:marTop w:val="0"/>
          <w:marBottom w:val="0"/>
          <w:divBdr>
            <w:top w:val="none" w:sz="0" w:space="0" w:color="auto"/>
            <w:left w:val="none" w:sz="0" w:space="0" w:color="auto"/>
            <w:bottom w:val="none" w:sz="0" w:space="0" w:color="auto"/>
            <w:right w:val="none" w:sz="0" w:space="0" w:color="auto"/>
          </w:divBdr>
          <w:divsChild>
            <w:div w:id="863178678">
              <w:marLeft w:val="0"/>
              <w:marRight w:val="0"/>
              <w:marTop w:val="0"/>
              <w:marBottom w:val="0"/>
              <w:divBdr>
                <w:top w:val="none" w:sz="0" w:space="0" w:color="auto"/>
                <w:left w:val="none" w:sz="0" w:space="0" w:color="auto"/>
                <w:bottom w:val="none" w:sz="0" w:space="0" w:color="auto"/>
                <w:right w:val="none" w:sz="0" w:space="0" w:color="auto"/>
              </w:divBdr>
              <w:divsChild>
                <w:div w:id="2097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654">
      <w:bodyDiv w:val="1"/>
      <w:marLeft w:val="0"/>
      <w:marRight w:val="0"/>
      <w:marTop w:val="0"/>
      <w:marBottom w:val="0"/>
      <w:divBdr>
        <w:top w:val="none" w:sz="0" w:space="0" w:color="auto"/>
        <w:left w:val="none" w:sz="0" w:space="0" w:color="auto"/>
        <w:bottom w:val="none" w:sz="0" w:space="0" w:color="auto"/>
        <w:right w:val="none" w:sz="0" w:space="0" w:color="auto"/>
      </w:divBdr>
      <w:divsChild>
        <w:div w:id="86268409">
          <w:marLeft w:val="547"/>
          <w:marRight w:val="0"/>
          <w:marTop w:val="0"/>
          <w:marBottom w:val="0"/>
          <w:divBdr>
            <w:top w:val="none" w:sz="0" w:space="0" w:color="auto"/>
            <w:left w:val="none" w:sz="0" w:space="0" w:color="auto"/>
            <w:bottom w:val="none" w:sz="0" w:space="0" w:color="auto"/>
            <w:right w:val="none" w:sz="0" w:space="0" w:color="auto"/>
          </w:divBdr>
        </w:div>
      </w:divsChild>
    </w:div>
    <w:div w:id="1485851433">
      <w:marLeft w:val="0"/>
      <w:marRight w:val="0"/>
      <w:marTop w:val="0"/>
      <w:marBottom w:val="0"/>
      <w:divBdr>
        <w:top w:val="none" w:sz="0" w:space="0" w:color="auto"/>
        <w:left w:val="none" w:sz="0" w:space="0" w:color="auto"/>
        <w:bottom w:val="none" w:sz="0" w:space="0" w:color="auto"/>
        <w:right w:val="none" w:sz="0" w:space="0" w:color="auto"/>
      </w:divBdr>
    </w:div>
    <w:div w:id="1485851434">
      <w:marLeft w:val="0"/>
      <w:marRight w:val="0"/>
      <w:marTop w:val="0"/>
      <w:marBottom w:val="0"/>
      <w:divBdr>
        <w:top w:val="none" w:sz="0" w:space="0" w:color="auto"/>
        <w:left w:val="none" w:sz="0" w:space="0" w:color="auto"/>
        <w:bottom w:val="none" w:sz="0" w:space="0" w:color="auto"/>
        <w:right w:val="none" w:sz="0" w:space="0" w:color="auto"/>
      </w:divBdr>
    </w:div>
    <w:div w:id="1485851437">
      <w:marLeft w:val="0"/>
      <w:marRight w:val="0"/>
      <w:marTop w:val="0"/>
      <w:marBottom w:val="0"/>
      <w:divBdr>
        <w:top w:val="none" w:sz="0" w:space="0" w:color="auto"/>
        <w:left w:val="none" w:sz="0" w:space="0" w:color="auto"/>
        <w:bottom w:val="none" w:sz="0" w:space="0" w:color="auto"/>
        <w:right w:val="none" w:sz="0" w:space="0" w:color="auto"/>
      </w:divBdr>
      <w:divsChild>
        <w:div w:id="1485851435">
          <w:marLeft w:val="547"/>
          <w:marRight w:val="0"/>
          <w:marTop w:val="0"/>
          <w:marBottom w:val="0"/>
          <w:divBdr>
            <w:top w:val="none" w:sz="0" w:space="0" w:color="auto"/>
            <w:left w:val="none" w:sz="0" w:space="0" w:color="auto"/>
            <w:bottom w:val="none" w:sz="0" w:space="0" w:color="auto"/>
            <w:right w:val="none" w:sz="0" w:space="0" w:color="auto"/>
          </w:divBdr>
        </w:div>
      </w:divsChild>
    </w:div>
    <w:div w:id="1485851438">
      <w:marLeft w:val="0"/>
      <w:marRight w:val="0"/>
      <w:marTop w:val="0"/>
      <w:marBottom w:val="0"/>
      <w:divBdr>
        <w:top w:val="none" w:sz="0" w:space="0" w:color="auto"/>
        <w:left w:val="none" w:sz="0" w:space="0" w:color="auto"/>
        <w:bottom w:val="none" w:sz="0" w:space="0" w:color="auto"/>
        <w:right w:val="none" w:sz="0" w:space="0" w:color="auto"/>
      </w:divBdr>
      <w:divsChild>
        <w:div w:id="1485851436">
          <w:marLeft w:val="547"/>
          <w:marRight w:val="0"/>
          <w:marTop w:val="0"/>
          <w:marBottom w:val="0"/>
          <w:divBdr>
            <w:top w:val="none" w:sz="0" w:space="0" w:color="auto"/>
            <w:left w:val="none" w:sz="0" w:space="0" w:color="auto"/>
            <w:bottom w:val="none" w:sz="0" w:space="0" w:color="auto"/>
            <w:right w:val="none" w:sz="0" w:space="0" w:color="auto"/>
          </w:divBdr>
        </w:div>
      </w:divsChild>
    </w:div>
    <w:div w:id="1485851439">
      <w:marLeft w:val="0"/>
      <w:marRight w:val="0"/>
      <w:marTop w:val="0"/>
      <w:marBottom w:val="0"/>
      <w:divBdr>
        <w:top w:val="none" w:sz="0" w:space="0" w:color="auto"/>
        <w:left w:val="none" w:sz="0" w:space="0" w:color="auto"/>
        <w:bottom w:val="none" w:sz="0" w:space="0" w:color="auto"/>
        <w:right w:val="none" w:sz="0" w:space="0" w:color="auto"/>
      </w:divBdr>
    </w:div>
    <w:div w:id="1485851440">
      <w:marLeft w:val="0"/>
      <w:marRight w:val="0"/>
      <w:marTop w:val="0"/>
      <w:marBottom w:val="0"/>
      <w:divBdr>
        <w:top w:val="none" w:sz="0" w:space="0" w:color="auto"/>
        <w:left w:val="none" w:sz="0" w:space="0" w:color="auto"/>
        <w:bottom w:val="none" w:sz="0" w:space="0" w:color="auto"/>
        <w:right w:val="none" w:sz="0" w:space="0" w:color="auto"/>
      </w:divBdr>
    </w:div>
    <w:div w:id="1485851441">
      <w:marLeft w:val="0"/>
      <w:marRight w:val="0"/>
      <w:marTop w:val="0"/>
      <w:marBottom w:val="0"/>
      <w:divBdr>
        <w:top w:val="none" w:sz="0" w:space="0" w:color="auto"/>
        <w:left w:val="none" w:sz="0" w:space="0" w:color="auto"/>
        <w:bottom w:val="none" w:sz="0" w:space="0" w:color="auto"/>
        <w:right w:val="none" w:sz="0" w:space="0" w:color="auto"/>
      </w:divBdr>
    </w:div>
    <w:div w:id="1485851442">
      <w:marLeft w:val="0"/>
      <w:marRight w:val="0"/>
      <w:marTop w:val="0"/>
      <w:marBottom w:val="0"/>
      <w:divBdr>
        <w:top w:val="none" w:sz="0" w:space="0" w:color="auto"/>
        <w:left w:val="none" w:sz="0" w:space="0" w:color="auto"/>
        <w:bottom w:val="none" w:sz="0" w:space="0" w:color="auto"/>
        <w:right w:val="none" w:sz="0" w:space="0" w:color="auto"/>
      </w:divBdr>
    </w:div>
    <w:div w:id="1485851443">
      <w:marLeft w:val="0"/>
      <w:marRight w:val="0"/>
      <w:marTop w:val="0"/>
      <w:marBottom w:val="0"/>
      <w:divBdr>
        <w:top w:val="none" w:sz="0" w:space="0" w:color="auto"/>
        <w:left w:val="none" w:sz="0" w:space="0" w:color="auto"/>
        <w:bottom w:val="none" w:sz="0" w:space="0" w:color="auto"/>
        <w:right w:val="none" w:sz="0" w:space="0" w:color="auto"/>
      </w:divBdr>
    </w:div>
    <w:div w:id="1485851444">
      <w:marLeft w:val="0"/>
      <w:marRight w:val="0"/>
      <w:marTop w:val="0"/>
      <w:marBottom w:val="0"/>
      <w:divBdr>
        <w:top w:val="none" w:sz="0" w:space="0" w:color="auto"/>
        <w:left w:val="none" w:sz="0" w:space="0" w:color="auto"/>
        <w:bottom w:val="none" w:sz="0" w:space="0" w:color="auto"/>
        <w:right w:val="none" w:sz="0" w:space="0" w:color="auto"/>
      </w:divBdr>
    </w:div>
    <w:div w:id="1485851445">
      <w:marLeft w:val="0"/>
      <w:marRight w:val="0"/>
      <w:marTop w:val="0"/>
      <w:marBottom w:val="0"/>
      <w:divBdr>
        <w:top w:val="none" w:sz="0" w:space="0" w:color="auto"/>
        <w:left w:val="none" w:sz="0" w:space="0" w:color="auto"/>
        <w:bottom w:val="none" w:sz="0" w:space="0" w:color="auto"/>
        <w:right w:val="none" w:sz="0" w:space="0" w:color="auto"/>
      </w:divBdr>
    </w:div>
    <w:div w:id="1485851446">
      <w:marLeft w:val="0"/>
      <w:marRight w:val="0"/>
      <w:marTop w:val="0"/>
      <w:marBottom w:val="0"/>
      <w:divBdr>
        <w:top w:val="none" w:sz="0" w:space="0" w:color="auto"/>
        <w:left w:val="none" w:sz="0" w:space="0" w:color="auto"/>
        <w:bottom w:val="none" w:sz="0" w:space="0" w:color="auto"/>
        <w:right w:val="none" w:sz="0" w:space="0" w:color="auto"/>
      </w:divBdr>
    </w:div>
    <w:div w:id="1485851447">
      <w:marLeft w:val="0"/>
      <w:marRight w:val="0"/>
      <w:marTop w:val="0"/>
      <w:marBottom w:val="0"/>
      <w:divBdr>
        <w:top w:val="none" w:sz="0" w:space="0" w:color="auto"/>
        <w:left w:val="none" w:sz="0" w:space="0" w:color="auto"/>
        <w:bottom w:val="none" w:sz="0" w:space="0" w:color="auto"/>
        <w:right w:val="none" w:sz="0" w:space="0" w:color="auto"/>
      </w:divBdr>
    </w:div>
    <w:div w:id="1485851448">
      <w:marLeft w:val="0"/>
      <w:marRight w:val="0"/>
      <w:marTop w:val="0"/>
      <w:marBottom w:val="0"/>
      <w:divBdr>
        <w:top w:val="none" w:sz="0" w:space="0" w:color="auto"/>
        <w:left w:val="none" w:sz="0" w:space="0" w:color="auto"/>
        <w:bottom w:val="none" w:sz="0" w:space="0" w:color="auto"/>
        <w:right w:val="none" w:sz="0" w:space="0" w:color="auto"/>
      </w:divBdr>
    </w:div>
    <w:div w:id="1485851449">
      <w:marLeft w:val="0"/>
      <w:marRight w:val="0"/>
      <w:marTop w:val="0"/>
      <w:marBottom w:val="0"/>
      <w:divBdr>
        <w:top w:val="none" w:sz="0" w:space="0" w:color="auto"/>
        <w:left w:val="none" w:sz="0" w:space="0" w:color="auto"/>
        <w:bottom w:val="none" w:sz="0" w:space="0" w:color="auto"/>
        <w:right w:val="none" w:sz="0" w:space="0" w:color="auto"/>
      </w:divBdr>
    </w:div>
    <w:div w:id="1485851450">
      <w:marLeft w:val="0"/>
      <w:marRight w:val="0"/>
      <w:marTop w:val="0"/>
      <w:marBottom w:val="0"/>
      <w:divBdr>
        <w:top w:val="none" w:sz="0" w:space="0" w:color="auto"/>
        <w:left w:val="none" w:sz="0" w:space="0" w:color="auto"/>
        <w:bottom w:val="none" w:sz="0" w:space="0" w:color="auto"/>
        <w:right w:val="none" w:sz="0" w:space="0" w:color="auto"/>
      </w:divBdr>
    </w:div>
    <w:div w:id="1485851451">
      <w:marLeft w:val="0"/>
      <w:marRight w:val="0"/>
      <w:marTop w:val="0"/>
      <w:marBottom w:val="0"/>
      <w:divBdr>
        <w:top w:val="none" w:sz="0" w:space="0" w:color="auto"/>
        <w:left w:val="none" w:sz="0" w:space="0" w:color="auto"/>
        <w:bottom w:val="none" w:sz="0" w:space="0" w:color="auto"/>
        <w:right w:val="none" w:sz="0" w:space="0" w:color="auto"/>
      </w:divBdr>
    </w:div>
    <w:div w:id="1485851452">
      <w:marLeft w:val="0"/>
      <w:marRight w:val="0"/>
      <w:marTop w:val="0"/>
      <w:marBottom w:val="0"/>
      <w:divBdr>
        <w:top w:val="none" w:sz="0" w:space="0" w:color="auto"/>
        <w:left w:val="none" w:sz="0" w:space="0" w:color="auto"/>
        <w:bottom w:val="none" w:sz="0" w:space="0" w:color="auto"/>
        <w:right w:val="none" w:sz="0" w:space="0" w:color="auto"/>
      </w:divBdr>
    </w:div>
    <w:div w:id="1485851453">
      <w:marLeft w:val="0"/>
      <w:marRight w:val="0"/>
      <w:marTop w:val="0"/>
      <w:marBottom w:val="0"/>
      <w:divBdr>
        <w:top w:val="none" w:sz="0" w:space="0" w:color="auto"/>
        <w:left w:val="none" w:sz="0" w:space="0" w:color="auto"/>
        <w:bottom w:val="none" w:sz="0" w:space="0" w:color="auto"/>
        <w:right w:val="none" w:sz="0" w:space="0" w:color="auto"/>
      </w:divBdr>
    </w:div>
    <w:div w:id="1485851454">
      <w:marLeft w:val="0"/>
      <w:marRight w:val="0"/>
      <w:marTop w:val="0"/>
      <w:marBottom w:val="0"/>
      <w:divBdr>
        <w:top w:val="none" w:sz="0" w:space="0" w:color="auto"/>
        <w:left w:val="none" w:sz="0" w:space="0" w:color="auto"/>
        <w:bottom w:val="none" w:sz="0" w:space="0" w:color="auto"/>
        <w:right w:val="none" w:sz="0" w:space="0" w:color="auto"/>
      </w:divBdr>
    </w:div>
    <w:div w:id="1485851455">
      <w:marLeft w:val="0"/>
      <w:marRight w:val="0"/>
      <w:marTop w:val="0"/>
      <w:marBottom w:val="0"/>
      <w:divBdr>
        <w:top w:val="none" w:sz="0" w:space="0" w:color="auto"/>
        <w:left w:val="none" w:sz="0" w:space="0" w:color="auto"/>
        <w:bottom w:val="none" w:sz="0" w:space="0" w:color="auto"/>
        <w:right w:val="none" w:sz="0" w:space="0" w:color="auto"/>
      </w:divBdr>
    </w:div>
    <w:div w:id="1485851456">
      <w:marLeft w:val="0"/>
      <w:marRight w:val="0"/>
      <w:marTop w:val="0"/>
      <w:marBottom w:val="0"/>
      <w:divBdr>
        <w:top w:val="none" w:sz="0" w:space="0" w:color="auto"/>
        <w:left w:val="none" w:sz="0" w:space="0" w:color="auto"/>
        <w:bottom w:val="none" w:sz="0" w:space="0" w:color="auto"/>
        <w:right w:val="none" w:sz="0" w:space="0" w:color="auto"/>
      </w:divBdr>
    </w:div>
    <w:div w:id="1485851457">
      <w:marLeft w:val="0"/>
      <w:marRight w:val="0"/>
      <w:marTop w:val="0"/>
      <w:marBottom w:val="0"/>
      <w:divBdr>
        <w:top w:val="none" w:sz="0" w:space="0" w:color="auto"/>
        <w:left w:val="none" w:sz="0" w:space="0" w:color="auto"/>
        <w:bottom w:val="none" w:sz="0" w:space="0" w:color="auto"/>
        <w:right w:val="none" w:sz="0" w:space="0" w:color="auto"/>
      </w:divBdr>
    </w:div>
    <w:div w:id="1485851458">
      <w:marLeft w:val="0"/>
      <w:marRight w:val="0"/>
      <w:marTop w:val="0"/>
      <w:marBottom w:val="0"/>
      <w:divBdr>
        <w:top w:val="none" w:sz="0" w:space="0" w:color="auto"/>
        <w:left w:val="none" w:sz="0" w:space="0" w:color="auto"/>
        <w:bottom w:val="none" w:sz="0" w:space="0" w:color="auto"/>
        <w:right w:val="none" w:sz="0" w:space="0" w:color="auto"/>
      </w:divBdr>
    </w:div>
    <w:div w:id="1485851459">
      <w:marLeft w:val="0"/>
      <w:marRight w:val="0"/>
      <w:marTop w:val="0"/>
      <w:marBottom w:val="0"/>
      <w:divBdr>
        <w:top w:val="none" w:sz="0" w:space="0" w:color="auto"/>
        <w:left w:val="none" w:sz="0" w:space="0" w:color="auto"/>
        <w:bottom w:val="none" w:sz="0" w:space="0" w:color="auto"/>
        <w:right w:val="none" w:sz="0" w:space="0" w:color="auto"/>
      </w:divBdr>
    </w:div>
    <w:div w:id="1485851460">
      <w:marLeft w:val="0"/>
      <w:marRight w:val="0"/>
      <w:marTop w:val="0"/>
      <w:marBottom w:val="0"/>
      <w:divBdr>
        <w:top w:val="none" w:sz="0" w:space="0" w:color="auto"/>
        <w:left w:val="none" w:sz="0" w:space="0" w:color="auto"/>
        <w:bottom w:val="none" w:sz="0" w:space="0" w:color="auto"/>
        <w:right w:val="none" w:sz="0" w:space="0" w:color="auto"/>
      </w:divBdr>
    </w:div>
    <w:div w:id="1485851461">
      <w:marLeft w:val="0"/>
      <w:marRight w:val="0"/>
      <w:marTop w:val="0"/>
      <w:marBottom w:val="0"/>
      <w:divBdr>
        <w:top w:val="none" w:sz="0" w:space="0" w:color="auto"/>
        <w:left w:val="none" w:sz="0" w:space="0" w:color="auto"/>
        <w:bottom w:val="none" w:sz="0" w:space="0" w:color="auto"/>
        <w:right w:val="none" w:sz="0" w:space="0" w:color="auto"/>
      </w:divBdr>
    </w:div>
    <w:div w:id="1485851462">
      <w:marLeft w:val="0"/>
      <w:marRight w:val="0"/>
      <w:marTop w:val="0"/>
      <w:marBottom w:val="0"/>
      <w:divBdr>
        <w:top w:val="none" w:sz="0" w:space="0" w:color="auto"/>
        <w:left w:val="none" w:sz="0" w:space="0" w:color="auto"/>
        <w:bottom w:val="none" w:sz="0" w:space="0" w:color="auto"/>
        <w:right w:val="none" w:sz="0" w:space="0" w:color="auto"/>
      </w:divBdr>
    </w:div>
    <w:div w:id="1494834912">
      <w:bodyDiv w:val="1"/>
      <w:marLeft w:val="0"/>
      <w:marRight w:val="0"/>
      <w:marTop w:val="0"/>
      <w:marBottom w:val="0"/>
      <w:divBdr>
        <w:top w:val="none" w:sz="0" w:space="0" w:color="auto"/>
        <w:left w:val="none" w:sz="0" w:space="0" w:color="auto"/>
        <w:bottom w:val="none" w:sz="0" w:space="0" w:color="auto"/>
        <w:right w:val="none" w:sz="0" w:space="0" w:color="auto"/>
      </w:divBdr>
    </w:div>
    <w:div w:id="1509172801">
      <w:bodyDiv w:val="1"/>
      <w:marLeft w:val="0"/>
      <w:marRight w:val="0"/>
      <w:marTop w:val="0"/>
      <w:marBottom w:val="0"/>
      <w:divBdr>
        <w:top w:val="none" w:sz="0" w:space="0" w:color="auto"/>
        <w:left w:val="none" w:sz="0" w:space="0" w:color="auto"/>
        <w:bottom w:val="none" w:sz="0" w:space="0" w:color="auto"/>
        <w:right w:val="none" w:sz="0" w:space="0" w:color="auto"/>
      </w:divBdr>
    </w:div>
    <w:div w:id="1513375445">
      <w:bodyDiv w:val="1"/>
      <w:marLeft w:val="0"/>
      <w:marRight w:val="0"/>
      <w:marTop w:val="0"/>
      <w:marBottom w:val="0"/>
      <w:divBdr>
        <w:top w:val="none" w:sz="0" w:space="0" w:color="auto"/>
        <w:left w:val="none" w:sz="0" w:space="0" w:color="auto"/>
        <w:bottom w:val="none" w:sz="0" w:space="0" w:color="auto"/>
        <w:right w:val="none" w:sz="0" w:space="0" w:color="auto"/>
      </w:divBdr>
    </w:div>
    <w:div w:id="1515730174">
      <w:bodyDiv w:val="1"/>
      <w:marLeft w:val="0"/>
      <w:marRight w:val="0"/>
      <w:marTop w:val="0"/>
      <w:marBottom w:val="0"/>
      <w:divBdr>
        <w:top w:val="none" w:sz="0" w:space="0" w:color="auto"/>
        <w:left w:val="none" w:sz="0" w:space="0" w:color="auto"/>
        <w:bottom w:val="none" w:sz="0" w:space="0" w:color="auto"/>
        <w:right w:val="none" w:sz="0" w:space="0" w:color="auto"/>
      </w:divBdr>
    </w:div>
    <w:div w:id="1538346353">
      <w:bodyDiv w:val="1"/>
      <w:marLeft w:val="0"/>
      <w:marRight w:val="0"/>
      <w:marTop w:val="0"/>
      <w:marBottom w:val="0"/>
      <w:divBdr>
        <w:top w:val="none" w:sz="0" w:space="0" w:color="auto"/>
        <w:left w:val="none" w:sz="0" w:space="0" w:color="auto"/>
        <w:bottom w:val="none" w:sz="0" w:space="0" w:color="auto"/>
        <w:right w:val="none" w:sz="0" w:space="0" w:color="auto"/>
      </w:divBdr>
      <w:divsChild>
        <w:div w:id="1832284774">
          <w:marLeft w:val="0"/>
          <w:marRight w:val="0"/>
          <w:marTop w:val="0"/>
          <w:marBottom w:val="0"/>
          <w:divBdr>
            <w:top w:val="none" w:sz="0" w:space="0" w:color="auto"/>
            <w:left w:val="none" w:sz="0" w:space="0" w:color="auto"/>
            <w:bottom w:val="none" w:sz="0" w:space="0" w:color="auto"/>
            <w:right w:val="none" w:sz="0" w:space="0" w:color="auto"/>
          </w:divBdr>
          <w:divsChild>
            <w:div w:id="501429618">
              <w:marLeft w:val="0"/>
              <w:marRight w:val="0"/>
              <w:marTop w:val="0"/>
              <w:marBottom w:val="0"/>
              <w:divBdr>
                <w:top w:val="none" w:sz="0" w:space="0" w:color="auto"/>
                <w:left w:val="none" w:sz="0" w:space="0" w:color="auto"/>
                <w:bottom w:val="none" w:sz="0" w:space="0" w:color="auto"/>
                <w:right w:val="none" w:sz="0" w:space="0" w:color="auto"/>
              </w:divBdr>
              <w:divsChild>
                <w:div w:id="1510826362">
                  <w:marLeft w:val="0"/>
                  <w:marRight w:val="0"/>
                  <w:marTop w:val="0"/>
                  <w:marBottom w:val="0"/>
                  <w:divBdr>
                    <w:top w:val="none" w:sz="0" w:space="0" w:color="auto"/>
                    <w:left w:val="none" w:sz="0" w:space="0" w:color="auto"/>
                    <w:bottom w:val="none" w:sz="0" w:space="0" w:color="auto"/>
                    <w:right w:val="none" w:sz="0" w:space="0" w:color="auto"/>
                  </w:divBdr>
                  <w:divsChild>
                    <w:div w:id="829322437">
                      <w:marLeft w:val="0"/>
                      <w:marRight w:val="0"/>
                      <w:marTop w:val="0"/>
                      <w:marBottom w:val="0"/>
                      <w:divBdr>
                        <w:top w:val="none" w:sz="0" w:space="0" w:color="auto"/>
                        <w:left w:val="none" w:sz="0" w:space="0" w:color="auto"/>
                        <w:bottom w:val="none" w:sz="0" w:space="0" w:color="auto"/>
                        <w:right w:val="none" w:sz="0" w:space="0" w:color="auto"/>
                      </w:divBdr>
                      <w:divsChild>
                        <w:div w:id="98642641">
                          <w:marLeft w:val="0"/>
                          <w:marRight w:val="0"/>
                          <w:marTop w:val="0"/>
                          <w:marBottom w:val="0"/>
                          <w:divBdr>
                            <w:top w:val="none" w:sz="0" w:space="0" w:color="auto"/>
                            <w:left w:val="none" w:sz="0" w:space="0" w:color="auto"/>
                            <w:bottom w:val="none" w:sz="0" w:space="0" w:color="auto"/>
                            <w:right w:val="none" w:sz="0" w:space="0" w:color="auto"/>
                          </w:divBdr>
                          <w:divsChild>
                            <w:div w:id="16742172">
                              <w:marLeft w:val="0"/>
                              <w:marRight w:val="0"/>
                              <w:marTop w:val="0"/>
                              <w:marBottom w:val="0"/>
                              <w:divBdr>
                                <w:top w:val="none" w:sz="0" w:space="0" w:color="auto"/>
                                <w:left w:val="none" w:sz="0" w:space="0" w:color="auto"/>
                                <w:bottom w:val="none" w:sz="0" w:space="0" w:color="auto"/>
                                <w:right w:val="none" w:sz="0" w:space="0" w:color="auto"/>
                              </w:divBdr>
                              <w:divsChild>
                                <w:div w:id="1447776492">
                                  <w:marLeft w:val="0"/>
                                  <w:marRight w:val="0"/>
                                  <w:marTop w:val="0"/>
                                  <w:marBottom w:val="0"/>
                                  <w:divBdr>
                                    <w:top w:val="none" w:sz="0" w:space="0" w:color="auto"/>
                                    <w:left w:val="none" w:sz="0" w:space="0" w:color="auto"/>
                                    <w:bottom w:val="none" w:sz="0" w:space="0" w:color="auto"/>
                                    <w:right w:val="none" w:sz="0" w:space="0" w:color="auto"/>
                                  </w:divBdr>
                                  <w:divsChild>
                                    <w:div w:id="988050422">
                                      <w:marLeft w:val="0"/>
                                      <w:marRight w:val="0"/>
                                      <w:marTop w:val="0"/>
                                      <w:marBottom w:val="0"/>
                                      <w:divBdr>
                                        <w:top w:val="none" w:sz="0" w:space="0" w:color="auto"/>
                                        <w:left w:val="none" w:sz="0" w:space="0" w:color="auto"/>
                                        <w:bottom w:val="none" w:sz="0" w:space="0" w:color="auto"/>
                                        <w:right w:val="none" w:sz="0" w:space="0" w:color="auto"/>
                                      </w:divBdr>
                                      <w:divsChild>
                                        <w:div w:id="993068954">
                                          <w:marLeft w:val="0"/>
                                          <w:marRight w:val="0"/>
                                          <w:marTop w:val="0"/>
                                          <w:marBottom w:val="0"/>
                                          <w:divBdr>
                                            <w:top w:val="none" w:sz="0" w:space="0" w:color="auto"/>
                                            <w:left w:val="none" w:sz="0" w:space="0" w:color="auto"/>
                                            <w:bottom w:val="none" w:sz="0" w:space="0" w:color="auto"/>
                                            <w:right w:val="none" w:sz="0" w:space="0" w:color="auto"/>
                                          </w:divBdr>
                                          <w:divsChild>
                                            <w:div w:id="499318809">
                                              <w:marLeft w:val="0"/>
                                              <w:marRight w:val="0"/>
                                              <w:marTop w:val="0"/>
                                              <w:marBottom w:val="0"/>
                                              <w:divBdr>
                                                <w:top w:val="none" w:sz="0" w:space="0" w:color="auto"/>
                                                <w:left w:val="none" w:sz="0" w:space="0" w:color="auto"/>
                                                <w:bottom w:val="none" w:sz="0" w:space="0" w:color="auto"/>
                                                <w:right w:val="none" w:sz="0" w:space="0" w:color="auto"/>
                                              </w:divBdr>
                                              <w:divsChild>
                                                <w:div w:id="515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961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961">
          <w:marLeft w:val="0"/>
          <w:marRight w:val="0"/>
          <w:marTop w:val="0"/>
          <w:marBottom w:val="0"/>
          <w:divBdr>
            <w:top w:val="none" w:sz="0" w:space="0" w:color="auto"/>
            <w:left w:val="none" w:sz="0" w:space="0" w:color="auto"/>
            <w:bottom w:val="none" w:sz="0" w:space="0" w:color="auto"/>
            <w:right w:val="none" w:sz="0" w:space="0" w:color="auto"/>
          </w:divBdr>
          <w:divsChild>
            <w:div w:id="1326590724">
              <w:marLeft w:val="0"/>
              <w:marRight w:val="0"/>
              <w:marTop w:val="0"/>
              <w:marBottom w:val="0"/>
              <w:divBdr>
                <w:top w:val="none" w:sz="0" w:space="0" w:color="auto"/>
                <w:left w:val="none" w:sz="0" w:space="0" w:color="auto"/>
                <w:bottom w:val="none" w:sz="0" w:space="0" w:color="auto"/>
                <w:right w:val="none" w:sz="0" w:space="0" w:color="auto"/>
              </w:divBdr>
              <w:divsChild>
                <w:div w:id="1984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660">
      <w:bodyDiv w:val="1"/>
      <w:marLeft w:val="0"/>
      <w:marRight w:val="0"/>
      <w:marTop w:val="0"/>
      <w:marBottom w:val="0"/>
      <w:divBdr>
        <w:top w:val="none" w:sz="0" w:space="0" w:color="auto"/>
        <w:left w:val="none" w:sz="0" w:space="0" w:color="auto"/>
        <w:bottom w:val="none" w:sz="0" w:space="0" w:color="auto"/>
        <w:right w:val="none" w:sz="0" w:space="0" w:color="auto"/>
      </w:divBdr>
    </w:div>
    <w:div w:id="1615943225">
      <w:bodyDiv w:val="1"/>
      <w:marLeft w:val="0"/>
      <w:marRight w:val="0"/>
      <w:marTop w:val="0"/>
      <w:marBottom w:val="0"/>
      <w:divBdr>
        <w:top w:val="none" w:sz="0" w:space="0" w:color="auto"/>
        <w:left w:val="none" w:sz="0" w:space="0" w:color="auto"/>
        <w:bottom w:val="none" w:sz="0" w:space="0" w:color="auto"/>
        <w:right w:val="none" w:sz="0" w:space="0" w:color="auto"/>
      </w:divBdr>
    </w:div>
    <w:div w:id="1624383517">
      <w:bodyDiv w:val="1"/>
      <w:marLeft w:val="0"/>
      <w:marRight w:val="0"/>
      <w:marTop w:val="0"/>
      <w:marBottom w:val="0"/>
      <w:divBdr>
        <w:top w:val="none" w:sz="0" w:space="0" w:color="auto"/>
        <w:left w:val="none" w:sz="0" w:space="0" w:color="auto"/>
        <w:bottom w:val="none" w:sz="0" w:space="0" w:color="auto"/>
        <w:right w:val="none" w:sz="0" w:space="0" w:color="auto"/>
      </w:divBdr>
    </w:div>
    <w:div w:id="1722554803">
      <w:bodyDiv w:val="1"/>
      <w:marLeft w:val="0"/>
      <w:marRight w:val="0"/>
      <w:marTop w:val="0"/>
      <w:marBottom w:val="0"/>
      <w:divBdr>
        <w:top w:val="none" w:sz="0" w:space="0" w:color="auto"/>
        <w:left w:val="none" w:sz="0" w:space="0" w:color="auto"/>
        <w:bottom w:val="none" w:sz="0" w:space="0" w:color="auto"/>
        <w:right w:val="none" w:sz="0" w:space="0" w:color="auto"/>
      </w:divBdr>
    </w:div>
    <w:div w:id="1733429333">
      <w:bodyDiv w:val="1"/>
      <w:marLeft w:val="0"/>
      <w:marRight w:val="0"/>
      <w:marTop w:val="0"/>
      <w:marBottom w:val="0"/>
      <w:divBdr>
        <w:top w:val="none" w:sz="0" w:space="0" w:color="auto"/>
        <w:left w:val="none" w:sz="0" w:space="0" w:color="auto"/>
        <w:bottom w:val="none" w:sz="0" w:space="0" w:color="auto"/>
        <w:right w:val="none" w:sz="0" w:space="0" w:color="auto"/>
      </w:divBdr>
      <w:divsChild>
        <w:div w:id="1403259751">
          <w:marLeft w:val="0"/>
          <w:marRight w:val="0"/>
          <w:marTop w:val="0"/>
          <w:marBottom w:val="0"/>
          <w:divBdr>
            <w:top w:val="none" w:sz="0" w:space="0" w:color="auto"/>
            <w:left w:val="none" w:sz="0" w:space="0" w:color="auto"/>
            <w:bottom w:val="none" w:sz="0" w:space="0" w:color="auto"/>
            <w:right w:val="none" w:sz="0" w:space="0" w:color="auto"/>
          </w:divBdr>
          <w:divsChild>
            <w:div w:id="2040203410">
              <w:marLeft w:val="0"/>
              <w:marRight w:val="0"/>
              <w:marTop w:val="0"/>
              <w:marBottom w:val="0"/>
              <w:divBdr>
                <w:top w:val="none" w:sz="0" w:space="0" w:color="auto"/>
                <w:left w:val="none" w:sz="0" w:space="0" w:color="auto"/>
                <w:bottom w:val="none" w:sz="0" w:space="0" w:color="auto"/>
                <w:right w:val="none" w:sz="0" w:space="0" w:color="auto"/>
              </w:divBdr>
              <w:divsChild>
                <w:div w:id="1646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8869">
      <w:bodyDiv w:val="1"/>
      <w:marLeft w:val="0"/>
      <w:marRight w:val="0"/>
      <w:marTop w:val="0"/>
      <w:marBottom w:val="0"/>
      <w:divBdr>
        <w:top w:val="none" w:sz="0" w:space="0" w:color="auto"/>
        <w:left w:val="none" w:sz="0" w:space="0" w:color="auto"/>
        <w:bottom w:val="none" w:sz="0" w:space="0" w:color="auto"/>
        <w:right w:val="none" w:sz="0" w:space="0" w:color="auto"/>
      </w:divBdr>
    </w:div>
    <w:div w:id="1854999506">
      <w:bodyDiv w:val="1"/>
      <w:marLeft w:val="0"/>
      <w:marRight w:val="0"/>
      <w:marTop w:val="0"/>
      <w:marBottom w:val="0"/>
      <w:divBdr>
        <w:top w:val="none" w:sz="0" w:space="0" w:color="auto"/>
        <w:left w:val="none" w:sz="0" w:space="0" w:color="auto"/>
        <w:bottom w:val="none" w:sz="0" w:space="0" w:color="auto"/>
        <w:right w:val="none" w:sz="0" w:space="0" w:color="auto"/>
      </w:divBdr>
      <w:divsChild>
        <w:div w:id="1435444323">
          <w:marLeft w:val="547"/>
          <w:marRight w:val="0"/>
          <w:marTop w:val="0"/>
          <w:marBottom w:val="0"/>
          <w:divBdr>
            <w:top w:val="none" w:sz="0" w:space="0" w:color="auto"/>
            <w:left w:val="none" w:sz="0" w:space="0" w:color="auto"/>
            <w:bottom w:val="none" w:sz="0" w:space="0" w:color="auto"/>
            <w:right w:val="none" w:sz="0" w:space="0" w:color="auto"/>
          </w:divBdr>
        </w:div>
      </w:divsChild>
    </w:div>
    <w:div w:id="1960214309">
      <w:bodyDiv w:val="1"/>
      <w:marLeft w:val="0"/>
      <w:marRight w:val="0"/>
      <w:marTop w:val="0"/>
      <w:marBottom w:val="0"/>
      <w:divBdr>
        <w:top w:val="none" w:sz="0" w:space="0" w:color="auto"/>
        <w:left w:val="none" w:sz="0" w:space="0" w:color="auto"/>
        <w:bottom w:val="none" w:sz="0" w:space="0" w:color="auto"/>
        <w:right w:val="none" w:sz="0" w:space="0" w:color="auto"/>
      </w:divBdr>
      <w:divsChild>
        <w:div w:id="1644046962">
          <w:marLeft w:val="0"/>
          <w:marRight w:val="0"/>
          <w:marTop w:val="0"/>
          <w:marBottom w:val="0"/>
          <w:divBdr>
            <w:top w:val="none" w:sz="0" w:space="0" w:color="auto"/>
            <w:left w:val="none" w:sz="0" w:space="0" w:color="auto"/>
            <w:bottom w:val="none" w:sz="0" w:space="0" w:color="auto"/>
            <w:right w:val="none" w:sz="0" w:space="0" w:color="auto"/>
          </w:divBdr>
          <w:divsChild>
            <w:div w:id="1872955638">
              <w:marLeft w:val="0"/>
              <w:marRight w:val="0"/>
              <w:marTop w:val="0"/>
              <w:marBottom w:val="0"/>
              <w:divBdr>
                <w:top w:val="none" w:sz="0" w:space="0" w:color="auto"/>
                <w:left w:val="none" w:sz="0" w:space="0" w:color="auto"/>
                <w:bottom w:val="none" w:sz="0" w:space="0" w:color="auto"/>
                <w:right w:val="none" w:sz="0" w:space="0" w:color="auto"/>
              </w:divBdr>
              <w:divsChild>
                <w:div w:id="965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p\CONFIG~1\Temp\XPgrpwise\Template_Diss_PPGEC_2011V12_final_Out20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719115-B28A-48DE-AE18-A1D33FD52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Template_Diss_PPGEC_2011V12_final_Out2011.dot</Template>
  <TotalTime>890</TotalTime>
  <Pages>29</Pages>
  <Words>34712</Words>
  <Characters>187450</Characters>
  <Application>Microsoft Office Word</Application>
  <DocSecurity>0</DocSecurity>
  <Lines>1562</Lines>
  <Paragraphs>443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TCC</vt:lpstr>
      <vt:lpstr>TCC</vt:lpstr>
    </vt:vector>
  </TitlesOfParts>
  <Company>Toshiba</Company>
  <LinksUpToDate>false</LinksUpToDate>
  <CharactersWithSpaces>221719</CharactersWithSpaces>
  <SharedDoc>false</SharedDoc>
  <HLinks>
    <vt:vector size="186" baseType="variant">
      <vt:variant>
        <vt:i4>2424916</vt:i4>
      </vt:variant>
      <vt:variant>
        <vt:i4>201</vt:i4>
      </vt:variant>
      <vt:variant>
        <vt:i4>0</vt:i4>
      </vt:variant>
      <vt:variant>
        <vt:i4>5</vt:i4>
      </vt:variant>
      <vt:variant>
        <vt:lpwstr>http://www.tripadvisor.com.br/Hotels-g303546-Porto_Alegre_State_of_Rio_Grande_do_Sul-Hotels.html</vt:lpwstr>
      </vt:variant>
      <vt:variant>
        <vt:lpwstr/>
      </vt:variant>
      <vt:variant>
        <vt:i4>4522049</vt:i4>
      </vt:variant>
      <vt:variant>
        <vt:i4>198</vt:i4>
      </vt:variant>
      <vt:variant>
        <vt:i4>0</vt:i4>
      </vt:variant>
      <vt:variant>
        <vt:i4>5</vt:i4>
      </vt:variant>
      <vt:variant>
        <vt:lpwstr>http://reviewskeptic.com/</vt:lpwstr>
      </vt:variant>
      <vt:variant>
        <vt:lpwstr/>
      </vt:variant>
      <vt:variant>
        <vt:i4>3539062</vt:i4>
      </vt:variant>
      <vt:variant>
        <vt:i4>195</vt:i4>
      </vt:variant>
      <vt:variant>
        <vt:i4>0</vt:i4>
      </vt:variant>
      <vt:variant>
        <vt:i4>5</vt:i4>
      </vt:variant>
      <vt:variant>
        <vt:lpwstr>http://www.abepro.org.br/interna.asp?p=399&amp;m=424&amp;ss=1&amp;c=362</vt:lpwstr>
      </vt:variant>
      <vt:variant>
        <vt:lpwstr/>
      </vt:variant>
      <vt:variant>
        <vt:i4>1638452</vt:i4>
      </vt:variant>
      <vt:variant>
        <vt:i4>164</vt:i4>
      </vt:variant>
      <vt:variant>
        <vt:i4>0</vt:i4>
      </vt:variant>
      <vt:variant>
        <vt:i4>5</vt:i4>
      </vt:variant>
      <vt:variant>
        <vt:lpwstr/>
      </vt:variant>
      <vt:variant>
        <vt:lpwstr>_Toc403750695</vt:lpwstr>
      </vt:variant>
      <vt:variant>
        <vt:i4>1638452</vt:i4>
      </vt:variant>
      <vt:variant>
        <vt:i4>158</vt:i4>
      </vt:variant>
      <vt:variant>
        <vt:i4>0</vt:i4>
      </vt:variant>
      <vt:variant>
        <vt:i4>5</vt:i4>
      </vt:variant>
      <vt:variant>
        <vt:lpwstr/>
      </vt:variant>
      <vt:variant>
        <vt:lpwstr>_Toc403750694</vt:lpwstr>
      </vt:variant>
      <vt:variant>
        <vt:i4>1638452</vt:i4>
      </vt:variant>
      <vt:variant>
        <vt:i4>152</vt:i4>
      </vt:variant>
      <vt:variant>
        <vt:i4>0</vt:i4>
      </vt:variant>
      <vt:variant>
        <vt:i4>5</vt:i4>
      </vt:variant>
      <vt:variant>
        <vt:lpwstr/>
      </vt:variant>
      <vt:variant>
        <vt:lpwstr>_Toc403750693</vt:lpwstr>
      </vt:variant>
      <vt:variant>
        <vt:i4>1638452</vt:i4>
      </vt:variant>
      <vt:variant>
        <vt:i4>146</vt:i4>
      </vt:variant>
      <vt:variant>
        <vt:i4>0</vt:i4>
      </vt:variant>
      <vt:variant>
        <vt:i4>5</vt:i4>
      </vt:variant>
      <vt:variant>
        <vt:lpwstr/>
      </vt:variant>
      <vt:variant>
        <vt:lpwstr>_Toc403750692</vt:lpwstr>
      </vt:variant>
      <vt:variant>
        <vt:i4>1638452</vt:i4>
      </vt:variant>
      <vt:variant>
        <vt:i4>140</vt:i4>
      </vt:variant>
      <vt:variant>
        <vt:i4>0</vt:i4>
      </vt:variant>
      <vt:variant>
        <vt:i4>5</vt:i4>
      </vt:variant>
      <vt:variant>
        <vt:lpwstr/>
      </vt:variant>
      <vt:variant>
        <vt:lpwstr>_Toc403750690</vt:lpwstr>
      </vt:variant>
      <vt:variant>
        <vt:i4>1572916</vt:i4>
      </vt:variant>
      <vt:variant>
        <vt:i4>134</vt:i4>
      </vt:variant>
      <vt:variant>
        <vt:i4>0</vt:i4>
      </vt:variant>
      <vt:variant>
        <vt:i4>5</vt:i4>
      </vt:variant>
      <vt:variant>
        <vt:lpwstr/>
      </vt:variant>
      <vt:variant>
        <vt:lpwstr>_Toc403750689</vt:lpwstr>
      </vt:variant>
      <vt:variant>
        <vt:i4>1572916</vt:i4>
      </vt:variant>
      <vt:variant>
        <vt:i4>128</vt:i4>
      </vt:variant>
      <vt:variant>
        <vt:i4>0</vt:i4>
      </vt:variant>
      <vt:variant>
        <vt:i4>5</vt:i4>
      </vt:variant>
      <vt:variant>
        <vt:lpwstr/>
      </vt:variant>
      <vt:variant>
        <vt:lpwstr>_Toc403750688</vt:lpwstr>
      </vt:variant>
      <vt:variant>
        <vt:i4>1572916</vt:i4>
      </vt:variant>
      <vt:variant>
        <vt:i4>122</vt:i4>
      </vt:variant>
      <vt:variant>
        <vt:i4>0</vt:i4>
      </vt:variant>
      <vt:variant>
        <vt:i4>5</vt:i4>
      </vt:variant>
      <vt:variant>
        <vt:lpwstr/>
      </vt:variant>
      <vt:variant>
        <vt:lpwstr>_Toc403750687</vt:lpwstr>
      </vt:variant>
      <vt:variant>
        <vt:i4>1572916</vt:i4>
      </vt:variant>
      <vt:variant>
        <vt:i4>116</vt:i4>
      </vt:variant>
      <vt:variant>
        <vt:i4>0</vt:i4>
      </vt:variant>
      <vt:variant>
        <vt:i4>5</vt:i4>
      </vt:variant>
      <vt:variant>
        <vt:lpwstr/>
      </vt:variant>
      <vt:variant>
        <vt:lpwstr>_Toc403750686</vt:lpwstr>
      </vt:variant>
      <vt:variant>
        <vt:i4>1572916</vt:i4>
      </vt:variant>
      <vt:variant>
        <vt:i4>110</vt:i4>
      </vt:variant>
      <vt:variant>
        <vt:i4>0</vt:i4>
      </vt:variant>
      <vt:variant>
        <vt:i4>5</vt:i4>
      </vt:variant>
      <vt:variant>
        <vt:lpwstr/>
      </vt:variant>
      <vt:variant>
        <vt:lpwstr>_Toc403750685</vt:lpwstr>
      </vt:variant>
      <vt:variant>
        <vt:i4>1572916</vt:i4>
      </vt:variant>
      <vt:variant>
        <vt:i4>104</vt:i4>
      </vt:variant>
      <vt:variant>
        <vt:i4>0</vt:i4>
      </vt:variant>
      <vt:variant>
        <vt:i4>5</vt:i4>
      </vt:variant>
      <vt:variant>
        <vt:lpwstr/>
      </vt:variant>
      <vt:variant>
        <vt:lpwstr>_Toc403750684</vt:lpwstr>
      </vt:variant>
      <vt:variant>
        <vt:i4>1572916</vt:i4>
      </vt:variant>
      <vt:variant>
        <vt:i4>98</vt:i4>
      </vt:variant>
      <vt:variant>
        <vt:i4>0</vt:i4>
      </vt:variant>
      <vt:variant>
        <vt:i4>5</vt:i4>
      </vt:variant>
      <vt:variant>
        <vt:lpwstr/>
      </vt:variant>
      <vt:variant>
        <vt:lpwstr>_Toc403750683</vt:lpwstr>
      </vt:variant>
      <vt:variant>
        <vt:i4>1572916</vt:i4>
      </vt:variant>
      <vt:variant>
        <vt:i4>92</vt:i4>
      </vt:variant>
      <vt:variant>
        <vt:i4>0</vt:i4>
      </vt:variant>
      <vt:variant>
        <vt:i4>5</vt:i4>
      </vt:variant>
      <vt:variant>
        <vt:lpwstr/>
      </vt:variant>
      <vt:variant>
        <vt:lpwstr>_Toc403750682</vt:lpwstr>
      </vt:variant>
      <vt:variant>
        <vt:i4>1572916</vt:i4>
      </vt:variant>
      <vt:variant>
        <vt:i4>86</vt:i4>
      </vt:variant>
      <vt:variant>
        <vt:i4>0</vt:i4>
      </vt:variant>
      <vt:variant>
        <vt:i4>5</vt:i4>
      </vt:variant>
      <vt:variant>
        <vt:lpwstr/>
      </vt:variant>
      <vt:variant>
        <vt:lpwstr>_Toc403750681</vt:lpwstr>
      </vt:variant>
      <vt:variant>
        <vt:i4>1572916</vt:i4>
      </vt:variant>
      <vt:variant>
        <vt:i4>80</vt:i4>
      </vt:variant>
      <vt:variant>
        <vt:i4>0</vt:i4>
      </vt:variant>
      <vt:variant>
        <vt:i4>5</vt:i4>
      </vt:variant>
      <vt:variant>
        <vt:lpwstr/>
      </vt:variant>
      <vt:variant>
        <vt:lpwstr>_Toc403750680</vt:lpwstr>
      </vt:variant>
      <vt:variant>
        <vt:i4>1507380</vt:i4>
      </vt:variant>
      <vt:variant>
        <vt:i4>74</vt:i4>
      </vt:variant>
      <vt:variant>
        <vt:i4>0</vt:i4>
      </vt:variant>
      <vt:variant>
        <vt:i4>5</vt:i4>
      </vt:variant>
      <vt:variant>
        <vt:lpwstr/>
      </vt:variant>
      <vt:variant>
        <vt:lpwstr>_Toc403750679</vt:lpwstr>
      </vt:variant>
      <vt:variant>
        <vt:i4>1507380</vt:i4>
      </vt:variant>
      <vt:variant>
        <vt:i4>68</vt:i4>
      </vt:variant>
      <vt:variant>
        <vt:i4>0</vt:i4>
      </vt:variant>
      <vt:variant>
        <vt:i4>5</vt:i4>
      </vt:variant>
      <vt:variant>
        <vt:lpwstr/>
      </vt:variant>
      <vt:variant>
        <vt:lpwstr>_Toc403750678</vt:lpwstr>
      </vt:variant>
      <vt:variant>
        <vt:i4>1507380</vt:i4>
      </vt:variant>
      <vt:variant>
        <vt:i4>62</vt:i4>
      </vt:variant>
      <vt:variant>
        <vt:i4>0</vt:i4>
      </vt:variant>
      <vt:variant>
        <vt:i4>5</vt:i4>
      </vt:variant>
      <vt:variant>
        <vt:lpwstr/>
      </vt:variant>
      <vt:variant>
        <vt:lpwstr>_Toc403750677</vt:lpwstr>
      </vt:variant>
      <vt:variant>
        <vt:i4>1507380</vt:i4>
      </vt:variant>
      <vt:variant>
        <vt:i4>56</vt:i4>
      </vt:variant>
      <vt:variant>
        <vt:i4>0</vt:i4>
      </vt:variant>
      <vt:variant>
        <vt:i4>5</vt:i4>
      </vt:variant>
      <vt:variant>
        <vt:lpwstr/>
      </vt:variant>
      <vt:variant>
        <vt:lpwstr>_Toc403750676</vt:lpwstr>
      </vt:variant>
      <vt:variant>
        <vt:i4>1507380</vt:i4>
      </vt:variant>
      <vt:variant>
        <vt:i4>50</vt:i4>
      </vt:variant>
      <vt:variant>
        <vt:i4>0</vt:i4>
      </vt:variant>
      <vt:variant>
        <vt:i4>5</vt:i4>
      </vt:variant>
      <vt:variant>
        <vt:lpwstr/>
      </vt:variant>
      <vt:variant>
        <vt:lpwstr>_Toc403750675</vt:lpwstr>
      </vt:variant>
      <vt:variant>
        <vt:i4>1507380</vt:i4>
      </vt:variant>
      <vt:variant>
        <vt:i4>44</vt:i4>
      </vt:variant>
      <vt:variant>
        <vt:i4>0</vt:i4>
      </vt:variant>
      <vt:variant>
        <vt:i4>5</vt:i4>
      </vt:variant>
      <vt:variant>
        <vt:lpwstr/>
      </vt:variant>
      <vt:variant>
        <vt:lpwstr>_Toc403750674</vt:lpwstr>
      </vt:variant>
      <vt:variant>
        <vt:i4>1507380</vt:i4>
      </vt:variant>
      <vt:variant>
        <vt:i4>38</vt:i4>
      </vt:variant>
      <vt:variant>
        <vt:i4>0</vt:i4>
      </vt:variant>
      <vt:variant>
        <vt:i4>5</vt:i4>
      </vt:variant>
      <vt:variant>
        <vt:lpwstr/>
      </vt:variant>
      <vt:variant>
        <vt:lpwstr>_Toc403750673</vt:lpwstr>
      </vt:variant>
      <vt:variant>
        <vt:i4>1507380</vt:i4>
      </vt:variant>
      <vt:variant>
        <vt:i4>32</vt:i4>
      </vt:variant>
      <vt:variant>
        <vt:i4>0</vt:i4>
      </vt:variant>
      <vt:variant>
        <vt:i4>5</vt:i4>
      </vt:variant>
      <vt:variant>
        <vt:lpwstr/>
      </vt:variant>
      <vt:variant>
        <vt:lpwstr>_Toc403750672</vt:lpwstr>
      </vt:variant>
      <vt:variant>
        <vt:i4>1507380</vt:i4>
      </vt:variant>
      <vt:variant>
        <vt:i4>26</vt:i4>
      </vt:variant>
      <vt:variant>
        <vt:i4>0</vt:i4>
      </vt:variant>
      <vt:variant>
        <vt:i4>5</vt:i4>
      </vt:variant>
      <vt:variant>
        <vt:lpwstr/>
      </vt:variant>
      <vt:variant>
        <vt:lpwstr>_Toc403750671</vt:lpwstr>
      </vt:variant>
      <vt:variant>
        <vt:i4>1507380</vt:i4>
      </vt:variant>
      <vt:variant>
        <vt:i4>20</vt:i4>
      </vt:variant>
      <vt:variant>
        <vt:i4>0</vt:i4>
      </vt:variant>
      <vt:variant>
        <vt:i4>5</vt:i4>
      </vt:variant>
      <vt:variant>
        <vt:lpwstr/>
      </vt:variant>
      <vt:variant>
        <vt:lpwstr>_Toc403750670</vt:lpwstr>
      </vt:variant>
      <vt:variant>
        <vt:i4>1441844</vt:i4>
      </vt:variant>
      <vt:variant>
        <vt:i4>14</vt:i4>
      </vt:variant>
      <vt:variant>
        <vt:i4>0</vt:i4>
      </vt:variant>
      <vt:variant>
        <vt:i4>5</vt:i4>
      </vt:variant>
      <vt:variant>
        <vt:lpwstr/>
      </vt:variant>
      <vt:variant>
        <vt:lpwstr>_Toc403750669</vt:lpwstr>
      </vt:variant>
      <vt:variant>
        <vt:i4>1441844</vt:i4>
      </vt:variant>
      <vt:variant>
        <vt:i4>8</vt:i4>
      </vt:variant>
      <vt:variant>
        <vt:i4>0</vt:i4>
      </vt:variant>
      <vt:variant>
        <vt:i4>5</vt:i4>
      </vt:variant>
      <vt:variant>
        <vt:lpwstr/>
      </vt:variant>
      <vt:variant>
        <vt:lpwstr>_Toc403750668</vt:lpwstr>
      </vt:variant>
      <vt:variant>
        <vt:i4>1441844</vt:i4>
      </vt:variant>
      <vt:variant>
        <vt:i4>2</vt:i4>
      </vt:variant>
      <vt:variant>
        <vt:i4>0</vt:i4>
      </vt:variant>
      <vt:variant>
        <vt:i4>5</vt:i4>
      </vt:variant>
      <vt:variant>
        <vt:lpwstr/>
      </vt:variant>
      <vt:variant>
        <vt:lpwstr>_Toc403750667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Pedro Lima</dc:creator>
  <cp:lastModifiedBy>Pedro Lima</cp:lastModifiedBy>
  <cp:revision>170</cp:revision>
  <cp:lastPrinted>2018-02-02T14:04:00Z</cp:lastPrinted>
  <dcterms:created xsi:type="dcterms:W3CDTF">2017-01-04T11:15:00Z</dcterms:created>
  <dcterms:modified xsi:type="dcterms:W3CDTF">2018-02-02T15:03:00Z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http://www.zotero.org/styles/associacao-brasileira-de-normas-tecnicas</vt:lpwstr>
  </property>
  <property fmtid="{D5CDD505-2E9C-101B-9397-08002B2CF9AE}" pid="13" name="Mendeley Recent Style Name 4_1">
    <vt:lpwstr>Associação Brasileira de Normas Técnicas (Portuguese - Brazil)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http://www.zotero.org/styles/springer-basic-author-date</vt:lpwstr>
  </property>
  <property fmtid="{D5CDD505-2E9C-101B-9397-08002B2CF9AE}" pid="23" name="Mendeley Recent Style Name 9_1">
    <vt:lpwstr>Springer - Basic (author-date)</vt:lpwstr>
  </property>
  <property fmtid="{D5CDD505-2E9C-101B-9397-08002B2CF9AE}" pid="24" name="Mendeley Unique User Id_1">
    <vt:lpwstr>de84a397-ef48-3377-aa3b-156061da1433</vt:lpwstr>
  </property>
</Properties>
</file>