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precos"/>
      <w:bookmarkEnd w:id="21"/>
      <w:r>
        <w:t xml:space="preserve">Preços</w:t>
      </w:r>
    </w:p>
    <w:p>
      <w:pPr>
        <w:pStyle w:val="Heading1"/>
      </w:pPr>
      <w:bookmarkStart w:id="22" w:name="demanda-global"/>
      <w:bookmarkEnd w:id="22"/>
      <w:r>
        <w:t xml:space="preserve">Demanda Global</w:t>
      </w:r>
    </w:p>
    <w:tbl>
      <w:tblPr>
        <w:tblStyle w:val="TableNormal"/>
        <w:tblW w:type="pct" w:w="4583.333333333334"/>
        <w:tblLook w:firstRow="1"/>
      </w:tblPr>
      <w:tblGrid>
        <w:gridCol w:w="880"/>
        <w:gridCol w:w="4400"/>
        <w:gridCol w:w="6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Símbolo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 Modelo Comp.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D</m:t>
                  </m:r>
                </m:e>
                <m:sup>
                  <m:r>
                    <m:t>T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Demanda anual por Impressoras 3D.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fIndustryOrderRate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D</m:t>
                  </m:r>
                </m:e>
                <m:sup>
                  <m:r>
                    <m:t>I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Demanda inicial, gerada por um novo adepto à impressão 3D.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aInitialOrderRate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D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Demanda via substituição de uma impressora ao fim de sua vida útil.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fReorderRate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Unidades vendidas em média por cliente.</w:t>
            </w:r>
          </w:p>
        </w:tc>
        <w:tc>
          <w:p>
            <w:pPr>
              <w:pStyle w:val="Compact"/>
              <w:jc w:val="left"/>
            </w:pPr>
            <w:r>
              <w:t xml:space="preserve">Imp. 3D / cliente</w:t>
            </w:r>
          </w:p>
        </w:tc>
        <w:tc>
          <w:p>
            <w:pPr>
              <w:pStyle w:val="Compact"/>
              <w:jc w:val="left"/>
            </w:pPr>
            <w:r>
              <w:t xml:space="preserve">aUnitsPerHousehold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d</m:t>
              </m:r>
              <m:r>
                <m:t>A</m:t>
              </m:r>
              <m:r>
                <m:t>/</m:t>
              </m:r>
              <m:r>
                <m:t>d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Número de clientes que adotou o o produto em um intervalo de tempo.</w:t>
            </w:r>
          </w:p>
        </w:tc>
        <w:tc>
          <w:p>
            <w:pPr>
              <w:pStyle w:val="Compact"/>
              <w:jc w:val="left"/>
            </w:pPr>
            <w:r>
              <w:t xml:space="preserve">Clientes /</w:t>
            </w:r>
            <w:r>
              <w:t xml:space="preserve"> </w:t>
            </w:r>
            <m:oMath>
              <m:r>
                <m:t>d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fAdoptionRate</w:t>
            </w:r>
          </w:p>
        </w:tc>
      </w:tr>
    </w:tbl>
    <w:p>
      <w:pPr>
        <w:pStyle w:val="Heading1"/>
      </w:pPr>
      <w:bookmarkStart w:id="23" w:name="difusao-do-produto"/>
      <w:bookmarkEnd w:id="23"/>
      <w:r>
        <w:t xml:space="preserve">Difusão do Produto</w:t>
      </w:r>
    </w:p>
    <w:tbl>
      <w:tblPr>
        <w:tblStyle w:val="TableNormal"/>
        <w:tblW w:type="pct" w:w="4861.111111111111"/>
        <w:tblLook w:firstRow="1"/>
      </w:tblPr>
      <w:tblGrid>
        <w:gridCol w:w="880"/>
        <w:gridCol w:w="4510"/>
        <w:gridCol w:w="88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Símbolo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 Modelo Comp.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Adeptos à impressão 3D em um dado instante de tempo</w:t>
            </w:r>
          </w:p>
        </w:tc>
        <w:tc>
          <w:p>
            <w:pPr>
              <w:pStyle w:val="Compact"/>
              <w:jc w:val="center"/>
            </w:pPr>
            <w:r>
              <w:t xml:space="preserve">Clientes</w:t>
            </w:r>
          </w:p>
        </w:tc>
        <w:tc>
          <w:p>
            <w:pPr>
              <w:pStyle w:val="Compact"/>
              <w:jc w:val="left"/>
            </w:pPr>
            <w:r>
              <w:t xml:space="preserve">sCumulativeAdopters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P</m:t>
              </m:r>
              <m:r>
                <m:t>O</m:t>
              </m:r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População Total de Clientes.</w:t>
            </w:r>
          </w:p>
        </w:tc>
        <w:tc>
          <w:p>
            <w:pPr>
              <w:pStyle w:val="Compact"/>
              <w:jc w:val="center"/>
            </w:pPr>
            <w:r>
              <w:t xml:space="preserve">Clientes</w:t>
            </w:r>
          </w:p>
        </w:tc>
        <w:tc>
          <w:p>
            <w:pPr>
              <w:pStyle w:val="Compact"/>
              <w:jc w:val="left"/>
            </w:pPr>
            <w:r>
              <w:t xml:space="preserve">aPopulation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Não Adeptos à impressão 3D, que irão adotá-la em algum momento.</w:t>
            </w:r>
          </w:p>
        </w:tc>
        <w:tc>
          <w:p>
            <w:pPr>
              <w:pStyle w:val="Compact"/>
              <w:jc w:val="center"/>
            </w:pPr>
            <w:r>
              <w:t xml:space="preserve">Clientes</w:t>
            </w:r>
          </w:p>
        </w:tc>
        <w:tc>
          <w:p>
            <w:pPr>
              <w:pStyle w:val="Compact"/>
              <w:jc w:val="left"/>
            </w:pPr>
            <w:r>
              <w:t xml:space="preserve">aNonAdopters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Fração de Clientes que adotará a impressão 3D independentemente do número de adeptos à impressão 3D.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aInnovatorAdoptionFraction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Parâmetro de Força da Difusão do produto do Modelo de Bass (1969).</w:t>
            </w:r>
          </w:p>
        </w:tc>
        <w:tc>
          <w:p>
            <w:pPr>
              <w:pStyle w:val="Compact"/>
              <w:jc w:val="center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aWOMStrength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A</m:t>
                  </m:r>
                </m:e>
                <m:sup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Número de clientes que irá adotar o produto em algum momento de tempo, considerando o produto de menor preço disponível no mercado.</w:t>
            </w:r>
          </w:p>
        </w:tc>
        <w:tc>
          <w:p>
            <w:pPr>
              <w:pStyle w:val="Compact"/>
              <w:jc w:val="center"/>
            </w:pPr>
            <w:r>
              <w:t xml:space="preserve">Clientes</w:t>
            </w:r>
          </w:p>
        </w:tc>
        <w:tc>
          <w:p>
            <w:pPr>
              <w:pStyle w:val="Compact"/>
              <w:jc w:val="left"/>
            </w:pPr>
            <w:r>
              <w:t xml:space="preserve">aIndustryDemand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A</m:t>
                  </m:r>
                </m:e>
                <m:sup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Número de clientes que irá .</w:t>
            </w:r>
          </w:p>
        </w:tc>
        <w:tc>
          <w:p>
            <w:pPr>
              <w:pStyle w:val="Compact"/>
              <w:jc w:val="center"/>
            </w:pPr>
            <w:r>
              <w:t xml:space="preserve">Clientes</w:t>
            </w:r>
          </w:p>
        </w:tc>
        <w:tc>
          <w:p>
            <w:pPr>
              <w:pStyle w:val="Compact"/>
              <w:jc w:val="left"/>
            </w:pPr>
            <w:r>
              <w:t xml:space="preserve">aReferencePopulation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Inclinação da Curva de Demanda e Preço.</w:t>
            </w:r>
          </w:p>
        </w:tc>
        <w:tc>
          <w:p>
            <w:pPr>
              <w:pStyle w:val="Compact"/>
              <w:jc w:val="center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aDemandCurveSlope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P</m:t>
                  </m:r>
                </m:e>
                <m:sup>
                  <m:r>
                    <m:t>m</m:t>
                  </m:r>
                  <m:r>
                    <m:t>i</m:t>
                  </m:r>
                  <m:r>
                    <m:t>n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Menor preço encontrado no mercado.</w:t>
            </w:r>
          </w:p>
        </w:tc>
        <w:tc>
          <w:p>
            <w:pPr>
              <w:pStyle w:val="Compact"/>
              <w:jc w:val="center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aLowestPrice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P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Preço de Referência.</w:t>
            </w:r>
          </w:p>
        </w:tc>
        <w:tc>
          <w:p>
            <w:pPr>
              <w:pStyle w:val="Compact"/>
              <w:jc w:val="center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aReferencePrice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P</m:t>
              </m:r>
              <m:r>
                <m:t>O</m:t>
              </m:r>
              <m:sSup>
                <m:e>
                  <m:r>
                    <m:t>P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População de Referência (número de clientes que comprará o produto ao preço de referência.</w:t>
            </w:r>
          </w:p>
        </w:tc>
        <w:tc>
          <w:p>
            <w:pPr>
              <w:pStyle w:val="Compact"/>
              <w:jc w:val="center"/>
            </w:pPr>
            <w:r>
              <w:t xml:space="preserve">Clientes</w:t>
            </w:r>
          </w:p>
        </w:tc>
        <w:tc>
          <w:p>
            <w:pPr>
              <w:pStyle w:val="Compact"/>
              <w:jc w:val="left"/>
            </w:pPr>
            <w:r>
              <w:t xml:space="preserve">aReferencePopulation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ε</m:t>
                  </m:r>
                </m:e>
                <m:sub>
                  <m:r>
                    <m:t>d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Elasticidade da curva de demanda.</w:t>
            </w:r>
          </w:p>
        </w:tc>
        <w:tc>
          <w:p>
            <w:pPr>
              <w:pStyle w:val="Compact"/>
              <w:jc w:val="center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aReferenceIndustryDemandElasticity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I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Impressoras vendidas pela empresa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center"/>
            </w:pPr>
            <w:r>
              <w:t xml:space="preserve">Imp. 3D</w:t>
            </w:r>
          </w:p>
        </w:tc>
        <w:tc>
          <w:p>
            <w:pPr>
              <w:pStyle w:val="Compact"/>
              <w:jc w:val="left"/>
            </w:pPr>
            <w:r>
              <w:t xml:space="preserve">sInstalledBase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Taxa anual de descarte das impressoras (corresponde ao inverso da vida útil média das impressoras.</w:t>
            </w:r>
          </w:p>
        </w:tc>
        <w:tc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aFractionalDiscardRate</w:t>
            </w:r>
          </w:p>
        </w:tc>
      </w:tr>
    </w:tbl>
    <w:p>
      <w:pPr>
        <w:pStyle w:val="Heading1"/>
      </w:pPr>
      <w:bookmarkStart w:id="24" w:name="market-share"/>
      <w:bookmarkEnd w:id="24"/>
      <w:r>
        <w:t xml:space="preserve">Market Share</w:t>
      </w:r>
    </w:p>
    <w:tbl>
      <w:tblPr>
        <w:tblStyle w:val="TableNormal"/>
        <w:tblW w:type="pct" w:w="4583.333333333334"/>
        <w:tblLook w:firstRow="1"/>
      </w:tblPr>
      <w:tblGrid>
        <w:gridCol w:w="880"/>
        <w:gridCol w:w="4400"/>
        <w:gridCol w:w="6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Símbolo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 Modelo Comp.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Atratividade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aTotalAttractiveness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ε</m:t>
                  </m:r>
                </m:e>
                <m:sub>
                  <m:r>
                    <m:t>p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market share dos players ao preço.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aSensOfAttractToPrice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Preço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sPrice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P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Preço de Referência.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aReferencePrice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ε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market share dos players ao tempo de entrega.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aSensOfAttractToAvailability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τ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Tempo de Entrega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aDeliveryDelay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τ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Tempo de Entrega de Referência.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aReferenceDeliveryDelay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τ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Tempo de Entrega de Referência.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aReferenceDeliveryDelay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Performance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Índice (0,10)</w:t>
            </w:r>
          </w:p>
        </w:tc>
        <w:tc>
          <w:p>
            <w:pPr>
              <w:pStyle w:val="Compact"/>
              <w:jc w:val="left"/>
            </w:pPr>
            <w:r>
              <w:t xml:space="preserve">aPerformance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X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Performance de Referência.</w:t>
            </w:r>
          </w:p>
        </w:tc>
        <w:tc>
          <w:p>
            <w:pPr>
              <w:pStyle w:val="Compact"/>
              <w:jc w:val="left"/>
            </w:pPr>
            <w:r>
              <w:t xml:space="preserve">Índice (0,10)</w:t>
            </w:r>
          </w:p>
        </w:tc>
        <w:tc>
          <w:p>
            <w:pPr>
              <w:pStyle w:val="Compact"/>
              <w:jc w:val="left"/>
            </w:pPr>
            <w:r>
              <w:t xml:space="preserve">aReferencePerformance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ε</m:t>
                  </m:r>
                </m:e>
                <m:sub>
                  <m:r>
                    <m:t>x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market share dos players à performance.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aSensOfAttractToPerformance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Market Share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aOrderShare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O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Pedidos ganhos pelo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fOrders</w:t>
            </w:r>
          </w:p>
        </w:tc>
      </w:tr>
    </w:tbl>
    <w:p>
      <w:pPr>
        <w:pStyle w:val="Heading1"/>
      </w:pPr>
      <w:bookmarkStart w:id="25" w:name="a-firma"/>
      <w:bookmarkEnd w:id="25"/>
      <w:r>
        <w:t xml:space="preserve">A Firma</w:t>
      </w:r>
    </w:p>
    <w:tbl>
      <w:tblPr>
        <w:tblStyle w:val="TableNormal"/>
        <w:tblW w:type="pct" w:w="4583.333333333334"/>
        <w:tblLook w:firstRow="1"/>
      </w:tblPr>
      <w:tblGrid>
        <w:gridCol w:w="880"/>
        <w:gridCol w:w="4400"/>
        <w:gridCol w:w="6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Símbolo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 Modelo Comp.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Lucro Líquido a Valor Presente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</w:t>
            </w:r>
          </w:p>
        </w:tc>
        <w:tc>
          <w:p>
            <w:pPr>
              <w:pStyle w:val="Compact"/>
              <w:jc w:val="left"/>
            </w:pPr>
            <w:r>
              <w:t xml:space="preserve">sNPVProfit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Receitas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ano</w:t>
            </w:r>
          </w:p>
        </w:tc>
        <w:tc>
          <w:p>
            <w:pPr>
              <w:pStyle w:val="Compact"/>
              <w:jc w:val="left"/>
            </w:pPr>
            <w:r>
              <w:t xml:space="preserve">fRevenue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C</m:t>
                  </m:r>
                </m:e>
                <m:sub>
                  <m:r>
                    <m:t>i</m:t>
                  </m:r>
                </m:sub>
                <m:sup>
                  <m:r>
                    <m:t>f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Custos Fixos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ano</w:t>
            </w:r>
          </w:p>
        </w:tc>
        <w:tc>
          <w:p>
            <w:pPr>
              <w:pStyle w:val="Compact"/>
              <w:jc w:val="left"/>
            </w:pPr>
            <w:r>
              <w:t xml:space="preserve">aFixedCost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C</m:t>
                  </m:r>
                </m:e>
                <m:sub>
                  <m:r>
                    <m:t>i</m:t>
                  </m:r>
                </m:sub>
                <m:sup>
                  <m:r>
                    <m:t>v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Custos Variáveis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ano</w:t>
            </w:r>
          </w:p>
        </w:tc>
        <w:tc>
          <w:p>
            <w:pPr>
              <w:pStyle w:val="Compact"/>
              <w:jc w:val="left"/>
            </w:pPr>
            <w:r>
              <w:t xml:space="preserve">aVariableCost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Taxa de Desconto.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aDiscountRate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b</m:t>
              </m:r>
              <m:r>
                <m:t>a</m:t>
              </m:r>
              <m:r>
                <m:t>r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Preço Médio dos Produtos Vendidos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aAveragePriceOfOrderBook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Valor da carteira de venda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</w:t>
            </w:r>
          </w:p>
        </w:tc>
        <w:tc>
          <w:p>
            <w:pPr>
              <w:pStyle w:val="Compact"/>
              <w:jc w:val="left"/>
            </w:pPr>
            <w:r>
              <w:t xml:space="preserve">sValueOfBacklog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u</m:t>
                  </m:r>
                </m:e>
                <m:sub>
                  <m:r>
                    <m:t>i</m:t>
                  </m:r>
                </m:sub>
                <m:sup>
                  <m:r>
                    <m:t>f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Custo Fixo Unitário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aUnitFixedCost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u</m:t>
                  </m:r>
                </m:e>
                <m:sub>
                  <m:r>
                    <m:t>i</m:t>
                  </m:r>
                </m:sub>
                <m:sup>
                  <m:r>
                    <m:t>v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Custo Variável Unitário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aUnitVariableCost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Produção Acumulada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Imp. 3D</w:t>
            </w:r>
          </w:p>
        </w:tc>
        <w:tc>
          <w:p>
            <w:pPr>
              <w:pStyle w:val="Compact"/>
              <w:jc w:val="left"/>
            </w:pPr>
            <w:r>
              <w:t xml:space="preserve">sCumulativeProduction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E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Produção Acumulada inicial.</w:t>
            </w:r>
          </w:p>
        </w:tc>
        <w:tc>
          <w:p>
            <w:pPr>
              <w:pStyle w:val="Compact"/>
              <w:jc w:val="left"/>
            </w:pPr>
            <w:r>
              <w:t xml:space="preserve">Imp. 3D</w:t>
            </w:r>
          </w:p>
        </w:tc>
        <w:tc>
          <w:p>
            <w:pPr>
              <w:pStyle w:val="Compact"/>
              <w:jc w:val="left"/>
            </w:pPr>
            <w:r>
              <w:t xml:space="preserve">aInitialProductionExperience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Força da curva de aprendizagem (ex.: um expoente de 80 % indica que a cada vez que a produção acumulada dobra, o custo da empresa diminui 20%).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aLCStrength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Expoente da curva de aprendizagem.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aLCExponent</w:t>
            </w:r>
          </w:p>
        </w:tc>
      </w:tr>
    </w:tbl>
    <w:p>
      <w:pPr>
        <w:pStyle w:val="Heading1"/>
      </w:pPr>
      <w:bookmarkStart w:id="26" w:name="producao"/>
      <w:bookmarkEnd w:id="26"/>
      <w:r>
        <w:t xml:space="preserve">Produção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Símbolo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 Modelo Comp.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Produção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fProduction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Q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Produção desejada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aDesiredShipments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t</m:t>
              </m:r>
              <m:r>
                <m:t>a</m:t>
              </m:r>
              <m:sSubSup>
                <m:e>
                  <m:r>
                    <m:t>u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Tempo de entrega alvo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aNormalDeliveryDelay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Backlog de entregas do Player</w:t>
            </w:r>
            <w:r>
              <w:t xml:space="preserve"> </w:t>
            </w:r>
            <m:oMath>
              <m:r>
                <m:t>i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Imp. 3D</w:t>
            </w:r>
          </w:p>
        </w:tc>
        <w:tc>
          <w:p>
            <w:pPr>
              <w:pStyle w:val="Compact"/>
              <w:jc w:val="left"/>
            </w:pPr>
            <w:r>
              <w:t xml:space="preserve">sBacklog</w:t>
            </w:r>
          </w:p>
        </w:tc>
      </w:tr>
    </w:tbl>
    <w:p>
      <w:pPr>
        <w:pStyle w:val="Heading1"/>
      </w:pPr>
      <w:bookmarkStart w:id="27" w:name="capacidade"/>
      <w:bookmarkEnd w:id="27"/>
      <w:r>
        <w:t xml:space="preserve">Capacidade</w:t>
      </w:r>
    </w:p>
    <w:tbl>
      <w:tblPr>
        <w:tblStyle w:val="TableNormal"/>
        <w:tblW w:type="pct" w:w="4583.333333333334"/>
        <w:tblLook w:firstRow="1"/>
      </w:tblPr>
      <w:tblGrid>
        <w:gridCol w:w="880"/>
        <w:gridCol w:w="4400"/>
        <w:gridCol w:w="6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Símbolo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 Modelo Comp.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Capacidade Produtiva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aCapacity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K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Capacidade Alvo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aTargetCapacity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D</m:t>
                  </m:r>
                </m:e>
                <m:sup>
                  <m:r>
                    <m:t>e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Demanda Prevista para a indústria.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aExpectedIndustryDemand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Operador Erlan Lag. Executa um ajuste da Capacidade da Empresa de terceira ordem, indicando que a capacidade não se ajusta imediatamente à demanda.</w:t>
            </w:r>
          </w:p>
        </w:tc>
        <w:tc>
          <w:p>
            <w:pPr>
              <w:pStyle w:val="Compact"/>
              <w:jc w:val="left"/>
            </w:pPr>
            <w:r>
              <w:t xml:space="preserve">função matemática</w:t>
            </w:r>
          </w:p>
        </w:tc>
        <w:tc>
          <w:p>
            <w:pPr>
              <w:pStyle w:val="Compact"/>
              <w:jc w:val="left"/>
            </w:pPr>
            <w:r>
              <w:t xml:space="preserve">Função Matemática. No Ithink, corresponde à função SMOOTH3.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u</m:t>
                  </m:r>
                </m:e>
                <m:sup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Taxa de Utilização da Capacidade.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aNormalCapacityUtilization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K</m:t>
                  </m:r>
                </m:e>
                <m:sup>
                  <m:r>
                    <m:t>m</m:t>
                  </m:r>
                  <m:r>
                    <m:t>i</m:t>
                  </m:r>
                  <m:r>
                    <m:t>n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Escala mínima de produção.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aMinimumEfficientScale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S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Market Share Alvo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, definido conforme sua estratégia.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aTargetMarketShare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λ</m:t>
                  </m:r>
                </m:e>
                <m:sup>
                  <m:r>
                    <m:t>K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Delay do ajuste de capacidade.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aCapacityAcquisitionDelay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D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Demanda reportada pela indústria.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sReportedIndustryVolume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g</m:t>
                  </m:r>
                </m:e>
                <m:sup>
                  <m:r>
                    <m:t>e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Taxa de crescimento esperada pela indústria.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aExpGrowthInVolume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h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Horizonte histórico usado pelos players para previsão de demanda.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aTimeForHistoricalVolume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τ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Delay para o report da demanda global aos players.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aVolumeReportingDelay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S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Market Share alvo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aTargetMarketShare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S</m:t>
                  </m:r>
                </m:e>
                <m:sub>
                  <m:r>
                    <m:t>i</m:t>
                  </m:r>
                </m:sub>
                <m:sup>
                  <m:r>
                    <m:t>m</m:t>
                  </m:r>
                  <m:r>
                    <m:t>i</m:t>
                  </m:r>
                  <m:r>
                    <m:t>n</m:t>
                  </m:r>
                </m:sup>
              </m:sSubSup>
            </m:oMath>
            <w:r>
              <w:t xml:space="preserve">,</w:t>
            </w:r>
            <w:r>
              <w:t xml:space="preserve"> </w:t>
            </w:r>
            <m:oMath>
              <m:sSubSup>
                <m:e>
                  <m:r>
                    <m:t>S</m:t>
                  </m:r>
                </m:e>
                <m:sub>
                  <m:r>
                    <m:t>i</m:t>
                  </m:r>
                </m:sub>
                <m:sup>
                  <m:r>
                    <m:t>m</m:t>
                  </m:r>
                  <m:r>
                    <m:t>a</m:t>
                  </m:r>
                  <m:r>
                    <m:t>x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Market Share desejado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, conforme sua estratégia de capacidade.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aDesiredMarketShare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S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Market Share desejado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aDesiredMarketShare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S</m:t>
                  </m:r>
                </m:e>
                <m:sub>
                  <m:r>
                    <m:t>i</m:t>
                  </m:r>
                </m:sub>
                <m:sup>
                  <m:r>
                    <m:t>u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Market Share que 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acredita que os outros players não ocuparão no mercado.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aUncontestedMarketShare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D</m:t>
                  </m:r>
                </m:e>
                <m:sub>
                  <m:r>
                    <m:t>i</m:t>
                  </m:r>
                </m:sub>
                <m:sup>
                  <m:r>
                    <m:t>u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Demanda prevista não disputada por nenhum player.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aUncontestedDemand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K</m:t>
                  </m:r>
                </m:e>
                <m:sub>
                  <m:r>
                    <m:t>j</m:t>
                  </m:r>
                </m:sub>
                <m:sup>
                  <m:r>
                    <m:t>e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Capacidade dos outros players esperada.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aExpectedCompCapacity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w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Percentual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aWeightOnSupplyLine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K</m:t>
                  </m:r>
                </m:e>
                <m:sub>
                  <m:r>
                    <m:t>j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Capacidade dos Players Concorrentes.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aCompetitorCapacity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K</m:t>
                  </m:r>
                </m:e>
                <m:sub>
                  <m:r>
                    <m:t>j</m:t>
                  </m:r>
                </m:sub>
                <m:sup>
                  <m:sSup>
                    <m:e>
                      <m:r>
                        <m:t>e</m:t>
                      </m:r>
                    </m:e>
                    <m:sup>
                      <m:r>
                        <m:t>*</m:t>
                      </m:r>
                    </m:sup>
                  </m:sSup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Capacidade Alvo percebida dos competidores.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sPerceivedCompTargetCapacity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τ</m:t>
                  </m:r>
                </m:e>
                <m:sup>
                  <m:r>
                    <m:t>c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Tempo para estimar a capacidade alvo dos competidores.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aTimeToPerceiveCompTargetCapacity</w:t>
            </w:r>
          </w:p>
        </w:tc>
      </w:tr>
    </w:tbl>
    <w:p>
      <w:pPr>
        <w:pStyle w:val="Heading1"/>
      </w:pPr>
      <w:bookmarkStart w:id="28" w:name="precos-1"/>
      <w:bookmarkEnd w:id="28"/>
      <w:r>
        <w:t xml:space="preserve">Preços</w:t>
      </w:r>
    </w:p>
    <w:tbl>
      <w:tblPr>
        <w:tblStyle w:val="TableNormal"/>
        <w:tblW w:type="pct" w:w="4583.333333333334"/>
        <w:tblLook w:firstRow="1"/>
      </w:tblPr>
      <w:tblGrid>
        <w:gridCol w:w="880"/>
        <w:gridCol w:w="4400"/>
        <w:gridCol w:w="6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Símbolo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 Modelo Comp.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P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Preço Alvo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aTargetPrice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u</m:t>
                  </m:r>
                </m:e>
                <m:sub>
                  <m:r>
                    <m:t>i</m:t>
                  </m:r>
                </m:sub>
                <m:sup>
                  <m:r>
                    <m:t>v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Custo Variável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aUnitVariableCost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Preço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sPrice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α</m:t>
                  </m:r>
                </m:e>
                <m:sup>
                  <m:r>
                    <m:t>c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Preço Alvo à diferença entre o Preço Atual e Preço Alvo.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aSensOfPriceToCosts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P</m:t>
                  </m:r>
                </m:e>
                <m:sub>
                  <m:r>
                    <m:t>i</m:t>
                  </m:r>
                </m:sub>
                <m:sup>
                  <m:r>
                    <m:t>c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Preço-Base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(custos fixos e variáveis acrescentados à uma margem definida).</w:t>
            </w:r>
          </w:p>
        </w:tc>
        <w:tc>
          <w:p>
            <w:pPr>
              <w:pStyle w:val="Compact"/>
              <w:jc w:val="left"/>
            </w:pPr>
            <w:r>
              <w:t xml:space="preserve">USD</w:t>
            </w:r>
          </w:p>
        </w:tc>
        <w:tc>
          <w:p>
            <w:pPr>
              <w:pStyle w:val="Compact"/>
              <w:jc w:val="left"/>
            </w:pPr>
            <w:r>
              <w:t xml:space="preserve">aBasePrice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α</m:t>
                  </m:r>
                </m:e>
                <m:sup>
                  <m:r>
                    <m:t>d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Preço à diferença entre oferta e Demanda.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aSensOfPriceToDSBalance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Q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Produção desejada pelo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aDesiredShipments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u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Taxa de Utilização da capacidade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aNormalCapacityUtilization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α</m:t>
                  </m:r>
                </m:e>
                <m:sup>
                  <m:r>
                    <m:t>s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Preço à relação entre market share e market share desejado.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aSensOfPriceToShare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m</m:t>
                  </m:r>
                </m:e>
                <m:sup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Margem de Lucro desejada desejada.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aNormalProfitMargin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τ</m:t>
                  </m:r>
                </m:e>
                <m:sup>
                  <m:r>
                    <m:t>p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Delay para o ajuste do preço ao preço alvo.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aPriceAdjustmentTime</w:t>
            </w:r>
          </w:p>
        </w:tc>
      </w:tr>
    </w:tbl>
    <w:p>
      <w:pPr>
        <w:pStyle w:val="Heading1"/>
      </w:pPr>
      <w:bookmarkStart w:id="29" w:name="pesquisa-e-desenvolvimento"/>
      <w:bookmarkEnd w:id="29"/>
      <w:r>
        <w:t xml:space="preserve">Pesquisa e Desenvolvimento</w:t>
      </w:r>
    </w:p>
    <w:tbl>
      <w:tblPr>
        <w:tblStyle w:val="TableNormal"/>
        <w:tblW w:type="pct" w:w="4583.333333333334"/>
        <w:tblLook w:firstRow="1"/>
      </w:tblPr>
      <w:tblGrid>
        <w:gridCol w:w="880"/>
        <w:gridCol w:w="4400"/>
        <w:gridCol w:w="6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Símbolo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 Modelo Comp.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Percentual da Receita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aplicado à pesquisa e desenvolvimento.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aOrcamentoPeD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Estoque de investimento ainda não realizado pelo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</w:t>
            </w:r>
          </w:p>
        </w:tc>
        <w:tc>
          <w:p>
            <w:pPr>
              <w:pStyle w:val="Compact"/>
              <w:jc w:val="left"/>
            </w:pPr>
            <w:r>
              <w:t xml:space="preserve">sInvestimentoNaoRealizadoPeD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υ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Tempo necessário para a realização do investimento em P&amp;D dos players.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aTempoMedioRealizacaoPeD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T</m:t>
                  </m:r>
                </m:e>
                <m:sub>
                  <m:r>
                    <m:t>i</m:t>
                  </m:r>
                </m:sub>
                <m:sup>
                  <m:r>
                    <m:t>r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Patentes requisitadas pelo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Patentes</w:t>
            </w:r>
          </w:p>
        </w:tc>
        <w:tc>
          <w:p>
            <w:pPr>
              <w:pStyle w:val="Compact"/>
              <w:jc w:val="left"/>
            </w:pPr>
            <w:r>
              <w:t xml:space="preserve">sPatentesRequisitadas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total para a requisição de uma patente.</w:t>
            </w:r>
          </w:p>
        </w:tc>
        <w:tc>
          <w:p>
            <w:pPr>
              <w:pStyle w:val="Compact"/>
              <w:jc w:val="left"/>
            </w:pPr>
            <w:r>
              <w:t xml:space="preserve">USD / Patente</w:t>
            </w:r>
          </w:p>
        </w:tc>
        <w:tc>
          <w:p>
            <w:pPr>
              <w:pStyle w:val="Compact"/>
              <w:jc w:val="left"/>
            </w:pPr>
            <w:r>
              <w:t xml:space="preserve">aCustoMedioPatente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υ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Tempo médio de avaliação da patente.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aTempoMedioAvaliacao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T</m:t>
                  </m:r>
                </m:e>
                <m:sub>
                  <m:r>
                    <m:t>i</m:t>
                  </m:r>
                </m:sub>
                <m:sup>
                  <m:r>
                    <m:t>p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Patentes de propriedade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Patentes</w:t>
            </w:r>
          </w:p>
        </w:tc>
        <w:tc>
          <w:p>
            <w:pPr>
              <w:pStyle w:val="Compact"/>
              <w:jc w:val="left"/>
            </w:pPr>
            <w:r>
              <w:t xml:space="preserve">sPatentesEmpresa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κ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Percentual de novas patentes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disponibilizadas como open source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aPercPeDAberto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Taxa de rejeição de patentes.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aTaxaRejeicao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υ</m:t>
                  </m:r>
                </m:e>
                <m:sup>
                  <m:r>
                    <m:t>e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Tempo médio de expiração de patentes.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aTempoVencimentoPatentes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T</m:t>
                  </m:r>
                </m:e>
                <m:sup>
                  <m:r>
                    <m:t>o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Patentes Open Source.</w:t>
            </w:r>
          </w:p>
        </w:tc>
        <w:tc>
          <w:p>
            <w:pPr>
              <w:pStyle w:val="Compact"/>
              <w:jc w:val="left"/>
            </w:pPr>
            <w:r>
              <w:t xml:space="preserve">Patentes</w:t>
            </w:r>
          </w:p>
        </w:tc>
        <w:tc>
          <w:p>
            <w:pPr>
              <w:pStyle w:val="Compact"/>
              <w:jc w:val="left"/>
            </w:pPr>
            <w:r>
              <w:t xml:space="preserve">sPatentLefts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T</m:t>
                  </m:r>
                </m:e>
                <m:sup>
                  <m:r>
                    <m:t>e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Patentes expiradas.</w:t>
            </w:r>
          </w:p>
        </w:tc>
        <w:tc>
          <w:p>
            <w:pPr>
              <w:pStyle w:val="Compact"/>
              <w:jc w:val="left"/>
            </w:pPr>
            <w:r>
              <w:t xml:space="preserve">Patentes</w:t>
            </w:r>
          </w:p>
        </w:tc>
        <w:tc>
          <w:p>
            <w:pPr>
              <w:pStyle w:val="Compact"/>
              <w:jc w:val="left"/>
            </w:pPr>
            <w:r>
              <w:t xml:space="preserve">sPatentesEmDominioPublicoUteis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υ</m:t>
                  </m:r>
                </m:e>
                <m:sup>
                  <m:r>
                    <m:t>i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Tempo médio de inutilização de uma patente.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aTempodeInutilizacaoPatente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T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Patentes acessadas pelo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Patentes</w:t>
            </w:r>
          </w:p>
        </w:tc>
        <w:tc>
          <w:p>
            <w:pPr>
              <w:pStyle w:val="Compact"/>
              <w:jc w:val="left"/>
            </w:pPr>
            <w:r>
              <w:t xml:space="preserve">aPatentesEmpresaTemAcesso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Performance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Índice (0,10)</w:t>
            </w:r>
          </w:p>
        </w:tc>
        <w:tc>
          <w:p>
            <w:pPr>
              <w:pStyle w:val="Compact"/>
              <w:jc w:val="left"/>
            </w:pPr>
            <w:r>
              <w:t xml:space="preserve">aPerformance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X</m:t>
                  </m:r>
                </m:e>
                <m:sup>
                  <m:r>
                    <m:t>m</m:t>
                  </m:r>
                  <m:r>
                    <m:t>i</m:t>
                  </m:r>
                  <m:r>
                    <m:t>n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Índice de Performance mínimo.</w:t>
            </w:r>
          </w:p>
        </w:tc>
        <w:tc>
          <w:p>
            <w:pPr>
              <w:pStyle w:val="Compact"/>
              <w:jc w:val="left"/>
            </w:pPr>
            <w:r>
              <w:t xml:space="preserve">Índice (0,10)</w:t>
            </w:r>
          </w:p>
        </w:tc>
        <w:tc>
          <w:p>
            <w:pPr>
              <w:pStyle w:val="Compact"/>
              <w:jc w:val="left"/>
            </w:pPr>
            <w:r>
              <w:t xml:space="preserve">aPerfMin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X</m:t>
                  </m:r>
                </m:e>
                <m:sup>
                  <m:r>
                    <m:t>m</m:t>
                  </m:r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Índice de Performance máximo</w:t>
            </w:r>
          </w:p>
        </w:tc>
        <w:tc>
          <w:p>
            <w:pPr>
              <w:pStyle w:val="Compact"/>
              <w:jc w:val="left"/>
            </w:pPr>
            <w:r>
              <w:t xml:space="preserve">Índice (0,10)</w:t>
            </w:r>
          </w:p>
        </w:tc>
        <w:tc>
          <w:p>
            <w:pPr>
              <w:pStyle w:val="Compact"/>
              <w:jc w:val="left"/>
            </w:pPr>
            <w:r>
              <w:t xml:space="preserve">aPerfMax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Inclinação da curva de performance x patentes. Representa o número de unidades de performance acrescidas pelo acesso a uma patente.</w:t>
            </w:r>
          </w:p>
        </w:tc>
        <w:tc>
          <w:p>
            <w:pPr>
              <w:pStyle w:val="Compact"/>
              <w:jc w:val="left"/>
            </w:pPr>
            <w:r>
              <w:t xml:space="preserve">Índice Perf. / Patentes</w:t>
            </w:r>
          </w:p>
        </w:tc>
        <w:tc>
          <w:p>
            <w:pPr>
              <w:pStyle w:val="Compact"/>
              <w:jc w:val="left"/>
            </w:pPr>
            <w:r>
              <w:t xml:space="preserve">aPerfSlope</w:t>
            </w:r>
          </w:p>
        </w:tc>
      </w:tr>
    </w:tbl>
    <w:p>
      <w:pPr>
        <w:pStyle w:val="Heading2"/>
      </w:pPr>
      <w:bookmarkStart w:id="30" w:name="tabela-completa-gerar-sempre-duas-vezes"/>
      <w:bookmarkEnd w:id="30"/>
      <w:r>
        <w:t xml:space="preserve">Tabela Completa: Gerar Sempre Duas vezes:</w:t>
      </w:r>
    </w:p>
    <w:tbl>
      <w:tblPr>
        <w:tblStyle w:val="TableNormal"/>
        <w:tblW w:type="pct" w:w="4583.333333333334"/>
        <w:tblLook w:firstRow="1"/>
      </w:tblPr>
      <w:tblGrid>
        <w:gridCol w:w="880"/>
        <w:gridCol w:w="4400"/>
        <w:gridCol w:w="6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Símbolo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 Modelo Comp.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D</m:t>
                  </m:r>
                </m:e>
                <m:sup>
                  <m:r>
                    <m:t>T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Demanda anual por Impressoras 3D.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fIndustryOrderRate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D</m:t>
                  </m:r>
                </m:e>
                <m:sup>
                  <m:r>
                    <m:t>I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Demanda inicial, gerada por um novo adepto à impressão 3D.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aInitialOrderRate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D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Demanda via substituição de uma impressora ao fim de sua vida útil.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fReorderRate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Unidades vendidas em média por cliente.</w:t>
            </w:r>
          </w:p>
        </w:tc>
        <w:tc>
          <w:p>
            <w:pPr>
              <w:pStyle w:val="Compact"/>
              <w:jc w:val="left"/>
            </w:pPr>
            <w:r>
              <w:t xml:space="preserve">Imp. 3D / cliente</w:t>
            </w:r>
          </w:p>
        </w:tc>
        <w:tc>
          <w:p>
            <w:pPr>
              <w:pStyle w:val="Compact"/>
              <w:jc w:val="left"/>
            </w:pPr>
            <w:r>
              <w:t xml:space="preserve">aUnitsPerHousehold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d</m:t>
              </m:r>
              <m:r>
                <m:t>A</m:t>
              </m:r>
              <m:r>
                <m:t>/</m:t>
              </m:r>
              <m:r>
                <m:t>d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Número de clientes que adotou o o produto em um intervalo de tempo.</w:t>
            </w:r>
          </w:p>
        </w:tc>
        <w:tc>
          <w:p>
            <w:pPr>
              <w:pStyle w:val="Compact"/>
              <w:jc w:val="left"/>
            </w:pPr>
            <w:r>
              <w:t xml:space="preserve">Clientes /</w:t>
            </w:r>
            <w:r>
              <w:t xml:space="preserve"> </w:t>
            </w:r>
            <m:oMath>
              <m:r>
                <m:t>d</m:t>
              </m:r>
              <m:r>
                <m:t>t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fAdoptionRate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Adeptos à impressão 3D em um dado instante de tempo</w:t>
            </w:r>
          </w:p>
        </w:tc>
        <w:tc>
          <w:p>
            <w:pPr>
              <w:pStyle w:val="Compact"/>
              <w:jc w:val="left"/>
            </w:pPr>
            <w:r>
              <w:t xml:space="preserve">Clientes</w:t>
            </w:r>
          </w:p>
        </w:tc>
        <w:tc>
          <w:p>
            <w:pPr>
              <w:pStyle w:val="Compact"/>
              <w:jc w:val="left"/>
            </w:pPr>
            <w:r>
              <w:t xml:space="preserve">sCumulativeAdopters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P</m:t>
              </m:r>
              <m:r>
                <m:t>O</m:t>
              </m:r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População Total de Clientes.</w:t>
            </w:r>
          </w:p>
        </w:tc>
        <w:tc>
          <w:p>
            <w:pPr>
              <w:pStyle w:val="Compact"/>
              <w:jc w:val="left"/>
            </w:pPr>
            <w:r>
              <w:t xml:space="preserve">Clientes</w:t>
            </w:r>
          </w:p>
        </w:tc>
        <w:tc>
          <w:p>
            <w:pPr>
              <w:pStyle w:val="Compact"/>
              <w:jc w:val="left"/>
            </w:pPr>
            <w:r>
              <w:t xml:space="preserve">aPopulation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Não Adeptos à impressão 3D, que irão adotá-la em algum momento.</w:t>
            </w:r>
          </w:p>
        </w:tc>
        <w:tc>
          <w:p>
            <w:pPr>
              <w:pStyle w:val="Compact"/>
              <w:jc w:val="left"/>
            </w:pPr>
            <w:r>
              <w:t xml:space="preserve">Clientes</w:t>
            </w:r>
          </w:p>
        </w:tc>
        <w:tc>
          <w:p>
            <w:pPr>
              <w:pStyle w:val="Compact"/>
              <w:jc w:val="left"/>
            </w:pPr>
            <w:r>
              <w:t xml:space="preserve">aNonAdopters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Fração de Clientes que adotará a impressão 3D independentemente do número de adeptos à impressão 3D.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aInnovatorAdoptionFraction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Parâmetro de Força da Difusão do produto do Modelo de Bass (1969).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aWOMStrength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A</m:t>
                  </m:r>
                </m:e>
                <m:sup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Número de clientes que irá adotar o produto em algum momento de tempo, considerando o produto de menor preço disponível no mercado.</w:t>
            </w:r>
          </w:p>
        </w:tc>
        <w:tc>
          <w:p>
            <w:pPr>
              <w:pStyle w:val="Compact"/>
              <w:jc w:val="left"/>
            </w:pPr>
            <w:r>
              <w:t xml:space="preserve">Clientes</w:t>
            </w:r>
          </w:p>
        </w:tc>
        <w:tc>
          <w:p>
            <w:pPr>
              <w:pStyle w:val="Compact"/>
              <w:jc w:val="left"/>
            </w:pPr>
            <w:r>
              <w:t xml:space="preserve">aIndustryDemand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A</m:t>
                  </m:r>
                </m:e>
                <m:sup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Número de clientes que irá .</w:t>
            </w:r>
          </w:p>
        </w:tc>
        <w:tc>
          <w:p>
            <w:pPr>
              <w:pStyle w:val="Compact"/>
              <w:jc w:val="left"/>
            </w:pPr>
            <w:r>
              <w:t xml:space="preserve">Clientes</w:t>
            </w:r>
          </w:p>
        </w:tc>
        <w:tc>
          <w:p>
            <w:pPr>
              <w:pStyle w:val="Compact"/>
              <w:jc w:val="left"/>
            </w:pPr>
            <w:r>
              <w:t xml:space="preserve">aReferencePopulation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Inclinação da Curva de Demanda e Preço.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aDemandCurveSlope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P</m:t>
                  </m:r>
                </m:e>
                <m:sup>
                  <m:r>
                    <m:t>m</m:t>
                  </m:r>
                  <m:r>
                    <m:t>i</m:t>
                  </m:r>
                  <m:r>
                    <m:t>n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Menor preço encontrado no mercado.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aLowestPrice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P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Preço de Referência.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aReferencePrice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P</m:t>
              </m:r>
              <m:r>
                <m:t>O</m:t>
              </m:r>
              <m:sSup>
                <m:e>
                  <m:r>
                    <m:t>P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População de Referência (número de clientes que comprará o produto ao preço de referência.</w:t>
            </w:r>
          </w:p>
        </w:tc>
        <w:tc>
          <w:p>
            <w:pPr>
              <w:pStyle w:val="Compact"/>
              <w:jc w:val="left"/>
            </w:pPr>
            <w:r>
              <w:t xml:space="preserve">Clientes</w:t>
            </w:r>
          </w:p>
        </w:tc>
        <w:tc>
          <w:p>
            <w:pPr>
              <w:pStyle w:val="Compact"/>
              <w:jc w:val="left"/>
            </w:pPr>
            <w:r>
              <w:t xml:space="preserve">aReferencePopulation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ε</m:t>
                  </m:r>
                </m:e>
                <m:sub>
                  <m:r>
                    <m:t>d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Elasticidade da curva de demanda.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aReferenceIndustryDemandElasticity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I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Impressoras vendidas pela empresa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Imp. 3D</w:t>
            </w:r>
          </w:p>
        </w:tc>
        <w:tc>
          <w:p>
            <w:pPr>
              <w:pStyle w:val="Compact"/>
              <w:jc w:val="left"/>
            </w:pPr>
            <w:r>
              <w:t xml:space="preserve">sInstalledBase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Taxa anual de descarte das impressoras (corresponde ao inverso da vida útil média das impressoras.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aFractionalDiscardRate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Atratividade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aTotalAttractiveness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ε</m:t>
                  </m:r>
                </m:e>
                <m:sub>
                  <m:r>
                    <m:t>p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market share dos players ao preço.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aSensOfAttractToPrice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Preço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sPrice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P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Preço de Referência.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aReferencePrice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ε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market share dos players ao tempo de entrega.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aSensOfAttractToAvailability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τ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Tempo de Entrega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aDeliveryDelay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τ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Tempo de Entrega de Referência.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aReferenceDeliveryDelay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τ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Tempo de Entrega de Referência.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aReferenceDeliveryDelay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Performance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Índice (0,10)</w:t>
            </w:r>
          </w:p>
        </w:tc>
        <w:tc>
          <w:p>
            <w:pPr>
              <w:pStyle w:val="Compact"/>
              <w:jc w:val="left"/>
            </w:pPr>
            <w:r>
              <w:t xml:space="preserve">aPerformance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X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Performance de Referência.</w:t>
            </w:r>
          </w:p>
        </w:tc>
        <w:tc>
          <w:p>
            <w:pPr>
              <w:pStyle w:val="Compact"/>
              <w:jc w:val="left"/>
            </w:pPr>
            <w:r>
              <w:t xml:space="preserve">Índice (0,10)</w:t>
            </w:r>
          </w:p>
        </w:tc>
        <w:tc>
          <w:p>
            <w:pPr>
              <w:pStyle w:val="Compact"/>
              <w:jc w:val="left"/>
            </w:pPr>
            <w:r>
              <w:t xml:space="preserve">aReferencePerformance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ε</m:t>
                  </m:r>
                </m:e>
                <m:sub>
                  <m:r>
                    <m:t>x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market share dos players à performance.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aSensOfAttractToPerformance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Market Share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aOrderShare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O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Pedidos ganhos pelo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fOrders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π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Lucro Líquido a Valor Presente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</w:t>
            </w:r>
          </w:p>
        </w:tc>
        <w:tc>
          <w:p>
            <w:pPr>
              <w:pStyle w:val="Compact"/>
              <w:jc w:val="left"/>
            </w:pPr>
            <w:r>
              <w:t xml:space="preserve">sNPVProfit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Receitas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ano</w:t>
            </w:r>
          </w:p>
        </w:tc>
        <w:tc>
          <w:p>
            <w:pPr>
              <w:pStyle w:val="Compact"/>
              <w:jc w:val="left"/>
            </w:pPr>
            <w:r>
              <w:t xml:space="preserve">fRevenue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C</m:t>
                  </m:r>
                </m:e>
                <m:sub>
                  <m:r>
                    <m:t>i</m:t>
                  </m:r>
                </m:sub>
                <m:sup>
                  <m:r>
                    <m:t>f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Custos Fixos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ano</w:t>
            </w:r>
          </w:p>
        </w:tc>
        <w:tc>
          <w:p>
            <w:pPr>
              <w:pStyle w:val="Compact"/>
              <w:jc w:val="left"/>
            </w:pPr>
            <w:r>
              <w:t xml:space="preserve">aFixedCost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C</m:t>
                  </m:r>
                </m:e>
                <m:sub>
                  <m:r>
                    <m:t>i</m:t>
                  </m:r>
                </m:sub>
                <m:sup>
                  <m:r>
                    <m:t>v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Custos Variáveis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ano</w:t>
            </w:r>
          </w:p>
        </w:tc>
        <w:tc>
          <w:p>
            <w:pPr>
              <w:pStyle w:val="Compact"/>
              <w:jc w:val="left"/>
            </w:pPr>
            <w:r>
              <w:t xml:space="preserve">aVariableCost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Taxa de Desconto.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aDiscountRate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b</m:t>
              </m:r>
              <m:r>
                <m:t>a</m:t>
              </m:r>
              <m:r>
                <m:t>r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Preço Médio dos Produtos Vendidos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aAveragePriceOfOrderBook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Valor da carteira de venda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</w:t>
            </w:r>
          </w:p>
        </w:tc>
        <w:tc>
          <w:p>
            <w:pPr>
              <w:pStyle w:val="Compact"/>
              <w:jc w:val="left"/>
            </w:pPr>
            <w:r>
              <w:t xml:space="preserve">sValueOfBacklog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u</m:t>
                  </m:r>
                </m:e>
                <m:sub>
                  <m:r>
                    <m:t>i</m:t>
                  </m:r>
                </m:sub>
                <m:sup>
                  <m:r>
                    <m:t>f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Custo Fixo Unitário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aUnitFixedCost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u</m:t>
                  </m:r>
                </m:e>
                <m:sub>
                  <m:r>
                    <m:t>i</m:t>
                  </m:r>
                </m:sub>
                <m:sup>
                  <m:r>
                    <m:t>v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Custo Variável Unitário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aUnitVariableCost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Produção Acumulada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Imp. 3D</w:t>
            </w:r>
          </w:p>
        </w:tc>
        <w:tc>
          <w:p>
            <w:pPr>
              <w:pStyle w:val="Compact"/>
              <w:jc w:val="left"/>
            </w:pPr>
            <w:r>
              <w:t xml:space="preserve">sCumulativeProduction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E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Produção Acumulada inicial.</w:t>
            </w:r>
          </w:p>
        </w:tc>
        <w:tc>
          <w:p>
            <w:pPr>
              <w:pStyle w:val="Compact"/>
              <w:jc w:val="left"/>
            </w:pPr>
            <w:r>
              <w:t xml:space="preserve">Imp. 3D</w:t>
            </w:r>
          </w:p>
        </w:tc>
        <w:tc>
          <w:p>
            <w:pPr>
              <w:pStyle w:val="Compact"/>
              <w:jc w:val="left"/>
            </w:pPr>
            <w:r>
              <w:t xml:space="preserve">aInitialProductionExperience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Força da curva de aprendizagem (ex.: um expoente de 80 % indica que a cada vez que a produção acumulada dobra, o custo da empresa diminui 20%).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aLCStrength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Expoente da curva de aprendizagem.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aLCExponent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Produção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fProduction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Q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Produção desejada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aDesiredShipments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t</m:t>
              </m:r>
              <m:r>
                <m:t>a</m:t>
              </m:r>
              <m:sSubSup>
                <m:e>
                  <m:r>
                    <m:t>u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Tempo de entrega alvo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aNormalDeliveryDelay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Backlog de entregas do Player</w:t>
            </w:r>
            <w:r>
              <w:t xml:space="preserve"> </w:t>
            </w:r>
            <m:oMath>
              <m:r>
                <m:t>i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Imp. 3D</w:t>
            </w:r>
          </w:p>
        </w:tc>
        <w:tc>
          <w:p>
            <w:pPr>
              <w:pStyle w:val="Compact"/>
              <w:jc w:val="left"/>
            </w:pPr>
            <w:r>
              <w:t xml:space="preserve">sBacklog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Capacidade Produtiva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aCapacity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K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Capacidade Alvo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aTargetCapacity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D</m:t>
                  </m:r>
                </m:e>
                <m:sup>
                  <m:r>
                    <m:t>e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Demanda Prevista para a indústria.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aExpectedIndustryDemand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Operador Erlan Lag. Executa um ajuste da Capacidade da Empresa de terceira ordem, indicando que a capacidade não se ajusta imediatamente à demanda.</w:t>
            </w:r>
          </w:p>
        </w:tc>
        <w:tc>
          <w:p>
            <w:pPr>
              <w:pStyle w:val="Compact"/>
              <w:jc w:val="left"/>
            </w:pPr>
            <w:r>
              <w:t xml:space="preserve">função matemática</w:t>
            </w:r>
          </w:p>
        </w:tc>
        <w:tc>
          <w:p>
            <w:pPr>
              <w:pStyle w:val="Compact"/>
              <w:jc w:val="left"/>
            </w:pPr>
            <w:r>
              <w:t xml:space="preserve">Função Matemática. No Ithink, corresponde à função SMOOTH3.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u</m:t>
                  </m:r>
                </m:e>
                <m:sup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Taxa de Utilização da Capacidade.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aNormalCapacityUtilization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K</m:t>
                  </m:r>
                </m:e>
                <m:sup>
                  <m:r>
                    <m:t>m</m:t>
                  </m:r>
                  <m:r>
                    <m:t>i</m:t>
                  </m:r>
                  <m:r>
                    <m:t>n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Escala mínima de produção.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aMinimumEfficientScale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S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Market Share Alvo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, definido conforme sua estratégia.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aTargetMarketShare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λ</m:t>
                  </m:r>
                </m:e>
                <m:sup>
                  <m:r>
                    <m:t>K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Delay do ajuste de capacidade.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aCapacityAcquisitionDelay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D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Demanda reportada pela indústria.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sReportedIndustryVolume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g</m:t>
                  </m:r>
                </m:e>
                <m:sup>
                  <m:r>
                    <m:t>e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Taxa de crescimento esperada pela indústria.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aExpGrowthInVolume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h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Horizonte histórico usado pelos players para previsão de demanda.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aTimeForHistoricalVolume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τ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Delay para o report da demanda global aos players.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aVolumeReportingDelay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S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Market Share alvo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aTargetMarketShare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S</m:t>
                  </m:r>
                </m:e>
                <m:sub>
                  <m:r>
                    <m:t>i</m:t>
                  </m:r>
                </m:sub>
                <m:sup>
                  <m:r>
                    <m:t>m</m:t>
                  </m:r>
                  <m:r>
                    <m:t>i</m:t>
                  </m:r>
                  <m:r>
                    <m:t>n</m:t>
                  </m:r>
                </m:sup>
              </m:sSubSup>
            </m:oMath>
            <w:r>
              <w:t xml:space="preserve">,</w:t>
            </w:r>
            <w:r>
              <w:t xml:space="preserve"> </w:t>
            </w:r>
            <m:oMath>
              <m:sSubSup>
                <m:e>
                  <m:r>
                    <m:t>S</m:t>
                  </m:r>
                </m:e>
                <m:sub>
                  <m:r>
                    <m:t>i</m:t>
                  </m:r>
                </m:sub>
                <m:sup>
                  <m:r>
                    <m:t>m</m:t>
                  </m:r>
                  <m:r>
                    <m:t>a</m:t>
                  </m:r>
                  <m:r>
                    <m:t>x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Market Share desejado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, conforme sua estratégia de capacidade.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aDesiredMarketShare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S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Market Share desejado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aDesiredMarketShare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S</m:t>
                  </m:r>
                </m:e>
                <m:sub>
                  <m:r>
                    <m:t>i</m:t>
                  </m:r>
                </m:sub>
                <m:sup>
                  <m:r>
                    <m:t>u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Market Share que 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acredita que os outros players não ocuparão no mercado.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aUncontestedMarketShare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D</m:t>
                  </m:r>
                </m:e>
                <m:sub>
                  <m:r>
                    <m:t>i</m:t>
                  </m:r>
                </m:sub>
                <m:sup>
                  <m:r>
                    <m:t>u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Demanda prevista não disputada por nenhum player.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aUncontestedDemand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K</m:t>
                  </m:r>
                </m:e>
                <m:sub>
                  <m:r>
                    <m:t>j</m:t>
                  </m:r>
                </m:sub>
                <m:sup>
                  <m:r>
                    <m:t>e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Capacidade dos outros players esperada.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aExpectedCompCapacity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w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Percentual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aWeightOnSupplyLine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K</m:t>
                  </m:r>
                </m:e>
                <m:sub>
                  <m:r>
                    <m:t>j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Capacidade dos Players Concorrentes.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aCompetitorCapacity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K</m:t>
                  </m:r>
                </m:e>
                <m:sub>
                  <m:r>
                    <m:t>j</m:t>
                  </m:r>
                </m:sub>
                <m:sup>
                  <m:sSup>
                    <m:e>
                      <m:r>
                        <m:t>e</m:t>
                      </m:r>
                    </m:e>
                    <m:sup>
                      <m:r>
                        <m:t>*</m:t>
                      </m:r>
                    </m:sup>
                  </m:sSup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Capacidade Alvo percebida dos competidores.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sPerceivedCompTargetCapacity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τ</m:t>
                  </m:r>
                </m:e>
                <m:sup>
                  <m:r>
                    <m:t>c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Tempo para estimar a capacidade alvo dos competidores.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aTimeToPerceiveCompTargetCapacity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P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Preço Alvo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aTargetPrice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u</m:t>
                  </m:r>
                </m:e>
                <m:sub>
                  <m:r>
                    <m:t>i</m:t>
                  </m:r>
                </m:sub>
                <m:sup>
                  <m:r>
                    <m:t>v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Custo Variável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aUnitVariableCost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Preço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 / Imp. 3D</w:t>
            </w:r>
          </w:p>
        </w:tc>
        <w:tc>
          <w:p>
            <w:pPr>
              <w:pStyle w:val="Compact"/>
              <w:jc w:val="left"/>
            </w:pPr>
            <w:r>
              <w:t xml:space="preserve">sPrice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α</m:t>
                  </m:r>
                </m:e>
                <m:sup>
                  <m:r>
                    <m:t>c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Preço Alvo à diferença entre o Preço Atual e Preço Alvo.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aSensOfPriceToCosts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P</m:t>
                  </m:r>
                </m:e>
                <m:sub>
                  <m:r>
                    <m:t>i</m:t>
                  </m:r>
                </m:sub>
                <m:sup>
                  <m:r>
                    <m:t>c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Preço-Base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(custos fixos e variáveis acrescentados à uma margem definida).</w:t>
            </w:r>
          </w:p>
        </w:tc>
        <w:tc>
          <w:p>
            <w:pPr>
              <w:pStyle w:val="Compact"/>
              <w:jc w:val="left"/>
            </w:pPr>
            <w:r>
              <w:t xml:space="preserve">USD</w:t>
            </w:r>
          </w:p>
        </w:tc>
        <w:tc>
          <w:p>
            <w:pPr>
              <w:pStyle w:val="Compact"/>
              <w:jc w:val="left"/>
            </w:pPr>
            <w:r>
              <w:t xml:space="preserve">aBasePrice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α</m:t>
                  </m:r>
                </m:e>
                <m:sup>
                  <m:r>
                    <m:t>d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Preço à diferença entre oferta e Demanda.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aSensOfPriceToDSBalance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Q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Produção desejada pelo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Imp. 3D / ano</w:t>
            </w:r>
          </w:p>
        </w:tc>
        <w:tc>
          <w:p>
            <w:pPr>
              <w:pStyle w:val="Compact"/>
              <w:jc w:val="left"/>
            </w:pPr>
            <w:r>
              <w:t xml:space="preserve">aDesiredShipments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u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Taxa de Utilização da capacidade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aNormalCapacityUtilization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α</m:t>
                  </m:r>
                </m:e>
                <m:sup>
                  <m:r>
                    <m:t>s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Preço à relação entre market share e market share desejado.</w:t>
            </w:r>
          </w:p>
        </w:tc>
        <w:tc>
          <w:p>
            <w:pPr>
              <w:pStyle w:val="Compact"/>
              <w:jc w:val="left"/>
            </w:pPr>
            <w:r>
              <w:t xml:space="preserve">adimens.</w:t>
            </w:r>
          </w:p>
        </w:tc>
        <w:tc>
          <w:p>
            <w:pPr>
              <w:pStyle w:val="Compact"/>
              <w:jc w:val="left"/>
            </w:pPr>
            <w:r>
              <w:t xml:space="preserve">aSensOfPriceToShare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m</m:t>
                  </m:r>
                </m:e>
                <m:sup>
                  <m:r>
                    <m:t>*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Margem de Lucro desejada desejada.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aNormalProfitMargin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τ</m:t>
                  </m:r>
                </m:e>
                <m:sup>
                  <m:r>
                    <m:t>p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Delay para o ajuste do preço ao preço alvo.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aPriceAdjustmentTime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η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Percentual da Receita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aplicado à pesquisa e desenvolvimento.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aOrcamentoPeD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Estoque de investimento ainda não realizado pelo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USD</w:t>
            </w:r>
          </w:p>
        </w:tc>
        <w:tc>
          <w:p>
            <w:pPr>
              <w:pStyle w:val="Compact"/>
              <w:jc w:val="left"/>
            </w:pPr>
            <w:r>
              <w:t xml:space="preserve">sInvestimentoNaoRealizadoPeD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υ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Tempo necessário para a realização do investimento em P&amp;D dos players.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aTempoMedioRealizacaoPeD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T</m:t>
                  </m:r>
                </m:e>
                <m:sub>
                  <m:r>
                    <m:t>i</m:t>
                  </m:r>
                </m:sub>
                <m:sup>
                  <m:r>
                    <m:t>r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Patentes requisitadas pelo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Patentes</w:t>
            </w:r>
          </w:p>
        </w:tc>
        <w:tc>
          <w:p>
            <w:pPr>
              <w:pStyle w:val="Compact"/>
              <w:jc w:val="left"/>
            </w:pPr>
            <w:r>
              <w:t xml:space="preserve">sPatentesRequisitadas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total para a requisição de uma patente.</w:t>
            </w:r>
          </w:p>
        </w:tc>
        <w:tc>
          <w:p>
            <w:pPr>
              <w:pStyle w:val="Compact"/>
              <w:jc w:val="left"/>
            </w:pPr>
            <w:r>
              <w:t xml:space="preserve">USD / Patente</w:t>
            </w:r>
          </w:p>
        </w:tc>
        <w:tc>
          <w:p>
            <w:pPr>
              <w:pStyle w:val="Compact"/>
              <w:jc w:val="left"/>
            </w:pPr>
            <w:r>
              <w:t xml:space="preserve">aCustoMedioPatente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υ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Tempo médio de avaliação da patente.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aTempoMedioAvaliacao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T</m:t>
                  </m:r>
                </m:e>
                <m:sub>
                  <m:r>
                    <m:t>i</m:t>
                  </m:r>
                </m:sub>
                <m:sup>
                  <m:r>
                    <m:t>p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Patentes de propriedade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Patentes</w:t>
            </w:r>
          </w:p>
        </w:tc>
        <w:tc>
          <w:p>
            <w:pPr>
              <w:pStyle w:val="Compact"/>
              <w:jc w:val="left"/>
            </w:pPr>
            <w:r>
              <w:t xml:space="preserve">sPatentesEmpresa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κ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Percentual de novas patentes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disponibilizadas como open source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aPercPeDAberto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Taxa de rejeição de patentes.</w:t>
            </w:r>
          </w:p>
        </w:tc>
        <w:tc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aTaxaRejeicao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υ</m:t>
                  </m:r>
                </m:e>
                <m:sup>
                  <m:r>
                    <m:t>e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Tempo médio de expiração de patentes.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aTempoVencimentoPatentes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T</m:t>
                  </m:r>
                </m:e>
                <m:sup>
                  <m:r>
                    <m:t>o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Patentes Open Source.</w:t>
            </w:r>
          </w:p>
        </w:tc>
        <w:tc>
          <w:p>
            <w:pPr>
              <w:pStyle w:val="Compact"/>
              <w:jc w:val="left"/>
            </w:pPr>
            <w:r>
              <w:t xml:space="preserve">Patentes</w:t>
            </w:r>
          </w:p>
        </w:tc>
        <w:tc>
          <w:p>
            <w:pPr>
              <w:pStyle w:val="Compact"/>
              <w:jc w:val="left"/>
            </w:pPr>
            <w:r>
              <w:t xml:space="preserve">sPatentLefts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T</m:t>
                  </m:r>
                </m:e>
                <m:sup>
                  <m:r>
                    <m:t>e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Patentes expiradas.</w:t>
            </w:r>
          </w:p>
        </w:tc>
        <w:tc>
          <w:p>
            <w:pPr>
              <w:pStyle w:val="Compact"/>
              <w:jc w:val="left"/>
            </w:pPr>
            <w:r>
              <w:t xml:space="preserve">Patentes</w:t>
            </w:r>
          </w:p>
        </w:tc>
        <w:tc>
          <w:p>
            <w:pPr>
              <w:pStyle w:val="Compact"/>
              <w:jc w:val="left"/>
            </w:pPr>
            <w:r>
              <w:t xml:space="preserve">sPatentesEmDominioPublicoUteis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υ</m:t>
                  </m:r>
                </m:e>
                <m:sup>
                  <m:r>
                    <m:t>i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Tempo médio de inutilização de uma patente.</w:t>
            </w:r>
          </w:p>
        </w:tc>
        <w:tc>
          <w:p>
            <w:pPr>
              <w:pStyle w:val="Compact"/>
              <w:jc w:val="left"/>
            </w:pPr>
            <w: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aTempodeInutilizacaoPatente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T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Patentes acessadas pelo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Patentes</w:t>
            </w:r>
          </w:p>
        </w:tc>
        <w:tc>
          <w:p>
            <w:pPr>
              <w:pStyle w:val="Compact"/>
              <w:jc w:val="left"/>
            </w:pPr>
            <w:r>
              <w:t xml:space="preserve">aPatentesEmpresaTemAcesso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Performance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Índice (0,10)</w:t>
            </w:r>
          </w:p>
        </w:tc>
        <w:tc>
          <w:p>
            <w:pPr>
              <w:pStyle w:val="Compact"/>
              <w:jc w:val="left"/>
            </w:pPr>
            <w:r>
              <w:t xml:space="preserve">aPerformance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X</m:t>
                  </m:r>
                </m:e>
                <m:sup>
                  <m:r>
                    <m:t>m</m:t>
                  </m:r>
                  <m:r>
                    <m:t>i</m:t>
                  </m:r>
                  <m:r>
                    <m:t>n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Índice de Performance mínimo.</w:t>
            </w:r>
          </w:p>
        </w:tc>
        <w:tc>
          <w:p>
            <w:pPr>
              <w:pStyle w:val="Compact"/>
              <w:jc w:val="left"/>
            </w:pPr>
            <w:r>
              <w:t xml:space="preserve">Índice (0,10)</w:t>
            </w:r>
          </w:p>
        </w:tc>
        <w:tc>
          <w:p>
            <w:pPr>
              <w:pStyle w:val="Compact"/>
              <w:jc w:val="left"/>
            </w:pPr>
            <w:r>
              <w:t xml:space="preserve">aPerfMin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X</m:t>
                  </m:r>
                </m:e>
                <m:sup>
                  <m:r>
                    <m:t>m</m:t>
                  </m:r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Índice de Performance máximo</w:t>
            </w:r>
          </w:p>
        </w:tc>
        <w:tc>
          <w:p>
            <w:pPr>
              <w:pStyle w:val="Compact"/>
              <w:jc w:val="left"/>
            </w:pPr>
            <w:r>
              <w:t xml:space="preserve">Índice (0,10)</w:t>
            </w:r>
          </w:p>
        </w:tc>
        <w:tc>
          <w:p>
            <w:pPr>
              <w:pStyle w:val="Compact"/>
              <w:jc w:val="left"/>
            </w:pPr>
            <w:r>
              <w:t xml:space="preserve">aPerfMax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Inclinação da curva de performance x patentes. Representa o número de unidades de performance acrescidas pelo acesso a uma patente.</w:t>
            </w:r>
          </w:p>
        </w:tc>
        <w:tc>
          <w:p>
            <w:pPr>
              <w:pStyle w:val="Compact"/>
              <w:jc w:val="left"/>
            </w:pPr>
            <w:r>
              <w:t xml:space="preserve">Índice Perf. / Patentes</w:t>
            </w:r>
          </w:p>
        </w:tc>
        <w:tc>
          <w:p>
            <w:pPr>
              <w:pStyle w:val="Compact"/>
              <w:jc w:val="left"/>
            </w:pPr>
            <w:r>
              <w:t xml:space="preserve">aPerfSlope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afc4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2018-01-21T19:56:05Z</dcterms:created>
  <dcterms:modified xsi:type="dcterms:W3CDTF">2018-01-21T19:56:05Z</dcterms:modified>
</cp:coreProperties>
</file>