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precos"/>
      <w:bookmarkEnd w:id="21"/>
      <w:r>
        <w:t xml:space="preserve">Preços</w:t>
      </w:r>
    </w:p>
    <w:tbl>
      <w:tblPr>
        <w:tblStyle w:val="TableNormal"/>
        <w:tblW w:type="pct" w:w="4166.666666666666"/>
        <w:tblLook w:firstRow="1"/>
      </w:tblPr>
      <w:tblGrid>
        <w:gridCol w:w="880"/>
        <w:gridCol w:w="57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Significado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P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Preço Alvo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v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Custo Variável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Preço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α</m:t>
                  </m:r>
                </m:e>
                <m:sup>
                  <m:r>
                    <m:t>c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Preço Alvo à diferença entre o Preço Atual e Preço Alvo.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P</m:t>
                  </m:r>
                </m:e>
                <m:sub>
                  <m:r>
                    <m:t>i</m:t>
                  </m:r>
                </m:sub>
                <m:sup>
                  <m:r>
                    <m:t>c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Preço-Base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(custos fixos e variáveis acrescentados à uma margem definida).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α</m:t>
                  </m:r>
                </m:e>
                <m:sup>
                  <m:r>
                    <m:t>d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Preço à diferença entre oferta e Demanda.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Q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Produção desejada pelo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u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Taxa de Utilização da capacidade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Capacidadedo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α</m:t>
                  </m:r>
                </m:e>
                <m:sup>
                  <m:r>
                    <m:t>s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Preço à relação entre market share e market share desejado.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</m:sub>
                <m:sup>
                  <m:r>
                    <m:t>*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w:r>
              <w:t xml:space="preserve">Market Share desejado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Market SHare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Heading1"/>
      </w:pPr>
      <w:bookmarkStart w:id="22" w:name="market-share"/>
      <w:bookmarkEnd w:id="22"/>
      <w:r>
        <w:t xml:space="preserve">Market Share</w:t>
      </w:r>
    </w:p>
    <w:tbl>
      <w:tblPr>
        <w:tblStyle w:val="TableNormal"/>
        <w:tblW w:type="pct" w:w="4166.666666666666"/>
        <w:tblLook w:firstRow="1"/>
      </w:tblPr>
      <w:tblGrid>
        <w:gridCol w:w="880"/>
        <w:gridCol w:w="57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Significado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Atratividade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ε</m:t>
                  </m:r>
                </m:e>
                <m:sub>
                  <m:r>
                    <m:t>p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market share dos players ao preço.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Preço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P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Preço de Referência.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ε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Sensibilidade do market share dos players ao tempo de entrega.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τ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Tempo de Entrega do player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m:oMath>
              <m:sSup>
                <m:e>
                  <m:r>
                    <m:t>τ</m:t>
                  </m:r>
                </m:e>
                <m:sup>
                  <m:r>
                    <m:t>r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Tempo de Entrega de Referência.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b6f0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2017-12-14T21:05:05Z</dcterms:created>
  <dcterms:modified xsi:type="dcterms:W3CDTF">2017-12-14T21:05:05Z</dcterms:modified>
</cp:coreProperties>
</file>