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Lab05 — Desenho e Preparação do Experimento</w:t>
      </w:r>
    </w:p>
    <w:p>
      <w:pPr>
        <w:pStyle w:val="Heading2"/>
      </w:pPr>
      <w:r>
        <w:t>GraphQL vs REST — Um experimento controlado</w:t>
      </w:r>
    </w:p>
    <w:p>
      <w:pPr>
        <w:spacing w:after="120"/>
      </w:pPr>
      <w:r>
        <w:rPr>
          <w:b/>
          <w:color w:val="000000"/>
        </w:rPr>
        <w:t>Aluno:</w:t>
      </w:r>
      <w:r>
        <w:rPr>
          <w:color w:val="000000"/>
        </w:rPr>
        <w:t xml:space="preserve"> Pedro Lucas Sousa e Silva</w:t>
      </w:r>
    </w:p>
    <w:p>
      <w:pPr>
        <w:spacing w:after="120"/>
        <w:ind w:left="432"/>
        <w:pBdr>
          <w:left w:val="single" w:sz="18" w:space="10" w:color="999999"/>
        </w:pBdr>
      </w:pPr>
      <w:r>
        <w:rPr>
          <w:i/>
          <w:color w:val="000000"/>
        </w:rPr>
        <w:t>Este documento descreve o desenho (Sprint 1) e a preparação do experimento, já alinhado com o que foi efetivamente utilizado na execução. A execução, a análise estatística e a discussão dos resultados estão em RELATORIO_FINAL.md.</w:t>
      </w:r>
    </w:p>
    <w:p>
      <w:pPr>
        <w:pStyle w:val="Heading2"/>
      </w:pPr>
      <w:r>
        <w:t>1. Desenho do Experimento</w:t>
      </w:r>
    </w:p>
    <w:p>
      <w:pPr>
        <w:pStyle w:val="Heading3"/>
      </w:pPr>
      <w:r>
        <w:t>A. Hipóteses</w:t>
      </w:r>
    </w:p>
    <w:p>
      <w:pPr>
        <w:spacing w:after="120"/>
      </w:pPr>
      <w:r>
        <w:rPr>
          <w:b/>
          <w:color w:val="000000"/>
        </w:rPr>
        <w:t>Hipótese nula (H0):</w:t>
      </w:r>
      <w:r>
        <w:rPr>
          <w:color w:val="000000"/>
        </w:rPr>
        <w:t xml:space="preserve"> Não existe diferença significativa no tempo de resposta nem no tamanho das respostas entre consultas GraphQL e REST.</w:t>
      </w:r>
    </w:p>
    <w:p>
      <w:pPr>
        <w:spacing w:after="120"/>
      </w:pPr>
      <w:r>
        <w:rPr>
          <w:b/>
          <w:color w:val="000000"/>
        </w:rPr>
        <w:t>Hipótese alternativa (H1):</w:t>
      </w:r>
      <w:r>
        <w:rPr>
          <w:color w:val="000000"/>
        </w:rPr>
        <w:t xml:space="preserve"> Consultas GraphQL apresentam tempo de resposta menor e tamanho das respostas menor quando comparadas às consultas REST.</w:t>
      </w:r>
    </w:p>
    <w:p>
      <w:pPr>
        <w:spacing w:after="120"/>
        <w:ind w:left="432"/>
        <w:pBdr>
          <w:left w:val="single" w:sz="18" w:space="10" w:color="999999"/>
        </w:pBdr>
      </w:pPr>
      <w:r>
        <w:rPr>
          <w:i/>
          <w:color w:val="000000"/>
        </w:rPr>
        <w:t>Observação: por H1 ser unicaudal ("menor"), os testes estatísticos foram aplicados na forma one-sided (t pareado e Wilcoxon unicaudal).</w:t>
      </w:r>
    </w:p>
    <w:p>
      <w:pPr>
        <w:spacing w:after="120"/>
        <w:ind w:left="432"/>
        <w:pBdr>
          <w:left w:val="single" w:sz="18" w:space="10" w:color="999999"/>
        </w:pBdr>
      </w:pPr>
      <w:r>
        <w:rPr>
          <w:i/>
          <w:color w:val="000000"/>
        </w:rPr>
        <w:t>Resultado (resumo): a hipótese se confirmou para o tamanho (GraphQL ~90% menor) e foi refutada para o tempo (GraphQL ficou mais lento que REST). Detalhes no relatório final.</w:t>
      </w:r>
    </w:p>
    <w:p>
      <w:pPr>
        <w:pStyle w:val="Heading3"/>
      </w:pPr>
      <w:r>
        <w:t>B. Variáveis Dependentes</w:t>
      </w:r>
    </w:p>
    <w:p>
      <w:pPr>
        <w:spacing w:after="120"/>
      </w:pPr>
      <w:r>
        <w:rPr>
          <w:color w:val="000000"/>
        </w:rPr>
        <w:t>São as métricas medidas:</w:t>
      </w:r>
    </w:p>
    <w:p>
      <w:pPr>
        <w:pStyle w:val="ListBullet"/>
        <w:spacing w:after="40"/>
      </w:pPr>
      <w:r>
        <w:rPr>
          <w:color w:val="000000"/>
        </w:rPr>
        <w:t>Tempo de resposta (ms)</w:t>
      </w:r>
    </w:p>
    <w:p>
      <w:pPr>
        <w:pStyle w:val="ListBullet"/>
        <w:spacing w:after="40"/>
      </w:pPr>
      <w:r>
        <w:rPr>
          <w:color w:val="000000"/>
        </w:rPr>
        <w:t>Tamanho da resposta (bytes)</w:t>
      </w:r>
    </w:p>
    <w:p>
      <w:pPr>
        <w:pStyle w:val="Heading3"/>
      </w:pPr>
      <w:r>
        <w:t>C. Variáveis Independentes</w:t>
      </w:r>
    </w:p>
    <w:p>
      <w:pPr>
        <w:spacing w:after="120"/>
      </w:pPr>
      <w:r>
        <w:rPr>
          <w:color w:val="000000"/>
        </w:rPr>
        <w:t>Fatores manipulados no experimento:</w:t>
      </w:r>
    </w:p>
    <w:p>
      <w:pPr>
        <w:pStyle w:val="ListBullet"/>
        <w:spacing w:after="40"/>
      </w:pPr>
      <w:r>
        <w:rPr>
          <w:color w:val="000000"/>
        </w:rPr>
        <w:t>Tipo de API: REST vs GraphQL</w:t>
      </w:r>
    </w:p>
    <w:p>
      <w:pPr>
        <w:pStyle w:val="ListBullet"/>
        <w:spacing w:after="40"/>
      </w:pPr>
      <w:r>
        <w:rPr>
          <w:color w:val="000000"/>
        </w:rPr>
        <w:t>Tipo de consulta: simples, filtrada, por ID e composta</w:t>
      </w:r>
    </w:p>
    <w:p>
      <w:pPr>
        <w:pStyle w:val="Heading3"/>
      </w:pPr>
      <w:r>
        <w:t>D. Tratamentos</w:t>
      </w:r>
    </w:p>
    <w:p>
      <w:pPr>
        <w:pStyle w:val="ListBullet"/>
        <w:spacing w:after="40"/>
      </w:pPr>
      <w:r>
        <w:rPr>
          <w:b/>
          <w:color w:val="000000"/>
        </w:rPr>
        <w:t>T1 — REST:</w:t>
      </w:r>
      <w:r>
        <w:rPr>
          <w:color w:val="000000"/>
        </w:rPr>
        <w:t xml:space="preserve"> consultas executadas usando endpoints REST tradicionais.</w:t>
      </w:r>
    </w:p>
    <w:p>
      <w:pPr>
        <w:pStyle w:val="ListBullet"/>
        <w:spacing w:after="40"/>
      </w:pPr>
      <w:r>
        <w:rPr>
          <w:b/>
          <w:color w:val="000000"/>
        </w:rPr>
        <w:t>T2 — GraphQL:</w:t>
      </w:r>
      <w:r>
        <w:rPr>
          <w:color w:val="000000"/>
        </w:rPr>
        <w:t xml:space="preserve"> as mesmas consultas executadas usando sintaxe GraphQL equivalente.</w:t>
      </w:r>
    </w:p>
    <w:p>
      <w:pPr>
        <w:pStyle w:val="Heading3"/>
      </w:pPr>
      <w:r>
        <w:t>E. Objetos Experimentais</w:t>
      </w:r>
    </w:p>
    <w:p>
      <w:pPr>
        <w:spacing w:after="120"/>
      </w:pPr>
      <w:r>
        <w:rPr>
          <w:color w:val="000000"/>
        </w:rPr>
        <w:t xml:space="preserve">Foi utilizada a </w:t>
      </w:r>
      <w:r>
        <w:rPr>
          <w:b/>
          <w:color w:val="000000"/>
        </w:rPr>
        <w:t>API pública do Rick and Morty</w:t>
      </w:r>
      <w:r>
        <w:rPr>
          <w:color w:val="000000"/>
        </w:rPr>
        <w:t xml:space="preserve">, que oferece as duas abordagens sobre os mesmos dados e </w:t>
      </w:r>
      <w:r>
        <w:rPr>
          <w:b/>
          <w:color w:val="000000"/>
        </w:rPr>
        <w:t>não exige token/autenticação</w:t>
      </w:r>
      <w:r>
        <w:rPr>
          <w:color w:val="000000"/>
        </w:rPr>
        <w:t>:</w:t>
      </w:r>
    </w:p>
    <w:p>
      <w:pPr>
        <w:pStyle w:val="ListBullet"/>
        <w:spacing w:after="40"/>
      </w:pPr>
      <w:r>
        <w:rPr>
          <w:color w:val="000000"/>
        </w:rPr>
        <w:t xml:space="preserve">REST: </w:t>
      </w:r>
      <w:r>
        <w:rPr>
          <w:rFonts w:ascii="Consolas" w:hAnsi="Consolas"/>
          <w:color w:val="000000"/>
          <w:sz w:val="20"/>
        </w:rPr>
        <w:t>https://rickandmortyapi.com/api</w:t>
      </w:r>
    </w:p>
    <w:p>
      <w:pPr>
        <w:pStyle w:val="ListBullet"/>
        <w:spacing w:after="40"/>
      </w:pPr>
      <w:r>
        <w:rPr>
          <w:color w:val="000000"/>
        </w:rPr>
        <w:t xml:space="preserve">GraphQL: </w:t>
      </w:r>
      <w:r>
        <w:rPr>
          <w:rFonts w:ascii="Consolas" w:hAnsi="Consolas"/>
          <w:color w:val="000000"/>
          <w:sz w:val="20"/>
        </w:rPr>
        <w:t>https://rickandmortyapi.com/graphql</w:t>
      </w:r>
    </w:p>
    <w:p>
      <w:pPr>
        <w:spacing w:after="120"/>
      </w:pPr>
      <w:r>
        <w:rPr>
          <w:color w:val="000000"/>
        </w:rPr>
        <w:t>Sobre ela são feitas 4 consultas equivalentes:</w:t>
      </w:r>
    </w:p>
    <w:p>
      <w:pPr>
        <w:pStyle w:val="ListBullet"/>
        <w:spacing w:after="40"/>
      </w:pPr>
      <w:r>
        <w:rPr>
          <w:color w:val="000000"/>
        </w:rPr>
        <w:t>consulta simples — lista de personagens;</w:t>
      </w:r>
    </w:p>
    <w:p>
      <w:pPr>
        <w:pStyle w:val="ListBullet"/>
        <w:spacing w:after="40"/>
      </w:pPr>
      <w:r>
        <w:rPr>
          <w:color w:val="000000"/>
        </w:rPr>
        <w:t xml:space="preserve">consulta filtrada — personagens com </w:t>
      </w:r>
      <w:r>
        <w:rPr>
          <w:rFonts w:ascii="Consolas" w:hAnsi="Consolas"/>
          <w:color w:val="000000"/>
          <w:sz w:val="20"/>
        </w:rPr>
        <w:t>name=rick</w:t>
      </w:r>
      <w:r>
        <w:rPr>
          <w:color w:val="000000"/>
        </w:rPr>
        <w:t>;</w:t>
      </w:r>
    </w:p>
    <w:p>
      <w:pPr>
        <w:pStyle w:val="ListBullet"/>
        <w:spacing w:after="40"/>
      </w:pPr>
      <w:r>
        <w:rPr>
          <w:color w:val="000000"/>
        </w:rPr>
        <w:t>consulta por ID — um personagem específico;</w:t>
      </w:r>
    </w:p>
    <w:p>
      <w:pPr>
        <w:pStyle w:val="ListBullet"/>
        <w:spacing w:after="40"/>
      </w:pPr>
      <w:r>
        <w:rPr>
          <w:color w:val="000000"/>
        </w:rPr>
        <w:t>consulta composta — personagem + episódios relacionados.</w:t>
      </w:r>
    </w:p>
    <w:p>
      <w:pPr>
        <w:pStyle w:val="Heading3"/>
      </w:pPr>
      <w:r>
        <w:t>F. Tipo de Projeto Experimental</w:t>
      </w:r>
    </w:p>
    <w:p>
      <w:pPr>
        <w:spacing w:after="120"/>
      </w:pPr>
      <w:r>
        <w:rPr>
          <w:color w:val="000000"/>
        </w:rPr>
        <w:t xml:space="preserve">Projeto controlado com </w:t>
      </w:r>
      <w:r>
        <w:rPr>
          <w:b/>
          <w:color w:val="000000"/>
        </w:rPr>
        <w:t>medidas repetidas (within-subject / pareado)</w:t>
      </w:r>
      <w:r>
        <w:rPr>
          <w:color w:val="000000"/>
        </w:rPr>
        <w:t>, pois:</w:t>
      </w:r>
    </w:p>
    <w:p>
      <w:pPr>
        <w:pStyle w:val="ListBullet"/>
        <w:spacing w:after="40"/>
      </w:pPr>
      <w:r>
        <w:rPr>
          <w:color w:val="000000"/>
        </w:rPr>
        <w:t>os mesmos objetos são testados em REST e em GraphQL;</w:t>
      </w:r>
    </w:p>
    <w:p>
      <w:pPr>
        <w:pStyle w:val="ListBullet"/>
        <w:spacing w:after="40"/>
      </w:pPr>
      <w:r>
        <w:rPr>
          <w:color w:val="000000"/>
        </w:rPr>
        <w:t>o mesmo ambiente é usado para evitar ruído externo;</w:t>
      </w:r>
    </w:p>
    <w:p>
      <w:pPr>
        <w:pStyle w:val="ListBullet"/>
        <w:spacing w:after="40"/>
      </w:pPr>
      <w:r>
        <w:rPr>
          <w:color w:val="000000"/>
        </w:rPr>
        <w:t>a comparação é direta entre tratamentos (pareada por consulta e repetição).</w:t>
      </w:r>
    </w:p>
    <w:p>
      <w:pPr>
        <w:pStyle w:val="Heading3"/>
      </w:pPr>
      <w:r>
        <w:t>G. Quantidade de Medições</w:t>
      </w:r>
    </w:p>
    <w:p>
      <w:pPr>
        <w:spacing w:after="120"/>
      </w:pPr>
      <w:r>
        <w:rPr>
          <w:color w:val="000000"/>
        </w:rPr>
        <w:t>Para cada consulta:</w:t>
      </w:r>
    </w:p>
    <w:p>
      <w:pPr>
        <w:pStyle w:val="ListBullet"/>
        <w:spacing w:after="40"/>
      </w:pPr>
      <w:r>
        <w:rPr>
          <w:color w:val="000000"/>
        </w:rPr>
        <w:t>30 medições em REST;</w:t>
      </w:r>
    </w:p>
    <w:p>
      <w:pPr>
        <w:pStyle w:val="ListBullet"/>
        <w:spacing w:after="40"/>
      </w:pPr>
      <w:r>
        <w:rPr>
          <w:color w:val="000000"/>
        </w:rPr>
        <w:t xml:space="preserve">30 medições em GraphQL (+ 1 repetição de </w:t>
      </w:r>
      <w:r>
        <w:rPr>
          <w:i/>
          <w:color w:val="000000"/>
        </w:rPr>
        <w:t>warm-up</w:t>
      </w:r>
      <w:r>
        <w:rPr>
          <w:color w:val="000000"/>
        </w:rPr>
        <w:t xml:space="preserve"> descartada por consulta).</w:t>
      </w:r>
    </w:p>
    <w:p>
      <w:pPr>
        <w:spacing w:after="120"/>
      </w:pPr>
      <w:r>
        <w:rPr>
          <w:b/>
          <w:color w:val="000000"/>
        </w:rPr>
        <w:t>Total:</w:t>
      </w:r>
      <w:r>
        <w:rPr>
          <w:color w:val="000000"/>
        </w:rPr>
        <w:t xml:space="preserve"> 4 consultas × 30 repetições × 2 tratamentos = </w:t>
      </w:r>
      <w:r>
        <w:rPr>
          <w:b/>
          <w:color w:val="000000"/>
        </w:rPr>
        <w:t>240 medições</w:t>
      </w:r>
      <w:r>
        <w:rPr>
          <w:color w:val="000000"/>
        </w:rPr>
        <w:t xml:space="preserve"> (120 pares).</w:t>
      </w:r>
    </w:p>
    <w:p>
      <w:pPr>
        <w:pStyle w:val="Heading3"/>
      </w:pPr>
      <w:r>
        <w:t>H. Ameaças à Validade</w:t>
      </w:r>
    </w:p>
    <w:p>
      <w:pPr>
        <w:spacing w:after="40"/>
      </w:pPr>
      <w:r>
        <w:rPr>
          <w:b/>
          <w:color w:val="000000"/>
        </w:rPr>
        <w:t>Validade interna</w:t>
      </w:r>
    </w:p>
    <w:p>
      <w:pPr>
        <w:pStyle w:val="ListBullet"/>
        <w:spacing w:after="40"/>
      </w:pPr>
      <w:r>
        <w:rPr>
          <w:color w:val="000000"/>
        </w:rPr>
        <w:t>Oscilações de rede podem afetar tempos → mesmo computador e rede; repetições e uso da mediana.</w:t>
      </w:r>
    </w:p>
    <w:p>
      <w:pPr>
        <w:pStyle w:val="ListBullet"/>
        <w:spacing w:after="40"/>
      </w:pPr>
      <w:r>
        <w:rPr>
          <w:b/>
          <w:color w:val="000000"/>
        </w:rPr>
        <w:t>Cache de CDN (observado):</w:t>
      </w:r>
      <w:r>
        <w:rPr>
          <w:color w:val="000000"/>
        </w:rPr>
        <w:t xml:space="preserve"> as respostas REST (</w:t>
      </w:r>
      <w:r>
        <w:rPr>
          <w:rFonts w:ascii="Consolas" w:hAnsi="Consolas"/>
          <w:color w:val="000000"/>
          <w:sz w:val="20"/>
        </w:rPr>
        <w:t>GET</w:t>
      </w:r>
      <w:r>
        <w:rPr>
          <w:color w:val="000000"/>
        </w:rPr>
        <w:t>) são servidas do cache de borda do CDN (Cloudflare) e voltam muito rápidas, enquanto o GraphQL (</w:t>
      </w:r>
      <w:r>
        <w:rPr>
          <w:rFonts w:ascii="Consolas" w:hAnsi="Consolas"/>
          <w:color w:val="000000"/>
          <w:sz w:val="20"/>
        </w:rPr>
        <w:t>POST</w:t>
      </w:r>
      <w:r>
        <w:rPr>
          <w:color w:val="000000"/>
        </w:rPr>
        <w:t xml:space="preserve">) não é cacheável e sempre atinge o servidor de origem. Isso favorece o REST no tempo. Mitigação parcial: cabeçalho </w:t>
      </w:r>
      <w:r>
        <w:rPr>
          <w:rFonts w:ascii="Consolas" w:hAnsi="Consolas"/>
          <w:color w:val="000000"/>
          <w:sz w:val="20"/>
        </w:rPr>
        <w:t>Cache-Control: no-cache</w:t>
      </w:r>
      <w:r>
        <w:rPr>
          <w:color w:val="000000"/>
        </w:rPr>
        <w:t xml:space="preserve"> e warm-up; o efeito é registrado como limitação e discutido no relatório.</w:t>
      </w:r>
    </w:p>
    <w:p>
      <w:pPr>
        <w:spacing w:after="40"/>
      </w:pPr>
      <w:r>
        <w:rPr>
          <w:b/>
          <w:color w:val="000000"/>
        </w:rPr>
        <w:t>Validade externa</w:t>
      </w:r>
    </w:p>
    <w:p>
      <w:pPr>
        <w:pStyle w:val="ListBullet"/>
        <w:spacing w:after="40"/>
      </w:pPr>
      <w:r>
        <w:rPr>
          <w:color w:val="000000"/>
        </w:rPr>
        <w:t>Uso de apenas um domínio (Rick and Morty) → os resultados podem não generalizar para outras APIs. Limitação assumida.</w:t>
      </w:r>
    </w:p>
    <w:p>
      <w:pPr>
        <w:spacing w:after="40"/>
      </w:pPr>
      <w:r>
        <w:rPr>
          <w:b/>
          <w:color w:val="000000"/>
        </w:rPr>
        <w:t>Validade de construção</w:t>
      </w:r>
    </w:p>
    <w:p>
      <w:pPr>
        <w:pStyle w:val="ListBullet"/>
        <w:spacing w:after="40"/>
      </w:pPr>
      <w:r>
        <w:rPr>
          <w:color w:val="000000"/>
        </w:rPr>
        <w:t>REST e GraphQL solicitam o mesmo conjunto de campos úteis. O REST, porém, retorna campos extras (</w:t>
      </w:r>
      <w:r>
        <w:rPr>
          <w:i/>
          <w:color w:val="000000"/>
        </w:rPr>
        <w:t>over-fetching</w:t>
      </w:r>
      <w:r>
        <w:rPr>
          <w:color w:val="000000"/>
        </w:rPr>
        <w:t>), o que faz parte do fenômeno estudado e explica boa parte da diferença de tamanho.</w:t>
      </w:r>
    </w:p>
    <w:p>
      <w:pPr>
        <w:pStyle w:val="ListBullet"/>
        <w:spacing w:after="40"/>
      </w:pPr>
      <w:r>
        <w:rPr>
          <w:color w:val="000000"/>
        </w:rPr>
        <w:t>Tempo medido como latência fim-a-fim da requisição bem-sucedida (as esperas de retentativa por rate limit são excluídas da medição).</w:t>
      </w:r>
    </w:p>
    <w:p>
      <w:pPr>
        <w:spacing w:after="40"/>
      </w:pPr>
      <w:r>
        <w:rPr>
          <w:b/>
          <w:color w:val="000000"/>
        </w:rPr>
        <w:t>Validade estatística / de conclusão</w:t>
      </w:r>
    </w:p>
    <w:p>
      <w:pPr>
        <w:pStyle w:val="ListBullet"/>
        <w:spacing w:after="40"/>
      </w:pPr>
      <w:r>
        <w:rPr>
          <w:color w:val="000000"/>
        </w:rPr>
        <w:t>30 repetições por consulta mitigam ruído; além do p-valor, reporta-se o tamanho de efeito (Cohen d e r). Como a normalidade não é assumida, aplicam-se dois testes (t pareado e Wilcoxon).</w:t>
      </w:r>
    </w:p>
    <w:p>
      <w:pPr>
        <w:pStyle w:val="Heading2"/>
      </w:pPr>
      <w:r>
        <w:t>2. Preparação do Experimento</w:t>
      </w:r>
    </w:p>
    <w:p>
      <w:pPr>
        <w:pStyle w:val="Heading3"/>
      </w:pPr>
      <w:r>
        <w:t>2.1 Ambiente</w:t>
      </w:r>
    </w:p>
    <w:p>
      <w:pPr>
        <w:pStyle w:val="ListBullet"/>
        <w:spacing w:after="40"/>
      </w:pPr>
      <w:r>
        <w:rPr>
          <w:color w:val="000000"/>
        </w:rPr>
        <w:t>Computador pessoal (macOS — MacBook Air).</w:t>
      </w:r>
    </w:p>
    <w:p>
      <w:pPr>
        <w:pStyle w:val="ListBullet"/>
        <w:spacing w:after="40"/>
      </w:pPr>
      <w:r>
        <w:rPr>
          <w:b/>
          <w:color w:val="000000"/>
        </w:rPr>
        <w:t>Python 3.14</w:t>
      </w:r>
      <w:r>
        <w:rPr>
          <w:color w:val="000000"/>
        </w:rPr>
        <w:t xml:space="preserve"> como linguagem principal.</w:t>
      </w:r>
    </w:p>
    <w:p>
      <w:pPr>
        <w:pStyle w:val="ListBullet"/>
        <w:spacing w:after="40"/>
      </w:pPr>
      <w:r>
        <w:rPr>
          <w:color w:val="000000"/>
        </w:rPr>
        <w:t xml:space="preserve">Bibliotecas: </w:t>
      </w:r>
      <w:r>
        <w:rPr>
          <w:rFonts w:ascii="Consolas" w:hAnsi="Consolas"/>
          <w:color w:val="000000"/>
          <w:sz w:val="20"/>
        </w:rPr>
        <w:t>requests</w:t>
      </w:r>
      <w:r>
        <w:rPr>
          <w:color w:val="000000"/>
        </w:rPr>
        <w:t xml:space="preserve"> (chamadas REST e GraphQL, com sessão keep-alive e retentativas com backoff); </w:t>
      </w:r>
      <w:r>
        <w:rPr>
          <w:rFonts w:ascii="Consolas" w:hAnsi="Consolas"/>
          <w:color w:val="000000"/>
          <w:sz w:val="20"/>
        </w:rPr>
        <w:t>pandas</w:t>
      </w:r>
      <w:r>
        <w:rPr>
          <w:color w:val="000000"/>
        </w:rPr>
        <w:t xml:space="preserve"> e </w:t>
      </w:r>
      <w:r>
        <w:rPr>
          <w:rFonts w:ascii="Consolas" w:hAnsi="Consolas"/>
          <w:color w:val="000000"/>
          <w:sz w:val="20"/>
        </w:rPr>
        <w:t>numpy</w:t>
      </w:r>
      <w:r>
        <w:rPr>
          <w:color w:val="000000"/>
        </w:rPr>
        <w:t xml:space="preserve"> (análise); </w:t>
      </w:r>
      <w:r>
        <w:rPr>
          <w:rFonts w:ascii="Consolas" w:hAnsi="Consolas"/>
          <w:color w:val="000000"/>
          <w:sz w:val="20"/>
        </w:rPr>
        <w:t>csv</w:t>
      </w:r>
      <w:r>
        <w:rPr>
          <w:color w:val="000000"/>
        </w:rPr>
        <w:t xml:space="preserve"> e </w:t>
      </w:r>
      <w:r>
        <w:rPr>
          <w:rFonts w:ascii="Consolas" w:hAnsi="Consolas"/>
          <w:color w:val="000000"/>
          <w:sz w:val="20"/>
        </w:rPr>
        <w:t>time.perf_counter</w:t>
      </w:r>
      <w:r>
        <w:rPr>
          <w:color w:val="000000"/>
        </w:rPr>
        <w:t xml:space="preserve"> (padrão).</w:t>
      </w:r>
    </w:p>
    <w:p>
      <w:pPr>
        <w:pStyle w:val="ListBullet"/>
        <w:spacing w:after="40"/>
      </w:pPr>
      <w:r>
        <w:rPr>
          <w:b/>
          <w:color w:val="000000"/>
        </w:rPr>
        <w:t>Testes estatísticos:</w:t>
      </w:r>
      <w:r>
        <w:rPr>
          <w:color w:val="000000"/>
        </w:rPr>
        <w:t xml:space="preserve"> t de Student pareado e Wilcoxon </w:t>
      </w:r>
      <w:r>
        <w:rPr>
          <w:b/>
          <w:color w:val="000000"/>
        </w:rPr>
        <w:t>implementados em Python puro</w:t>
      </w:r>
      <w:r>
        <w:rPr>
          <w:color w:val="000000"/>
        </w:rPr>
        <w:t xml:space="preserve"> (sem </w:t>
      </w:r>
      <w:r>
        <w:rPr>
          <w:rFonts w:ascii="Consolas" w:hAnsi="Consolas"/>
          <w:color w:val="000000"/>
          <w:sz w:val="20"/>
        </w:rPr>
        <w:t>scipy</w:t>
      </w:r>
      <w:r>
        <w:rPr>
          <w:color w:val="000000"/>
        </w:rPr>
        <w:t>).</w:t>
      </w:r>
    </w:p>
    <w:p>
      <w:pPr>
        <w:pStyle w:val="ListBullet"/>
        <w:spacing w:after="40"/>
      </w:pPr>
      <w:r>
        <w:rPr>
          <w:b/>
          <w:color w:val="000000"/>
        </w:rPr>
        <w:t>Visualização:</w:t>
      </w:r>
      <w:r>
        <w:rPr>
          <w:color w:val="000000"/>
        </w:rPr>
        <w:t xml:space="preserve"> gráficos HTML interativos com </w:t>
      </w:r>
      <w:r>
        <w:rPr>
          <w:b/>
          <w:color w:val="000000"/>
        </w:rPr>
        <w:t>Chart.js</w:t>
      </w:r>
      <w:r>
        <w:rPr>
          <w:color w:val="000000"/>
        </w:rPr>
        <w:t>.</w:t>
      </w:r>
    </w:p>
    <w:p>
      <w:pPr>
        <w:spacing w:after="120"/>
        <w:ind w:left="432"/>
        <w:pBdr>
          <w:left w:val="single" w:sz="18" w:space="10" w:color="999999"/>
        </w:pBdr>
      </w:pPr>
      <w:r>
        <w:rPr>
          <w:i/>
          <w:color w:val="000000"/>
        </w:rPr>
        <w:t>Decisão de ferramenta: optou-se por Python + requests por integração direta com pandas/numpy na análise, mantendo todo o pipeline (coleta → análise → gráficos) em uma só linguagem.</w:t>
      </w:r>
    </w:p>
    <w:p>
      <w:pPr>
        <w:pStyle w:val="Heading3"/>
      </w:pPr>
      <w:r>
        <w:t>2.2 Scripts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Arquivo</w:t>
            </w:r>
          </w:p>
        </w:tc>
        <w:tc>
          <w:tcPr>
            <w:tcW w:type="dxa" w:w="6912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Função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experimento.py</w:t>
            </w:r>
          </w:p>
        </w:tc>
        <w:tc>
          <w:tcPr>
            <w:tcW w:type="dxa" w:w="691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Coleta real na API do Rick and Morty; mede tempo e tamanho; salva resultados.csv.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gerar_dados.py</w:t>
            </w:r>
          </w:p>
        </w:tc>
        <w:tc>
          <w:tcPr>
            <w:tcW w:type="dxa" w:w="691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Gera um resultados.csv simulado (fallback para testar a pipeline sem coletar).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analise.py</w:t>
            </w:r>
          </w:p>
        </w:tc>
        <w:tc>
          <w:tcPr>
            <w:tcW w:type="dxa" w:w="691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Estatística pareada (t + Wilcoxon), tamanho de efeito; gera analise_resumo.json.</w:t>
            </w:r>
          </w:p>
        </w:tc>
      </w:tr>
      <w:tr>
        <w:tc>
          <w:tcPr>
            <w:tcW w:type="dxa" w:w="244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gerar_graficos.py</w:t>
            </w:r>
          </w:p>
        </w:tc>
        <w:tc>
          <w:tcPr>
            <w:tcW w:type="dxa" w:w="691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Gera os 2 gráficos HTML em graficos/ (tempo e tamanho).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000000"/>
        </w:rPr>
        <w:t>Ordem de execução:</w:t>
      </w:r>
    </w:p>
    <w:p>
      <w:pPr>
        <w:shd w:val="clear" w:fill="F2F2F2"/>
        <w:spacing w:after="160"/>
        <w:ind w:left="144"/>
      </w:pPr>
      <w:r>
        <w:rPr>
          <w:rFonts w:ascii="Consolas" w:hAnsi="Consolas"/>
          <w:color w:val="000000"/>
          <w:sz w:val="20"/>
        </w:rPr>
        <w:t>pip install -r requirements.txt</w:t>
        <w:br/>
      </w:r>
      <w:r>
        <w:rPr>
          <w:rFonts w:ascii="Consolas" w:hAnsi="Consolas"/>
          <w:color w:val="000000"/>
          <w:sz w:val="20"/>
        </w:rPr>
        <w:t>python3 experimento.py        # coleta os dados reais</w:t>
        <w:br/>
      </w:r>
      <w:r>
        <w:rPr>
          <w:rFonts w:ascii="Consolas" w:hAnsi="Consolas"/>
          <w:color w:val="000000"/>
          <w:sz w:val="20"/>
        </w:rPr>
        <w:t>python3 analise.py            # roda a estatística</w:t>
        <w:br/>
      </w:r>
      <w:r>
        <w:rPr>
          <w:rFonts w:ascii="Consolas" w:hAnsi="Consolas"/>
          <w:color w:val="000000"/>
          <w:sz w:val="20"/>
        </w:rPr>
        <w:t>python3 gerar_graficos.py     # gera os gráficos</w:t>
      </w:r>
    </w:p>
    <w:p>
      <w:pPr>
        <w:pStyle w:val="Heading3"/>
      </w:pPr>
      <w:r>
        <w:t>2.3 Consultas</w:t>
      </w:r>
    </w:p>
    <w:p>
      <w:pPr>
        <w:spacing w:after="120"/>
      </w:pPr>
      <w:r>
        <w:rPr>
          <w:color w:val="000000"/>
        </w:rPr>
        <w:t>As 4 consultas, equivalentes em REST e GraphQL: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#</w:t>
            </w:r>
          </w:p>
        </w:tc>
        <w:tc>
          <w:tcPr>
            <w:tcW w:type="dxa" w:w="1440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Consulta</w:t>
            </w:r>
          </w:p>
        </w:tc>
        <w:tc>
          <w:tcPr>
            <w:tcW w:type="dxa" w:w="3888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REST</w:t>
            </w:r>
          </w:p>
        </w:tc>
        <w:tc>
          <w:tcPr>
            <w:tcW w:type="dxa" w:w="3456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GraphQL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Simples</w:t>
            </w:r>
          </w:p>
        </w:tc>
        <w:tc>
          <w:tcPr>
            <w:tcW w:type="dxa" w:w="388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GET /character</w:t>
            </w:r>
          </w:p>
        </w:tc>
        <w:tc>
          <w:tcPr>
            <w:tcW w:type="dxa" w:w="345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characters { results { … } }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Filtrada</w:t>
            </w:r>
          </w:p>
        </w:tc>
        <w:tc>
          <w:tcPr>
            <w:tcW w:type="dxa" w:w="388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GET /character/?name=rick</w:t>
            </w:r>
          </w:p>
        </w:tc>
        <w:tc>
          <w:tcPr>
            <w:tcW w:type="dxa" w:w="345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characters(filter:{name:"rick"})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Por ID</w:t>
            </w:r>
          </w:p>
        </w:tc>
        <w:tc>
          <w:tcPr>
            <w:tcW w:type="dxa" w:w="388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GET /character/1</w:t>
            </w:r>
          </w:p>
        </w:tc>
        <w:tc>
          <w:tcPr>
            <w:tcW w:type="dxa" w:w="345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character(id:1)</w:t>
            </w:r>
          </w:p>
        </w:tc>
      </w:tr>
      <w:tr>
        <w:tc>
          <w:tcPr>
            <w:tcW w:type="dxa" w:w="57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Composta</w:t>
            </w:r>
          </w:p>
        </w:tc>
        <w:tc>
          <w:tcPr>
            <w:tcW w:type="dxa" w:w="3888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GET /character/1 + GET /episode/1,2,… (lote)</w:t>
            </w:r>
          </w:p>
        </w:tc>
        <w:tc>
          <w:tcPr>
            <w:tcW w:type="dxa" w:w="3456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character(id:1){ … episode{…} }</w:t>
            </w:r>
          </w:p>
        </w:tc>
      </w:tr>
    </w:tbl>
    <w:p>
      <w:pPr>
        <w:spacing w:after="40"/>
      </w:pPr>
    </w:p>
    <w:p>
      <w:pPr>
        <w:pStyle w:val="Heading3"/>
      </w:pPr>
      <w:r>
        <w:t>2.4 Estrutura do CSV</w:t>
      </w:r>
    </w:p>
    <w:p>
      <w:pPr>
        <w:spacing w:after="120"/>
      </w:pPr>
      <w:r>
        <w:rPr>
          <w:color w:val="000000"/>
        </w:rPr>
        <w:t>Cada linha registrada segue o formato: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metodo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consulta</w:t>
            </w:r>
          </w:p>
        </w:tc>
        <w:tc>
          <w:tcPr>
            <w:tcW w:type="dxa" w:w="1944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repeticao</w:t>
            </w:r>
          </w:p>
        </w:tc>
        <w:tc>
          <w:tcPr>
            <w:tcW w:type="dxa" w:w="1800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tempo_ms</w:t>
            </w:r>
          </w:p>
        </w:tc>
        <w:tc>
          <w:tcPr>
            <w:tcW w:type="dxa" w:w="1872"/>
            <w:shd w:val="clear" w:fill="D9E2F3"/>
          </w:tcPr>
          <w:p>
            <w:r>
              <w:rPr>
                <w:b/>
                <w:color w:val="000000"/>
                <w:sz w:val="19"/>
              </w:rPr>
            </w:r>
            <w:r>
              <w:rPr>
                <w:b/>
                <w:color w:val="000000"/>
                <w:sz w:val="19"/>
              </w:rPr>
              <w:t>tamanho_bytes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REST</w:t>
            </w:r>
          </w:p>
        </w:tc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simples</w:t>
            </w:r>
          </w:p>
        </w:tc>
        <w:tc>
          <w:tcPr>
            <w:tcW w:type="dxa" w:w="1944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56.2</w:t>
            </w:r>
          </w:p>
        </w:tc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19496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GraphQL</w:t>
            </w:r>
          </w:p>
        </w:tc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simples</w:t>
            </w:r>
          </w:p>
        </w:tc>
        <w:tc>
          <w:tcPr>
            <w:tcW w:type="dxa" w:w="1944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00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321.2</w:t>
            </w:r>
          </w:p>
        </w:tc>
        <w:tc>
          <w:tcPr>
            <w:tcW w:type="dxa" w:w="1872"/>
          </w:tcPr>
          <w:p>
            <w:r>
              <w:rPr>
                <w:b w:val="0"/>
                <w:color w:val="000000"/>
                <w:sz w:val="19"/>
              </w:rPr>
            </w:r>
            <w:r>
              <w:rPr>
                <w:b w:val="0"/>
                <w:color w:val="000000"/>
                <w:sz w:val="19"/>
              </w:rPr>
              <w:t>3421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color w:val="000000"/>
        </w:rPr>
        <w:t>Isso permite as análises diretas para RQ1 (tempo) e RQ2 (tamanho).</w:t>
      </w:r>
    </w:p>
    <w:p>
      <w:r>
        <w:drawing>
          <wp:inline xmlns:a="http://schemas.openxmlformats.org/drawingml/2006/main" xmlns:pic="http://schemas.openxmlformats.org/drawingml/2006/picture">
            <wp:extent cx="5669280" cy="4395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95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347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70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