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after="140"/>
      </w:pPr>
      <w:r>
        <w:rPr>
          <w:b/>
          <w:rFonts w:ascii="Arial" w:hAnsi="Arial"/>
          <w:sz w:val="36"/>
        </w:rPr>
        <w:t xml:space="preserve">WordPress com balanceamento de carga em cinco contêineres</w:t>
      </w:r>
    </w:p>
    <w:p>
      <w:pPr>
        <w:spacing w:after="140"/>
      </w:pPr>
      <w:r>
        <w:rPr>
          <w:rFonts w:ascii="Arial" w:hAnsi="Arial"/>
          <w:sz w:val="23"/>
        </w:rPr>
        <w:t xml:space="preserve">Autores: Lucas Kohagura, Pedro Luis e Joao Pedro Lopes.</w:t>
      </w:r>
    </w:p>
    <w:p>
      <w:pPr>
        <w:spacing w:after="140"/>
      </w:pPr>
      <w:r>
        <w:rPr>
          <w:rFonts w:ascii="Arial" w:hAnsi="Arial"/>
          <w:sz w:val="23"/>
        </w:rPr>
        <w:t xml:space="preserve">Data da revisão: 15 de outubro de 2026.</w:t>
      </w:r>
    </w:p>
    <w:p>
      <w:pPr>
        <w:keepNext/>
        <w:spacing w:after="140"/>
      </w:pPr>
      <w:r>
        <w:rPr>
          <w:b/>
          <w:rFonts w:ascii="Arial" w:hAnsi="Arial"/>
          <w:sz w:val="28"/>
        </w:rPr>
        <w:t xml:space="preserve">Objetivo</w:t>
      </w:r>
    </w:p>
    <w:p>
      <w:pPr>
        <w:spacing w:after="140"/>
      </w:pPr>
      <w:r>
        <w:rPr>
          <w:rFonts w:ascii="Arial" w:hAnsi="Arial"/>
          <w:sz w:val="23"/>
        </w:rPr>
        <w:t xml:space="preserve">Preparar um experimento em que Nginx encaminha requisições a três instâncias WordPress que compartilham arquivos e um banco MySQL. A identificação do destino deve ser observável por X-Upstream.</w:t>
      </w:r>
    </w:p>
    <w:p>
      <w:pPr>
        <w:keepNext/>
        <w:spacing w:after="140"/>
      </w:pPr>
      <w:r>
        <w:rPr>
          <w:b/>
          <w:rFonts w:ascii="Arial" w:hAnsi="Arial"/>
          <w:sz w:val="28"/>
        </w:rPr>
        <w:t xml:space="preserve">Requisitos</w:t>
      </w:r>
    </w:p>
    <w:p>
      <w:pPr>
        <w:spacing w:after="140"/>
      </w:pPr>
      <w:r>
        <w:rPr>
          <w:rFonts w:ascii="Arial" w:hAnsi="Arial"/>
          <w:sz w:val="23"/>
        </w:rPr>
        <w:t xml:space="preserve">Exatamente cinco serviços, com mysql:5.7, wordpress:5.4.2-php7.2-apache e nginx:1.19.0. WordPress e MySQL não publicam portas no host. Os três WordPress compartilham /var/www/html e usam o mesmo banco. Nginx monta a mesma pasta em /usr/share/nginx/html.</w:t>
      </w:r>
    </w:p>
    <w:p>
      <w:pPr>
        <w:keepNext/>
        <w:spacing w:after="140"/>
      </w:pPr>
      <w:r>
        <w:rPr>
          <w:b/>
          <w:rFonts w:ascii="Arial" w:hAnsi="Arial"/>
          <w:sz w:val="28"/>
        </w:rPr>
        <w:t xml:space="preserve">Arquitetura</w:t>
      </w:r>
    </w:p>
    <w:p>
      <w:pPr>
        <w:spacing w:after="140"/>
      </w:pPr>
      <w:r>
        <w:rPr>
          <w:rFonts w:ascii="Arial" w:hAnsi="Arial"/>
          <w:sz w:val="23"/>
        </w:rPr>
        <w:t xml:space="preserve">Navegador → 127.0.0.1:8086 → Nginx → wordpress1, wordpress2 ou wordpress3 → database.</w:t>
      </w:r>
    </w:p>
    <w:p>
      <w:pPr>
        <w:spacing w:after="140"/>
      </w:pPr>
      <w:r>
        <w:rPr>
          <w:rFonts w:ascii="Arial" w:hAnsi="Arial"/>
          <w:sz w:val="23"/>
        </w:rPr>
        <w:t xml:space="preserve">A rede de requisições conecta Nginx e WordPress. A rede interna de persistência conecta WordPress e MySQL. Os diretórios html e data/mysql são bind mounts que podem ficar no SSD. Senhas e semente de sessão são arquivos locais separados, entregues somente aos serviços que precisam deles.</w:t>
      </w:r>
    </w:p>
    <w:p>
      <w:pPr>
        <w:keepNext/>
        <w:spacing w:after="140"/>
      </w:pPr>
      <w:r>
        <w:rPr>
          <w:b/>
          <w:rFonts w:ascii="Arial" w:hAnsi="Arial"/>
          <w:sz w:val="28"/>
        </w:rPr>
        <w:t xml:space="preserve">Implementação</w:t>
      </w:r>
    </w:p>
    <w:p>
      <w:pPr>
        <w:spacing w:after="140"/>
      </w:pPr>
      <w:r>
        <w:rPr>
          <w:rFonts w:ascii="Arial" w:hAnsi="Arial"/>
          <w:sz w:val="23"/>
        </w:rPr>
        <w:t xml:space="preserve">O arquivo Compose declara cinco serviços explicitamente. Os WordPress iniciam em sequência após a prontidão das dependências. O script de inicialização copia a distribuição da imagem para a pasta de arquivos compartilhados. A configuração PHP é montada somente para leitura e lê segredos de arquivos em /run/secrets; não é necessário editar PHP com sed no SSD.</w:t>
      </w:r>
    </w:p>
    <w:p>
      <w:pPr>
        <w:spacing w:after="140"/>
      </w:pPr>
      <w:r>
        <w:rPr>
          <w:rFonts w:ascii="Arial" w:hAnsi="Arial"/>
          <w:sz w:val="23"/>
        </w:rPr>
        <w:t xml:space="preserve">O Nginx utiliza um arquivo em conf.d, preservando a configuração principal da imagem oficial. O pool contém os três WordPress. São configurados conexões persistentes, tempos limite e o cabeçalho X-Upstream. O endpoint /saude-proxy verifica somente o proxy e não comprova comunicação com WordPress ou banco.</w:t>
      </w:r>
    </w:p>
    <w:p>
      <w:pPr>
        <w:spacing w:after="140"/>
      </w:pPr>
      <w:r>
        <w:rPr>
          <w:rFonts w:ascii="Arial" w:hAnsi="Arial"/>
          <w:sz w:val="23"/>
        </w:rPr>
        <w:t xml:space="preserve">MySQL 5.7 utiliza linux/amd64 em Apple Silicon, com limites de memória e conexões para um laboratório pequeno. A URL de WordPress é definida por SITE_URL. Cron e atualizações automáticas ficam desabilitados nesta instância para manter as versões e o comportamento do experimento.</w:t>
      </w:r>
    </w:p>
    <w:p>
      <w:pPr>
        <w:keepNext/>
        <w:spacing w:after="140"/>
      </w:pPr>
      <w:r>
        <w:rPr>
          <w:b/>
          <w:rFonts w:ascii="Arial" w:hAnsi="Arial"/>
          <w:sz w:val="28"/>
        </w:rPr>
        <w:t xml:space="preserve">Verificações realizadas</w:t>
      </w:r>
    </w:p>
    <w:p>
      <w:pPr>
        <w:spacing w:after="140"/>
      </w:pPr>
      <w:r>
        <w:rPr>
          <w:rFonts w:ascii="Arial" w:hAnsi="Arial"/>
          <w:sz w:val="23"/>
        </w:rPr>
        <w:t xml:space="preserve">• Compose resolvido sem erro, com exatamente cinco serviços e as tags exigidas.</w:t>
      </w:r>
    </w:p>
    <w:p>
      <w:pPr>
        <w:spacing w:after="140"/>
      </w:pPr>
      <w:r>
        <w:rPr>
          <w:rFonts w:ascii="Arial" w:hAnsi="Arial"/>
          <w:sz w:val="23"/>
        </w:rPr>
        <w:t xml:space="preserve">• Uma única publicação de porta: 127.0.0.1:8086, no Nginx.</w:t>
      </w:r>
    </w:p>
    <w:p>
      <w:pPr>
        <w:spacing w:after="140"/>
      </w:pPr>
      <w:r>
        <w:rPr>
          <w:rFonts w:ascii="Arial" w:hAnsi="Arial"/>
          <w:sz w:val="23"/>
        </w:rPr>
        <w:t xml:space="preserve">• Ausência de publicação de portas no banco e nos WordPress.</w:t>
      </w:r>
    </w:p>
    <w:p>
      <w:pPr>
        <w:spacing w:after="140"/>
      </w:pPr>
      <w:r>
        <w:rPr>
          <w:rFonts w:ascii="Arial" w:hAnsi="Arial"/>
          <w:sz w:val="23"/>
        </w:rPr>
        <w:t xml:space="preserve">• Rede de persistência interna e Nginx fora dessa rede.</w:t>
      </w:r>
    </w:p>
    <w:p>
      <w:pPr>
        <w:spacing w:after="140"/>
      </w:pPr>
      <w:r>
        <w:rPr>
          <w:rFonts w:ascii="Arial" w:hAnsi="Arial"/>
          <w:sz w:val="23"/>
        </w:rPr>
        <w:t xml:space="preserve">• Senha root do MySQL não entregue aos serviços WordPress.</w:t>
      </w:r>
    </w:p>
    <w:p>
      <w:pPr>
        <w:spacing w:after="140"/>
      </w:pPr>
      <w:r>
        <w:rPr>
          <w:rFonts w:ascii="Arial" w:hAnsi="Arial"/>
          <w:sz w:val="23"/>
        </w:rPr>
        <w:t xml:space="preserve">• Nenhum serviço configurado como privileged.</w:t>
      </w:r>
    </w:p>
    <w:p>
      <w:pPr>
        <w:spacing w:after="140"/>
      </w:pPr>
      <w:r>
        <w:rPr>
          <w:rFonts w:ascii="Arial" w:hAnsi="Arial"/>
          <w:sz w:val="23"/>
        </w:rPr>
        <w:t xml:space="preserve">• Sintaxe shell aprovada; preparador reexecutado sem substituir segredos existentes.</w:t>
      </w:r>
    </w:p>
    <w:p>
      <w:pPr>
        <w:keepNext/>
        <w:spacing w:after="140"/>
      </w:pPr>
      <w:r>
        <w:rPr>
          <w:b/>
          <w:rFonts w:ascii="Arial" w:hAnsi="Arial"/>
          <w:sz w:val="28"/>
        </w:rPr>
        <w:t xml:space="preserve">Resultados da execução</w:t>
      </w:r>
    </w:p>
    <w:p>
      <w:pPr>
        <w:spacing w:after="140"/>
      </w:pPr>
      <w:r>
        <w:rPr>
          <w:rFonts w:ascii="Arial" w:hAnsi="Arial"/>
          <w:sz w:val="23"/>
        </w:rPr>
        <w:t xml:space="preserve">Em 15/10/2026, os cinco serviços foram executados no perfil Docker dedicado. MySQL e os três WordPress ficaram saudáveis; Nginx respondeu pela única porta publicada, 127.0.0.1:8086. A validação nginx -t e a análise php -l foram concluídas sem erro.</w:t>
      </w:r>
    </w:p>
    <w:p>
      <w:pPr>
        <w:spacing w:after="140"/>
      </w:pPr>
      <w:r>
        <w:rPr>
          <w:rFonts w:ascii="Arial" w:hAnsi="Arial"/>
          <w:sz w:val="23"/>
        </w:rPr>
        <w:t xml:space="preserve">O WordPress foi instalado em banco próprio, com conteúdo inicial de demonstração e usuário fictício. A consulta confirmou 12 tabelas no banco experimento. Nove requisições retornaram HTTP 200, com três destinos: 172.20.0.2:80, 172.20.0.3:80 e 172.20.0.4:80. O SHA-256 do HTML foi igual nas nove respostas. Os IPs são internos e podem mudar em outra execução.</w:t>
      </w:r>
    </w:p>
    <w:p>
      <w:pPr>
        <w:spacing w:after="140"/>
      </w:pPr>
      <w:r>
        <w:rPr>
          <w:rFonts w:ascii="Arial" w:hAnsi="Arial"/>
          <w:sz w:val="23"/>
        </w:rPr>
        <w:t xml:space="preserve">O projeto foi parado com docker-compose stop e retomado com docker-compose up -d. Após a retomada, o verificador voltou a registrar APROVADO_RUNTIME, com acesso ao banco e à página instalada. O log de persistência e o registro de runtime estão anexados na pasta de evidências. Não foi executado teste de carga.</w:t>
      </w:r>
    </w:p>
    <w:p>
      <w:pPr>
        <w:keepNext/>
        <w:spacing w:after="140"/>
      </w:pPr>
      <w:r>
        <w:rPr>
          <w:b/>
          <w:rFonts w:ascii="Arial" w:hAnsi="Arial"/>
          <w:sz w:val="28"/>
        </w:rPr>
        <w:t xml:space="preserve">Evidências</w:t>
      </w:r>
    </w:p>
    <w:p>
      <w:pPr>
        <w:spacing w:after="140"/>
      </w:pPr>
      <w:r>
        <w:rPr>
          <w:rFonts w:ascii="Arial" w:hAnsi="Arial"/>
          <w:sz w:val="23"/>
        </w:rPr>
        <w:t xml:space="preserve">As figuras são capturas reais desta execução: três capturas de Terminal e a página instalada em navegador Chromium com perfil isolado. As capturas do Terminal excluem a barra de título com identificadores pessoais. Nenhuma imagem foi gerada a partir de logs. O registro navegador-http.json documenta nove respostas HTTP observadas no navegador.</w:t>
      </w:r>
    </w:p>
    <w:p>
      <w:pPr>
        <w:pageBreakBefore/>
        <w:keepNext/>
      </w:pPr>
      <w:r>
        <w:t>Figura 1. Cinco serviços ativos e porta publicada somente no Nginx.</w:t>
      </w:r>
    </w:p>
    <w:p>
      <w:r>
        <w:drawing>
          <wp:inline>
            <wp:extent cx="6048000" cy="3211488"/>
            <wp:docPr id="1" name="Captura real 1" descr="Cinco serviços ativos e porta publicada somente no Nginx."/>
            <a:graphic>
              <a:graphicData uri="http://schemas.openxmlformats.org/drawingml/2006/picture">
                <pic:pic>
                  <pic:nvPicPr>
                    <pic:cNvPr id="1" name="01-terminal-containers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1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keepNext/>
      </w:pPr>
      <w:r>
        <w:t>Figura 2. Nove requisições, três valores X-Upstream e resposta HTTP 200.</w:t>
      </w:r>
    </w:p>
    <w:p>
      <w:r>
        <w:drawing>
          <wp:inline>
            <wp:extent cx="6048000" cy="3211488"/>
            <wp:docPr id="2" name="Captura real 2" descr="Nove requisições, três valores X-Upstream e resposta HTTP 200."/>
            <a:graphic>
              <a:graphicData uri="http://schemas.openxmlformats.org/drawingml/2006/picture">
                <pic:pic>
                  <pic:nvPicPr>
                    <pic:cNvPr id="2" name="02-terminal-balanceamento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1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keepNext/>
      </w:pPr>
      <w:r>
        <w:t>Figura 3. Nginx, PHP, verificador e consulta às 12 tabelas.</w:t>
      </w:r>
    </w:p>
    <w:p>
      <w:r>
        <w:drawing>
          <wp:inline>
            <wp:extent cx="6048000" cy="3211488"/>
            <wp:docPr id="3" name="Captura real 3" descr="Nginx, PHP, verificador e consulta às 12 tabelas."/>
            <a:graphic>
              <a:graphicData uri="http://schemas.openxmlformats.org/drawingml/2006/picture">
                <pic:pic>
                  <pic:nvPicPr>
                    <pic:cNvPr id="3" name="03-terminal-validacao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1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keepNext/>
      </w:pPr>
      <w:r>
        <w:t>Figura 4. Página WordPress instalada, capturada em desktop.</w:t>
      </w:r>
    </w:p>
    <w:p>
      <w:r>
        <w:drawing>
          <wp:inline>
            <wp:extent cx="6048000" cy="5901000"/>
            <wp:docPr id="4" name="Captura real 4" descr="Página WordPress instalada, capturada em desktop."/>
            <a:graphic>
              <a:graphicData uri="http://schemas.openxmlformats.org/drawingml/2006/picture">
                <pic:pic>
                  <pic:nvPicPr>
                    <pic:cNvPr id="4" name="site-desktop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9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keepNext/>
      </w:pPr>
      <w:r>
        <w:t>Figura 5. Página WordPress instalada, capturada em celular.</w:t>
      </w:r>
    </w:p>
    <w:p>
      <w:r>
        <w:drawing>
          <wp:inline>
            <wp:extent cx="1944000" cy="6599630"/>
            <wp:docPr id="5" name="Captura real 5" descr="Página WordPress instalada, capturada em celular."/>
            <a:graphic>
              <a:graphicData uri="http://schemas.openxmlformats.org/drawingml/2006/picture">
                <pic:pic>
                  <pic:nvPicPr>
                    <pic:cNvPr id="5" name="site-mobil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659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/>
      </w:pPr>
      <w:r>
        <w:rPr>
          <w:b/>
          <w:rFonts w:ascii="Arial" w:hAnsi="Arial"/>
          <w:sz w:val="28"/>
        </w:rPr>
        <w:t xml:space="preserve">Conclusão</w:t>
      </w:r>
    </w:p>
    <w:p>
      <w:pPr>
        <w:spacing w:after="140"/>
      </w:pPr>
      <w:r>
        <w:rPr>
          <w:rFonts w:ascii="Arial" w:hAnsi="Arial"/>
          <w:sz w:val="23"/>
        </w:rPr>
        <w:t xml:space="preserve">O experimento foi validado localmente: Nginx distribuiu requisições entre três instâncias WordPress com arquivos e banco compartilhados, mantendo o conteúdo após parar e retomar. Os registros e capturas permitem conferir os resultados apresentados. As versões foram preservadas para a atividade e o teste não caracteriza dimensionamento para uso público.</w:t>
      </w:r>
    </w:p>
    <w:p>
      <w:pPr>
        <w:spacing w:after="140"/>
      </w:pPr>
      <w:r>
        <w:rPr>
          <w:rFonts w:ascii="Arial" w:hAnsi="Arial"/>
          <w:sz w:val="23"/>
        </w:rPr>
        <w:t xml:space="preserve">Código, dados, credenciais e evidências permanecem no SSD dedicado. O pacote público contém código e provas revisadas, sem credenciais, banco ou discos virtuais. Executáveis e componentes de integração do macOS continuam no disco interno.</w:t>
      </w:r>
    </w:p>
    <w:p>
      <w:pPr>
        <w:keepNext/>
        <w:spacing w:after="140"/>
      </w:pPr>
      <w:r>
        <w:rPr>
          <w:b/>
          <w:rFonts w:ascii="Arial" w:hAnsi="Arial"/>
          <w:sz w:val="28"/>
        </w:rPr>
        <w:t xml:space="preserve">Referências técnicas oficiais</w:t>
      </w:r>
    </w:p>
    <w:p>
      <w:pPr>
        <w:spacing w:after="140"/>
      </w:pPr>
      <w:r>
        <w:rPr>
          <w:rFonts w:ascii="Arial" w:hAnsi="Arial"/>
          <w:sz w:val="23"/>
        </w:rPr>
        <w:t xml:space="preserve">Docker Compose: https://docs.docker.com/reference/compose-file/services/</w:t>
      </w:r>
    </w:p>
    <w:p>
      <w:pPr>
        <w:spacing w:after="140"/>
      </w:pPr>
      <w:r>
        <w:rPr>
          <w:rFonts w:ascii="Arial" w:hAnsi="Arial"/>
          <w:sz w:val="23"/>
        </w:rPr>
        <w:t xml:space="preserve">Secrets Compose: https://docs.docker.com/reference/compose-file/secrets/</w:t>
      </w:r>
    </w:p>
    <w:p>
      <w:pPr>
        <w:spacing w:after="140"/>
      </w:pPr>
      <w:r>
        <w:rPr>
          <w:rFonts w:ascii="Arial" w:hAnsi="Arial"/>
          <w:sz w:val="23"/>
        </w:rPr>
        <w:t xml:space="preserve">WordPress: https://developer.wordpress.org/advanced-administration/wordpress/wp-config/</w:t>
      </w:r>
    </w:p>
    <w:p>
      <w:pPr>
        <w:spacing w:after="140"/>
      </w:pPr>
      <w:r>
        <w:rPr>
          <w:rFonts w:ascii="Arial" w:hAnsi="Arial"/>
          <w:sz w:val="23"/>
        </w:rPr>
        <w:t xml:space="preserve">Nginx upstream: https://nginx.org/en/docs/http/ngx_http_upstream_module.html</w:t>
      </w:r>
    </w:p>
    <w:p>
      <w:pPr>
        <w:spacing w:after="140"/>
      </w:pPr>
      <w:r>
        <w:rPr>
          <w:rFonts w:ascii="Arial" w:hAnsi="Arial"/>
          <w:sz w:val="23"/>
        </w:rPr>
        <w:t xml:space="preserve">Nginx proxy: https://nginx.org/en/docs/http/ngx_http_proxy_module.html</w:t>
      </w:r>
    </w:p>
    <w:p>
      <w:pPr>
        <w:spacing w:after="140"/>
      </w:pPr>
      <w:r>
        <w:rPr>
          <w:rFonts w:ascii="Arial" w:hAnsi="Arial"/>
          <w:sz w:val="23"/>
        </w:rPr>
        <w:t xml:space="preserve">As imagens e distribuições mantêm seus avisos de licença e autoria. O projeto não reivindica autoria dessas dependências.</w:t>
      </w:r>
    </w:p>
    <w:sectPr>
      <w:pgSz w:w="11906" w:h="16838"/>
      <w:pgMar w:top="1020" w:right="1020" w:bottom="1020" w:left="1020"/>
    </w:sectPr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01-terminal-containers.png"/><Relationship Id="rId2" Type="http://schemas.openxmlformats.org/officeDocument/2006/relationships/image" Target="media/02-terminal-balanceamento.png"/><Relationship Id="rId3" Type="http://schemas.openxmlformats.org/officeDocument/2006/relationships/image" Target="media/03-terminal-validacao.png"/><Relationship Id="rId4" Type="http://schemas.openxmlformats.org/officeDocument/2006/relationships/image" Target="media/site-desktop.png"/><Relationship Id="rId5" Type="http://schemas.openxmlformats.org/officeDocument/2006/relationships/image" Target="media/site-mobile.png"/></Relationships>
</file>