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957F" w14:textId="00B2DEA4" w:rsidR="00FF6580" w:rsidRDefault="00AC728C">
      <w:r>
        <w:t>Pedro Vincenty</w:t>
      </w:r>
    </w:p>
    <w:p w14:paraId="6913DA18" w14:textId="6B0C6702" w:rsidR="00AC728C" w:rsidRDefault="00AC728C">
      <w:r>
        <w:t>WA 2023</w:t>
      </w:r>
    </w:p>
    <w:p w14:paraId="55D8A98B" w14:textId="1F4EEC00" w:rsidR="00AC728C" w:rsidRDefault="00AC728C">
      <w:r>
        <w:t>Homework 3 Report</w:t>
      </w:r>
    </w:p>
    <w:p w14:paraId="31C07EEA" w14:textId="40D1925A" w:rsidR="00AC728C" w:rsidRDefault="00AC728C"/>
    <w:p w14:paraId="42E85B24" w14:textId="113508E0" w:rsidR="00AC728C" w:rsidRDefault="00AC728C">
      <w:r>
        <w:tab/>
        <w:t xml:space="preserve">Utilizing the program I created in </w:t>
      </w:r>
      <w:r w:rsidR="00702A51">
        <w:t>H</w:t>
      </w:r>
      <w:r>
        <w:t xml:space="preserve">omework 2, I scraped ratings and reviews from 100 movies on rotten tomatoes to </w:t>
      </w:r>
      <w:r w:rsidR="00702A51">
        <w:t xml:space="preserve">build a model that predicts a movie’s ratings based on its reviews.  I </w:t>
      </w:r>
      <w:r>
        <w:t>create</w:t>
      </w:r>
      <w:r w:rsidR="00702A51">
        <w:t>d</w:t>
      </w:r>
      <w:r>
        <w:t xml:space="preserve"> a count vectorizer classifier </w:t>
      </w:r>
      <w:r w:rsidR="00702A51">
        <w:t xml:space="preserve">with an </w:t>
      </w:r>
      <w:r>
        <w:t xml:space="preserve">accuracy near 100% (99.36%) </w:t>
      </w:r>
      <w:r w:rsidR="00702A51">
        <w:t xml:space="preserve">utilizing </w:t>
      </w:r>
      <w:r>
        <w:t xml:space="preserve">unigrams and bypassing English stop words.  My program read 5 pages of reviews for Martin Scorsese’s Silence, ran them through the same count vectorizer, and predicted </w:t>
      </w:r>
      <w:r w:rsidR="00320414">
        <w:t xml:space="preserve">the ratings of the reviews with </w:t>
      </w:r>
      <w:r w:rsidR="00702A51">
        <w:t>my new</w:t>
      </w:r>
      <w:r w:rsidR="00320414">
        <w:t xml:space="preserve"> logistic model </w:t>
      </w:r>
      <w:r w:rsidR="00702A51">
        <w:t>at</w:t>
      </w:r>
      <w:r w:rsidR="00320414">
        <w:t xml:space="preserve"> an accuracy of 89%.</w:t>
      </w:r>
    </w:p>
    <w:p w14:paraId="3BA74EA3" w14:textId="1C80A586" w:rsidR="00702A51" w:rsidRDefault="00702A51"/>
    <w:p w14:paraId="0E5AC526" w14:textId="68D23E58" w:rsidR="00702A51" w:rsidRDefault="00702A51">
      <w:r>
        <w:tab/>
        <w:t xml:space="preserve">The below data frame shows the </w:t>
      </w:r>
      <w:r w:rsidR="00D5594C">
        <w:t xml:space="preserve">first 10 </w:t>
      </w:r>
      <w:r>
        <w:t xml:space="preserve">records where the model incorrectly predicted the rating of the movie.  </w:t>
      </w:r>
    </w:p>
    <w:p w14:paraId="60BF5E91" w14:textId="289BBC64" w:rsidR="00702A51" w:rsidRDefault="00702A51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67"/>
        <w:gridCol w:w="800"/>
        <w:gridCol w:w="1121"/>
      </w:tblGrid>
      <w:tr w:rsidR="00702A51" w:rsidRPr="00702A51" w14:paraId="33D10886" w14:textId="77777777" w:rsidTr="00702A5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A0433" w14:textId="77777777" w:rsidR="00702A51" w:rsidRPr="00702A51" w:rsidRDefault="00702A51" w:rsidP="00702A51">
            <w:pPr>
              <w:pStyle w:val="Heading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FC961" w14:textId="18DFFBDE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R</w:t>
            </w:r>
            <w:r w:rsidRPr="00702A51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eview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D7891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6FC7C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Prediction</w:t>
            </w:r>
          </w:p>
        </w:tc>
      </w:tr>
      <w:tr w:rsidR="00702A51" w:rsidRPr="00702A51" w14:paraId="76B1557F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0D0AC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24813" w14:textId="7B4BF3EB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Silence is an example that with passion a film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3E8D4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7E462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</w:tr>
      <w:tr w:rsidR="00702A51" w:rsidRPr="00702A51" w14:paraId="39A4BE89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9D76F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A7F30" w14:textId="46065A85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’</w:t>
            </w: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s not quite the 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“</w:t>
            </w:r>
            <w:proofErr w:type="spellStart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priestsploitation</w:t>
            </w:r>
            <w:proofErr w:type="spellEnd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" </w:t>
            </w:r>
            <w:proofErr w:type="spellStart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nonsens</w:t>
            </w:r>
            <w:proofErr w:type="spellEnd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E2151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0E1D7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702A51" w:rsidRPr="00702A51" w14:paraId="701135C0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2E67EA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51CD4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Silence is a dreadful film from beginning to end.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FB9EC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C70D3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702A51" w:rsidRPr="00702A51" w14:paraId="4C9F8C5F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8048E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39486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The film completes what would be Scorsese's sp...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5C9D1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C61C5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</w:tr>
      <w:tr w:rsidR="00702A51" w:rsidRPr="00702A51" w14:paraId="3530334F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D8EF22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A9DED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Its complex message about faith and the </w:t>
            </w:r>
            <w:proofErr w:type="spellStart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faithf</w:t>
            </w:r>
            <w:proofErr w:type="spellEnd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97E3E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CCEA3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702A51" w:rsidRPr="00702A51" w14:paraId="3C64CDA5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D2D5A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18C66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Basically, Silence looks and sounds great. But...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3C918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685B9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702A51" w:rsidRPr="00702A51" w14:paraId="5E663763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1F8B4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EC8FD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Even at its unnecessary length, Silence is sel...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16337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7DC2A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</w:tr>
      <w:tr w:rsidR="00702A51" w:rsidRPr="00702A51" w14:paraId="2C08D024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7B2C0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124CD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By the end of the ordeal, the question is </w:t>
            </w:r>
            <w:proofErr w:type="spellStart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stal</w:t>
            </w:r>
            <w:proofErr w:type="spellEnd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D9706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7B71D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702A51" w:rsidRPr="00702A51" w14:paraId="77F3F2B4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5D19D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75A63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 xml:space="preserve">An ambitious tape that limps at times. </w:t>
            </w:r>
            <w:proofErr w:type="gramStart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However</w:t>
            </w:r>
            <w:proofErr w:type="gramEnd"/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36673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E2590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</w:tr>
      <w:tr w:rsidR="00702A51" w:rsidRPr="00702A51" w14:paraId="6912B6E4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EB15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18309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As one of the unarguable geniuses of American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CB427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82BBC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702A51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702A51" w:rsidRPr="00702A51" w14:paraId="062F419A" w14:textId="77777777" w:rsidTr="00702A5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30243A" w14:textId="77777777" w:rsidR="00702A51" w:rsidRDefault="00702A51" w:rsidP="00702A51">
            <w:pPr>
              <w:pStyle w:val="Heading2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</w:p>
          <w:p w14:paraId="76EA5BE1" w14:textId="5DF46E16" w:rsidR="00702A51" w:rsidRPr="00702A51" w:rsidRDefault="00702A51" w:rsidP="00702A5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D3C18C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4E69C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FFC4D8" w14:textId="77777777" w:rsidR="00702A51" w:rsidRPr="00702A51" w:rsidRDefault="00702A51" w:rsidP="00702A51">
            <w:pPr>
              <w:pStyle w:val="Heading2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9970863" w14:textId="5884BCE4" w:rsidR="00702A51" w:rsidRDefault="00702A51" w:rsidP="00702A51">
      <w:pPr>
        <w:ind w:firstLine="720"/>
      </w:pPr>
      <w:r>
        <w:t xml:space="preserve">The bar graph below shows the prediction accuracy of the model by the number of predictions made.  </w:t>
      </w:r>
    </w:p>
    <w:p w14:paraId="38A9B23E" w14:textId="770A2430" w:rsidR="00702A51" w:rsidRDefault="00702A51" w:rsidP="00702A51">
      <w:pPr>
        <w:jc w:val="center"/>
      </w:pPr>
      <w:r w:rsidRPr="00702A51">
        <w:lastRenderedPageBreak/>
        <w:drawing>
          <wp:inline distT="0" distB="0" distL="0" distR="0" wp14:anchorId="5B1B3D8C" wp14:editId="62565643">
            <wp:extent cx="4599160" cy="3723551"/>
            <wp:effectExtent l="0" t="0" r="0" b="0"/>
            <wp:docPr id="1" name="Picture 1" descr="A green and red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and red bar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717" cy="37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8C"/>
    <w:rsid w:val="00163BEE"/>
    <w:rsid w:val="001B57C4"/>
    <w:rsid w:val="00320414"/>
    <w:rsid w:val="00702A51"/>
    <w:rsid w:val="00AC728C"/>
    <w:rsid w:val="00D5594C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3E893"/>
  <w15:chartTrackingRefBased/>
  <w15:docId w15:val="{3A000EA3-D31A-254A-85D1-05F5A5C2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2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 Vincenty</dc:creator>
  <cp:keywords/>
  <dc:description/>
  <cp:lastModifiedBy>Pedro M Vincenty</cp:lastModifiedBy>
  <cp:revision>1</cp:revision>
  <cp:lastPrinted>2023-11-17T01:15:00Z</cp:lastPrinted>
  <dcterms:created xsi:type="dcterms:W3CDTF">2023-11-17T00:40:00Z</dcterms:created>
  <dcterms:modified xsi:type="dcterms:W3CDTF">2023-11-17T01:15:00Z</dcterms:modified>
</cp:coreProperties>
</file>