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9057" w14:textId="77777777" w:rsidR="00F12645" w:rsidRPr="00431771" w:rsidRDefault="00453FBF" w:rsidP="00F12645">
      <w:pPr>
        <w:jc w:val="both"/>
        <w:rPr>
          <w:rFonts w:ascii="Times New Roman" w:hAnsi="Times New Roman" w:cs="Times New Roman"/>
          <w:sz w:val="24"/>
          <w:szCs w:val="24"/>
        </w:rPr>
      </w:pPr>
      <w:r w:rsidRPr="00431771">
        <w:rPr>
          <w:rFonts w:ascii="Times New Roman" w:hAnsi="Times New Roman" w:cs="Times New Roman"/>
          <w:sz w:val="24"/>
          <w:szCs w:val="24"/>
        </w:rPr>
        <w:tab/>
        <w:t xml:space="preserve">Uma boa gestão de políticas públicas perpassa pela elaboração de indicadores que permitam seu monitoramento e avaliação constantes. </w:t>
      </w:r>
      <w:r w:rsidR="00974602" w:rsidRPr="00431771">
        <w:rPr>
          <w:rFonts w:ascii="Times New Roman" w:hAnsi="Times New Roman" w:cs="Times New Roman"/>
          <w:sz w:val="24"/>
          <w:szCs w:val="24"/>
        </w:rPr>
        <w:t>No contexto da educação brasileira, o Sistema de Avaliação da Educação Básica (SAEB) consiste em um dos principais instrumentos para subsidiar o poder público com informações regulares a respeito do desempenho dos alunos.</w:t>
      </w:r>
      <w:r w:rsidR="00F12645" w:rsidRPr="00431771">
        <w:rPr>
          <w:rFonts w:ascii="Times New Roman" w:hAnsi="Times New Roman" w:cs="Times New Roman"/>
          <w:sz w:val="24"/>
          <w:szCs w:val="24"/>
        </w:rPr>
        <w:t xml:space="preserve"> Na últimas décadas, os indicadores do SAEB permitiram identificar municípios que têm se destacado por sua qualidade do ensino. Dentre eles, pode-se mencionar Sobral (CE), que tem sido constantemente reconhecido no cenário nacional por seus avanços. </w:t>
      </w:r>
    </w:p>
    <w:p w14:paraId="7D1D0690" w14:textId="250560F9" w:rsidR="00974602" w:rsidRPr="00431771" w:rsidRDefault="00F12645" w:rsidP="00F1264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1771">
        <w:rPr>
          <w:rFonts w:ascii="Times New Roman" w:hAnsi="Times New Roman" w:cs="Times New Roman"/>
          <w:sz w:val="24"/>
          <w:szCs w:val="24"/>
        </w:rPr>
        <w:t>Mas o que os dados têm a revelar sobre a trajetória do ensino público em Sobral? A análise a seguir debruça-se particularmente sobre seu desempenho ao longo do tempo.</w:t>
      </w:r>
    </w:p>
    <w:p w14:paraId="5A6609EC" w14:textId="29C63AA8" w:rsidR="00CA0C79" w:rsidRPr="00431771" w:rsidRDefault="00CA0C79" w:rsidP="00F1264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1771">
        <w:rPr>
          <w:rFonts w:ascii="Times New Roman" w:hAnsi="Times New Roman" w:cs="Times New Roman"/>
          <w:sz w:val="24"/>
          <w:szCs w:val="24"/>
        </w:rPr>
        <w:t>A figura 1 revela, de forma agregada, a evolução do ensino em Sobral. Aqui, utilizou-se o Índice de Desenvolvimento da Educação Básica (IDEB), um indicador composto que resume o desempenho dos estudantes a partir de sua proficiência em matérias-chaves (Português e Matemática) e do fluxo escolar. Em 2005, a sua nota do IDEB era muito baixa, tanto para as séries iniciais, quanto para as finais. Contudo, este quadro evoluiu de maneira constante e expressiva, salvo 2020 e 2021, quando o ensino foi drasticamente afetado pela pandemia do coronavírus. Também se pode notar que o IDEB é sempre superior n</w:t>
      </w:r>
      <w:r w:rsidR="0049295D">
        <w:rPr>
          <w:rFonts w:ascii="Times New Roman" w:hAnsi="Times New Roman" w:cs="Times New Roman"/>
          <w:sz w:val="24"/>
          <w:szCs w:val="24"/>
        </w:rPr>
        <w:t xml:space="preserve">as turmas </w:t>
      </w:r>
      <w:r w:rsidRPr="00431771">
        <w:rPr>
          <w:rFonts w:ascii="Times New Roman" w:hAnsi="Times New Roman" w:cs="Times New Roman"/>
          <w:sz w:val="24"/>
          <w:szCs w:val="24"/>
        </w:rPr>
        <w:t>iniciais.</w:t>
      </w:r>
    </w:p>
    <w:p w14:paraId="1EE4D687" w14:textId="62DD5DBF" w:rsidR="00974602" w:rsidRPr="00431771" w:rsidRDefault="00974602" w:rsidP="00453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625C00" w14:textId="19CAC2C4" w:rsidR="00CA0C79" w:rsidRPr="00431771" w:rsidRDefault="00CA0C79" w:rsidP="00453FBF">
      <w:pPr>
        <w:jc w:val="both"/>
        <w:rPr>
          <w:rFonts w:ascii="Times New Roman" w:hAnsi="Times New Roman" w:cs="Times New Roman"/>
          <w:sz w:val="24"/>
          <w:szCs w:val="24"/>
        </w:rPr>
      </w:pPr>
      <w:r w:rsidRPr="00431771">
        <w:rPr>
          <w:rFonts w:ascii="Times New Roman" w:hAnsi="Times New Roman" w:cs="Times New Roman"/>
          <w:sz w:val="24"/>
          <w:szCs w:val="24"/>
        </w:rPr>
        <w:t>Figura 1.</w:t>
      </w:r>
    </w:p>
    <w:p w14:paraId="45727EBE" w14:textId="2ACBA4FB" w:rsidR="00453FBF" w:rsidRDefault="00974602" w:rsidP="00974602">
      <w:pPr>
        <w:jc w:val="center"/>
        <w:rPr>
          <w:rFonts w:ascii="Times New Roman" w:hAnsi="Times New Roman" w:cs="Times New Roman"/>
          <w:sz w:val="24"/>
          <w:szCs w:val="24"/>
        </w:rPr>
      </w:pPr>
      <w:r w:rsidRPr="004317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604831" wp14:editId="16BE6F99">
            <wp:extent cx="5388610" cy="269430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5B5A7" w14:textId="77777777" w:rsidR="00FB15F9" w:rsidRPr="00FB15F9" w:rsidRDefault="00FB15F9" w:rsidP="00FB15F9">
      <w:pPr>
        <w:jc w:val="both"/>
        <w:rPr>
          <w:rFonts w:ascii="Times New Roman" w:hAnsi="Times New Roman" w:cs="Times New Roman"/>
        </w:rPr>
      </w:pPr>
      <w:r w:rsidRPr="00FB15F9">
        <w:rPr>
          <w:rFonts w:ascii="Times New Roman" w:hAnsi="Times New Roman" w:cs="Times New Roman"/>
        </w:rPr>
        <w:t>Fonte: Elaboração própria</w:t>
      </w:r>
      <w:r>
        <w:rPr>
          <w:rFonts w:ascii="Times New Roman" w:hAnsi="Times New Roman" w:cs="Times New Roman"/>
        </w:rPr>
        <w:t xml:space="preserve"> com dados do Inep</w:t>
      </w:r>
      <w:r w:rsidRPr="00FB15F9">
        <w:rPr>
          <w:rFonts w:ascii="Times New Roman" w:hAnsi="Times New Roman" w:cs="Times New Roman"/>
        </w:rPr>
        <w:t>.</w:t>
      </w:r>
    </w:p>
    <w:p w14:paraId="607DB178" w14:textId="77777777" w:rsidR="00CA0C79" w:rsidRPr="00431771" w:rsidRDefault="00CA0C79" w:rsidP="00CA0C7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AA6540E" w14:textId="3089E7D3" w:rsidR="00CB6BFA" w:rsidRDefault="00CB6BFA" w:rsidP="00CA0C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efeito, tais trajetórias superaram a média brasileira ao longo do tempo. Os dados apresentados na figura 2 evidenciam esta afirmação. Na série histórica das turmas iniciais, pode-se observar que o IDEB de Sobral iniciou sua trajetória muito próxima da média brasileira, mas as duas trajetórias seguiram inclinações expressivamente díspares logo em seguida, com o município em destaque superando a média com folga. No caso das turmas finais, o IDEB de Sobral seguiu a média brasileira nas duas primeiras </w:t>
      </w:r>
      <w:r>
        <w:rPr>
          <w:rFonts w:ascii="Times New Roman" w:hAnsi="Times New Roman" w:cs="Times New Roman"/>
          <w:sz w:val="24"/>
          <w:szCs w:val="24"/>
        </w:rPr>
        <w:lastRenderedPageBreak/>
        <w:t>avaliações do SAEB e começou a se descolar timidamente na terceira. Em seguida, o IDEB do município abriu grande margem de diferença em relação à tendência  agregada brasileira.</w:t>
      </w:r>
    </w:p>
    <w:p w14:paraId="32FE833B" w14:textId="4BA7181E" w:rsidR="00431771" w:rsidRDefault="00CB6BFA" w:rsidP="00CB6BFA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874D3" wp14:editId="2A3528FD">
            <wp:extent cx="5384800" cy="4490720"/>
            <wp:effectExtent l="0" t="0" r="635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E8309" w14:textId="77777777" w:rsidR="00FB15F9" w:rsidRPr="00FB15F9" w:rsidRDefault="00FB15F9" w:rsidP="00FB15F9">
      <w:pPr>
        <w:jc w:val="both"/>
        <w:rPr>
          <w:rFonts w:ascii="Times New Roman" w:hAnsi="Times New Roman" w:cs="Times New Roman"/>
        </w:rPr>
      </w:pPr>
      <w:r w:rsidRPr="00FB15F9">
        <w:rPr>
          <w:rFonts w:ascii="Times New Roman" w:hAnsi="Times New Roman" w:cs="Times New Roman"/>
        </w:rPr>
        <w:t>Fonte: Elaboração própria</w:t>
      </w:r>
      <w:r>
        <w:rPr>
          <w:rFonts w:ascii="Times New Roman" w:hAnsi="Times New Roman" w:cs="Times New Roman"/>
        </w:rPr>
        <w:t xml:space="preserve"> com dados do Inep</w:t>
      </w:r>
      <w:r w:rsidRPr="00FB15F9">
        <w:rPr>
          <w:rFonts w:ascii="Times New Roman" w:hAnsi="Times New Roman" w:cs="Times New Roman"/>
        </w:rPr>
        <w:t>.</w:t>
      </w:r>
    </w:p>
    <w:p w14:paraId="031D1DB6" w14:textId="77777777" w:rsidR="00CB6BFA" w:rsidRDefault="00CB6BFA" w:rsidP="00CA0C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B8F852E" w14:textId="2EFD2826" w:rsidR="00CB6BFA" w:rsidRPr="00431771" w:rsidRDefault="00CA0C79" w:rsidP="00CB6BF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1771">
        <w:rPr>
          <w:rFonts w:ascii="Times New Roman" w:hAnsi="Times New Roman" w:cs="Times New Roman"/>
          <w:sz w:val="24"/>
          <w:szCs w:val="24"/>
        </w:rPr>
        <w:t xml:space="preserve">Em seu turno, as figuras </w:t>
      </w:r>
      <w:r w:rsidR="00CB6BFA">
        <w:rPr>
          <w:rFonts w:ascii="Times New Roman" w:hAnsi="Times New Roman" w:cs="Times New Roman"/>
          <w:sz w:val="24"/>
          <w:szCs w:val="24"/>
        </w:rPr>
        <w:t>3</w:t>
      </w:r>
      <w:r w:rsidRPr="00431771">
        <w:rPr>
          <w:rFonts w:ascii="Times New Roman" w:hAnsi="Times New Roman" w:cs="Times New Roman"/>
          <w:sz w:val="24"/>
          <w:szCs w:val="24"/>
        </w:rPr>
        <w:t xml:space="preserve"> e </w:t>
      </w:r>
      <w:r w:rsidR="00CB6BFA">
        <w:rPr>
          <w:rFonts w:ascii="Times New Roman" w:hAnsi="Times New Roman" w:cs="Times New Roman"/>
          <w:sz w:val="24"/>
          <w:szCs w:val="24"/>
        </w:rPr>
        <w:t>4</w:t>
      </w:r>
      <w:r w:rsidRPr="00431771">
        <w:rPr>
          <w:rFonts w:ascii="Times New Roman" w:hAnsi="Times New Roman" w:cs="Times New Roman"/>
          <w:sz w:val="24"/>
          <w:szCs w:val="24"/>
        </w:rPr>
        <w:t xml:space="preserve"> revelam o desempenho em proficiências específicas. As notas em matemática e em português também vêm escalando de maneira progressiva no município. No que diz respeito à proficiência em língua </w:t>
      </w:r>
      <w:r w:rsidR="00431771" w:rsidRPr="00431771">
        <w:rPr>
          <w:rFonts w:ascii="Times New Roman" w:hAnsi="Times New Roman" w:cs="Times New Roman"/>
          <w:sz w:val="24"/>
          <w:szCs w:val="24"/>
        </w:rPr>
        <w:t>matemática (figura 2)</w:t>
      </w:r>
      <w:r w:rsidRPr="00431771">
        <w:rPr>
          <w:rFonts w:ascii="Times New Roman" w:hAnsi="Times New Roman" w:cs="Times New Roman"/>
          <w:sz w:val="24"/>
          <w:szCs w:val="24"/>
        </w:rPr>
        <w:t xml:space="preserve">, </w:t>
      </w:r>
      <w:r w:rsidR="00431771" w:rsidRPr="00431771">
        <w:rPr>
          <w:rFonts w:ascii="Times New Roman" w:hAnsi="Times New Roman" w:cs="Times New Roman"/>
          <w:sz w:val="24"/>
          <w:szCs w:val="24"/>
        </w:rPr>
        <w:t xml:space="preserve">houve duas inversões. No início da série histórica, </w:t>
      </w:r>
      <w:r w:rsidR="00FB15F9">
        <w:rPr>
          <w:rFonts w:ascii="Times New Roman" w:hAnsi="Times New Roman" w:cs="Times New Roman"/>
          <w:sz w:val="24"/>
          <w:szCs w:val="24"/>
        </w:rPr>
        <w:t>as turmas</w:t>
      </w:r>
      <w:r w:rsidR="00431771" w:rsidRPr="00431771">
        <w:rPr>
          <w:rFonts w:ascii="Times New Roman" w:hAnsi="Times New Roman" w:cs="Times New Roman"/>
          <w:sz w:val="24"/>
          <w:szCs w:val="24"/>
        </w:rPr>
        <w:t xml:space="preserve"> finais apresentavam melhor desempenho, situação esta que logo se inverteu em 2009. Em 2017, as turmas finais recuperaram a vantagem sobre as turmas iniciais</w:t>
      </w:r>
      <w:r w:rsidR="00FB15F9">
        <w:rPr>
          <w:rFonts w:ascii="Times New Roman" w:hAnsi="Times New Roman" w:cs="Times New Roman"/>
          <w:sz w:val="24"/>
          <w:szCs w:val="24"/>
        </w:rPr>
        <w:t>. Mas, em geral, o nível de desempenho foi similar.</w:t>
      </w:r>
      <w:r w:rsidR="00431771" w:rsidRPr="00431771">
        <w:rPr>
          <w:rFonts w:ascii="Times New Roman" w:hAnsi="Times New Roman" w:cs="Times New Roman"/>
          <w:sz w:val="24"/>
          <w:szCs w:val="24"/>
        </w:rPr>
        <w:t xml:space="preserve"> Finalmente, a proficiência em português também seguiu um padrão de desenvolvimento constante, com destaque para o desempenho das séries finais</w:t>
      </w:r>
      <w:r w:rsidR="00FB15F9">
        <w:rPr>
          <w:rFonts w:ascii="Times New Roman" w:hAnsi="Times New Roman" w:cs="Times New Roman"/>
          <w:sz w:val="24"/>
          <w:szCs w:val="24"/>
        </w:rPr>
        <w:t>, que demonstrou maior resiliência à crise sanitária da COVID-19.</w:t>
      </w:r>
    </w:p>
    <w:p w14:paraId="4953490D" w14:textId="0E568C2C" w:rsidR="00431771" w:rsidRPr="00431771" w:rsidRDefault="00431771" w:rsidP="00431771">
      <w:pPr>
        <w:jc w:val="both"/>
        <w:rPr>
          <w:rFonts w:ascii="Times New Roman" w:hAnsi="Times New Roman" w:cs="Times New Roman"/>
          <w:sz w:val="24"/>
          <w:szCs w:val="24"/>
        </w:rPr>
      </w:pPr>
      <w:r w:rsidRPr="00431771">
        <w:rPr>
          <w:rFonts w:ascii="Times New Roman" w:hAnsi="Times New Roman" w:cs="Times New Roman"/>
          <w:sz w:val="24"/>
          <w:szCs w:val="24"/>
        </w:rPr>
        <w:t xml:space="preserve">Figura </w:t>
      </w:r>
      <w:r w:rsidR="00CB6BFA">
        <w:rPr>
          <w:rFonts w:ascii="Times New Roman" w:hAnsi="Times New Roman" w:cs="Times New Roman"/>
          <w:sz w:val="24"/>
          <w:szCs w:val="24"/>
        </w:rPr>
        <w:t>3</w:t>
      </w:r>
      <w:r w:rsidRPr="00431771">
        <w:rPr>
          <w:rFonts w:ascii="Times New Roman" w:hAnsi="Times New Roman" w:cs="Times New Roman"/>
          <w:sz w:val="24"/>
          <w:szCs w:val="24"/>
        </w:rPr>
        <w:t>.</w:t>
      </w:r>
    </w:p>
    <w:p w14:paraId="310A91C0" w14:textId="7857D62D" w:rsidR="00431771" w:rsidRDefault="00453FBF" w:rsidP="00CB6BFA">
      <w:pPr>
        <w:jc w:val="center"/>
        <w:rPr>
          <w:rFonts w:ascii="Times New Roman" w:hAnsi="Times New Roman" w:cs="Times New Roman"/>
          <w:sz w:val="24"/>
          <w:szCs w:val="24"/>
        </w:rPr>
      </w:pPr>
      <w:r w:rsidRPr="004317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94C591" wp14:editId="4E2BC433">
            <wp:extent cx="5388610" cy="2694305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BDC1" w14:textId="77777777" w:rsidR="00FB15F9" w:rsidRPr="00FB15F9" w:rsidRDefault="00FB15F9" w:rsidP="00FB15F9">
      <w:pPr>
        <w:jc w:val="both"/>
        <w:rPr>
          <w:rFonts w:ascii="Times New Roman" w:hAnsi="Times New Roman" w:cs="Times New Roman"/>
        </w:rPr>
      </w:pPr>
      <w:r w:rsidRPr="00FB15F9">
        <w:rPr>
          <w:rFonts w:ascii="Times New Roman" w:hAnsi="Times New Roman" w:cs="Times New Roman"/>
        </w:rPr>
        <w:t>Fonte: Elaboração própria</w:t>
      </w:r>
      <w:r>
        <w:rPr>
          <w:rFonts w:ascii="Times New Roman" w:hAnsi="Times New Roman" w:cs="Times New Roman"/>
        </w:rPr>
        <w:t xml:space="preserve"> com dados do Inep</w:t>
      </w:r>
      <w:r w:rsidRPr="00FB15F9">
        <w:rPr>
          <w:rFonts w:ascii="Times New Roman" w:hAnsi="Times New Roman" w:cs="Times New Roman"/>
        </w:rPr>
        <w:t>.</w:t>
      </w:r>
    </w:p>
    <w:p w14:paraId="5CC0664B" w14:textId="77777777" w:rsidR="00FB15F9" w:rsidRPr="00431771" w:rsidRDefault="00FB15F9" w:rsidP="00CB6B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77AE16" w14:textId="77777777" w:rsidR="00431771" w:rsidRPr="00431771" w:rsidRDefault="00431771" w:rsidP="00453FBF">
      <w:pPr>
        <w:rPr>
          <w:rFonts w:ascii="Times New Roman" w:hAnsi="Times New Roman" w:cs="Times New Roman"/>
          <w:sz w:val="24"/>
          <w:szCs w:val="24"/>
        </w:rPr>
      </w:pPr>
    </w:p>
    <w:p w14:paraId="456100D1" w14:textId="6AB21E9B" w:rsidR="00431771" w:rsidRPr="00431771" w:rsidRDefault="00431771" w:rsidP="00453FBF">
      <w:pPr>
        <w:rPr>
          <w:rFonts w:ascii="Times New Roman" w:hAnsi="Times New Roman" w:cs="Times New Roman"/>
          <w:sz w:val="24"/>
          <w:szCs w:val="24"/>
        </w:rPr>
      </w:pPr>
      <w:r w:rsidRPr="00431771">
        <w:rPr>
          <w:rFonts w:ascii="Times New Roman" w:hAnsi="Times New Roman" w:cs="Times New Roman"/>
          <w:sz w:val="24"/>
          <w:szCs w:val="24"/>
        </w:rPr>
        <w:t xml:space="preserve">Figura </w:t>
      </w:r>
      <w:r w:rsidR="00CB6BFA">
        <w:rPr>
          <w:rFonts w:ascii="Times New Roman" w:hAnsi="Times New Roman" w:cs="Times New Roman"/>
          <w:sz w:val="24"/>
          <w:szCs w:val="24"/>
        </w:rPr>
        <w:t>4</w:t>
      </w:r>
      <w:r w:rsidRPr="00431771">
        <w:rPr>
          <w:rFonts w:ascii="Times New Roman" w:hAnsi="Times New Roman" w:cs="Times New Roman"/>
          <w:sz w:val="24"/>
          <w:szCs w:val="24"/>
        </w:rPr>
        <w:t>.</w:t>
      </w:r>
    </w:p>
    <w:p w14:paraId="685CD258" w14:textId="037256CD" w:rsidR="00FD7A53" w:rsidRDefault="00453FBF" w:rsidP="00CB6BFA">
      <w:pPr>
        <w:jc w:val="center"/>
        <w:rPr>
          <w:rFonts w:ascii="Times New Roman" w:hAnsi="Times New Roman" w:cs="Times New Roman"/>
          <w:sz w:val="24"/>
          <w:szCs w:val="24"/>
        </w:rPr>
      </w:pPr>
      <w:r w:rsidRPr="004317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9C9AC0" wp14:editId="2866AACF">
            <wp:extent cx="5388610" cy="2694305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9F0E1" w14:textId="77777777" w:rsidR="00FB15F9" w:rsidRPr="00FB15F9" w:rsidRDefault="00FB15F9" w:rsidP="00FB15F9">
      <w:pPr>
        <w:jc w:val="both"/>
        <w:rPr>
          <w:rFonts w:ascii="Times New Roman" w:hAnsi="Times New Roman" w:cs="Times New Roman"/>
        </w:rPr>
      </w:pPr>
      <w:r w:rsidRPr="00FB15F9">
        <w:rPr>
          <w:rFonts w:ascii="Times New Roman" w:hAnsi="Times New Roman" w:cs="Times New Roman"/>
        </w:rPr>
        <w:t>Fonte: Elaboração própria</w:t>
      </w:r>
      <w:r>
        <w:rPr>
          <w:rFonts w:ascii="Times New Roman" w:hAnsi="Times New Roman" w:cs="Times New Roman"/>
        </w:rPr>
        <w:t xml:space="preserve"> com dados do Inep</w:t>
      </w:r>
      <w:r w:rsidRPr="00FB15F9">
        <w:rPr>
          <w:rFonts w:ascii="Times New Roman" w:hAnsi="Times New Roman" w:cs="Times New Roman"/>
        </w:rPr>
        <w:t>.</w:t>
      </w:r>
    </w:p>
    <w:p w14:paraId="547899EA" w14:textId="77777777" w:rsidR="00FB15F9" w:rsidRDefault="00FB15F9" w:rsidP="00CB6B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0A2ACC" w14:textId="051A90D4" w:rsidR="005A1488" w:rsidRDefault="00CB6BFA" w:rsidP="00CB6B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 quanto à </w:t>
      </w:r>
      <w:r w:rsidR="00FB15F9">
        <w:rPr>
          <w:rFonts w:ascii="Times New Roman" w:hAnsi="Times New Roman" w:cs="Times New Roman"/>
          <w:sz w:val="24"/>
          <w:szCs w:val="24"/>
        </w:rPr>
        <w:t>piora</w:t>
      </w:r>
      <w:r>
        <w:rPr>
          <w:rFonts w:ascii="Times New Roman" w:hAnsi="Times New Roman" w:cs="Times New Roman"/>
          <w:sz w:val="24"/>
          <w:szCs w:val="24"/>
        </w:rPr>
        <w:t xml:space="preserve"> resultante da COVID-19, o quanto Sobral recuperou-se</w:t>
      </w:r>
      <w:r w:rsidR="00FB15F9">
        <w:rPr>
          <w:rFonts w:ascii="Times New Roman" w:hAnsi="Times New Roman" w:cs="Times New Roman"/>
          <w:sz w:val="24"/>
          <w:szCs w:val="24"/>
        </w:rPr>
        <w:t xml:space="preserve"> da crise sanitária</w:t>
      </w:r>
      <w:r>
        <w:rPr>
          <w:rFonts w:ascii="Times New Roman" w:hAnsi="Times New Roman" w:cs="Times New Roman"/>
          <w:sz w:val="24"/>
          <w:szCs w:val="24"/>
        </w:rPr>
        <w:t xml:space="preserve"> em relação aos demais municípios?</w:t>
      </w:r>
      <w:r w:rsidR="005A1488">
        <w:rPr>
          <w:rFonts w:ascii="Times New Roman" w:hAnsi="Times New Roman" w:cs="Times New Roman"/>
          <w:sz w:val="24"/>
          <w:szCs w:val="24"/>
        </w:rPr>
        <w:t xml:space="preserve"> Para ter uma ideia geral, a tabela a seguir apresenta a variação percentual dos indicadores de desempenho entre 2019 (pré-pandemia) e 2023 para as escolas públicas. A coluna de Sobral demonstra que o município não só se recuperou das perdas causadas pela crise da COVID-19, como também superou os níveis pré-pandêmicos. Isto se deu em todos os indicadores: IDEB e proficiências nas disciplinas-chaves. </w:t>
      </w:r>
      <w:r w:rsidR="00FB15F9">
        <w:rPr>
          <w:rFonts w:ascii="Times New Roman" w:hAnsi="Times New Roman" w:cs="Times New Roman"/>
          <w:sz w:val="24"/>
          <w:szCs w:val="24"/>
        </w:rPr>
        <w:t xml:space="preserve">Porém, a recuperação na </w:t>
      </w:r>
      <w:r w:rsidR="00FB15F9">
        <w:rPr>
          <w:rFonts w:ascii="Times New Roman" w:hAnsi="Times New Roman" w:cs="Times New Roman"/>
          <w:sz w:val="24"/>
          <w:szCs w:val="24"/>
        </w:rPr>
        <w:t>nota</w:t>
      </w:r>
      <w:r w:rsidR="00FB15F9">
        <w:rPr>
          <w:rFonts w:ascii="Times New Roman" w:hAnsi="Times New Roman" w:cs="Times New Roman"/>
          <w:sz w:val="24"/>
          <w:szCs w:val="24"/>
        </w:rPr>
        <w:t xml:space="preserve"> de português, para as turmas finais não foi tão acentuada: apenas 4.62% versus 14.3% nas turmas iniciais.</w:t>
      </w:r>
    </w:p>
    <w:p w14:paraId="4AB5EC36" w14:textId="3CC02858" w:rsidR="00DE2C95" w:rsidRDefault="005A1488" w:rsidP="00C64CB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À direita, temos as estatísticas de recuperação para três quartis da distribuição brasileira. </w:t>
      </w:r>
      <w:r w:rsidR="00C64CBB">
        <w:rPr>
          <w:rFonts w:ascii="Times New Roman" w:hAnsi="Times New Roman" w:cs="Times New Roman"/>
          <w:sz w:val="24"/>
          <w:szCs w:val="24"/>
        </w:rPr>
        <w:t>O primeiro quartil representa piora em relação a 2019, haja vista o percentual negativo</w:t>
      </w:r>
      <w:r w:rsidR="00FB15F9">
        <w:rPr>
          <w:rFonts w:ascii="Times New Roman" w:hAnsi="Times New Roman" w:cs="Times New Roman"/>
          <w:sz w:val="24"/>
          <w:szCs w:val="24"/>
        </w:rPr>
        <w:t xml:space="preserve"> em todos os indicadores</w:t>
      </w:r>
      <w:r w:rsidR="00C64CBB">
        <w:rPr>
          <w:rFonts w:ascii="Times New Roman" w:hAnsi="Times New Roman" w:cs="Times New Roman"/>
          <w:sz w:val="24"/>
          <w:szCs w:val="24"/>
        </w:rPr>
        <w:t xml:space="preserve">. A mediana, valor que divide a distribuição ao meio, demonstra recuperação no indicador do IDEB, ultrapassando ligeiramente os níveis anteriores à crise sanitária. Este valor está abaixo da média, mas representa a recuperação típica no Brasil por não ser uma estatística tão afetada pelos valores extremos da distribuição. Porém, houve piora nas proficiências de matemática e de português, embora esta tenha se mantido quase constante, aproximando-se de uma recuperação. O terceiro quartil representa superação </w:t>
      </w:r>
      <w:r w:rsidR="00FB15F9">
        <w:rPr>
          <w:rFonts w:ascii="Times New Roman" w:hAnsi="Times New Roman" w:cs="Times New Roman"/>
          <w:sz w:val="24"/>
          <w:szCs w:val="24"/>
        </w:rPr>
        <w:t>dos</w:t>
      </w:r>
      <w:r w:rsidR="00C64CBB">
        <w:rPr>
          <w:rFonts w:ascii="Times New Roman" w:hAnsi="Times New Roman" w:cs="Times New Roman"/>
          <w:sz w:val="24"/>
          <w:szCs w:val="24"/>
        </w:rPr>
        <w:t xml:space="preserve"> níveis pré-pandêmicos</w:t>
      </w:r>
      <w:r w:rsidR="00FB15F9">
        <w:rPr>
          <w:rFonts w:ascii="Times New Roman" w:hAnsi="Times New Roman" w:cs="Times New Roman"/>
          <w:sz w:val="24"/>
          <w:szCs w:val="24"/>
        </w:rPr>
        <w:t>, porém o indicador de matemática para as turmas finais manteve-se praticamente constante (0.97%).</w:t>
      </w:r>
    </w:p>
    <w:p w14:paraId="6F07DB96" w14:textId="2D08FF17" w:rsidR="00FB15F9" w:rsidRDefault="00FB15F9" w:rsidP="00C64CB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Nota-se que Sobral teve uma recuperação expressiva em relação ao resto do país. Para todos os indicadores e para todas as turmas, a educação de Sobral esteve acima até mesmo do terceiro quartil, demonstrando resiliência.</w:t>
      </w:r>
    </w:p>
    <w:p w14:paraId="5CEC925C" w14:textId="49911DA1" w:rsidR="00CB6BFA" w:rsidRDefault="00CB6BFA" w:rsidP="00CB6B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2A7491" w14:textId="69FBCDDC" w:rsidR="00FB15F9" w:rsidRDefault="00FB15F9" w:rsidP="00CB6B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1. Recuperação da educação pública em relação à pandemia</w:t>
      </w:r>
      <w:r w:rsidR="0049295D">
        <w:rPr>
          <w:rFonts w:ascii="Times New Roman" w:hAnsi="Times New Roman" w:cs="Times New Roman"/>
          <w:sz w:val="24"/>
          <w:szCs w:val="24"/>
        </w:rPr>
        <w:t xml:space="preserve"> (variação percentual 2019-2023)</w:t>
      </w:r>
    </w:p>
    <w:tbl>
      <w:tblPr>
        <w:tblStyle w:val="Tabelacomgrade"/>
        <w:tblW w:w="8838" w:type="dxa"/>
        <w:tblLook w:val="04A0" w:firstRow="1" w:lastRow="0" w:firstColumn="1" w:lastColumn="0" w:noHBand="0" w:noVBand="1"/>
      </w:tblPr>
      <w:tblGrid>
        <w:gridCol w:w="1616"/>
        <w:gridCol w:w="1406"/>
        <w:gridCol w:w="1406"/>
        <w:gridCol w:w="1679"/>
        <w:gridCol w:w="1377"/>
        <w:gridCol w:w="1354"/>
      </w:tblGrid>
      <w:tr w:rsidR="00CA54CC" w14:paraId="32B99972" w14:textId="77777777" w:rsidTr="00DE2C95">
        <w:trPr>
          <w:trHeight w:val="270"/>
        </w:trPr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8A1E45" w14:textId="4CE81C76" w:rsidR="00CA54CC" w:rsidRDefault="00CA54CC" w:rsidP="00CB6B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B820DF" w14:textId="7F572309" w:rsidR="00CA54CC" w:rsidRDefault="00CA54CC" w:rsidP="00CB6B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D1E2C1" w14:textId="6E2E3FEC" w:rsidR="00CA54CC" w:rsidRDefault="00CA54CC" w:rsidP="00CB6B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663E2F" w14:textId="566C8A0D" w:rsidR="00CA54CC" w:rsidRDefault="00CA54CC" w:rsidP="00CA5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Distribuição brasileira</w:t>
            </w:r>
          </w:p>
        </w:tc>
      </w:tr>
      <w:tr w:rsidR="00CA54CC" w14:paraId="59EAA913" w14:textId="77777777" w:rsidTr="00DE2C95">
        <w:trPr>
          <w:trHeight w:val="262"/>
        </w:trPr>
        <w:tc>
          <w:tcPr>
            <w:tcW w:w="1616" w:type="dxa"/>
            <w:tcBorders>
              <w:top w:val="single" w:sz="4" w:space="0" w:color="auto"/>
              <w:left w:val="nil"/>
            </w:tcBorders>
          </w:tcPr>
          <w:p w14:paraId="1F1EC8B2" w14:textId="0AA18D35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Indicador</w:t>
            </w:r>
          </w:p>
        </w:tc>
        <w:tc>
          <w:tcPr>
            <w:tcW w:w="1406" w:type="dxa"/>
            <w:tcBorders>
              <w:top w:val="single" w:sz="4" w:space="0" w:color="auto"/>
            </w:tcBorders>
          </w:tcPr>
          <w:p w14:paraId="7B06127A" w14:textId="72B2F016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Turma</w:t>
            </w:r>
          </w:p>
        </w:tc>
        <w:tc>
          <w:tcPr>
            <w:tcW w:w="1406" w:type="dxa"/>
            <w:tcBorders>
              <w:top w:val="single" w:sz="4" w:space="0" w:color="auto"/>
            </w:tcBorders>
          </w:tcPr>
          <w:p w14:paraId="32FFCCE7" w14:textId="55B160EB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Sobral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1A649A0E" w14:textId="03DBD93D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377" w:type="dxa"/>
            <w:tcBorders>
              <w:top w:val="single" w:sz="4" w:space="0" w:color="auto"/>
            </w:tcBorders>
          </w:tcPr>
          <w:p w14:paraId="2076C04A" w14:textId="2429B2A2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1352" w:type="dxa"/>
            <w:tcBorders>
              <w:top w:val="single" w:sz="4" w:space="0" w:color="auto"/>
              <w:right w:val="nil"/>
            </w:tcBorders>
          </w:tcPr>
          <w:p w14:paraId="06BB8903" w14:textId="6EB6B08A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</w:tr>
      <w:tr w:rsidR="00CA54CC" w14:paraId="4B10FA2D" w14:textId="77777777" w:rsidTr="00DE2C95">
        <w:trPr>
          <w:trHeight w:val="270"/>
        </w:trPr>
        <w:tc>
          <w:tcPr>
            <w:tcW w:w="1616" w:type="dxa"/>
            <w:tcBorders>
              <w:left w:val="nil"/>
            </w:tcBorders>
          </w:tcPr>
          <w:p w14:paraId="15407D37" w14:textId="2EDD3514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IDEB</w:t>
            </w:r>
          </w:p>
        </w:tc>
        <w:tc>
          <w:tcPr>
            <w:tcW w:w="1406" w:type="dxa"/>
          </w:tcPr>
          <w:p w14:paraId="66105AF1" w14:textId="298470F5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Inicial</w:t>
            </w:r>
          </w:p>
        </w:tc>
        <w:tc>
          <w:tcPr>
            <w:tcW w:w="1406" w:type="dxa"/>
          </w:tcPr>
          <w:p w14:paraId="1C7DBB56" w14:textId="371E7A4B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14.5%</w:t>
            </w:r>
          </w:p>
        </w:tc>
        <w:tc>
          <w:tcPr>
            <w:tcW w:w="1679" w:type="dxa"/>
          </w:tcPr>
          <w:p w14:paraId="1E88A411" w14:textId="6F0EBD53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-4.34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377" w:type="dxa"/>
          </w:tcPr>
          <w:p w14:paraId="7B0AE123" w14:textId="3EB57282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1.49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352" w:type="dxa"/>
            <w:tcBorders>
              <w:right w:val="nil"/>
            </w:tcBorders>
          </w:tcPr>
          <w:p w14:paraId="6B6BE80F" w14:textId="0842325B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8%</w:t>
            </w:r>
          </w:p>
        </w:tc>
      </w:tr>
      <w:tr w:rsidR="00CA54CC" w14:paraId="31DC9621" w14:textId="77777777" w:rsidTr="00DE2C95">
        <w:trPr>
          <w:trHeight w:val="270"/>
        </w:trPr>
        <w:tc>
          <w:tcPr>
            <w:tcW w:w="1616" w:type="dxa"/>
            <w:tcBorders>
              <w:left w:val="nil"/>
            </w:tcBorders>
          </w:tcPr>
          <w:p w14:paraId="0760FC88" w14:textId="3C5BBDFB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IDEB</w:t>
            </w:r>
          </w:p>
        </w:tc>
        <w:tc>
          <w:tcPr>
            <w:tcW w:w="1406" w:type="dxa"/>
          </w:tcPr>
          <w:p w14:paraId="2EC49CEA" w14:textId="3DDFF540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</w:p>
        </w:tc>
        <w:tc>
          <w:tcPr>
            <w:tcW w:w="1406" w:type="dxa"/>
          </w:tcPr>
          <w:p w14:paraId="47C476A1" w14:textId="12C53BB8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14.3%</w:t>
            </w:r>
          </w:p>
        </w:tc>
        <w:tc>
          <w:tcPr>
            <w:tcW w:w="1679" w:type="dxa"/>
          </w:tcPr>
          <w:p w14:paraId="5707CC1D" w14:textId="55FE2E3C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-2.56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377" w:type="dxa"/>
          </w:tcPr>
          <w:p w14:paraId="612E5544" w14:textId="764AA3E8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2.63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352" w:type="dxa"/>
            <w:tcBorders>
              <w:right w:val="nil"/>
            </w:tcBorders>
          </w:tcPr>
          <w:p w14:paraId="4989FEA6" w14:textId="186CED60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9.75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CA54CC" w14:paraId="48830B58" w14:textId="77777777" w:rsidTr="00DE2C95">
        <w:trPr>
          <w:trHeight w:val="270"/>
        </w:trPr>
        <w:tc>
          <w:tcPr>
            <w:tcW w:w="1616" w:type="dxa"/>
            <w:tcBorders>
              <w:left w:val="nil"/>
            </w:tcBorders>
          </w:tcPr>
          <w:p w14:paraId="655A6D1B" w14:textId="5F3CF073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Matemática</w:t>
            </w:r>
          </w:p>
        </w:tc>
        <w:tc>
          <w:tcPr>
            <w:tcW w:w="1406" w:type="dxa"/>
          </w:tcPr>
          <w:p w14:paraId="5918A010" w14:textId="67B419F2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Inicial</w:t>
            </w:r>
          </w:p>
        </w:tc>
        <w:tc>
          <w:tcPr>
            <w:tcW w:w="1406" w:type="dxa"/>
          </w:tcPr>
          <w:p w14:paraId="20C17E4D" w14:textId="7B00AD91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12.4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79" w:type="dxa"/>
          </w:tcPr>
          <w:p w14:paraId="3A170672" w14:textId="580CD87D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-5.0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2%</w:t>
            </w:r>
          </w:p>
        </w:tc>
        <w:tc>
          <w:tcPr>
            <w:tcW w:w="1377" w:type="dxa"/>
          </w:tcPr>
          <w:p w14:paraId="205F1F47" w14:textId="425BD526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-1.5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9%</w:t>
            </w:r>
          </w:p>
        </w:tc>
        <w:tc>
          <w:tcPr>
            <w:tcW w:w="1352" w:type="dxa"/>
            <w:tcBorders>
              <w:right w:val="nil"/>
            </w:tcBorders>
          </w:tcPr>
          <w:p w14:paraId="7C3FB4CA" w14:textId="50C2203E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2.23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CA54CC" w14:paraId="5E44D0BB" w14:textId="77777777" w:rsidTr="00DE2C95">
        <w:trPr>
          <w:trHeight w:val="262"/>
        </w:trPr>
        <w:tc>
          <w:tcPr>
            <w:tcW w:w="1616" w:type="dxa"/>
            <w:tcBorders>
              <w:left w:val="nil"/>
            </w:tcBorders>
          </w:tcPr>
          <w:p w14:paraId="3F761620" w14:textId="0278732C" w:rsidR="00CA54CC" w:rsidRDefault="00CA54CC" w:rsidP="00CA54CC">
            <w:pPr>
              <w:tabs>
                <w:tab w:val="left" w:pos="75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Matemática</w:t>
            </w:r>
          </w:p>
        </w:tc>
        <w:tc>
          <w:tcPr>
            <w:tcW w:w="1406" w:type="dxa"/>
          </w:tcPr>
          <w:p w14:paraId="303B8CFD" w14:textId="03544770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</w:p>
        </w:tc>
        <w:tc>
          <w:tcPr>
            <w:tcW w:w="1406" w:type="dxa"/>
          </w:tcPr>
          <w:p w14:paraId="779C84B2" w14:textId="62E4B500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10.8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79" w:type="dxa"/>
          </w:tcPr>
          <w:p w14:paraId="4A9BA91C" w14:textId="678834F6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-4.8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377" w:type="dxa"/>
          </w:tcPr>
          <w:p w14:paraId="50B3682B" w14:textId="3D43A7C6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-2.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352" w:type="dxa"/>
            <w:tcBorders>
              <w:right w:val="nil"/>
            </w:tcBorders>
          </w:tcPr>
          <w:p w14:paraId="0DB02107" w14:textId="6DFDD0E4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7%</w:t>
            </w:r>
          </w:p>
        </w:tc>
      </w:tr>
      <w:tr w:rsidR="00CA54CC" w14:paraId="53222450" w14:textId="77777777" w:rsidTr="00DE2C95">
        <w:trPr>
          <w:trHeight w:val="270"/>
        </w:trPr>
        <w:tc>
          <w:tcPr>
            <w:tcW w:w="1616" w:type="dxa"/>
            <w:tcBorders>
              <w:left w:val="nil"/>
              <w:bottom w:val="single" w:sz="4" w:space="0" w:color="auto"/>
            </w:tcBorders>
          </w:tcPr>
          <w:p w14:paraId="66570EBA" w14:textId="7ACE6C4C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Português</w:t>
            </w:r>
          </w:p>
        </w:tc>
        <w:tc>
          <w:tcPr>
            <w:tcW w:w="1406" w:type="dxa"/>
            <w:tcBorders>
              <w:bottom w:val="single" w:sz="4" w:space="0" w:color="auto"/>
            </w:tcBorders>
          </w:tcPr>
          <w:p w14:paraId="34DCD4A8" w14:textId="39513B1F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Inicial</w:t>
            </w:r>
          </w:p>
        </w:tc>
        <w:tc>
          <w:tcPr>
            <w:tcW w:w="1406" w:type="dxa"/>
            <w:tcBorders>
              <w:bottom w:val="single" w:sz="4" w:space="0" w:color="auto"/>
            </w:tcBorders>
          </w:tcPr>
          <w:p w14:paraId="16D6F7C4" w14:textId="53A1025E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14.3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4FEBDFA9" w14:textId="084E9DF9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-4.12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377" w:type="dxa"/>
            <w:tcBorders>
              <w:bottom w:val="single" w:sz="4" w:space="0" w:color="auto"/>
            </w:tcBorders>
          </w:tcPr>
          <w:p w14:paraId="26F03ED9" w14:textId="75152306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-0.6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8%</w:t>
            </w: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2" w:type="dxa"/>
            <w:tcBorders>
              <w:bottom w:val="single" w:sz="4" w:space="0" w:color="auto"/>
              <w:right w:val="nil"/>
            </w:tcBorders>
          </w:tcPr>
          <w:p w14:paraId="69A7C63F" w14:textId="46ED973D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3.37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CA54CC" w14:paraId="32776301" w14:textId="77777777" w:rsidTr="00DE2C95">
        <w:trPr>
          <w:trHeight w:val="270"/>
        </w:trPr>
        <w:tc>
          <w:tcPr>
            <w:tcW w:w="1616" w:type="dxa"/>
            <w:tcBorders>
              <w:left w:val="nil"/>
              <w:bottom w:val="single" w:sz="4" w:space="0" w:color="auto"/>
            </w:tcBorders>
          </w:tcPr>
          <w:p w14:paraId="2BB48448" w14:textId="7B87CFBE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Português</w:t>
            </w:r>
          </w:p>
        </w:tc>
        <w:tc>
          <w:tcPr>
            <w:tcW w:w="1406" w:type="dxa"/>
            <w:tcBorders>
              <w:bottom w:val="single" w:sz="4" w:space="0" w:color="auto"/>
            </w:tcBorders>
          </w:tcPr>
          <w:p w14:paraId="4743978C" w14:textId="7C55DBF7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</w:p>
        </w:tc>
        <w:tc>
          <w:tcPr>
            <w:tcW w:w="1406" w:type="dxa"/>
            <w:tcBorders>
              <w:bottom w:val="single" w:sz="4" w:space="0" w:color="auto"/>
            </w:tcBorders>
          </w:tcPr>
          <w:p w14:paraId="0719A417" w14:textId="1A5F432E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4.62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7DB8ABBE" w14:textId="2E9FCA1D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-3.15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377" w:type="dxa"/>
            <w:tcBorders>
              <w:bottom w:val="single" w:sz="4" w:space="0" w:color="auto"/>
            </w:tcBorders>
          </w:tcPr>
          <w:p w14:paraId="30A18A5E" w14:textId="69702342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-0.2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8%</w:t>
            </w: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2" w:type="dxa"/>
            <w:tcBorders>
              <w:bottom w:val="single" w:sz="4" w:space="0" w:color="auto"/>
              <w:right w:val="nil"/>
            </w:tcBorders>
          </w:tcPr>
          <w:p w14:paraId="4045F2D1" w14:textId="0E0589F3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2.83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7361F64D" w14:textId="4E3E1F04" w:rsidR="00CB6BFA" w:rsidRPr="00FB15F9" w:rsidRDefault="00FB15F9" w:rsidP="00CB6BFA">
      <w:pPr>
        <w:jc w:val="both"/>
        <w:rPr>
          <w:rFonts w:ascii="Times New Roman" w:hAnsi="Times New Roman" w:cs="Times New Roman"/>
        </w:rPr>
      </w:pPr>
      <w:r w:rsidRPr="00FB15F9">
        <w:rPr>
          <w:rFonts w:ascii="Times New Roman" w:hAnsi="Times New Roman" w:cs="Times New Roman"/>
        </w:rPr>
        <w:t>Fonte: Elaboração própria</w:t>
      </w:r>
      <w:r>
        <w:rPr>
          <w:rFonts w:ascii="Times New Roman" w:hAnsi="Times New Roman" w:cs="Times New Roman"/>
        </w:rPr>
        <w:t xml:space="preserve"> com dados do Inep</w:t>
      </w:r>
      <w:r w:rsidRPr="00FB15F9">
        <w:rPr>
          <w:rFonts w:ascii="Times New Roman" w:hAnsi="Times New Roman" w:cs="Times New Roman"/>
        </w:rPr>
        <w:t>.</w:t>
      </w:r>
    </w:p>
    <w:p w14:paraId="47C19B88" w14:textId="6978921C" w:rsidR="00FB15F9" w:rsidRDefault="00FB15F9" w:rsidP="00CB6B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8A36FB" w14:textId="690B57C9" w:rsidR="00FB15F9" w:rsidRDefault="0049295D" w:rsidP="00CB6B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Mas quais são os fatores que determinam um bom desempenho no IDEB? E em quais desses fatores Sobral se destaca? Abaixo estima-se uma regressão linear com todas escolas avaliadas pelo SAEB em 2023, evidenciando algumas relações estatísticas. Em seguida, destaca-se o potencial de Sobral nas variáveis que apresentam correlação estatística com a nota do IDEB.</w:t>
      </w:r>
    </w:p>
    <w:p w14:paraId="5022EBDA" w14:textId="66BEEE39" w:rsidR="00431771" w:rsidRDefault="00431771" w:rsidP="00453FBF">
      <w:pPr>
        <w:rPr>
          <w:rFonts w:ascii="Times New Roman" w:hAnsi="Times New Roman" w:cs="Times New Roman"/>
          <w:sz w:val="24"/>
          <w:szCs w:val="24"/>
        </w:rPr>
      </w:pPr>
    </w:p>
    <w:p w14:paraId="45C5ED5A" w14:textId="552F7E12" w:rsidR="00431771" w:rsidRPr="00431771" w:rsidRDefault="00431771" w:rsidP="00453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431771" w:rsidRPr="00431771" w:rsidSect="00974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53"/>
    <w:rsid w:val="00431771"/>
    <w:rsid w:val="00453FBF"/>
    <w:rsid w:val="0049295D"/>
    <w:rsid w:val="005A1488"/>
    <w:rsid w:val="00974602"/>
    <w:rsid w:val="00C64CBB"/>
    <w:rsid w:val="00CA0C79"/>
    <w:rsid w:val="00CA54CC"/>
    <w:rsid w:val="00CB6BFA"/>
    <w:rsid w:val="00DE2C95"/>
    <w:rsid w:val="00F12645"/>
    <w:rsid w:val="00F41436"/>
    <w:rsid w:val="00FB15F9"/>
    <w:rsid w:val="00FD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C50E4"/>
  <w15:chartTrackingRefBased/>
  <w15:docId w15:val="{D20EFF78-C48E-4E1B-82BD-32219C23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6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27D40-6FB0-4836-B61E-B5ED8B183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870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Pedro Marques</cp:lastModifiedBy>
  <cp:revision>5</cp:revision>
  <dcterms:created xsi:type="dcterms:W3CDTF">2025-01-11T15:51:00Z</dcterms:created>
  <dcterms:modified xsi:type="dcterms:W3CDTF">2025-01-11T17:59:00Z</dcterms:modified>
</cp:coreProperties>
</file>