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3D2E9" w14:textId="77777777" w:rsidR="00D94BF4" w:rsidRPr="00B13531" w:rsidRDefault="00D94BF4" w:rsidP="00CC7B64">
      <w:pPr>
        <w:spacing w:before="100" w:beforeAutospacing="1" w:after="100" w:afterAutospacing="1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57414B3C" w14:textId="12E1B1E5" w:rsidR="00CC7B64" w:rsidRPr="00B13531" w:rsidRDefault="00E226FC" w:rsidP="00CC7B64">
      <w:pPr>
        <w:spacing w:before="100" w:beforeAutospacing="1" w:after="100" w:afterAutospacing="1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B13531">
        <w:rPr>
          <w:rFonts w:ascii="Times New Roman" w:hAnsi="Times New Roman"/>
          <w:b/>
          <w:sz w:val="24"/>
          <w:szCs w:val="24"/>
          <w:u w:val="single"/>
        </w:rPr>
        <w:t xml:space="preserve">TEMPLATE PARA </w:t>
      </w:r>
      <w:r w:rsidR="00673CAC" w:rsidRPr="00B13531">
        <w:rPr>
          <w:rFonts w:ascii="Times New Roman" w:hAnsi="Times New Roman"/>
          <w:b/>
          <w:sz w:val="24"/>
          <w:szCs w:val="24"/>
          <w:u w:val="single"/>
        </w:rPr>
        <w:t>DIAGNÓSTICOS DAS REGIONAIS DO INSTITUTO RENNER</w:t>
      </w:r>
    </w:p>
    <w:p w14:paraId="7EF02F96" w14:textId="4E59ED5A" w:rsidR="00CC7B64" w:rsidRPr="00B13531" w:rsidRDefault="00CC7B64" w:rsidP="00CC7B64">
      <w:pPr>
        <w:spacing w:before="100" w:beforeAutospacing="1" w:after="100" w:afterAutospacing="1"/>
        <w:jc w:val="center"/>
        <w:rPr>
          <w:rFonts w:ascii="Times New Roman" w:hAnsi="Times New Roman"/>
          <w:bCs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4"/>
        <w:gridCol w:w="5380"/>
      </w:tblGrid>
      <w:tr w:rsidR="00CC7B64" w:rsidRPr="00B13531" w14:paraId="37A1147B" w14:textId="77777777" w:rsidTr="00E764AB">
        <w:tc>
          <w:tcPr>
            <w:tcW w:w="3114" w:type="dxa"/>
            <w:shd w:val="clear" w:color="auto" w:fill="E7E6E6"/>
          </w:tcPr>
          <w:p w14:paraId="5F5E88D3" w14:textId="2971AAD8" w:rsidR="00CC7B64" w:rsidRPr="00B13531" w:rsidRDefault="00673CAC" w:rsidP="00133FCC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NOME DA REGIONAL</w:t>
            </w:r>
            <w:r w:rsidR="00CC7B64" w:rsidRPr="00B1353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380" w:type="dxa"/>
          </w:tcPr>
          <w:p>
            <w:pPr>
              <w:spacing w:before="0" w:after="0" w:line="264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Região Metropolitana de Porto Alegre – recorte do Atlas: Porto Alegre, Canoas, Gravataí, Sapucaia do Sul, Cachoeirinha, Guaíba e Esteio</w:t>
            </w:r>
          </w:p>
          <w:p>
            <w:pPr>
              <w:spacing w:before="0" w:after="100" w:line="264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color w:val="7F6000"/>
                <w:sz w:val="20"/>
                <w:szCs w:val="20"/>
              </w:rPr>
              <w:t xml:space="preserve">[Conferir o nome oficial da regional definido pelo Instituto Renner]</w:t>
            </w:r>
          </w:p>
        </w:tc>
      </w:tr>
      <w:tr w:rsidR="00CC7B64" w:rsidRPr="00B13531" w14:paraId="443A8C9D" w14:textId="77777777" w:rsidTr="00E764AB">
        <w:tc>
          <w:tcPr>
            <w:tcW w:w="3114" w:type="dxa"/>
            <w:shd w:val="clear" w:color="auto" w:fill="E7E6E6"/>
          </w:tcPr>
          <w:p w14:paraId="399B86AE" w14:textId="77777777" w:rsidR="00CC7B64" w:rsidRPr="00B13531" w:rsidRDefault="00CC7B64" w:rsidP="00133FCC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PERÍODO DE REALIZAÇÃO:</w:t>
            </w:r>
            <w:bookmarkStart w:id="0" w:name="_GoBack"/>
            <w:bookmarkEnd w:id="0"/>
          </w:p>
        </w:tc>
        <w:tc>
          <w:tcPr>
            <w:tcW w:w="5380" w:type="dxa"/>
          </w:tcPr>
          <w:p w14:paraId="1E8A8C71" w14:textId="7B9C3A1C" w:rsidR="00CC7B64" w:rsidRPr="00B13531" w:rsidRDefault="00BB5388" w:rsidP="00133FCC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Cs/>
                <w:sz w:val="24"/>
                <w:szCs w:val="24"/>
              </w:rPr>
              <w:t>2026/</w:t>
            </w:r>
            <w:r w:rsidR="00673CAC" w:rsidRPr="00B13531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</w:tr>
      <w:tr w:rsidR="00CC7B64" w:rsidRPr="00B13531" w14:paraId="677B125B" w14:textId="77777777" w:rsidTr="004853B2">
        <w:tc>
          <w:tcPr>
            <w:tcW w:w="8494" w:type="dxa"/>
            <w:gridSpan w:val="2"/>
            <w:shd w:val="clear" w:color="auto" w:fill="E7E6E6"/>
          </w:tcPr>
          <w:p w14:paraId="1C9A5351" w14:textId="215723CB" w:rsidR="00CC7B64" w:rsidRPr="00B13531" w:rsidRDefault="00CC7B64" w:rsidP="00133FCC">
            <w:pPr>
              <w:keepNext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1. </w:t>
            </w:r>
            <w:r w:rsidR="00673CAC" w:rsidRPr="00B13531">
              <w:rPr>
                <w:rFonts w:ascii="Times New Roman" w:hAnsi="Times New Roman"/>
                <w:b/>
                <w:sz w:val="24"/>
                <w:szCs w:val="24"/>
              </w:rPr>
              <w:t>EQUIPE DE TRABALHO</w:t>
            </w:r>
            <w:r w:rsidR="00002523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 (listar os integrantes do grupo)</w:t>
            </w:r>
          </w:p>
        </w:tc>
      </w:tr>
      <w:tr w:rsidR="00CC7B64" w:rsidRPr="00B13531" w14:paraId="6E495E65" w14:textId="77777777" w:rsidTr="004853B2">
        <w:tc>
          <w:tcPr>
            <w:tcW w:w="8494" w:type="dxa"/>
            <w:gridSpan w:val="2"/>
          </w:tcPr>
          <w:p w14:paraId="777C1548" w14:textId="17BC9A6A" w:rsidR="00CC7B64" w:rsidRPr="00B13531" w:rsidRDefault="00CC7B64" w:rsidP="00133FCC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C7B64" w:rsidRPr="00B13531" w14:paraId="01D0F4D8" w14:textId="77777777" w:rsidTr="004853B2">
        <w:tc>
          <w:tcPr>
            <w:tcW w:w="8494" w:type="dxa"/>
            <w:gridSpan w:val="2"/>
          </w:tcPr>
          <w:p w14:paraId="0FB7309F" w14:textId="483C7BC4" w:rsidR="00CC7B64" w:rsidRPr="00B13531" w:rsidRDefault="00CC7B64" w:rsidP="00133FCC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C7B64" w:rsidRPr="00B13531" w14:paraId="68247844" w14:textId="77777777" w:rsidTr="004853B2">
        <w:tc>
          <w:tcPr>
            <w:tcW w:w="8494" w:type="dxa"/>
            <w:gridSpan w:val="2"/>
          </w:tcPr>
          <w:p w14:paraId="484DB4F8" w14:textId="48AC16BB" w:rsidR="00CC7B64" w:rsidRPr="00B13531" w:rsidRDefault="00CC7B64" w:rsidP="00133FCC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C7B64" w:rsidRPr="00B13531" w14:paraId="1CDF3EFD" w14:textId="77777777" w:rsidTr="004853B2">
        <w:tc>
          <w:tcPr>
            <w:tcW w:w="8494" w:type="dxa"/>
            <w:gridSpan w:val="2"/>
          </w:tcPr>
          <w:p w14:paraId="5A26C84E" w14:textId="4A366A8F" w:rsidR="00CC7B64" w:rsidRPr="00B13531" w:rsidRDefault="00CC7B64" w:rsidP="00133FCC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853B2" w:rsidRPr="00B13531" w14:paraId="04C1D9B3" w14:textId="77777777" w:rsidTr="00B13531">
        <w:tc>
          <w:tcPr>
            <w:tcW w:w="8494" w:type="dxa"/>
            <w:gridSpan w:val="2"/>
            <w:shd w:val="clear" w:color="auto" w:fill="E7E6E6" w:themeFill="background2"/>
          </w:tcPr>
          <w:p w14:paraId="1BC236ED" w14:textId="2704D5C6" w:rsidR="004853B2" w:rsidRPr="00B13531" w:rsidRDefault="004853B2" w:rsidP="004853B2">
            <w:pPr>
              <w:keepNext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2. </w:t>
            </w:r>
            <w:r w:rsidR="00E226FC"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>PROFESSOR</w:t>
            </w:r>
            <w:r w:rsidR="00673CAC"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E226FC"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>RESPONSÁVEL PELA DISCIPLINA</w:t>
            </w:r>
          </w:p>
        </w:tc>
      </w:tr>
      <w:tr w:rsidR="004853B2" w:rsidRPr="00B13531" w14:paraId="602A0A04" w14:textId="77777777" w:rsidTr="004853B2">
        <w:tc>
          <w:tcPr>
            <w:tcW w:w="8494" w:type="dxa"/>
            <w:gridSpan w:val="2"/>
          </w:tcPr>
          <w:p w14:paraId="416847F2" w14:textId="77777777" w:rsidR="004853B2" w:rsidRDefault="00BB5388" w:rsidP="004853B2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Cs/>
                <w:sz w:val="24"/>
                <w:szCs w:val="24"/>
              </w:rPr>
              <w:t>Izete Pengo Bagolin</w:t>
            </w:r>
          </w:p>
          <w:p w14:paraId="2B225BD7" w14:textId="77A99FE7" w:rsidR="00AD62C5" w:rsidRPr="00B13531" w:rsidRDefault="00AD62C5" w:rsidP="004853B2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C7B64" w:rsidRPr="00B13531" w14:paraId="2EFB1248" w14:textId="77777777" w:rsidTr="0023160B">
        <w:tc>
          <w:tcPr>
            <w:tcW w:w="8494" w:type="dxa"/>
            <w:gridSpan w:val="2"/>
            <w:shd w:val="clear" w:color="auto" w:fill="E7E6E6"/>
          </w:tcPr>
          <w:p w14:paraId="6F9E8256" w14:textId="14C719FA" w:rsidR="00CC7B64" w:rsidRPr="00B13531" w:rsidRDefault="00E226FC" w:rsidP="00176428">
            <w:pPr>
              <w:keepNext/>
              <w:rPr>
                <w:rFonts w:ascii="Times New Roman" w:hAnsi="Times New Roman"/>
                <w:bCs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="00CC7B64" w:rsidRPr="00B13531">
              <w:rPr>
                <w:rFonts w:ascii="Times New Roman" w:hAnsi="Times New Roman"/>
                <w:b/>
                <w:sz w:val="24"/>
                <w:szCs w:val="24"/>
              </w:rPr>
              <w:t>. APRESENTAÇÃO</w:t>
            </w:r>
            <w:r w:rsidR="00CC7B64"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3F0997"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INICIAL </w:t>
            </w:r>
            <w:r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  <w:r w:rsidR="00673CAC"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673CAC" w:rsidRPr="00B13531">
              <w:rPr>
                <w:rFonts w:ascii="Times New Roman" w:hAnsi="Times New Roman"/>
                <w:b/>
                <w:bCs/>
                <w:sz w:val="24"/>
                <w:szCs w:val="24"/>
              </w:rPr>
              <w:t>REGIONAL</w:t>
            </w:r>
            <w:r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CC7B64" w:rsidRPr="00B13531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 w:rsidR="0042442C"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contextualizar </w:t>
            </w:r>
            <w:r w:rsidR="00673CAC"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a regional e </w:t>
            </w:r>
            <w:r w:rsidR="0042442C" w:rsidRPr="00B13531">
              <w:rPr>
                <w:rFonts w:ascii="Times New Roman" w:hAnsi="Times New Roman"/>
                <w:bCs/>
                <w:sz w:val="24"/>
                <w:szCs w:val="24"/>
              </w:rPr>
              <w:t>o</w:t>
            </w:r>
            <w:r w:rsidR="00673CAC" w:rsidRPr="00B13531">
              <w:rPr>
                <w:rFonts w:ascii="Times New Roman" w:hAnsi="Times New Roman"/>
                <w:bCs/>
                <w:sz w:val="24"/>
                <w:szCs w:val="24"/>
              </w:rPr>
              <w:t>s</w:t>
            </w:r>
            <w:r w:rsidR="0042442C"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 município,</w:t>
            </w:r>
            <w:r w:rsidR="00673CAC"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 integrantes.</w:t>
            </w:r>
            <w:r w:rsidR="00176428"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176428" w:rsidRPr="00E46DA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>Caracteriza</w:t>
            </w:r>
            <w:r w:rsidR="00176428" w:rsidRPr="00B1353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r o </w:t>
            </w:r>
            <w:r w:rsidR="00176428" w:rsidRPr="00E46DA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>território urbano</w:t>
            </w:r>
            <w:r w:rsidR="00176428" w:rsidRPr="00B1353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="00176428" w:rsidRPr="00B1353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explicando a f</w:t>
            </w:r>
            <w:r w:rsidR="00176428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ormação histórica, expansão urbana, assentamentos precários e informais, segregação socioespacial, Plano Diretor, </w:t>
            </w:r>
            <w:r w:rsidR="00176428" w:rsidRPr="00B1353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etc</w:t>
            </w:r>
            <w:r w:rsidR="00176428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.</w:t>
            </w:r>
          </w:p>
        </w:tc>
      </w:tr>
      <w:tr w:rsidR="00CC7B64" w:rsidRPr="00B13531" w14:paraId="0152C380" w14:textId="77777777" w:rsidTr="0023160B">
        <w:tc>
          <w:tcPr>
            <w:tcW w:w="8494" w:type="dxa"/>
            <w:gridSpan w:val="2"/>
          </w:tcPr>
          <w:p>
            <w:pPr>
              <w:spacing w:before="6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 regional reúne sete municípios da Região Metropolitana de Porto Alegre: Porto Alegre, Canoas, Gravataí, Sapucaia do Sul, Cachoeirinha, Guaíba e Esteio. Juntos, somavam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2.383.002 habitantes no Censo 2022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e 2.476.236 na estimativa do IBGE para 2026, em cerca de 1.600 km². Porto Alegre concentra 56% da população (1.332.845 habitantes); Canoas (347.657) e Gravataí (265.074) vêm em seguida.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Porto Alegre, Canoas, Esteio, Sapucaia do Sul e Cachoeirinha formam uma mancha urbana contínua e densa, com densidades entre 2.268 e 3.112 habitantes por km² (Cachoeirinha é o mais denso). Gravataí (566 hab/km²) e Guaíba (247 hab/km²) combinam manchas urbanas com grandes áreas rurais. O padrão de moradia também difere: em Porto Alegre, metade dos domicílios ocupados são apartamentos (49,5%); nos demais municípios predominam as casas (72% a 90%).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Assentamentos precários e informais.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 Censo 2022 registra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222.113 pessoas (9,3% da população) em favelas e comunidades urbanas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em 76.823 domicílios. Em números absolutos, a maior parte está em Porto Alegre (175.519 pessoas, 13,2% da população); em proporção, Guaíba tem a maior parcela (14,9%), seguida de Porto Alegre e Cachoeirinha (6,9%).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Segregação socioespacial.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 rendimento médio da pessoa responsável pelo domicílio vai de R$ 2.648 (Sapucaia do Sul) a R$ 5.317 (Porto Alegre). Dentro de cada município, a desigualdade é maior que entre eles: nos setores censitários da região, a renda mediana do responsável é R$ 2.825, e a média, R$ 4.374, puxada por poucos setores muito ricos. Um quinto da população da região vive em setores com renda média do responsável de até R$ 1.947; essa parcela é de 25% em Guaíba e 22% em Porto Alegre. Porto Alegre também tinha, em 2010, o maior índice de Gini da regional (0,615). Os mapas da seção 9 mostram a distribuição: renda alta no centro expandido de Porto Alegre e baixa nas bordas e nas periferias metropolitanas.</w:t>
            </w:r>
          </w:p>
          <w:p>
            <w:pPr>
              <w:spacing w:before="0" w:after="100" w:line="264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color w:val="7F6000"/>
                <w:sz w:val="20"/>
                <w:szCs w:val="20"/>
              </w:rPr>
              <w:t xml:space="preserve">[Complementar com pesquisa documental, que o Atlas não cobre: formação histórica dos municípios, vetores de expansão urbana, histórico das ocupações e dos programas de regularização, Planos Diretores vigentes de cada município (e revisões em curso) e os efeitos da enchente de 2024 no território]</w:t>
            </w:r>
          </w:p>
        </w:tc>
      </w:tr>
      <w:tr w:rsidR="00CC7B64" w:rsidRPr="00B13531" w14:paraId="4F9B3D76" w14:textId="77777777" w:rsidTr="0023160B">
        <w:tc>
          <w:tcPr>
            <w:tcW w:w="8494" w:type="dxa"/>
            <w:gridSpan w:val="2"/>
            <w:shd w:val="clear" w:color="auto" w:fill="E7E6E6"/>
          </w:tcPr>
          <w:p w14:paraId="5F22A831" w14:textId="205123CF" w:rsidR="00CC7B64" w:rsidRPr="00B13531" w:rsidRDefault="00E226FC" w:rsidP="003244A2">
            <w:pPr>
              <w:keepNext/>
              <w:rPr>
                <w:rFonts w:ascii="Times New Roman" w:hAnsi="Times New Roman"/>
                <w:bCs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="00CC7B64" w:rsidRPr="00B1353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="00176428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 ESCOPO DO </w:t>
            </w:r>
            <w:proofErr w:type="gramStart"/>
            <w:r w:rsidR="00176428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DIAGNÓSTICO </w:t>
            </w:r>
            <w:r w:rsidR="00CC7B64"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 (</w:t>
            </w:r>
            <w:proofErr w:type="gramEnd"/>
            <w:r w:rsidR="00E01AED"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explicar </w:t>
            </w:r>
            <w:r w:rsidR="00673CAC" w:rsidRPr="00B13531">
              <w:rPr>
                <w:rFonts w:ascii="Times New Roman" w:hAnsi="Times New Roman"/>
                <w:bCs/>
                <w:sz w:val="24"/>
                <w:szCs w:val="24"/>
              </w:rPr>
              <w:t>o foco principal do diagnóstico</w:t>
            </w:r>
            <w:r w:rsidR="00E01AED"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, enfatizando </w:t>
            </w:r>
            <w:r w:rsidR="00CC7B64" w:rsidRPr="00B13531">
              <w:rPr>
                <w:rFonts w:ascii="Times New Roman" w:hAnsi="Times New Roman"/>
                <w:bCs/>
                <w:sz w:val="24"/>
                <w:szCs w:val="24"/>
              </w:rPr>
              <w:t>aspectos qualitativos e quantitativos</w:t>
            </w:r>
            <w:r w:rsidR="00673CAC" w:rsidRPr="00B13531">
              <w:rPr>
                <w:rFonts w:ascii="Times New Roman" w:hAnsi="Times New Roman"/>
                <w:bCs/>
                <w:sz w:val="24"/>
                <w:szCs w:val="24"/>
              </w:rPr>
              <w:t>, conectando com os propósitos do instituto</w:t>
            </w:r>
            <w:r w:rsidR="00176428" w:rsidRPr="00B13531">
              <w:rPr>
                <w:rFonts w:ascii="Times New Roman" w:hAnsi="Times New Roman"/>
                <w:bCs/>
                <w:sz w:val="24"/>
                <w:szCs w:val="24"/>
              </w:rPr>
              <w:t>. Explicar que o foco é o t</w:t>
            </w:r>
            <w:r w:rsidR="00176428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erritório urbano</w:t>
            </w:r>
            <w:r w:rsidR="00176428" w:rsidRPr="00B1353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. Explicar a</w:t>
            </w:r>
            <w:r w:rsidR="00176428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unidade de análise (bairro, setor censitário</w:t>
            </w:r>
            <w:r w:rsidR="00176428" w:rsidRPr="00B1353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ou abrangência de</w:t>
            </w:r>
            <w:r w:rsidR="00176428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CRAS), recorte temporal, objetivo, problemas de partida, perguntas-guia</w:t>
            </w:r>
            <w:r w:rsidR="00176428" w:rsidRPr="00B1353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e</w:t>
            </w:r>
            <w:r w:rsidR="00176428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público prioritário</w:t>
            </w:r>
            <w:r w:rsidR="00E01AED" w:rsidRPr="00B13531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CC7B64" w:rsidRPr="00B13531" w14:paraId="2B21A44F" w14:textId="77777777" w:rsidTr="0023160B">
        <w:tc>
          <w:tcPr>
            <w:tcW w:w="8494" w:type="dxa"/>
            <w:gridSpan w:val="2"/>
          </w:tcPr>
          <w:p>
            <w:pPr>
              <w:spacing w:before="6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Foco.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 diagnóstico trata do território urbano dos sete municípios, com ênfase nos bolsões de baixa renda do entorno das unidades Renner. Combina leitura quantitativa (dados censitários e administrativos) e qualitativa (a realizar em campo), com o propósito de orientar projetos do Instituto Renner que melhorem as condições de vida dessas comunidades.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Unidade de análise.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 setor censitário do IBGE (4.722 setores), a menor unidade com dados publicados. Os setores são agregados em bairros (148) e em bolsões: grupos de setores do quintil de renda mais pobre da região a até 600 m uns dos outros (123 bolsões a até 5 km de alguma unidade). Dados fiscais, de segurança e os indicadores oficiais de 2010 entram no nível do município. A abrangência de CRAS ainda não está disponível no Atlas.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Recorte temporal.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Censo 2022 como base principal; Censo 2010 para trabalho, renda domiciliar, pobreza e escolaridade de adultos (o dado público mais recente nesses temas); registros administrativos de 2024 a 2026 (SICONFI, Censo Escolar, CNES, SSP/RS).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Objetivo.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Identificar onde estão as comunidades mais vulneráveis da regional, quais privações predominam em cada uma e que capacidade pública existe para enfrentá-las, de modo a priorizar territórios e frentes de atuação.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Problemas de partida.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(1) A desigualdade intraurbana fica escondida nas médias municipais; (2) as privações se concentram em bolsões com perfis diferentes entre si; (3) a capacidade pública de resposta varia muito entre os municípios.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Perguntas-guia.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Onde estão as famílias mais vulneráveis? Quem são (idade, cor ou raça, composição)? O que lhes falta (renda, trabalho, educação, moradia, saneamento, proteção)? Quem já atua no território? Por onde começar?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Público prioritário.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Moradores dos bolsões do quintil mais pobre: crianças de 0 a 14 anos (23% desses moradores), jovens de 15 a 29 anos (25%), adultos sem ensino fundamental completo e mulheres responsáveis pelo domicílio.</w:t>
            </w:r>
          </w:p>
        </w:tc>
      </w:tr>
      <w:tr w:rsidR="00CC7B64" w:rsidRPr="00B13531" w14:paraId="2D15C198" w14:textId="77777777" w:rsidTr="00176428">
        <w:tc>
          <w:tcPr>
            <w:tcW w:w="8494" w:type="dxa"/>
            <w:gridSpan w:val="2"/>
            <w:shd w:val="clear" w:color="auto" w:fill="E7E6E6"/>
          </w:tcPr>
          <w:p w14:paraId="2AD44988" w14:textId="119CA619" w:rsidR="00CC7B64" w:rsidRPr="00B13531" w:rsidRDefault="00E226FC" w:rsidP="00133FCC">
            <w:pPr>
              <w:keepNext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1" w:name="_Hlk242360650"/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 w:rsidR="00CC7B64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="00176428"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Metodologia e fontes de dados</w:t>
            </w:r>
            <w:r w:rsidR="00176428" w:rsidRPr="00B13531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 xml:space="preserve">. </w:t>
            </w:r>
            <w:r w:rsidR="00176428" w:rsidRPr="00B1353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Apresentar as metodologias utilizadas e as fontes de dados. </w:t>
            </w:r>
          </w:p>
        </w:tc>
      </w:tr>
      <w:tr w:rsidR="00176428" w:rsidRPr="00B13531" w14:paraId="361EBFC6" w14:textId="77777777" w:rsidTr="00176428">
        <w:trPr>
          <w:trHeight w:val="2061"/>
        </w:trPr>
        <w:tc>
          <w:tcPr>
            <w:tcW w:w="8494" w:type="dxa"/>
            <w:gridSpan w:val="2"/>
          </w:tcPr>
          <w:p>
            <w:pPr>
              <w:spacing w:before="6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Abordagem mista.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 etapa realizada é quantitativa, com dados secundários; a etapa qualitativa (visitas, entrevistas com lideranças, equipes de CRAS e escolas, grupos focais) está prevista para validar os territórios priorizados.</w:t>
            </w:r>
          </w:p>
          <w:p>
            <w:pPr>
              <w:spacing w:before="0" w:after="4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Métodos quantitativos.</w:t>
            </w:r>
          </w:p>
          <w:p>
            <w:pPr>
              <w:spacing w:before="0" w:after="60" w:line="264" w:lineRule="auto"/>
              <w:ind w:left="284" w:hanging="28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•	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Atlas Metropolitano RMPA (versão 3): base georreferenciada com 156 indicadores por setor, bairro e município, cada um com fonte e ano.</w:t>
            </w:r>
          </w:p>
          <w:p>
            <w:pPr>
              <w:spacing w:before="0" w:after="60" w:line="264" w:lineRule="auto"/>
              <w:ind w:left="284" w:hanging="28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•	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Classificação dos setores em quintis de renda do responsável, ponderados pela população (quintil mais pobre: até R$ 1.947).</w:t>
            </w:r>
          </w:p>
          <w:p>
            <w:pPr>
              <w:spacing w:before="0" w:after="60" w:line="264" w:lineRule="auto"/>
              <w:ind w:left="284" w:hanging="28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•	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Identificação de bolsões: setores do quintil mais pobre a até 600 m uns dos outros, atribuídos à unidade mais próxima.</w:t>
            </w:r>
          </w:p>
          <w:p>
            <w:pPr>
              <w:spacing w:before="0" w:after="60" w:line="264" w:lineRule="auto"/>
              <w:ind w:left="284" w:hanging="28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•	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Indicadores de 2010 por área de ponderação (cerca de 100 na região), atribuídos ao setor de 2022 pelo ponto representativo; servem para ordenar territórios, não para medir a situação atual.</w:t>
            </w:r>
          </w:p>
          <w:p>
            <w:pPr>
              <w:spacing w:before="0" w:after="60" w:line="264" w:lineRule="auto"/>
              <w:ind w:left="284" w:hanging="28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•	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Perfil de entorno das unidades em raios de 0,5 a 5 km, somando os setores cujo centro cai no raio.</w:t>
            </w:r>
          </w:p>
          <w:tbl>
            <w:tblPr>
              <w:tblW w:w="8270" w:type="dxa"/>
              <w:tblBorders>
                <w:top w:val="single" w:sz="4" w:space="0" w:color="8C8C8C"/>
                <w:left w:val="single" w:sz="4" w:space="0" w:color="8C8C8C"/>
                <w:bottom w:val="single" w:sz="4" w:space="0" w:color="8C8C8C"/>
                <w:right w:val="single" w:sz="4" w:space="0" w:color="8C8C8C"/>
                <w:insideH w:val="single" w:sz="4" w:space="0" w:color="8C8C8C"/>
                <w:insideV w:val="single" w:sz="4" w:space="0" w:color="8C8C8C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4100"/>
              <w:gridCol w:w="900"/>
              <w:gridCol w:w="1270"/>
            </w:tblGrid>
            <w:tr>
              <w:trPr>
                <w:tblHeader/>
              </w:trPr>
              <w:tc>
                <w:tcPr>
                  <w:tcW w:w="20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Fonte</w:t>
                  </w:r>
                </w:p>
              </w:tc>
              <w:tc>
                <w:tcPr>
                  <w:tcW w:w="41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Conteúdo</w:t>
                  </w:r>
                </w:p>
              </w:tc>
              <w:tc>
                <w:tcPr>
                  <w:tcW w:w="9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Ano</w:t>
                  </w:r>
                </w:p>
              </w:tc>
              <w:tc>
                <w:tcPr>
                  <w:tcW w:w="127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Nível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Censo Demográfico (IBGE)</w:t>
                  </w:r>
                </w:p>
              </w:tc>
              <w:tc>
                <w:tcPr>
                  <w:tcW w:w="41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População, idade, cor ou raça, domicílios, saneamento, alfabetização, renda do responsável, favelas e comunidades urbanas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2022</w:t>
                  </w:r>
                </w:p>
              </w:tc>
              <w:tc>
                <w:tcPr>
                  <w:tcW w:w="12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Setor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Censo Demográfico, amostra (IBGE)</w:t>
                  </w:r>
                </w:p>
              </w:tc>
              <w:tc>
                <w:tcPr>
                  <w:tcW w:w="41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Renda domiciliar per capita, pobreza, Gini, trabalho, escolaridade de adultos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2010</w:t>
                  </w:r>
                </w:p>
              </w:tc>
              <w:tc>
                <w:tcPr>
                  <w:tcW w:w="12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Área de ponderação e município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Censo Escolar (INEP)</w:t>
                  </w:r>
                </w:p>
              </w:tc>
              <w:tc>
                <w:tcPr>
                  <w:tcW w:w="41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Escolas em atividade, por rede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2025</w:t>
                  </w:r>
                </w:p>
              </w:tc>
              <w:tc>
                <w:tcPr>
                  <w:tcW w:w="12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Ponto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CNES (DATASUS)</w:t>
                  </w:r>
                </w:p>
              </w:tc>
              <w:tc>
                <w:tcPr>
                  <w:tcW w:w="41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Estabelecimentos de saúde ativos, UBS, hospitais, CAPS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2026</w:t>
                  </w:r>
                </w:p>
              </w:tc>
              <w:tc>
                <w:tcPr>
                  <w:tcW w:w="12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Ponto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SICONFI (STN)</w:t>
                  </w:r>
                </w:p>
              </w:tc>
              <w:tc>
                <w:tcPr>
                  <w:tcW w:w="41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Receitas e despesas municipais por função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2024</w:t>
                  </w:r>
                </w:p>
              </w:tc>
              <w:tc>
                <w:tcPr>
                  <w:tcW w:w="12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Município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SSP/RS</w:t>
                  </w:r>
                </w:p>
              </w:tc>
              <w:tc>
                <w:tcPr>
                  <w:tcW w:w="41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Indicadores criminais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2025</w:t>
                  </w:r>
                </w:p>
              </w:tc>
              <w:tc>
                <w:tcPr>
                  <w:tcW w:w="12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Município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PIB dos Municípios (IBGE)</w:t>
                  </w:r>
                </w:p>
              </w:tc>
              <w:tc>
                <w:tcPr>
                  <w:tcW w:w="41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PIB e valor adicionado por setor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2021–2023</w:t>
                  </w:r>
                </w:p>
              </w:tc>
              <w:tc>
                <w:tcPr>
                  <w:tcW w:w="12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Município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Estimativas de população (IBGE)</w:t>
                  </w:r>
                </w:p>
              </w:tc>
              <w:tc>
                <w:tcPr>
                  <w:tcW w:w="41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População estimada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2026</w:t>
                  </w:r>
                </w:p>
              </w:tc>
              <w:tc>
                <w:tcPr>
                  <w:tcW w:w="12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Município</w:t>
                  </w:r>
                </w:p>
              </w:tc>
            </w:tr>
          </w:tbl>
          <w:p>
            <w:pPr>
              <w:spacing w:before="0" w:after="0" w:line="264" w:lineRule="auto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>
            <w:pPr>
              <w:spacing w:before="0" w:after="120" w:line="264" w:lineRule="auto"/>
              <w:jc w:val="left"/>
              <w:rPr>
                <w:rFonts w:ascii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color w:val="404040"/>
                <w:sz w:val="17"/>
                <w:szCs w:val="17"/>
              </w:rPr>
              <w:t xml:space="preserve">Limites: a renda de 2022 é a do responsável, não a renda domiciliar per capita; trabalho e pobreza só existem para 2010; contagens de escolas e unidades de saúde medem prédios, não vagas nem equipes.</w:t>
            </w:r>
          </w:p>
        </w:tc>
      </w:tr>
      <w:bookmarkEnd w:id="1"/>
      <w:tr w:rsidR="00176428" w:rsidRPr="00B13531" w14:paraId="4E7787C7" w14:textId="77777777" w:rsidTr="00176428">
        <w:tc>
          <w:tcPr>
            <w:tcW w:w="8494" w:type="dxa"/>
            <w:gridSpan w:val="2"/>
            <w:shd w:val="clear" w:color="auto" w:fill="E7E6E6"/>
          </w:tcPr>
          <w:p w14:paraId="1A79D1EF" w14:textId="2465ACD0" w:rsidR="00176428" w:rsidRPr="00B13531" w:rsidRDefault="00176428" w:rsidP="00A05263">
            <w:pPr>
              <w:keepNext/>
              <w:rPr>
                <w:rFonts w:ascii="Times New Roman" w:hAnsi="Times New Roman"/>
                <w:bCs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6</w:t>
            </w: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Demografia e perfil das famílias vulneráveis</w:t>
            </w:r>
            <w:r w:rsidRPr="00B13531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.</w:t>
            </w:r>
            <w:r w:rsidRPr="00B1353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br/>
              <w:t xml:space="preserve">Tabela com população e densidade, estrutura etária, famílias chefiadas por mulheres, famílias monoparentais, idosos que vivem sozinhos, pessoas com deficiência, população negra, indígena e quilombola, migrantes, população em situação de rua e famílias no Cadastro Único e no Bolsa </w:t>
            </w:r>
            <w:proofErr w:type="gramStart"/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Família.</w:t>
            </w:r>
            <w:r w:rsidRPr="00B1353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>.</w:t>
            </w:r>
            <w:proofErr w:type="gramEnd"/>
            <w:r w:rsidRPr="00B1353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176428" w:rsidRPr="00B13531" w14:paraId="0B0A2C43" w14:textId="77777777" w:rsidTr="00176428">
        <w:trPr>
          <w:trHeight w:val="889"/>
        </w:trPr>
        <w:tc>
          <w:tcPr>
            <w:tcW w:w="8494" w:type="dxa"/>
            <w:gridSpan w:val="2"/>
          </w:tcPr>
          <w:p>
            <w:pPr>
              <w:spacing w:before="60" w:after="100" w:line="264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Tabela 6.1 – População, densidade e estrutura etária (Censo 2022)</w:t>
            </w:r>
          </w:p>
          <w:tbl>
            <w:tblPr>
              <w:tblW w:w="8270" w:type="dxa"/>
              <w:tblBorders>
                <w:top w:val="single" w:sz="4" w:space="0" w:color="8C8C8C"/>
                <w:left w:val="single" w:sz="4" w:space="0" w:color="8C8C8C"/>
                <w:bottom w:val="single" w:sz="4" w:space="0" w:color="8C8C8C"/>
                <w:right w:val="single" w:sz="4" w:space="0" w:color="8C8C8C"/>
                <w:insideH w:val="single" w:sz="4" w:space="0" w:color="8C8C8C"/>
                <w:insideV w:val="single" w:sz="4" w:space="0" w:color="8C8C8C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550"/>
              <w:gridCol w:w="1050"/>
              <w:gridCol w:w="1050"/>
              <w:gridCol w:w="800"/>
              <w:gridCol w:w="900"/>
              <w:gridCol w:w="900"/>
              <w:gridCol w:w="900"/>
              <w:gridCol w:w="1120"/>
            </w:tblGrid>
            <w:tr>
              <w:trPr>
                <w:tblHeader/>
              </w:trPr>
              <w:tc>
                <w:tcPr>
                  <w:tcW w:w="15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Município</w:t>
                  </w:r>
                </w:p>
              </w:tc>
              <w:tc>
                <w:tcPr>
                  <w:tcW w:w="10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População 2022</w:t>
                  </w:r>
                </w:p>
              </w:tc>
              <w:tc>
                <w:tcPr>
                  <w:tcW w:w="10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Estimada 2026</w:t>
                  </w:r>
                </w:p>
              </w:tc>
              <w:tc>
                <w:tcPr>
                  <w:tcW w:w="8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Hab/km²</w:t>
                  </w:r>
                </w:p>
              </w:tc>
              <w:tc>
                <w:tcPr>
                  <w:tcW w:w="9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0–14 anos</w:t>
                  </w:r>
                </w:p>
              </w:tc>
              <w:tc>
                <w:tcPr>
                  <w:tcW w:w="9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15–29 anos</w:t>
                  </w:r>
                </w:p>
              </w:tc>
              <w:tc>
                <w:tcPr>
                  <w:tcW w:w="9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60+ anos</w:t>
                  </w:r>
                </w:p>
              </w:tc>
              <w:tc>
                <w:tcPr>
                  <w:tcW w:w="112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Índice de envelhec.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Porto Alegre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1.332.845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1.388.791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2.690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16,0%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20,0%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21,9%</w:t>
                  </w:r>
                </w:p>
              </w:tc>
              <w:tc>
                <w:tcPr>
                  <w:tcW w:w="11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137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Canoas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347.657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359.845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2.658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18,2%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21,4%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17,4%</w:t>
                  </w:r>
                </w:p>
              </w:tc>
              <w:tc>
                <w:tcPr>
                  <w:tcW w:w="11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96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Gravataí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265.074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275.432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566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18,5%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21,1%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17,6%</w:t>
                  </w:r>
                </w:p>
              </w:tc>
              <w:tc>
                <w:tcPr>
                  <w:tcW w:w="11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95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Sapucaia do Sul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132.107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136.573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2.268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18,6%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22,0%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16,9%</w:t>
                  </w:r>
                </w:p>
              </w:tc>
              <w:tc>
                <w:tcPr>
                  <w:tcW w:w="11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91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Cachoeirinha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136.258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141.506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3.112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18,9%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21,3%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16,0%</w:t>
                  </w:r>
                </w:p>
              </w:tc>
              <w:tc>
                <w:tcPr>
                  <w:tcW w:w="11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84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Guaíba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92.924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95.946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247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18,2%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20,8%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18,6%</w:t>
                  </w:r>
                </w:p>
              </w:tc>
              <w:tc>
                <w:tcPr>
                  <w:tcW w:w="11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102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Esteio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76.137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78.143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2.751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17,7%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20,5%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19,9%</w:t>
                  </w:r>
                </w:p>
              </w:tc>
              <w:tc>
                <w:tcPr>
                  <w:tcW w:w="11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113</w:t>
                  </w:r>
                </w:p>
              </w:tc>
            </w:tr>
            <w:tr>
              <w:tc>
                <w:tcPr>
                  <w:tcW w:w="155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Região (7)</w:t>
                  </w:r>
                </w:p>
              </w:tc>
              <w:tc>
                <w:tcPr>
                  <w:tcW w:w="105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2.383.002</w:t>
                  </w:r>
                </w:p>
              </w:tc>
              <w:tc>
                <w:tcPr>
                  <w:tcW w:w="105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2.476.236</w:t>
                  </w:r>
                </w:p>
              </w:tc>
              <w:tc>
                <w:tcPr>
                  <w:tcW w:w="80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1.489</w:t>
                  </w:r>
                </w:p>
              </w:tc>
              <w:tc>
                <w:tcPr>
                  <w:tcW w:w="90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17,0%</w:t>
                  </w:r>
                </w:p>
              </w:tc>
              <w:tc>
                <w:tcPr>
                  <w:tcW w:w="90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20,6%</w:t>
                  </w:r>
                </w:p>
              </w:tc>
              <w:tc>
                <w:tcPr>
                  <w:tcW w:w="90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20,0%</w:t>
                  </w:r>
                </w:p>
              </w:tc>
              <w:tc>
                <w:tcPr>
                  <w:tcW w:w="112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117</w:t>
                  </w:r>
                </w:p>
              </w:tc>
            </w:tr>
          </w:tbl>
          <w:p>
            <w:pPr>
              <w:spacing w:before="0" w:after="0" w:line="264" w:lineRule="auto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>
            <w:pPr>
              <w:spacing w:before="60" w:after="100" w:line="264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Tabela 6.2 – Composição e grupos populacionais (Censo 2022)</w:t>
            </w:r>
          </w:p>
          <w:tbl>
            <w:tblPr>
              <w:tblW w:w="8270" w:type="dxa"/>
              <w:tblBorders>
                <w:top w:val="single" w:sz="4" w:space="0" w:color="8C8C8C"/>
                <w:left w:val="single" w:sz="4" w:space="0" w:color="8C8C8C"/>
                <w:bottom w:val="single" w:sz="4" w:space="0" w:color="8C8C8C"/>
                <w:right w:val="single" w:sz="4" w:space="0" w:color="8C8C8C"/>
                <w:insideH w:val="single" w:sz="4" w:space="0" w:color="8C8C8C"/>
                <w:insideV w:val="single" w:sz="4" w:space="0" w:color="8C8C8C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550"/>
              <w:gridCol w:w="850"/>
              <w:gridCol w:w="1000"/>
              <w:gridCol w:w="900"/>
              <w:gridCol w:w="800"/>
              <w:gridCol w:w="1000"/>
              <w:gridCol w:w="1050"/>
              <w:gridCol w:w="1120"/>
            </w:tblGrid>
            <w:tr>
              <w:trPr>
                <w:tblHeader/>
              </w:trPr>
              <w:tc>
                <w:tcPr>
                  <w:tcW w:w="15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Município</w:t>
                  </w:r>
                </w:p>
              </w:tc>
              <w:tc>
                <w:tcPr>
                  <w:tcW w:w="8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Mulheres</w:t>
                  </w:r>
                </w:p>
              </w:tc>
              <w:tc>
                <w:tcPr>
                  <w:tcW w:w="10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Moradores por domicílio</w:t>
                  </w:r>
                </w:p>
              </w:tc>
              <w:tc>
                <w:tcPr>
                  <w:tcW w:w="9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Preta ou parda</w:t>
                  </w:r>
                </w:p>
              </w:tc>
              <w:tc>
                <w:tcPr>
                  <w:tcW w:w="8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Preta</w:t>
                  </w:r>
                </w:p>
              </w:tc>
              <w:tc>
                <w:tcPr>
                  <w:tcW w:w="10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Indígenas (pessoas)</w:t>
                  </w:r>
                </w:p>
              </w:tc>
              <w:tc>
                <w:tcPr>
                  <w:tcW w:w="10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Quilombolas (pessoas)</w:t>
                  </w:r>
                </w:p>
              </w:tc>
              <w:tc>
                <w:tcPr>
                  <w:tcW w:w="112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Em favelas e com. urbanas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Porto Alegre</w:t>
                  </w:r>
                </w:p>
              </w:tc>
              <w:tc>
                <w:tcPr>
                  <w:tcW w:w="8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54,1%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2,39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26,0%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12,6%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2.004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2.189</w:t>
                  </w:r>
                </w:p>
              </w:tc>
              <w:tc>
                <w:tcPr>
                  <w:tcW w:w="11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13,2%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Canoas</w:t>
                  </w:r>
                </w:p>
              </w:tc>
              <w:tc>
                <w:tcPr>
                  <w:tcW w:w="8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52,2%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2,62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21,2%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7,7%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177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96</w:t>
                  </w:r>
                </w:p>
              </w:tc>
              <w:tc>
                <w:tcPr>
                  <w:tcW w:w="11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2,3%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Gravataí</w:t>
                  </w:r>
                </w:p>
              </w:tc>
              <w:tc>
                <w:tcPr>
                  <w:tcW w:w="8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51,5%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2,60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20,5%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8,1%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269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164</w:t>
                  </w:r>
                </w:p>
              </w:tc>
              <w:tc>
                <w:tcPr>
                  <w:tcW w:w="11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4,2%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Sapucaia do Sul</w:t>
                  </w:r>
                </w:p>
              </w:tc>
              <w:tc>
                <w:tcPr>
                  <w:tcW w:w="8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52,0%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2,63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21,0%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6,8%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34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0</w:t>
                  </w:r>
                </w:p>
              </w:tc>
              <w:tc>
                <w:tcPr>
                  <w:tcW w:w="11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1,2%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Cachoeirinha</w:t>
                  </w:r>
                </w:p>
              </w:tc>
              <w:tc>
                <w:tcPr>
                  <w:tcW w:w="8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52,3%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2,59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21,3%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8,1%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80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0</w:t>
                  </w:r>
                </w:p>
              </w:tc>
              <w:tc>
                <w:tcPr>
                  <w:tcW w:w="11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6,9%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Guaíba</w:t>
                  </w:r>
                </w:p>
              </w:tc>
              <w:tc>
                <w:tcPr>
                  <w:tcW w:w="8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52,1%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2,64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22,4%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9,1%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58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0</w:t>
                  </w:r>
                </w:p>
              </w:tc>
              <w:tc>
                <w:tcPr>
                  <w:tcW w:w="11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14,9%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Esteio</w:t>
                  </w:r>
                </w:p>
              </w:tc>
              <w:tc>
                <w:tcPr>
                  <w:tcW w:w="8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52,5%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2,60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20,7%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7,6%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23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0</w:t>
                  </w:r>
                </w:p>
              </w:tc>
              <w:tc>
                <w:tcPr>
                  <w:tcW w:w="11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3,5%</w:t>
                  </w:r>
                </w:p>
              </w:tc>
            </w:tr>
            <w:tr>
              <w:tc>
                <w:tcPr>
                  <w:tcW w:w="155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Região (7)</w:t>
                  </w:r>
                </w:p>
              </w:tc>
              <w:tc>
                <w:tcPr>
                  <w:tcW w:w="85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53,1%</w:t>
                  </w:r>
                </w:p>
              </w:tc>
              <w:tc>
                <w:tcPr>
                  <w:tcW w:w="100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2,48</w:t>
                  </w:r>
                </w:p>
              </w:tc>
              <w:tc>
                <w:tcPr>
                  <w:tcW w:w="90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23,8%</w:t>
                  </w:r>
                </w:p>
              </w:tc>
              <w:tc>
                <w:tcPr>
                  <w:tcW w:w="80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10,5%</w:t>
                  </w:r>
                </w:p>
              </w:tc>
              <w:tc>
                <w:tcPr>
                  <w:tcW w:w="100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2.645</w:t>
                  </w:r>
                </w:p>
              </w:tc>
              <w:tc>
                <w:tcPr>
                  <w:tcW w:w="105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2.449</w:t>
                  </w:r>
                </w:p>
              </w:tc>
              <w:tc>
                <w:tcPr>
                  <w:tcW w:w="112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9,3%</w:t>
                  </w:r>
                </w:p>
              </w:tc>
            </w:tr>
          </w:tbl>
          <w:p>
            <w:pPr>
              <w:spacing w:before="0" w:after="0" w:line="264" w:lineRule="auto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>
            <w:pPr>
              <w:spacing w:before="0" w:after="120" w:line="264" w:lineRule="auto"/>
              <w:jc w:val="left"/>
              <w:rPr>
                <w:rFonts w:ascii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color w:val="404040"/>
                <w:sz w:val="17"/>
                <w:szCs w:val="17"/>
              </w:rPr>
              <w:t xml:space="preserve">Índice de envelhecimento: pessoas de 60 anos ou mais por 100 de 0 a 14 anos. Indígenas: quesito específico do Censo 2022. Fonte: Censo 2022 (IBGE); estimativa 2026 (IBGE), via Atlas Metropolitano RMPA.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Leitura.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Porto Alegre é o município mais envelhecido (21,9% de idosos; índice 137) e o que tem maior parcela de população preta ou parda (26,0%) e de pessoas indígenas e quilombolas. Os demais municípios são mais jovens (de 17,7% a 18,9% de 0 a 14 anos). Nos 123 bolsões do quintil mais pobre próximos às unidades vivem 323.725 pessoas: 75.820 crianças de 0 a 14 anos (23%) e 81.878 jovens de 15 a 29 anos (25%). Nos 12 bolsões de Porto Alegre com 2 mil moradores ou mais, a população preta ou parda vai de 32% a 61%, bem acima da média do município (26%).</w:t>
            </w:r>
          </w:p>
          <w:p>
            <w:pPr>
              <w:spacing w:before="0" w:after="4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Indicadores pedidos e ainda não disponíveis no Atlas:</w:t>
            </w:r>
          </w:p>
          <w:tbl>
            <w:tblPr>
              <w:tblW w:w="8270" w:type="dxa"/>
              <w:tblBorders>
                <w:top w:val="single" w:sz="4" w:space="0" w:color="8C8C8C"/>
                <w:left w:val="single" w:sz="4" w:space="0" w:color="8C8C8C"/>
                <w:bottom w:val="single" w:sz="4" w:space="0" w:color="8C8C8C"/>
                <w:right w:val="single" w:sz="4" w:space="0" w:color="8C8C8C"/>
                <w:insideH w:val="single" w:sz="4" w:space="0" w:color="8C8C8C"/>
                <w:insideV w:val="single" w:sz="4" w:space="0" w:color="8C8C8C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3700"/>
              <w:gridCol w:w="4570"/>
            </w:tblGrid>
            <w:tr>
              <w:trPr>
                <w:tblHeader/>
              </w:trPr>
              <w:tc>
                <w:tcPr>
                  <w:tcW w:w="37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Indicador</w:t>
                  </w:r>
                </w:p>
              </w:tc>
              <w:tc>
                <w:tcPr>
                  <w:tcW w:w="457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Fonte para incorporar</w:t>
                  </w:r>
                </w:p>
              </w:tc>
            </w:tr>
            <w:tr>
              <w:tc>
                <w:tcPr>
                  <w:tcW w:w="37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Famílias chefiadas por mulheres; famílias monoparentais; idosos que vivem sozinhos</w:t>
                  </w:r>
                </w:p>
              </w:tc>
              <w:tc>
                <w:tcPr>
                  <w:tcW w:w="4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Censo 2022 (resultados de domicílios e famílias); Censo 2010, amostra, por área de ponderação</w:t>
                  </w:r>
                </w:p>
              </w:tc>
            </w:tr>
            <w:tr>
              <w:tc>
                <w:tcPr>
                  <w:tcW w:w="37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Pessoas com deficiência</w:t>
                  </w:r>
                </w:p>
              </w:tc>
              <w:tc>
                <w:tcPr>
                  <w:tcW w:w="4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Censo 2022 (resultados sobre pessoas com deficiência); CadÚnico</w:t>
                  </w:r>
                </w:p>
              </w:tc>
            </w:tr>
            <w:tr>
              <w:tc>
                <w:tcPr>
                  <w:tcW w:w="37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Migrantes</w:t>
                  </w:r>
                </w:p>
              </w:tc>
              <w:tc>
                <w:tcPr>
                  <w:tcW w:w="4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Censo 2022 e 2010 (migração); SISMIGRA/OBMigra</w:t>
                  </w:r>
                </w:p>
              </w:tc>
            </w:tr>
            <w:tr>
              <w:tc>
                <w:tcPr>
                  <w:tcW w:w="37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População em situação de rua</w:t>
                  </w:r>
                </w:p>
              </w:tc>
              <w:tc>
                <w:tcPr>
                  <w:tcW w:w="4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CadÚnico (CECAD/MDS); contagens municipais</w:t>
                  </w:r>
                </w:p>
              </w:tc>
            </w:tr>
            <w:tr>
              <w:tc>
                <w:tcPr>
                  <w:tcW w:w="37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Famílias no Cadastro Único e no Bolsa Família</w:t>
                  </w:r>
                </w:p>
              </w:tc>
              <w:tc>
                <w:tcPr>
                  <w:tcW w:w="4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CECAD e VIS Data (MDS), por município; por CRAS ou bairro mediante acordo com as prefeituras</w:t>
                  </w:r>
                </w:p>
              </w:tc>
            </w:tr>
          </w:tbl>
          <w:p>
            <w:pPr>
              <w:spacing w:before="0" w:after="0" w:line="264" w:lineRule="auto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55085" w:rsidRPr="00B13531" w14:paraId="315D8F15" w14:textId="77777777" w:rsidTr="00A05263">
        <w:tc>
          <w:tcPr>
            <w:tcW w:w="8494" w:type="dxa"/>
            <w:gridSpan w:val="2"/>
            <w:shd w:val="clear" w:color="auto" w:fill="E7E6E6"/>
          </w:tcPr>
          <w:p w14:paraId="53CB17D1" w14:textId="016D09C7" w:rsidR="00655085" w:rsidRPr="00B13531" w:rsidRDefault="00655085" w:rsidP="00A05263">
            <w:pPr>
              <w:keepNext/>
              <w:rPr>
                <w:rFonts w:ascii="Times New Roman" w:hAnsi="Times New Roman"/>
                <w:bCs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7</w:t>
            </w: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Renda, trabalho e economia local</w:t>
            </w:r>
            <w:r w:rsidR="00B13531" w:rsidRPr="00B13531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 xml:space="preserve">. </w:t>
            </w:r>
            <w:r w:rsidR="00B13531" w:rsidRPr="00B13531">
              <w:rPr>
                <w:rFonts w:ascii="Times New Roman" w:eastAsia="Times New Roman" w:hAnsi="Times New Roman"/>
                <w:bCs/>
                <w:sz w:val="24"/>
                <w:szCs w:val="24"/>
                <w:lang w:eastAsia="pt-BR"/>
              </w:rPr>
              <w:t>Elaborar t</w:t>
            </w: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abela com pobreza e extrema pobreza, renda per capita, </w:t>
            </w:r>
            <w:proofErr w:type="spellStart"/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Gini</w:t>
            </w:r>
            <w:proofErr w:type="spellEnd"/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, desocupação (total, jovens e mulheres), informalidade, jovens que não estudam nem trabalham, dependência de transferências e microempreendedores. Análise das barreiras de acesso ao trabalho e da economia popular</w:t>
            </w:r>
            <w:r w:rsidRPr="00B1353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655085" w:rsidRPr="00B13531" w14:paraId="0FECC3F0" w14:textId="77777777" w:rsidTr="00A05263">
        <w:trPr>
          <w:trHeight w:val="889"/>
        </w:trPr>
        <w:tc>
          <w:tcPr>
            <w:tcW w:w="8494" w:type="dxa"/>
            <w:gridSpan w:val="2"/>
          </w:tcPr>
          <w:p>
            <w:pPr>
              <w:spacing w:before="60" w:after="100" w:line="264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Tabela 7.1 – Pobreza, renda, desigualdade e trabalho (Censo 2010, valores municipais)</w:t>
            </w:r>
          </w:p>
          <w:tbl>
            <w:tblPr>
              <w:tblW w:w="8270" w:type="dxa"/>
              <w:tblBorders>
                <w:top w:val="single" w:sz="4" w:space="0" w:color="8C8C8C"/>
                <w:left w:val="single" w:sz="4" w:space="0" w:color="8C8C8C"/>
                <w:bottom w:val="single" w:sz="4" w:space="0" w:color="8C8C8C"/>
                <w:right w:val="single" w:sz="4" w:space="0" w:color="8C8C8C"/>
                <w:insideH w:val="single" w:sz="4" w:space="0" w:color="8C8C8C"/>
                <w:insideV w:val="single" w:sz="4" w:space="0" w:color="8C8C8C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550"/>
              <w:gridCol w:w="1000"/>
              <w:gridCol w:w="950"/>
              <w:gridCol w:w="1050"/>
              <w:gridCol w:w="700"/>
              <w:gridCol w:w="1000"/>
              <w:gridCol w:w="1000"/>
              <w:gridCol w:w="1020"/>
            </w:tblGrid>
            <w:tr>
              <w:trPr>
                <w:tblHeader/>
              </w:trPr>
              <w:tc>
                <w:tcPr>
                  <w:tcW w:w="15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Município</w:t>
                  </w:r>
                </w:p>
              </w:tc>
              <w:tc>
                <w:tcPr>
                  <w:tcW w:w="10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Pobreza (&lt; ½ SM per capita)</w:t>
                  </w:r>
                </w:p>
              </w:tc>
              <w:tc>
                <w:tcPr>
                  <w:tcW w:w="9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Extrema pobreza (&lt; ¼ SM)</w:t>
                  </w:r>
                </w:p>
              </w:tc>
              <w:tc>
                <w:tcPr>
                  <w:tcW w:w="10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Renda dom. per capita (R$ de 2010)</w:t>
                  </w:r>
                </w:p>
              </w:tc>
              <w:tc>
                <w:tcPr>
                  <w:tcW w:w="7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Gini</w:t>
                  </w:r>
                </w:p>
              </w:tc>
              <w:tc>
                <w:tcPr>
                  <w:tcW w:w="10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Desocupação</w:t>
                  </w:r>
                </w:p>
              </w:tc>
              <w:tc>
                <w:tcPr>
                  <w:tcW w:w="10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Informalidade</w:t>
                  </w:r>
                </w:p>
              </w:tc>
              <w:tc>
                <w:tcPr>
                  <w:tcW w:w="102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Conta própria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Porto Alegre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13,8%</w:t>
                  </w:r>
                </w:p>
              </w:tc>
              <w:tc>
                <w:tcPr>
                  <w:tcW w:w="9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5,5%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R$ 1.730</w:t>
                  </w:r>
                </w:p>
              </w:tc>
              <w:tc>
                <w:tcPr>
                  <w:tcW w:w="7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0,615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5,5%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36,4%</w:t>
                  </w:r>
                </w:p>
              </w:tc>
              <w:tc>
                <w:tcPr>
                  <w:tcW w:w="10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21,4%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Canoas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16,6%</w:t>
                  </w:r>
                </w:p>
              </w:tc>
              <w:tc>
                <w:tcPr>
                  <w:tcW w:w="9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5,5%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R$ 932</w:t>
                  </w:r>
                </w:p>
              </w:tc>
              <w:tc>
                <w:tcPr>
                  <w:tcW w:w="7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0,518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6,5%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34,2%</w:t>
                  </w:r>
                </w:p>
              </w:tc>
              <w:tc>
                <w:tcPr>
                  <w:tcW w:w="10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20,5%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Gravataí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19,7%</w:t>
                  </w:r>
                </w:p>
              </w:tc>
              <w:tc>
                <w:tcPr>
                  <w:tcW w:w="9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7,2%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R$ 715</w:t>
                  </w:r>
                </w:p>
              </w:tc>
              <w:tc>
                <w:tcPr>
                  <w:tcW w:w="7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0,458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7,3%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36,2%</w:t>
                  </w:r>
                </w:p>
              </w:tc>
              <w:tc>
                <w:tcPr>
                  <w:tcW w:w="10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21,3%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Sapucaia do Sul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18,7%</w:t>
                  </w:r>
                </w:p>
              </w:tc>
              <w:tc>
                <w:tcPr>
                  <w:tcW w:w="9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5,8%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R$ 718</w:t>
                  </w:r>
                </w:p>
              </w:tc>
              <w:tc>
                <w:tcPr>
                  <w:tcW w:w="7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0,450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7,1%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32,8%</w:t>
                  </w:r>
                </w:p>
              </w:tc>
              <w:tc>
                <w:tcPr>
                  <w:tcW w:w="10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17,9%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Cachoeirinha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14,5%</w:t>
                  </w:r>
                </w:p>
              </w:tc>
              <w:tc>
                <w:tcPr>
                  <w:tcW w:w="9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5,0%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R$ 823</w:t>
                  </w:r>
                </w:p>
              </w:tc>
              <w:tc>
                <w:tcPr>
                  <w:tcW w:w="7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0,449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6,9%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33,5%</w:t>
                  </w:r>
                </w:p>
              </w:tc>
              <w:tc>
                <w:tcPr>
                  <w:tcW w:w="10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19,8%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Guaíba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19,9%</w:t>
                  </w:r>
                </w:p>
              </w:tc>
              <w:tc>
                <w:tcPr>
                  <w:tcW w:w="9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7,2%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R$ 743</w:t>
                  </w:r>
                </w:p>
              </w:tc>
              <w:tc>
                <w:tcPr>
                  <w:tcW w:w="7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0,479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7,1%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34,8%</w:t>
                  </w:r>
                </w:p>
              </w:tc>
              <w:tc>
                <w:tcPr>
                  <w:tcW w:w="10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17,6%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Esteio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13,9%</w:t>
                  </w:r>
                </w:p>
              </w:tc>
              <w:tc>
                <w:tcPr>
                  <w:tcW w:w="9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4,9%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R$ 943</w:t>
                  </w:r>
                </w:p>
              </w:tc>
              <w:tc>
                <w:tcPr>
                  <w:tcW w:w="7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0,484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6,1%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30,6%</w:t>
                  </w:r>
                </w:p>
              </w:tc>
              <w:tc>
                <w:tcPr>
                  <w:tcW w:w="102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18,0%</w:t>
                  </w:r>
                </w:p>
              </w:tc>
            </w:tr>
          </w:tbl>
          <w:p>
            <w:pPr>
              <w:spacing w:before="0" w:after="0" w:line="264" w:lineRule="auto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>
            <w:pPr>
              <w:spacing w:before="60" w:after="100" w:line="264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Tabela 7.2 – Renda e economia: dados recentes</w:t>
            </w:r>
          </w:p>
          <w:tbl>
            <w:tblPr>
              <w:tblW w:w="8270" w:type="dxa"/>
              <w:tblBorders>
                <w:top w:val="single" w:sz="4" w:space="0" w:color="8C8C8C"/>
                <w:left w:val="single" w:sz="4" w:space="0" w:color="8C8C8C"/>
                <w:bottom w:val="single" w:sz="4" w:space="0" w:color="8C8C8C"/>
                <w:right w:val="single" w:sz="4" w:space="0" w:color="8C8C8C"/>
                <w:insideH w:val="single" w:sz="4" w:space="0" w:color="8C8C8C"/>
                <w:insideV w:val="single" w:sz="4" w:space="0" w:color="8C8C8C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550"/>
              <w:gridCol w:w="1200"/>
              <w:gridCol w:w="1200"/>
              <w:gridCol w:w="1150"/>
              <w:gridCol w:w="1050"/>
              <w:gridCol w:w="1050"/>
              <w:gridCol w:w="1070"/>
            </w:tblGrid>
            <w:tr>
              <w:trPr>
                <w:tblHeader/>
              </w:trPr>
              <w:tc>
                <w:tcPr>
                  <w:tcW w:w="15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Município</w:t>
                  </w:r>
                </w:p>
              </w:tc>
              <w:tc>
                <w:tcPr>
                  <w:tcW w:w="12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Renda média do responsável (2022)</w:t>
                  </w:r>
                </w:p>
              </w:tc>
              <w:tc>
                <w:tcPr>
                  <w:tcW w:w="12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População no quintil mais pobre (2022)</w:t>
                  </w:r>
                </w:p>
              </w:tc>
              <w:tc>
                <w:tcPr>
                  <w:tcW w:w="11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PIB per capita (2023)</w:t>
                  </w:r>
                </w:p>
              </w:tc>
              <w:tc>
                <w:tcPr>
                  <w:tcW w:w="10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VAB indústria (2021)</w:t>
                  </w:r>
                </w:p>
              </w:tc>
              <w:tc>
                <w:tcPr>
                  <w:tcW w:w="10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VAB serviços (2021)</w:t>
                  </w:r>
                </w:p>
              </w:tc>
              <w:tc>
                <w:tcPr>
                  <w:tcW w:w="107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VAB adm. pública (2021)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Porto Alegre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R$ 5.317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22%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R$ 78.586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9,5%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79,1%</w:t>
                  </w:r>
                </w:p>
              </w:tc>
              <w:tc>
                <w:tcPr>
                  <w:tcW w:w="107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11,4%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Canoas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R$ 3.560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18%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R$ 83.895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44,4%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45,5%</w:t>
                  </w:r>
                </w:p>
              </w:tc>
              <w:tc>
                <w:tcPr>
                  <w:tcW w:w="107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10,1%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Gravataí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R$ 2.740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14%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R$ 58.646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38,5%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44,2%</w:t>
                  </w:r>
                </w:p>
              </w:tc>
              <w:tc>
                <w:tcPr>
                  <w:tcW w:w="107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17,0%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Sapucaia do Sul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R$ 2.648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18%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R$ 35.800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37,4%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39,9%</w:t>
                  </w:r>
                </w:p>
              </w:tc>
              <w:tc>
                <w:tcPr>
                  <w:tcW w:w="107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22,5%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Cachoeirinha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R$ 3.008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16%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R$ 57.111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27,7%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56,8%</w:t>
                  </w:r>
                </w:p>
              </w:tc>
              <w:tc>
                <w:tcPr>
                  <w:tcW w:w="107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15,4%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Guaíba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R$ 2.728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25%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R$ 96.873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33,6%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53,5%</w:t>
                  </w:r>
                </w:p>
              </w:tc>
              <w:tc>
                <w:tcPr>
                  <w:tcW w:w="107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11,5%</w:t>
                  </w:r>
                </w:p>
              </w:tc>
            </w:tr>
            <w:tr>
              <w:tc>
                <w:tcPr>
                  <w:tcW w:w="15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Esteio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R$ 3.139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16%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R$ 52.518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27,3%</w:t>
                  </w:r>
                </w:p>
              </w:tc>
              <w:tc>
                <w:tcPr>
                  <w:tcW w:w="10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54,6%</w:t>
                  </w:r>
                </w:p>
              </w:tc>
              <w:tc>
                <w:tcPr>
                  <w:tcW w:w="107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18,0%</w:t>
                  </w:r>
                </w:p>
              </w:tc>
            </w:tr>
            <w:tr>
              <w:tc>
                <w:tcPr>
                  <w:tcW w:w="155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Região (7)</w:t>
                  </w:r>
                </w:p>
              </w:tc>
              <w:tc>
                <w:tcPr>
                  <w:tcW w:w="120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R$ 4.374</w:t>
                  </w:r>
                </w:p>
              </w:tc>
              <w:tc>
                <w:tcPr>
                  <w:tcW w:w="120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20%</w:t>
                  </w:r>
                </w:p>
              </w:tc>
              <w:tc>
                <w:tcPr>
                  <w:tcW w:w="115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R$ 73.423</w:t>
                  </w:r>
                </w:p>
              </w:tc>
              <w:tc>
                <w:tcPr>
                  <w:tcW w:w="105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w="105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w="107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>
            <w:pPr>
              <w:spacing w:before="0" w:after="0" w:line="264" w:lineRule="auto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>
            <w:pPr>
              <w:spacing w:before="0" w:after="120" w:line="264" w:lineRule="auto"/>
              <w:jc w:val="left"/>
              <w:rPr>
                <w:rFonts w:ascii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color w:val="404040"/>
                <w:sz w:val="17"/>
                <w:szCs w:val="17"/>
              </w:rPr>
              <w:t xml:space="preserve">SM: salário mínimo. O Gini é o municipal, calculado sobre os registros da amostra de cada município. PIB per capita de 2023 sobre a população de 2022. Quintil mais pobre: setores com renda média do responsável até R$ 1.947 (20% da população da região). Fonte: IBGE (Censo 2010 e 2022, PIB dos Municípios), via Atlas Metropolitano RMPA.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Barreiras de acesso ao trabalho.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Os dados apontam três barreiras. A primeira é a escolaridade: em 2010, de 26,5% (Porto Alegre) a 45,7% (Sapucaia do Sul) dos adultos de 25 anos ou mais não tinham o fundamental completo, e nos bolsões de Canoas, Sapucaia do Sul e Esteio essa parcela chegava a 36%–59%. A segunda é a informalidade: de 30,6% a 36,4% dos ocupados em 2010. A terceira é a localização: Guajuviras (Canoas) tinha a maior desocupação entre os 123 bolsões, 10,6%, contra 6,5% no município.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Economia popular.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 trabalho por conta própria ocupava de 17,6% a 21,4% dos trabalhadores em 2010, o que indica uma base de pequenos negócios e serviços que pode ser apoiada (crédito, formalização, qualificação). A estrutura produtiva é diversificada: serviços predominam em Porto Alegre (79% do VAB), e a indústria pesa mais em Canoas (44%) e Gravataí (39%).</w:t>
            </w:r>
          </w:p>
          <w:p>
            <w:pPr>
              <w:spacing w:before="0" w:after="4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Indicadores pedidos e ainda não disponíveis no Atlas:</w:t>
            </w:r>
          </w:p>
          <w:tbl>
            <w:tblPr>
              <w:tblW w:w="8270" w:type="dxa"/>
              <w:tblBorders>
                <w:top w:val="single" w:sz="4" w:space="0" w:color="8C8C8C"/>
                <w:left w:val="single" w:sz="4" w:space="0" w:color="8C8C8C"/>
                <w:bottom w:val="single" w:sz="4" w:space="0" w:color="8C8C8C"/>
                <w:right w:val="single" w:sz="4" w:space="0" w:color="8C8C8C"/>
                <w:insideH w:val="single" w:sz="4" w:space="0" w:color="8C8C8C"/>
                <w:insideV w:val="single" w:sz="4" w:space="0" w:color="8C8C8C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3700"/>
              <w:gridCol w:w="4570"/>
            </w:tblGrid>
            <w:tr>
              <w:trPr>
                <w:tblHeader/>
              </w:trPr>
              <w:tc>
                <w:tcPr>
                  <w:tcW w:w="37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Indicador</w:t>
                  </w:r>
                </w:p>
              </w:tc>
              <w:tc>
                <w:tcPr>
                  <w:tcW w:w="457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Fonte para incorporar</w:t>
                  </w:r>
                </w:p>
              </w:tc>
            </w:tr>
            <w:tr>
              <w:tc>
                <w:tcPr>
                  <w:tcW w:w="37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Desocupação de jovens e de mulheres; jovens que não estudam nem trabalham</w:t>
                  </w:r>
                </w:p>
              </w:tc>
              <w:tc>
                <w:tcPr>
                  <w:tcW w:w="4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Censo 2010, amostra (mesmo processamento já usado no Atlas, por área de ponderação); PNAD Contínua (nível metropolitano)</w:t>
                  </w:r>
                </w:p>
              </w:tc>
            </w:tr>
            <w:tr>
              <w:tc>
                <w:tcPr>
                  <w:tcW w:w="37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Emprego formal atual, por setor e local de trabalho</w:t>
                  </w:r>
                </w:p>
              </w:tc>
              <w:tc>
                <w:tcPr>
                  <w:tcW w:w="4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RAIS e Novo CAGED (MTE)</w:t>
                  </w:r>
                </w:p>
              </w:tc>
            </w:tr>
            <w:tr>
              <w:tc>
                <w:tcPr>
                  <w:tcW w:w="37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Dependência de transferências de renda</w:t>
                  </w:r>
                </w:p>
              </w:tc>
              <w:tc>
                <w:tcPr>
                  <w:tcW w:w="4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CECAD/VIS Data (Bolsa Família, BPC) por município; Censo 2010 (rendimentos de programas sociais)</w:t>
                  </w:r>
                </w:p>
              </w:tc>
            </w:tr>
            <w:tr>
              <w:tc>
                <w:tcPr>
                  <w:tcW w:w="37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Microempreendedores</w:t>
                  </w:r>
                </w:p>
              </w:tc>
              <w:tc>
                <w:tcPr>
                  <w:tcW w:w="4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Portal do Empreendedor (MEI por município e atividade); Cadastro de empresas (CEMPRE/IBGE)</w:t>
                  </w:r>
                </w:p>
              </w:tc>
            </w:tr>
            <w:tr>
              <w:tc>
                <w:tcPr>
                  <w:tcW w:w="37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Renda domiciliar per capita e pobreza atuais</w:t>
                  </w:r>
                </w:p>
              </w:tc>
              <w:tc>
                <w:tcPr>
                  <w:tcW w:w="4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Resultados de rendimento do Censo 2022, quando publicados por setor</w:t>
                  </w:r>
                </w:p>
              </w:tc>
            </w:tr>
          </w:tbl>
          <w:p>
            <w:pPr>
              <w:spacing w:before="0" w:after="0" w:line="264" w:lineRule="auto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55085" w:rsidRPr="00B13531" w14:paraId="37C8C009" w14:textId="77777777" w:rsidTr="00A05263">
        <w:tc>
          <w:tcPr>
            <w:tcW w:w="8494" w:type="dxa"/>
            <w:gridSpan w:val="2"/>
            <w:shd w:val="clear" w:color="auto" w:fill="E7E6E6"/>
          </w:tcPr>
          <w:p w14:paraId="3DAD2DF4" w14:textId="3EAFBE8D" w:rsidR="00655085" w:rsidRPr="00B13531" w:rsidRDefault="00655085" w:rsidP="00655085">
            <w:pPr>
              <w:keepNext/>
              <w:spacing w:before="100" w:beforeAutospacing="1" w:after="100" w:afterAutospacing="1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8</w:t>
            </w: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Dimensões da vulnerabilidade</w:t>
            </w:r>
            <w:r w:rsidRPr="00B13531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.</w:t>
            </w:r>
            <w:r w:rsidRPr="00B1353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Tabela por dimensão, com indicadores-chave, situação no território e fonte:</w:t>
            </w:r>
          </w:p>
        </w:tc>
      </w:tr>
      <w:tr w:rsidR="00655085" w:rsidRPr="00B13531" w14:paraId="107BBBAE" w14:textId="77777777" w:rsidTr="00A05263">
        <w:trPr>
          <w:trHeight w:val="889"/>
        </w:trPr>
        <w:tc>
          <w:tcPr>
            <w:tcW w:w="8494" w:type="dxa"/>
            <w:gridSpan w:val="2"/>
          </w:tcPr>
          <w:p>
            <w:pPr>
              <w:spacing w:before="60" w:after="100" w:line="264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Tabela 8 – Dimensões da vulnerabilidade na regional</w:t>
            </w:r>
          </w:p>
          <w:tbl>
            <w:tblPr>
              <w:tblW w:w="8270" w:type="dxa"/>
              <w:tblBorders>
                <w:top w:val="single" w:sz="4" w:space="0" w:color="8C8C8C"/>
                <w:left w:val="single" w:sz="4" w:space="0" w:color="8C8C8C"/>
                <w:bottom w:val="single" w:sz="4" w:space="0" w:color="8C8C8C"/>
                <w:right w:val="single" w:sz="4" w:space="0" w:color="8C8C8C"/>
                <w:insideH w:val="single" w:sz="4" w:space="0" w:color="8C8C8C"/>
                <w:insideV w:val="single" w:sz="4" w:space="0" w:color="8C8C8C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2000"/>
              <w:gridCol w:w="3570"/>
              <w:gridCol w:w="1200"/>
            </w:tblGrid>
            <w:tr>
              <w:trPr>
                <w:tblHeader/>
              </w:trPr>
              <w:tc>
                <w:tcPr>
                  <w:tcW w:w="15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Dimensão</w:t>
                  </w:r>
                </w:p>
              </w:tc>
              <w:tc>
                <w:tcPr>
                  <w:tcW w:w="20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Indicadores-chave</w:t>
                  </w:r>
                </w:p>
              </w:tc>
              <w:tc>
                <w:tcPr>
                  <w:tcW w:w="357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Situação no território</w:t>
                  </w:r>
                </w:p>
              </w:tc>
              <w:tc>
                <w:tcPr>
                  <w:tcW w:w="12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Fonte</w:t>
                  </w:r>
                </w:p>
              </w:tc>
            </w:tr>
            <w:tr>
              <w:tc>
                <w:tcPr>
                  <w:tcW w:w="15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Habitação</w:t>
                  </w:r>
                </w:p>
              </w:tc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População em favelas e comunidades urbanas; domicílios em cortiço ou estrutura degradada</w:t>
                  </w:r>
                </w:p>
              </w:tc>
              <w:tc>
                <w:tcPr>
                  <w:tcW w:w="3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222.113 pessoas (9,3%) em favelas e comunidades urbanas; 13,2% em Porto Alegre e 14,9% em Guaíba. Cortiço ou estrutura degradada: até 0,2% dos domicílios.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Censo 2022</w:t>
                  </w:r>
                </w:p>
              </w:tc>
            </w:tr>
            <w:tr>
              <w:tc>
                <w:tcPr>
                  <w:tcW w:w="15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Saneamento e infraestrutura</w:t>
                  </w:r>
                </w:p>
              </w:tc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Água por rede geral; esgotamento adequado; esgoto em rede; coleta de lixo</w:t>
                  </w:r>
                </w:p>
              </w:tc>
              <w:tc>
                <w:tcPr>
                  <w:tcW w:w="3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Água por rede: 95,5% (78,5% em Gravataí). Esgoto adequado: 96,1% na média, mas 10,4% de esgoto inadequado nos setores mais pobres contra 0,4% nos mais ricos; 104 mil pessoas vivem em setores pobres com menos de 80% de esgoto adequado. Coleta de lixo: 99,5%.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Censo 2022</w:t>
                  </w:r>
                </w:p>
              </w:tc>
            </w:tr>
            <w:tr>
              <w:tc>
                <w:tcPr>
                  <w:tcW w:w="15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Mobilidade</w:t>
                  </w:r>
                </w:p>
              </w:tc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w="3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Não disponível no Atlas. Linhas e paradas de ônibus, estações do Trensurb e tempos de deslocamento estão por incorporar.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GTFS municipais; Trensurb</w:t>
                  </w:r>
                </w:p>
              </w:tc>
            </w:tr>
            <w:tr>
              <w:tc>
                <w:tcPr>
                  <w:tcW w:w="15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Educação</w:t>
                  </w:r>
                </w:p>
              </w:tc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Analfabetismo 15+; adultos sem fundamental; escolas por rede</w:t>
                  </w:r>
                </w:p>
              </w:tc>
              <w:tc>
                <w:tcPr>
                  <w:tcW w:w="3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Analfabetismo: 1,9% na região (2,7% em Sapucaia do Sul). Sem fundamental completo, 25+: 26,5% a 45,7% (2010). 1.650 escolas, 756 públicas.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Censo 2022 e 2010; INEP 2025</w:t>
                  </w:r>
                </w:p>
              </w:tc>
            </w:tr>
            <w:tr>
              <w:tc>
                <w:tcPr>
                  <w:tcW w:w="15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Saúde</w:t>
                  </w:r>
                </w:p>
              </w:tc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Estabelecimentos, UBS, CAPS; mortalidade; gasto em saúde</w:t>
                  </w:r>
                </w:p>
              </w:tc>
              <w:tc>
                <w:tcPr>
                  <w:tcW w:w="3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567 estabelecimentos ativos, 278 UBS e postos, 40 CAPS. Mortalidade infantil só para Porto Alegre (7,3 por mil, IBGE).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CNES 2026; SICONFI 2024</w:t>
                  </w:r>
                </w:p>
              </w:tc>
            </w:tr>
            <w:tr>
              <w:tc>
                <w:tcPr>
                  <w:tcW w:w="15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Segurança alimentar</w:t>
                  </w:r>
                </w:p>
              </w:tc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w="3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Não disponível no Atlas.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SISVAN; CadÚnico; PNAD (EBIA)</w:t>
                  </w:r>
                </w:p>
              </w:tc>
            </w:tr>
            <w:tr>
              <w:tc>
                <w:tcPr>
                  <w:tcW w:w="15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Segurança pública e violência</w:t>
                  </w:r>
                </w:p>
              </w:tc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Vítimas de CVLI; roubos; furtos</w:t>
                  </w:r>
                </w:p>
              </w:tc>
              <w:tc>
                <w:tcPr>
                  <w:tcW w:w="3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306 vítimas de crimes violentos letais intencionais em 2025; 15,2 por 100 mil hab. em Porto Alegre, 12,8 em Esteio, 11,5 em Guaíba e 11,1 em Canoas. Sem desagregação por bairro.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SSP/RS 2025</w:t>
                  </w:r>
                </w:p>
              </w:tc>
            </w:tr>
            <w:tr>
              <w:tc>
                <w:tcPr>
                  <w:tcW w:w="15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Riscos ambientais e climáticos</w:t>
                  </w:r>
                </w:p>
              </w:tc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Temperatura de superfície e vegetação (só Porto Alegre, não oficial)</w:t>
                  </w:r>
                </w:p>
              </w:tc>
              <w:tc>
                <w:tcPr>
                  <w:tcW w:w="3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Áreas de risco, inundação e a mancha da enchente de 2024 não estão no Atlas.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GEOCLIMATE 2024; a incorporar: SGB/CPRM, Defesa Civil</w:t>
                  </w:r>
                </w:p>
              </w:tc>
            </w:tr>
            <w:tr>
              <w:tc>
                <w:tcPr>
                  <w:tcW w:w="15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Inclusão digital</w:t>
                  </w:r>
                </w:p>
              </w:tc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w="3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Não disponível no Atlas.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Anatel (acessos por município); TIC Domicílios</w:t>
                  </w:r>
                </w:p>
              </w:tc>
            </w:tr>
            <w:tr>
              <w:tc>
                <w:tcPr>
                  <w:tcW w:w="15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Documentação e acesso a direitos</w:t>
                  </w:r>
                </w:p>
              </w:tc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w="3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Não disponível no Atlas.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CadÚnico; registro civil; Defensoria</w:t>
                  </w:r>
                </w:p>
              </w:tc>
            </w:tr>
            <w:tr>
              <w:tc>
                <w:tcPr>
                  <w:tcW w:w="15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Cultura, lazer e espaços públicos</w:t>
                  </w:r>
                </w:p>
              </w:tc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w="35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Não disponível no Atlas.</w:t>
                  </w:r>
                </w:p>
              </w:tc>
              <w:tc>
                <w:tcPr>
                  <w:tcW w:w="12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OpenStreetMap; cadastros municipais</w:t>
                  </w:r>
                </w:p>
              </w:tc>
            </w:tr>
          </w:tbl>
          <w:p>
            <w:pPr>
              <w:spacing w:before="0" w:after="0" w:line="264" w:lineRule="auto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>
            <w:pPr>
              <w:spacing w:before="0" w:after="120" w:line="264" w:lineRule="auto"/>
              <w:jc w:val="left"/>
              <w:rPr>
                <w:rFonts w:ascii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color w:val="404040"/>
                <w:sz w:val="17"/>
                <w:szCs w:val="17"/>
              </w:rPr>
              <w:t xml:space="preserve">CVLI por 100 mil habitantes calculado sobre a população estimada de 2026. Fontes via Atlas Metropolitano RMPA.</w:t>
            </w:r>
          </w:p>
        </w:tc>
      </w:tr>
      <w:tr w:rsidR="00655085" w:rsidRPr="00B13531" w14:paraId="49F51FA0" w14:textId="77777777" w:rsidTr="00A05263">
        <w:tc>
          <w:tcPr>
            <w:tcW w:w="8494" w:type="dxa"/>
            <w:gridSpan w:val="2"/>
            <w:shd w:val="clear" w:color="auto" w:fill="E7E6E6"/>
          </w:tcPr>
          <w:p w14:paraId="75DA1218" w14:textId="7FB4656D" w:rsidR="00655085" w:rsidRPr="00B13531" w:rsidRDefault="0023160B" w:rsidP="00A05263">
            <w:pPr>
              <w:keepNext/>
              <w:spacing w:before="100" w:beforeAutospacing="1" w:after="100" w:afterAutospacing="1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9</w:t>
            </w:r>
            <w:r w:rsidR="00655085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="00655085"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Mapeamento territorial das vulnerabilidades</w:t>
            </w:r>
            <w:r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 xml:space="preserve">. </w:t>
            </w:r>
            <w:r w:rsidRPr="00B13531">
              <w:rPr>
                <w:rFonts w:ascii="Times New Roman" w:hAnsi="Times New Roman"/>
                <w:bCs/>
                <w:sz w:val="24"/>
                <w:szCs w:val="24"/>
              </w:rPr>
              <w:t>Se possível, mostrar a distribuição espacial das vulnerabilidades</w:t>
            </w:r>
          </w:p>
        </w:tc>
      </w:tr>
      <w:tr w:rsidR="00655085" w:rsidRPr="00B13531" w14:paraId="792CB3C3" w14:textId="77777777" w:rsidTr="00A05263">
        <w:trPr>
          <w:trHeight w:val="889"/>
        </w:trPr>
        <w:tc>
          <w:tcPr>
            <w:tcW w:w="8494" w:type="dxa"/>
            <w:gridSpan w:val="2"/>
          </w:tcPr>
          <w:p>
            <w:pPr>
              <w:spacing w:before="6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Os mapas foram gerados no Atlas Metropolitano RMPA. Os pontos laranja são as unidades Renner.</w:t>
            </w:r>
          </w:p>
          <w:p>
            <w:pPr>
              <w:keepNext/>
              <w:spacing w:before="120" w:after="40"/>
              <w:jc w:val="center"/>
            </w:pPr>
            <w:r>
              <w:drawing>
                <wp:inline distT="0" distB="0" distL="0" distR="0">
                  <wp:extent cx="4536000" cy="3489230"/>
                  <wp:docPr id="901" name="Mapa 1" descr="Mapa 1 – Bolsões do quintil mais pobre e unidades Ren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mapa1.png"/>
                          <pic:cNvPicPr/>
                        </pic:nvPicPr>
                        <pic:blipFill>
                          <a:blip r:embed="rIdMapa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34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 w:line="264" w:lineRule="auto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Mapa 1 – Bolsões do quintil mais pobre e unidades Renner.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Os 123 bolsões (323.725 pessoas, 68% de toda a população do quintil mais pobre da região) ficam a até 5 km de alguma unidade. Os maiores estão em Porto Alegre (Mário Quintana e Rubem Berta, 38.555 moradores; Vila São José e Partenon, 34.346) e em Canoas (Guajuviras, 21.514).</w:t>
            </w:r>
          </w:p>
          <w:p>
            <w:pPr>
              <w:keepNext/>
              <w:spacing w:before="120" w:after="40"/>
              <w:jc w:val="center"/>
            </w:pPr>
            <w:r>
              <w:drawing>
                <wp:inline distT="0" distB="0" distL="0" distR="0">
                  <wp:extent cx="4536000" cy="3489230"/>
                  <wp:docPr id="902" name="Mapa 2" descr="Mapa 2 – Rendimento médio da pessoa responsável, por setor censitário (202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mapa2.png"/>
                          <pic:cNvPicPr/>
                        </pic:nvPicPr>
                        <pic:blipFill>
                          <a:blip r:embed="rIdMapa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34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 w:line="264" w:lineRule="auto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Mapa 2 – Rendimento médio da pessoa responsável, por setor censitário (2022).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 renda alta se concentra no centro expandido de Porto Alegre; as faixas mais baixas ocupam as periferias da capital e das cidades metropolitanas.</w:t>
            </w:r>
          </w:p>
          <w:p>
            <w:pPr>
              <w:keepNext/>
              <w:spacing w:before="120" w:after="40"/>
              <w:jc w:val="center"/>
            </w:pPr>
            <w:r>
              <w:drawing>
                <wp:inline distT="0" distB="0" distL="0" distR="0">
                  <wp:extent cx="4536000" cy="3489230"/>
                  <wp:docPr id="903" name="Mapa 3" descr="Mapa 3 – População em favelas e comunidades urbanas, por setor (202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" name="mapa3.png"/>
                          <pic:cNvPicPr/>
                        </pic:nvPicPr>
                        <pic:blipFill>
                          <a:blip r:embed="rIdMapa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34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 w:line="264" w:lineRule="auto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Mapa 3 – População em favelas e comunidades urbanas, por setor (2022).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Setores em favelas e comunidades urbanas em destaque. Concentram-se nas zonas leste, norte e sul de Porto Alegre, com núcleos menores nos demais municípios.</w:t>
            </w:r>
          </w:p>
          <w:p>
            <w:pPr>
              <w:keepNext/>
              <w:spacing w:before="120" w:after="40"/>
              <w:jc w:val="center"/>
            </w:pPr>
            <w:r>
              <w:drawing>
                <wp:inline distT="0" distB="0" distL="0" distR="0">
                  <wp:extent cx="4536000" cy="3489230"/>
                  <wp:docPr id="904" name="Mapa 4" descr="Mapa 4 – Adultos de 25 anos ou mais sem fundamental completo (201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" name="mapa4.png"/>
                          <pic:cNvPicPr/>
                        </pic:nvPicPr>
                        <pic:blipFill>
                          <a:blip r:embed="rIdMapa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34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 w:line="264" w:lineRule="auto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Mapa 4 – Adultos de 25 anos ou mais sem fundamental completo (2010).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Referência histórica por área de ponderação. As maiores parcelas estão fora de Porto Alegre e nas bordas da capital.</w:t>
            </w:r>
          </w:p>
          <w:p>
            <w:pPr>
              <w:keepNext/>
              <w:spacing w:before="120" w:after="40"/>
              <w:jc w:val="center"/>
            </w:pPr>
            <w:r>
              <w:drawing>
                <wp:inline distT="0" distB="0" distL="0" distR="0">
                  <wp:extent cx="4536000" cy="3489230"/>
                  <wp:docPr id="905" name="Mapa 5" descr="Mapa 5 – Esgotamento sanitário inadequado, por setor (202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" name="mapa5.png"/>
                          <pic:cNvPicPr/>
                        </pic:nvPicPr>
                        <pic:blipFill>
                          <a:blip r:embed="rIdMapa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34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 w:line="264" w:lineRule="auto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Mapa 5 – Esgotamento sanitário inadequado, por setor (2022).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 esgoto inadequado é residual na média regional (3,0% dos domicílios), mas alcança as maiores parcelas nos setores rurais e periféricos (extremo sul de Porto Alegre, Gravataí, Guaíba) e nos setores urbanos de baixa renda.</w:t>
            </w:r>
          </w:p>
        </w:tc>
      </w:tr>
      <w:tr w:rsidR="00655085" w:rsidRPr="00B13531" w14:paraId="3165D794" w14:textId="77777777" w:rsidTr="00A05263">
        <w:tc>
          <w:tcPr>
            <w:tcW w:w="8494" w:type="dxa"/>
            <w:gridSpan w:val="2"/>
            <w:shd w:val="clear" w:color="auto" w:fill="E7E6E6"/>
          </w:tcPr>
          <w:p w14:paraId="70F63BED" w14:textId="3BDAD0D0" w:rsidR="00655085" w:rsidRPr="00B13531" w:rsidRDefault="0023160B" w:rsidP="00A05263">
            <w:pPr>
              <w:keepNext/>
              <w:spacing w:before="100" w:beforeAutospacing="1" w:after="100" w:afterAutospacing="1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10</w:t>
            </w:r>
            <w:r w:rsidR="00655085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="00655085"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Rede de proteção social e oferta de serviços</w:t>
            </w:r>
            <w:r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 xml:space="preserve">. </w:t>
            </w:r>
            <w:r w:rsidRPr="00B1353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Inserir ta</w:t>
            </w: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bela com cobertura, capacidade e lacunas de CRAS e CREAS, Centro POP, unidades de saúde, escolas e creches, transferências de renda, restaurantes populares, programas habitacionais e organizações comunitárias</w:t>
            </w:r>
          </w:p>
        </w:tc>
      </w:tr>
      <w:tr w:rsidR="00655085" w:rsidRPr="00B13531" w14:paraId="093141A9" w14:textId="77777777" w:rsidTr="00A05263">
        <w:trPr>
          <w:trHeight w:val="889"/>
        </w:trPr>
        <w:tc>
          <w:tcPr>
            <w:tcW w:w="8494" w:type="dxa"/>
            <w:gridSpan w:val="2"/>
          </w:tcPr>
          <w:p>
            <w:pPr>
              <w:spacing w:before="60" w:after="100" w:line="264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Tabela 10.1 – Oferta de serviços registrada no Atlas</w:t>
            </w:r>
          </w:p>
          <w:tbl>
            <w:tblPr>
              <w:tblW w:w="8270" w:type="dxa"/>
              <w:tblBorders>
                <w:top w:val="single" w:sz="4" w:space="0" w:color="8C8C8C"/>
                <w:left w:val="single" w:sz="4" w:space="0" w:color="8C8C8C"/>
                <w:bottom w:val="single" w:sz="4" w:space="0" w:color="8C8C8C"/>
                <w:right w:val="single" w:sz="4" w:space="0" w:color="8C8C8C"/>
                <w:insideH w:val="single" w:sz="4" w:space="0" w:color="8C8C8C"/>
                <w:insideV w:val="single" w:sz="4" w:space="0" w:color="8C8C8C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700"/>
              <w:gridCol w:w="1150"/>
              <w:gridCol w:w="1150"/>
              <w:gridCol w:w="900"/>
              <w:gridCol w:w="1000"/>
              <w:gridCol w:w="1180"/>
              <w:gridCol w:w="1190"/>
            </w:tblGrid>
            <w:tr>
              <w:trPr>
                <w:tblHeader/>
              </w:trPr>
              <w:tc>
                <w:tcPr>
                  <w:tcW w:w="17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Município</w:t>
                  </w:r>
                </w:p>
              </w:tc>
              <w:tc>
                <w:tcPr>
                  <w:tcW w:w="11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UBS e postos de saúde</w:t>
                  </w:r>
                </w:p>
              </w:tc>
              <w:tc>
                <w:tcPr>
                  <w:tcW w:w="11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UBS por 10 mil hab.</w:t>
                  </w:r>
                </w:p>
              </w:tc>
              <w:tc>
                <w:tcPr>
                  <w:tcW w:w="9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CAPS</w:t>
                  </w:r>
                </w:p>
              </w:tc>
              <w:tc>
                <w:tcPr>
                  <w:tcW w:w="10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Hospitais</w:t>
                  </w:r>
                </w:p>
              </w:tc>
              <w:tc>
                <w:tcPr>
                  <w:tcW w:w="118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Escolas públicas</w:t>
                  </w:r>
                </w:p>
              </w:tc>
              <w:tc>
                <w:tcPr>
                  <w:tcW w:w="119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Escolas privadas</w:t>
                  </w:r>
                </w:p>
              </w:tc>
            </w:tr>
            <w:tr>
              <w:tc>
                <w:tcPr>
                  <w:tcW w:w="17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Porto Alegre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143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1,07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20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39</w:t>
                  </w:r>
                </w:p>
              </w:tc>
              <w:tc>
                <w:tcPr>
                  <w:tcW w:w="118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346</w:t>
                  </w:r>
                </w:p>
              </w:tc>
              <w:tc>
                <w:tcPr>
                  <w:tcW w:w="119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609</w:t>
                  </w:r>
                </w:p>
              </w:tc>
            </w:tr>
            <w:tr>
              <w:tc>
                <w:tcPr>
                  <w:tcW w:w="17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Canoas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35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1,01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7</w:t>
                  </w:r>
                </w:p>
              </w:tc>
              <w:tc>
                <w:tcPr>
                  <w:tcW w:w="118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119</w:t>
                  </w:r>
                </w:p>
              </w:tc>
              <w:tc>
                <w:tcPr>
                  <w:tcW w:w="119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77</w:t>
                  </w:r>
                </w:p>
              </w:tc>
            </w:tr>
            <w:tr>
              <w:tc>
                <w:tcPr>
                  <w:tcW w:w="17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Gravataí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29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1,09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118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101</w:t>
                  </w:r>
                </w:p>
              </w:tc>
              <w:tc>
                <w:tcPr>
                  <w:tcW w:w="119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81</w:t>
                  </w:r>
                </w:p>
              </w:tc>
            </w:tr>
            <w:tr>
              <w:tc>
                <w:tcPr>
                  <w:tcW w:w="17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Sapucaia do Sul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26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1,97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118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51</w:t>
                  </w:r>
                </w:p>
              </w:tc>
              <w:tc>
                <w:tcPr>
                  <w:tcW w:w="119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38</w:t>
                  </w:r>
                </w:p>
              </w:tc>
            </w:tr>
            <w:tr>
              <w:tc>
                <w:tcPr>
                  <w:tcW w:w="17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Cachoeirinha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1,10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w="118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50</w:t>
                  </w:r>
                </w:p>
              </w:tc>
              <w:tc>
                <w:tcPr>
                  <w:tcW w:w="119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37</w:t>
                  </w:r>
                </w:p>
              </w:tc>
            </w:tr>
            <w:tr>
              <w:tc>
                <w:tcPr>
                  <w:tcW w:w="17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Guaíba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1,61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w="118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47</w:t>
                  </w:r>
                </w:p>
              </w:tc>
              <w:tc>
                <w:tcPr>
                  <w:tcW w:w="119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22</w:t>
                  </w:r>
                </w:p>
              </w:tc>
            </w:tr>
            <w:tr>
              <w:tc>
                <w:tcPr>
                  <w:tcW w:w="17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Esteio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w="11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1,97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118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42</w:t>
                  </w:r>
                </w:p>
              </w:tc>
              <w:tc>
                <w:tcPr>
                  <w:tcW w:w="119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30</w:t>
                  </w:r>
                </w:p>
              </w:tc>
            </w:tr>
            <w:tr>
              <w:tc>
                <w:tcPr>
                  <w:tcW w:w="170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Região (7)</w:t>
                  </w:r>
                </w:p>
              </w:tc>
              <w:tc>
                <w:tcPr>
                  <w:tcW w:w="115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278</w:t>
                  </w:r>
                </w:p>
              </w:tc>
              <w:tc>
                <w:tcPr>
                  <w:tcW w:w="115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1,17</w:t>
                  </w:r>
                </w:p>
              </w:tc>
              <w:tc>
                <w:tcPr>
                  <w:tcW w:w="90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40</w:t>
                  </w:r>
                </w:p>
              </w:tc>
              <w:tc>
                <w:tcPr>
                  <w:tcW w:w="100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53</w:t>
                  </w:r>
                </w:p>
              </w:tc>
              <w:tc>
                <w:tcPr>
                  <w:tcW w:w="118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756</w:t>
                  </w:r>
                </w:p>
              </w:tc>
              <w:tc>
                <w:tcPr>
                  <w:tcW w:w="1190" w:type="dxa"/>
                  <w:shd w:val="clear" w:color="auto" w:fill="E7E6E6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894</w:t>
                  </w:r>
                </w:p>
              </w:tc>
            </w:tr>
          </w:tbl>
          <w:p>
            <w:pPr>
              <w:spacing w:before="0" w:after="0" w:line="264" w:lineRule="auto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>
            <w:pPr>
              <w:spacing w:before="0" w:after="120" w:line="264" w:lineRule="auto"/>
              <w:jc w:val="left"/>
              <w:rPr>
                <w:rFonts w:ascii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color w:val="404040"/>
                <w:sz w:val="17"/>
                <w:szCs w:val="17"/>
              </w:rPr>
              <w:t xml:space="preserve">Fonte: CNES/DATASUS (2026) e Censo Escolar/INEP (2025), via Atlas Metropolitano RMPA. Contagem de estabelecimentos ativos; não mede equipes, vagas nem horário de funcionamento.</w:t>
            </w:r>
          </w:p>
          <w:p>
            <w:pPr>
              <w:spacing w:before="60" w:after="100" w:line="264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Tabela 10.2 – Cobertura, capacidade e lacunas da rede</w:t>
            </w:r>
          </w:p>
          <w:tbl>
            <w:tblPr>
              <w:tblW w:w="8270" w:type="dxa"/>
              <w:tblBorders>
                <w:top w:val="single" w:sz="4" w:space="0" w:color="8C8C8C"/>
                <w:left w:val="single" w:sz="4" w:space="0" w:color="8C8C8C"/>
                <w:bottom w:val="single" w:sz="4" w:space="0" w:color="8C8C8C"/>
                <w:right w:val="single" w:sz="4" w:space="0" w:color="8C8C8C"/>
                <w:insideH w:val="single" w:sz="4" w:space="0" w:color="8C8C8C"/>
                <w:insideV w:val="single" w:sz="4" w:space="0" w:color="8C8C8C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3135"/>
              <w:gridCol w:w="3135"/>
            </w:tblGrid>
            <w:tr>
              <w:trPr>
                <w:tblHeader/>
              </w:trPr>
              <w:tc>
                <w:tcPr>
                  <w:tcW w:w="20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Serviço</w:t>
                  </w:r>
                </w:p>
              </w:tc>
              <w:tc>
                <w:tcPr>
                  <w:tcW w:w="3135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O que o Atlas mostra</w:t>
                  </w:r>
                </w:p>
              </w:tc>
              <w:tc>
                <w:tcPr>
                  <w:tcW w:w="3135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Lacuna para o diagnóstico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CRAS e CREAS</w:t>
                  </w:r>
                </w:p>
              </w:tc>
              <w:tc>
                <w:tcPr>
                  <w:tcW w:w="3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Não disponível.</w:t>
                  </w:r>
                </w:p>
              </w:tc>
              <w:tc>
                <w:tcPr>
                  <w:tcW w:w="3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Localização, área de abrangência, famílias referenciadas e equipes: Censo SUAS (MDS).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Centro POP</w:t>
                  </w:r>
                </w:p>
              </w:tc>
              <w:tc>
                <w:tcPr>
                  <w:tcW w:w="3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Não disponível.</w:t>
                  </w:r>
                </w:p>
              </w:tc>
              <w:tc>
                <w:tcPr>
                  <w:tcW w:w="3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Censo SUAS; prefeituras.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Unidades de saúde</w:t>
                  </w:r>
                </w:p>
              </w:tc>
              <w:tc>
                <w:tcPr>
                  <w:tcW w:w="3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278 UBS e postos, 40 CAPS, 53 hospitais; Sapucaia do Sul e Esteio têm a maior oferta de UBS por habitante (1,97 por 10 mil).</w:t>
                  </w:r>
                </w:p>
              </w:tc>
              <w:tc>
                <w:tcPr>
                  <w:tcW w:w="3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Equipes de Saúde da Família e cobertura de atenção primária (e-Gestor/MS).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Escolas e creches</w:t>
                  </w:r>
                </w:p>
              </w:tc>
              <w:tc>
                <w:tcPr>
                  <w:tcW w:w="3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1.650 escolas, 756 públicas.</w:t>
                  </w:r>
                </w:p>
              </w:tc>
              <w:tc>
                <w:tcPr>
                  <w:tcW w:w="3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Matrícula por etapa, vagas e filas de creche, EJA: microdados do Censo Escolar, com o código INEP da escola.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Transferências de renda</w:t>
                  </w:r>
                </w:p>
              </w:tc>
              <w:tc>
                <w:tcPr>
                  <w:tcW w:w="3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Gasto municipal em assistência (seção 11).</w:t>
                  </w:r>
                </w:p>
              </w:tc>
              <w:tc>
                <w:tcPr>
                  <w:tcW w:w="3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Famílias no Bolsa Família e BPC: CECAD/VIS Data.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Restaurantes populares e cozinhas solidárias</w:t>
                  </w:r>
                </w:p>
              </w:tc>
              <w:tc>
                <w:tcPr>
                  <w:tcW w:w="3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Não disponível.</w:t>
                  </w:r>
                </w:p>
              </w:tc>
              <w:tc>
                <w:tcPr>
                  <w:tcW w:w="3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MDS; prefeituras.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Programas habitacionais</w:t>
                  </w:r>
                </w:p>
              </w:tc>
              <w:tc>
                <w:tcPr>
                  <w:tcW w:w="3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Não disponível.</w:t>
                  </w:r>
                </w:p>
              </w:tc>
              <w:tc>
                <w:tcPr>
                  <w:tcW w:w="3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Minha Casa, Minha Vida e regularização fundiária: Ministério das Cidades; prefeituras.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Organizações comunitárias</w:t>
                  </w:r>
                </w:p>
              </w:tc>
              <w:tc>
                <w:tcPr>
                  <w:tcW w:w="3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Não disponível.</w:t>
                  </w:r>
                </w:p>
              </w:tc>
              <w:tc>
                <w:tcPr>
                  <w:tcW w:w="3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Mapa das Organizações da Sociedade Civil (IPEA); levantamento de campo.</w:t>
                  </w:r>
                </w:p>
              </w:tc>
            </w:tr>
          </w:tbl>
          <w:p>
            <w:pPr>
              <w:spacing w:before="0" w:after="0" w:line="264" w:lineRule="auto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55085" w:rsidRPr="00B13531" w14:paraId="28BA120F" w14:textId="77777777" w:rsidTr="00A05263">
        <w:tc>
          <w:tcPr>
            <w:tcW w:w="8494" w:type="dxa"/>
            <w:gridSpan w:val="2"/>
            <w:shd w:val="clear" w:color="auto" w:fill="E7E6E6"/>
          </w:tcPr>
          <w:p w14:paraId="6483A0BB" w14:textId="4C027596" w:rsidR="00655085" w:rsidRPr="0023160B" w:rsidRDefault="00655085" w:rsidP="0023160B">
            <w:pPr>
              <w:keepNext/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="0023160B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Capacidade institucional e financiamento</w:t>
            </w:r>
            <w:r w:rsidR="0023160B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 xml:space="preserve">. </w:t>
            </w:r>
            <w:r w:rsidR="0023160B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Orçamento para políticas sociais, equipe técnica, governança e controle social, sistemas de informação e fontes de recursos possíveis</w:t>
            </w:r>
          </w:p>
        </w:tc>
      </w:tr>
      <w:tr w:rsidR="00655085" w:rsidRPr="00B13531" w14:paraId="6F8A7AA7" w14:textId="77777777" w:rsidTr="00A05263">
        <w:trPr>
          <w:trHeight w:val="889"/>
        </w:trPr>
        <w:tc>
          <w:tcPr>
            <w:tcW w:w="8494" w:type="dxa"/>
            <w:gridSpan w:val="2"/>
          </w:tcPr>
          <w:p>
            <w:pPr>
              <w:spacing w:before="60" w:after="100" w:line="264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Tabela 11 – Orçamento municipal para políticas sociais (2024)</w:t>
            </w:r>
          </w:p>
          <w:tbl>
            <w:tblPr>
              <w:tblW w:w="8270" w:type="dxa"/>
              <w:tblBorders>
                <w:top w:val="single" w:sz="4" w:space="0" w:color="8C8C8C"/>
                <w:left w:val="single" w:sz="4" w:space="0" w:color="8C8C8C"/>
                <w:bottom w:val="single" w:sz="4" w:space="0" w:color="8C8C8C"/>
                <w:right w:val="single" w:sz="4" w:space="0" w:color="8C8C8C"/>
                <w:insideH w:val="single" w:sz="4" w:space="0" w:color="8C8C8C"/>
                <w:insideV w:val="single" w:sz="4" w:space="0" w:color="8C8C8C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450"/>
              <w:gridCol w:w="900"/>
              <w:gridCol w:w="850"/>
              <w:gridCol w:w="800"/>
              <w:gridCol w:w="900"/>
              <w:gridCol w:w="900"/>
              <w:gridCol w:w="800"/>
              <w:gridCol w:w="770"/>
              <w:gridCol w:w="900"/>
            </w:tblGrid>
            <w:tr>
              <w:trPr>
                <w:tblHeader/>
              </w:trPr>
              <w:tc>
                <w:tcPr>
                  <w:tcW w:w="14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Município</w:t>
                  </w:r>
                </w:p>
              </w:tc>
              <w:tc>
                <w:tcPr>
                  <w:tcW w:w="9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Receita total (R$ mi)</w:t>
                  </w:r>
                </w:p>
              </w:tc>
              <w:tc>
                <w:tcPr>
                  <w:tcW w:w="8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Transf. correntes / receita</w:t>
                  </w:r>
                </w:p>
              </w:tc>
              <w:tc>
                <w:tcPr>
                  <w:tcW w:w="8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Saúde (R$/hab)</w:t>
                  </w:r>
                </w:p>
              </w:tc>
              <w:tc>
                <w:tcPr>
                  <w:tcW w:w="9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Atenção básica (R$/hab)</w:t>
                  </w:r>
                </w:p>
              </w:tc>
              <w:tc>
                <w:tcPr>
                  <w:tcW w:w="9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Assistência social (R$/hab)</w:t>
                  </w:r>
                </w:p>
              </w:tc>
              <w:tc>
                <w:tcPr>
                  <w:tcW w:w="8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Segurança (R$/hab)</w:t>
                  </w:r>
                </w:p>
              </w:tc>
              <w:tc>
                <w:tcPr>
                  <w:tcW w:w="77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Trabalho (R$/hab)</w:t>
                  </w:r>
                </w:p>
              </w:tc>
              <w:tc>
                <w:tcPr>
                  <w:tcW w:w="9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Resultado orçam. (R$ mi)</w:t>
                  </w:r>
                </w:p>
              </w:tc>
            </w:tr>
            <w:tr>
              <w:tc>
                <w:tcPr>
                  <w:tcW w:w="14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Porto Alegre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10.387</w:t>
                  </w:r>
                </w:p>
              </w:tc>
              <w:tc>
                <w:tcPr>
                  <w:tcW w:w="8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40%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2.015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316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284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80</w:t>
                  </w:r>
                </w:p>
              </w:tc>
              <w:tc>
                <w:tcPr>
                  <w:tcW w:w="77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-1.134</w:t>
                  </w:r>
                </w:p>
              </w:tc>
            </w:tr>
            <w:tr>
              <w:tc>
                <w:tcPr>
                  <w:tcW w:w="14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Canoas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2.916</w:t>
                  </w:r>
                </w:p>
              </w:tc>
              <w:tc>
                <w:tcPr>
                  <w:tcW w:w="8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68%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1.850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410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134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445</w:t>
                  </w:r>
                </w:p>
              </w:tc>
              <w:tc>
                <w:tcPr>
                  <w:tcW w:w="77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107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43</w:t>
                  </w:r>
                </w:p>
              </w:tc>
            </w:tr>
            <w:tr>
              <w:tc>
                <w:tcPr>
                  <w:tcW w:w="14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Gravataí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1.368</w:t>
                  </w:r>
                </w:p>
              </w:tc>
              <w:tc>
                <w:tcPr>
                  <w:tcW w:w="8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61%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1.158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333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117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94</w:t>
                  </w:r>
                </w:p>
              </w:tc>
              <w:tc>
                <w:tcPr>
                  <w:tcW w:w="77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0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39</w:t>
                  </w:r>
                </w:p>
              </w:tc>
            </w:tr>
            <w:tr>
              <w:tc>
                <w:tcPr>
                  <w:tcW w:w="14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Sapucaia do Sul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738</w:t>
                  </w:r>
                </w:p>
              </w:tc>
              <w:tc>
                <w:tcPr>
                  <w:tcW w:w="8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67%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1.421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330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57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11</w:t>
                  </w:r>
                </w:p>
              </w:tc>
              <w:tc>
                <w:tcPr>
                  <w:tcW w:w="77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128</w:t>
                  </w:r>
                </w:p>
              </w:tc>
            </w:tr>
            <w:tr>
              <w:tc>
                <w:tcPr>
                  <w:tcW w:w="14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Cachoeirinha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868</w:t>
                  </w:r>
                </w:p>
              </w:tc>
              <w:tc>
                <w:tcPr>
                  <w:tcW w:w="8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51%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736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567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120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173</w:t>
                  </w:r>
                </w:p>
              </w:tc>
              <w:tc>
                <w:tcPr>
                  <w:tcW w:w="77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132</w:t>
                  </w:r>
                </w:p>
              </w:tc>
            </w:tr>
            <w:tr>
              <w:tc>
                <w:tcPr>
                  <w:tcW w:w="14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Guaíba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727</w:t>
                  </w:r>
                </w:p>
              </w:tc>
              <w:tc>
                <w:tcPr>
                  <w:tcW w:w="8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64%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1.196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450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421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8</w:t>
                  </w:r>
                </w:p>
              </w:tc>
              <w:tc>
                <w:tcPr>
                  <w:tcW w:w="77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0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73</w:t>
                  </w:r>
                </w:p>
              </w:tc>
            </w:tr>
            <w:tr>
              <w:tc>
                <w:tcPr>
                  <w:tcW w:w="14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Esteio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569</w:t>
                  </w:r>
                </w:p>
              </w:tc>
              <w:tc>
                <w:tcPr>
                  <w:tcW w:w="85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70%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788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658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252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253</w:t>
                  </w:r>
                </w:p>
              </w:tc>
              <w:tc>
                <w:tcPr>
                  <w:tcW w:w="77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14</w:t>
                  </w:r>
                </w:p>
              </w:tc>
              <w:tc>
                <w:tcPr>
                  <w:tcW w:w="900" w:type="dxa"/>
                  <w:vAlign w:val="top"/>
                </w:tcPr>
                <w:p>
                  <w:pPr>
                    <w:spacing w:before="20" w:after="20" w:line="240" w:lineRule="auto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65</w:t>
                  </w:r>
                </w:p>
              </w:tc>
            </w:tr>
          </w:tbl>
          <w:p>
            <w:pPr>
              <w:spacing w:before="0" w:after="0" w:line="264" w:lineRule="auto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>
            <w:pPr>
              <w:spacing w:before="0" w:after="120" w:line="264" w:lineRule="auto"/>
              <w:jc w:val="left"/>
              <w:rPr>
                <w:rFonts w:ascii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color w:val="404040"/>
                <w:sz w:val="17"/>
                <w:szCs w:val="17"/>
              </w:rPr>
              <w:t xml:space="preserve">Despesas empenhadas em 2024 por função (SICONFI/STN), divididas pela população estimada de 2026. Resultado orçamentário: receitas realizadas menos despesas empenhadas. A despesa em educação ainda não foi extraída para o Atlas.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Leitura.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 capacidade de gasto social é muito desigual. A despesa em assistência social por habitante varia sete vezes, de R$ 57 em Sapucaia do Sul a R$ 421 em Guaíba. Só Canoas gasta de forma relevante na função trabalho (R$ 107 por habitante). Os demais municípios dependem mais de transferências (de 51% a 70% da receita, contra 40% em Porto Alegre). Porto Alegre fechou 2024 com resultado orçamentário negativo de R$ 1,13 bilhão, ano da enchente.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Equipe técnica, governança, controle social e sistemas de informação.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Não estão no Atlas. Fontes: Pesquisa de Informações Básicas Municipais (MUNIC/IBGE), Censo SUAS (recursos humanos dos CRAS e CREAS), atas e composição dos conselhos municipais (assistência social, direitos da criança e do adolescente, saúde) e entrevistas com as secretarias.</w:t>
            </w:r>
          </w:p>
          <w:p>
            <w:pPr>
              <w:spacing w:before="0" w:after="4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Fontes de recursos possíveis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(a validar):</w:t>
            </w:r>
          </w:p>
          <w:p>
            <w:pPr>
              <w:spacing w:before="0" w:after="60" w:line="264" w:lineRule="auto"/>
              <w:ind w:left="284" w:hanging="28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•	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Fundos municipais com destinação incentivada do imposto de renda: Fundo dos Direitos da Criança e do Adolescente e Fundo do Idoso.</w:t>
            </w:r>
          </w:p>
          <w:p>
            <w:pPr>
              <w:spacing w:before="0" w:after="60" w:line="264" w:lineRule="auto"/>
              <w:ind w:left="284" w:hanging="28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•	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Cofinanciamento federal e estadual do SUAS e programas federais de educação (EJA, educação integral, creches).</w:t>
            </w:r>
          </w:p>
          <w:p>
            <w:pPr>
              <w:spacing w:before="0" w:after="60" w:line="264" w:lineRule="auto"/>
              <w:ind w:left="284" w:hanging="28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•	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Investimento social privado: institutos e fundações empresariais, incluindo o Instituto Renner, em coinvestimento com outras empresas da região.</w:t>
            </w:r>
          </w:p>
          <w:p>
            <w:pPr>
              <w:spacing w:before="0" w:after="60" w:line="264" w:lineRule="auto"/>
              <w:ind w:left="284" w:hanging="28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•	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Editais de fundações e organismos de cooperação; parcerias com universidades para avaliação e formação.</w:t>
            </w:r>
          </w:p>
        </w:tc>
      </w:tr>
      <w:tr w:rsidR="00CC7B64" w:rsidRPr="00B13531" w14:paraId="07EA6F2B" w14:textId="77777777" w:rsidTr="00346B27">
        <w:tc>
          <w:tcPr>
            <w:tcW w:w="8494" w:type="dxa"/>
            <w:gridSpan w:val="2"/>
            <w:shd w:val="clear" w:color="auto" w:fill="E7E6E6"/>
          </w:tcPr>
          <w:p w14:paraId="2C099D75" w14:textId="01900EB5" w:rsidR="00CC7B64" w:rsidRPr="00B13531" w:rsidRDefault="00655085" w:rsidP="00133FCC">
            <w:pPr>
              <w:keepNext/>
              <w:rPr>
                <w:rFonts w:ascii="Times New Roman" w:hAnsi="Times New Roman"/>
                <w:b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="0023160B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="00CC7B64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="00E12103" w:rsidRPr="00B13531">
              <w:rPr>
                <w:rFonts w:ascii="Times New Roman" w:hAnsi="Times New Roman"/>
                <w:b/>
                <w:sz w:val="24"/>
                <w:szCs w:val="24"/>
              </w:rPr>
              <w:t>FUNDAMENTAÇÃO CONCEITUAL E TEÓRICA</w:t>
            </w:r>
            <w:r w:rsidR="00CC7B64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CC7B64" w:rsidRPr="00B13531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 w:rsidR="00E01AED" w:rsidRPr="00B13531">
              <w:rPr>
                <w:rFonts w:ascii="Times New Roman" w:hAnsi="Times New Roman"/>
                <w:bCs/>
                <w:sz w:val="24"/>
                <w:szCs w:val="24"/>
              </w:rPr>
              <w:t>Apresentar o conceito e a fundamentação teóric</w:t>
            </w:r>
            <w:r w:rsidR="00673CAC" w:rsidRPr="00B13531">
              <w:rPr>
                <w:rFonts w:ascii="Times New Roman" w:hAnsi="Times New Roman"/>
                <w:bCs/>
                <w:sz w:val="24"/>
                <w:szCs w:val="24"/>
              </w:rPr>
              <w:t>a que o grupo considera que poderá orientar a formulação de soluções para problemas</w:t>
            </w:r>
            <w:r w:rsidR="00E01AED" w:rsidRPr="00B13531">
              <w:rPr>
                <w:rFonts w:ascii="Times New Roman" w:hAnsi="Times New Roman"/>
                <w:bCs/>
                <w:sz w:val="24"/>
                <w:szCs w:val="24"/>
              </w:rPr>
              <w:t xml:space="preserve"> econômicos, sociais e </w:t>
            </w:r>
            <w:r w:rsidR="007116E5" w:rsidRPr="00B13531">
              <w:rPr>
                <w:rFonts w:ascii="Times New Roman" w:hAnsi="Times New Roman"/>
                <w:bCs/>
                <w:sz w:val="24"/>
                <w:szCs w:val="24"/>
              </w:rPr>
              <w:t>ambientais)</w:t>
            </w:r>
            <w:r w:rsidR="00671124" w:rsidRPr="00B13531">
              <w:rPr>
                <w:rFonts w:ascii="Times New Roman" w:hAnsi="Times New Roman"/>
                <w:bCs/>
                <w:sz w:val="24"/>
                <w:szCs w:val="24"/>
              </w:rPr>
              <w:t>. A fundamentação teórico</w:t>
            </w:r>
            <w:r w:rsidR="007116E5" w:rsidRPr="00B13531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r w:rsidR="00671124" w:rsidRPr="00B13531">
              <w:rPr>
                <w:rFonts w:ascii="Times New Roman" w:hAnsi="Times New Roman"/>
                <w:bCs/>
                <w:sz w:val="24"/>
                <w:szCs w:val="24"/>
              </w:rPr>
              <w:t>conceitual deve estar ancorada em autores de referência nas respectivas áreas</w:t>
            </w:r>
            <w:r w:rsidR="007116E5" w:rsidRPr="00B13531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</w:tr>
      <w:tr w:rsidR="00CC7B64" w:rsidRPr="00B13531" w14:paraId="07244E76" w14:textId="77777777" w:rsidTr="00346B27">
        <w:tc>
          <w:tcPr>
            <w:tcW w:w="8494" w:type="dxa"/>
            <w:gridSpan w:val="2"/>
          </w:tcPr>
          <w:p>
            <w:pPr>
              <w:spacing w:before="6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 grupo adota as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abordagens institucionais e centradas no humano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A referência central é Amartya Sen (2000), para quem o desenvolvimento é a expansão das liberdades reais que as pessoas têm para levar a vida que valorizam. Renda e crescimento são meios; o fim são as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capacitações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ou seja, aquilo que as pessoas conseguem efetivamente ser e fazer: ter saúde, estudar, trabalhar, participar da vida da comunidade. A pobreza é entendida como privação de capacitações, e não só como renda baixa, porque a mesma renda se converte em bem-estar de modo diferente conforme a idade, o gênero, o lugar de moradia e o acesso a serviços.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Sen destaca cinco liberdades instrumentais que se reforçam mutuamente: liberdades políticas, facilidades econômicas, oportunidades sociais (educação e saúde), garantias de transparência e segurança protetora. Destaca também a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condição de agente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das pessoas, em especial das mulheres: comunidades não são receptoras passivas, mas participantes das soluções.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 vertente institucional complementa essa leitura. North (1990) define as instituições como as regras do jogo que moldam os incentivos de uma sociedade; Acemoglu e Robinson (2012) mostram que instituições inclusivas ampliam oportunidades, enquanto instituições extrativas as concentram; Ostrom (1990) mostra que comunidades conseguem governar bens comuns quando participam da criação das regras que as afetam.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Implicações para o diagnóstico e para as soluções: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(1) avaliar os territórios por capacitações (escolaridade, trabalho, saúde, moradia, proteção), e não só por renda, o que justifica o uso de indicadores multidimensionais por setor; (2) reconhecer que bolsões com renda semelhante têm privações diferentes e pedem respostas diferentes; (3) desenhar as ações com as comunidades e com as instituições públicas locais (escolas, CRAS, unidades de saúde), fortalecendo-as em vez de substituí-las.</w:t>
            </w:r>
          </w:p>
          <w:p>
            <w:pPr>
              <w:spacing w:before="80" w:after="40" w:line="264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Referências</w:t>
            </w:r>
          </w:p>
          <w:p>
            <w:pPr>
              <w:spacing w:before="0" w:after="60" w:line="264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ACEMOGLU, Daron; ROBINSON, James A.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Why nations fail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the origins of power, prosperity, and poverty. New York: Crown Business, 2012.</w:t>
            </w:r>
          </w:p>
          <w:p>
            <w:pPr>
              <w:spacing w:before="0" w:after="60" w:line="264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NORTH, Douglass C.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Institutions, institutional change and economic performance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Cambridge: Cambridge University Press, 1990.</w:t>
            </w:r>
          </w:p>
          <w:p>
            <w:pPr>
              <w:spacing w:before="0" w:after="60" w:line="264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OSTROM, Elinor.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Governing the commons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the evolution of institutions for collective action. Cambridge: Cambridge University Press, 1990.</w:t>
            </w:r>
          </w:p>
          <w:p>
            <w:pPr>
              <w:spacing w:before="0" w:after="60" w:line="264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SEN, Amartya.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Desenvolvimento como liberdade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Tradução de Laura Teixeira Motta. São Paulo: Companhia das Letras, 2000.</w:t>
            </w:r>
          </w:p>
        </w:tc>
      </w:tr>
      <w:tr w:rsidR="000716BF" w:rsidRPr="00B13531" w14:paraId="61B258B1" w14:textId="77777777" w:rsidTr="0023160B">
        <w:tc>
          <w:tcPr>
            <w:tcW w:w="8494" w:type="dxa"/>
            <w:gridSpan w:val="2"/>
            <w:shd w:val="clear" w:color="auto" w:fill="E7E6E6"/>
          </w:tcPr>
          <w:p w14:paraId="5B8D95A2" w14:textId="669B61C3" w:rsidR="000716BF" w:rsidRPr="00B13531" w:rsidRDefault="00655085" w:rsidP="00B75C72">
            <w:pPr>
              <w:keepNext/>
              <w:rPr>
                <w:rFonts w:ascii="Times New Roman" w:hAnsi="Times New Roman"/>
                <w:b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="0023160B"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Análise de atores</w:t>
            </w:r>
            <w:r w:rsidRPr="00B13531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.</w:t>
            </w:r>
            <w:r w:rsidRPr="00B1353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Tabela com papel, interesses, influência e relação com a agenda. Atores: poder público, associações de moradores, sociedade civil, universidades, empresas e financiadores.</w:t>
            </w:r>
          </w:p>
        </w:tc>
      </w:tr>
      <w:tr w:rsidR="000716BF" w:rsidRPr="00B13531" w14:paraId="0ACF1007" w14:textId="77777777" w:rsidTr="0023160B">
        <w:tc>
          <w:tcPr>
            <w:tcW w:w="8494" w:type="dxa"/>
            <w:gridSpan w:val="2"/>
          </w:tcPr>
          <w:p>
            <w:pPr>
              <w:spacing w:before="60" w:after="100" w:line="264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Tabela 13 – Mapa preliminar de atores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(influência e relação a validar em campo)</w:t>
            </w:r>
          </w:p>
          <w:tbl>
            <w:tblPr>
              <w:tblW w:w="8270" w:type="dxa"/>
              <w:tblBorders>
                <w:top w:val="single" w:sz="4" w:space="0" w:color="8C8C8C"/>
                <w:left w:val="single" w:sz="4" w:space="0" w:color="8C8C8C"/>
                <w:bottom w:val="single" w:sz="4" w:space="0" w:color="8C8C8C"/>
                <w:right w:val="single" w:sz="4" w:space="0" w:color="8C8C8C"/>
                <w:insideH w:val="single" w:sz="4" w:space="0" w:color="8C8C8C"/>
                <w:insideV w:val="single" w:sz="4" w:space="0" w:color="8C8C8C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1750"/>
              <w:gridCol w:w="1750"/>
              <w:gridCol w:w="1000"/>
              <w:gridCol w:w="1770"/>
            </w:tblGrid>
            <w:tr>
              <w:trPr>
                <w:tblHeader/>
              </w:trPr>
              <w:tc>
                <w:tcPr>
                  <w:tcW w:w="20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Ator</w:t>
                  </w:r>
                </w:p>
              </w:tc>
              <w:tc>
                <w:tcPr>
                  <w:tcW w:w="17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Papel</w:t>
                  </w:r>
                </w:p>
              </w:tc>
              <w:tc>
                <w:tcPr>
                  <w:tcW w:w="17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Interesses</w:t>
                  </w:r>
                </w:p>
              </w:tc>
              <w:tc>
                <w:tcPr>
                  <w:tcW w:w="10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Influência</w:t>
                  </w:r>
                </w:p>
              </w:tc>
              <w:tc>
                <w:tcPr>
                  <w:tcW w:w="177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Relação com a agenda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Prefeituras dos sete municípios (assistência social, educação, saúde, habitação, planejamento)</w:t>
                  </w:r>
                </w:p>
              </w:tc>
              <w:tc>
                <w:tcPr>
                  <w:tcW w:w="17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Executam as políticas e mantêm CRAS, escolas, UBS e cadastros</w:t>
                  </w:r>
                </w:p>
              </w:tc>
              <w:tc>
                <w:tcPr>
                  <w:tcW w:w="17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Ampliar cobertura com orçamento restrito; resultados visíveis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Alta</w:t>
                  </w:r>
                </w:p>
              </w:tc>
              <w:tc>
                <w:tcPr>
                  <w:tcW w:w="17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Parceiras indispensáveis; detêm os dados do CadÚnico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Governo do Estado e órgãos metropolitanos</w:t>
                  </w:r>
                </w:p>
              </w:tc>
              <w:tc>
                <w:tcPr>
                  <w:tcW w:w="17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Segurança pública, saneamento, transporte metropolitano</w:t>
                  </w:r>
                </w:p>
              </w:tc>
              <w:tc>
                <w:tcPr>
                  <w:tcW w:w="17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Coordenação regional; investimentos em infraestrutura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Alta</w:t>
                  </w:r>
                </w:p>
              </w:tc>
              <w:tc>
                <w:tcPr>
                  <w:tcW w:w="17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Parceria em saneamento e segurança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Associações de moradores e lideranças dos bolsões</w:t>
                  </w:r>
                </w:p>
              </w:tc>
              <w:tc>
                <w:tcPr>
                  <w:tcW w:w="17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Representam as comunidades e mobilizam famílias</w:t>
                  </w:r>
                </w:p>
              </w:tc>
              <w:tc>
                <w:tcPr>
                  <w:tcW w:w="17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Melhorias concretas no bairro; voz nas decisões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Média no território</w:t>
                  </w:r>
                </w:p>
              </w:tc>
              <w:tc>
                <w:tcPr>
                  <w:tcW w:w="17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Coautoras dos projetos; validam prioridades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Organizações da sociedade civil e conselhos municipais</w:t>
                  </w:r>
                </w:p>
              </w:tc>
              <w:tc>
                <w:tcPr>
                  <w:tcW w:w="17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Executam serviços conveniados; controle social</w:t>
                  </w:r>
                </w:p>
              </w:tc>
              <w:tc>
                <w:tcPr>
                  <w:tcW w:w="17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Recursos estáveis; reconhecimento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Média</w:t>
                  </w:r>
                </w:p>
              </w:tc>
              <w:tc>
                <w:tcPr>
                  <w:tcW w:w="17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Executoras potenciais; canal de controle social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Universidades (ex.: PUCRS)</w:t>
                  </w:r>
                </w:p>
              </w:tc>
              <w:tc>
                <w:tcPr>
                  <w:tcW w:w="17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Pesquisa, extensão, avaliação, formação</w:t>
                  </w:r>
                </w:p>
              </w:tc>
              <w:tc>
                <w:tcPr>
                  <w:tcW w:w="17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Campo de pesquisa e extensão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Média</w:t>
                  </w:r>
                </w:p>
              </w:tc>
              <w:tc>
                <w:tcPr>
                  <w:tcW w:w="17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Apoio técnico ao diagnóstico e à avaliação</w:t>
                  </w:r>
                </w:p>
              </w:tc>
            </w:tr>
            <w:tr>
              <w:tc>
                <w:tcPr>
                  <w:tcW w:w="2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Empresas e financiadores (Instituto Renner e outros investidores sociais)</w:t>
                  </w:r>
                </w:p>
              </w:tc>
              <w:tc>
                <w:tcPr>
                  <w:tcW w:w="17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Financiam e articulam projetos</w:t>
                  </w:r>
                </w:p>
              </w:tc>
              <w:tc>
                <w:tcPr>
                  <w:tcW w:w="17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Impacto social mensurável; relação com as comunidades</w:t>
                  </w:r>
                </w:p>
              </w:tc>
              <w:tc>
                <w:tcPr>
                  <w:tcW w:w="10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Média a alta</w:t>
                  </w:r>
                </w:p>
              </w:tc>
              <w:tc>
                <w:tcPr>
                  <w:tcW w:w="177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Instituto: proponente; demais: coinvestidores</w:t>
                  </w:r>
                </w:p>
              </w:tc>
            </w:tr>
          </w:tbl>
          <w:p>
            <w:pPr>
              <w:spacing w:before="0" w:after="0" w:line="264" w:lineRule="auto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0716BF" w:rsidRPr="00B13531" w14:paraId="17AD9663" w14:textId="77777777" w:rsidTr="0023160B">
        <w:tc>
          <w:tcPr>
            <w:tcW w:w="8494" w:type="dxa"/>
            <w:gridSpan w:val="2"/>
            <w:shd w:val="clear" w:color="auto" w:fill="E7E6E6"/>
          </w:tcPr>
          <w:p w14:paraId="2476F7BA" w14:textId="61427F1E" w:rsidR="00655085" w:rsidRPr="00E46DA5" w:rsidRDefault="00D43401" w:rsidP="00655085">
            <w:pPr>
              <w:keepNext/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="0023160B"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="000716BF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="00655085"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Análise SWOT do território</w:t>
            </w:r>
            <w:r w:rsidR="00655085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br/>
              <w:t>Forças, fraquezas, oportunidades e ameaças.</w:t>
            </w:r>
          </w:p>
          <w:p w14:paraId="15A28AA5" w14:textId="460454A9" w:rsidR="000716BF" w:rsidRPr="00B13531" w:rsidRDefault="000716BF" w:rsidP="00B75C72">
            <w:pPr>
              <w:keepNext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716BF" w:rsidRPr="00B13531" w14:paraId="7F5EC6EE" w14:textId="77777777" w:rsidTr="0023160B">
        <w:tc>
          <w:tcPr>
            <w:tcW w:w="8494" w:type="dxa"/>
            <w:gridSpan w:val="2"/>
          </w:tcPr>
          <w:p>
            <w:pPr>
              <w:spacing w:before="60" w:after="100" w:line="264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Matriz SWOT do território</w:t>
            </w:r>
          </w:p>
          <w:tbl>
            <w:tblPr>
              <w:tblW w:w="8270" w:type="dxa"/>
              <w:tblBorders>
                <w:top w:val="single" w:sz="4" w:space="0" w:color="8C8C8C"/>
                <w:left w:val="single" w:sz="4" w:space="0" w:color="8C8C8C"/>
                <w:bottom w:val="single" w:sz="4" w:space="0" w:color="8C8C8C"/>
                <w:right w:val="single" w:sz="4" w:space="0" w:color="8C8C8C"/>
                <w:insideH w:val="single" w:sz="4" w:space="0" w:color="8C8C8C"/>
                <w:insideV w:val="single" w:sz="4" w:space="0" w:color="8C8C8C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35"/>
              <w:gridCol w:w="4135"/>
            </w:tblGrid>
            <w:tr>
              <w:trPr>
                <w:tblHeader/>
              </w:trPr>
              <w:tc>
                <w:tcPr>
                  <w:tcW w:w="4135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 xml:space="preserve">Fatores positivos</w:t>
                  </w:r>
                </w:p>
              </w:tc>
              <w:tc>
                <w:tcPr>
                  <w:tcW w:w="4135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 xml:space="preserve">Fatores negativos</w:t>
                  </w:r>
                </w:p>
              </w:tc>
            </w:tr>
            <w:tr>
              <w:tc>
                <w:tcPr>
                  <w:tcW w:w="4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 xml:space="preserve">Forças</w:t>
                  </w:r>
                </w:p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• Rede ampla de serviços: 567 estabelecimentos de saúde e 1.650 escolas</w:t>
                  </w:r>
                </w:p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• Coleta de lixo (99,5%) e água por rede (95,5%) quase universais</w:t>
                  </w:r>
                </w:p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• Economia diversificada: PIB de R$ 175 bilhões (2023)</w:t>
                  </w:r>
                </w:p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• Base de dados fina e pública (Atlas por setor)</w:t>
                  </w:r>
                </w:p>
              </w:tc>
              <w:tc>
                <w:tcPr>
                  <w:tcW w:w="4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 xml:space="preserve">Fraquezas</w:t>
                  </w:r>
                </w:p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• Desigualdade intraurbana: 20% da população em setores com renda até R$ 1.947</w:t>
                  </w:r>
                </w:p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• 222 mil pessoas em favelas e comunidades urbanas</w:t>
                  </w:r>
                </w:p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• Baixa escolaridade adulta nos bolsões de Canoas, Sapucaia do Sul e Esteio (36%–59%, 2010)</w:t>
                  </w:r>
                </w:p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• Esgoto inadequado concentrado nos setores pobres</w:t>
                  </w:r>
                </w:p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• Capacidade fiscal desigual (assistência: R$ 57 a R$ 421 por habitante)</w:t>
                  </w:r>
                </w:p>
              </w:tc>
            </w:tr>
            <w:tr>
              <w:tc>
                <w:tcPr>
                  <w:tcW w:w="4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 xml:space="preserve">Oportunidades</w:t>
                  </w:r>
                </w:p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• Demanda concentrada em bolsões identificados, perto de escolas e UBS</w:t>
                  </w:r>
                </w:p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• População jovem nos bolsões (49% com até 29 anos)</w:t>
                  </w:r>
                </w:p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• Dados públicos ainda não usados (CadÚnico, RAIS, Censo Escolar) para focalizar</w:t>
                  </w:r>
                </w:p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• Universidades e organizações locais como parceiras</w:t>
                  </w:r>
                </w:p>
              </w:tc>
              <w:tc>
                <w:tcPr>
                  <w:tcW w:w="4135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 xml:space="preserve">Ameaças</w:t>
                  </w:r>
                </w:p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• Eventos climáticos extremos, como a enchente de 2024 (sem dado no Atlas)</w:t>
                  </w:r>
                </w:p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• Violência letal: 15,2 vítimas por 100 mil hab. em Porto Alegre (2025)</w:t>
                  </w:r>
                </w:p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• Restrição fiscal: Porto Alegre com resultado negativo de R$ 1,13 bilhão em 2024</w:t>
                  </w:r>
                </w:p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• Dados de trabalho e renda defasados (2010)</w:t>
                  </w:r>
                </w:p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• Envelhecimento rápido em Porto Alegre</w:t>
                  </w:r>
                </w:p>
              </w:tc>
            </w:tr>
          </w:tbl>
          <w:p>
            <w:pPr>
              <w:spacing w:before="0" w:after="0" w:line="264" w:lineRule="auto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>
            <w:pPr>
              <w:spacing w:before="0" w:after="120" w:line="264" w:lineRule="auto"/>
              <w:jc w:val="left"/>
              <w:rPr>
                <w:rFonts w:ascii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color w:val="404040"/>
                <w:sz w:val="17"/>
                <w:szCs w:val="17"/>
              </w:rPr>
              <w:t xml:space="preserve">Linha de cima: fatores internos ao território (forças e fraquezas). Linha de baixo: fatores externos (oportunidades e ameaças).</w:t>
            </w:r>
          </w:p>
        </w:tc>
      </w:tr>
      <w:tr w:rsidR="00CC7B64" w:rsidRPr="00B13531" w14:paraId="5CDDB2FA" w14:textId="77777777" w:rsidTr="00655085">
        <w:tc>
          <w:tcPr>
            <w:tcW w:w="8494" w:type="dxa"/>
            <w:gridSpan w:val="2"/>
            <w:shd w:val="clear" w:color="auto" w:fill="E7E6E6"/>
          </w:tcPr>
          <w:p w14:paraId="2335AA94" w14:textId="60937AA1" w:rsidR="00CC7B64" w:rsidRPr="00B13531" w:rsidRDefault="008D2E68" w:rsidP="00133FCC">
            <w:pPr>
              <w:keepNext/>
              <w:rPr>
                <w:rFonts w:ascii="Times New Roman" w:hAnsi="Times New Roman"/>
                <w:b/>
                <w:sz w:val="24"/>
                <w:szCs w:val="24"/>
              </w:rPr>
            </w:pPr>
            <w:r w:rsidRPr="00B1353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="0023160B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 w:rsidR="00CC7B64" w:rsidRPr="00B1353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="00655085" w:rsidRPr="00E46DA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>Priorização dos problemas</w:t>
            </w:r>
            <w:r w:rsidR="00B13531" w:rsidRPr="00B13531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pt-BR"/>
              </w:rPr>
              <w:t xml:space="preserve">.  </w:t>
            </w:r>
            <w:r w:rsidR="0023160B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Elaborar uma m</w:t>
            </w:r>
            <w:r w:rsidR="00655085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atriz com notas de 1 a 5 para</w:t>
            </w:r>
            <w:r w:rsidR="0023160B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:</w:t>
            </w:r>
            <w:r w:rsidR="00655085" w:rsidRPr="00E46DA5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gravidade, urgência, tendência, pessoas afetadas</w:t>
            </w:r>
            <w:r w:rsidR="0023160B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.</w:t>
            </w:r>
          </w:p>
        </w:tc>
      </w:tr>
      <w:tr w:rsidR="00B13531" w:rsidRPr="00B13531" w14:paraId="2CB300BC" w14:textId="77777777" w:rsidTr="000D342E">
        <w:tc>
          <w:tcPr>
            <w:tcW w:w="8494" w:type="dxa"/>
            <w:gridSpan w:val="2"/>
          </w:tcPr>
          <w:p>
            <w:pPr>
              <w:spacing w:before="60" w:after="100" w:line="264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Tabela 15 – Matriz de priorização (proposta preliminar do grupo)</w:t>
            </w:r>
          </w:p>
          <w:tbl>
            <w:tblPr>
              <w:tblW w:w="8270" w:type="dxa"/>
              <w:tblBorders>
                <w:top w:val="single" w:sz="4" w:space="0" w:color="8C8C8C"/>
                <w:left w:val="single" w:sz="4" w:space="0" w:color="8C8C8C"/>
                <w:bottom w:val="single" w:sz="4" w:space="0" w:color="8C8C8C"/>
                <w:right w:val="single" w:sz="4" w:space="0" w:color="8C8C8C"/>
                <w:insideH w:val="single" w:sz="4" w:space="0" w:color="8C8C8C"/>
                <w:insideV w:val="single" w:sz="4" w:space="0" w:color="8C8C8C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050"/>
              <w:gridCol w:w="780"/>
              <w:gridCol w:w="760"/>
              <w:gridCol w:w="800"/>
              <w:gridCol w:w="860"/>
              <w:gridCol w:w="620"/>
              <w:gridCol w:w="2400"/>
            </w:tblGrid>
            <w:tr>
              <w:trPr>
                <w:tblHeader/>
              </w:trPr>
              <w:tc>
                <w:tcPr>
                  <w:tcW w:w="205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Problema</w:t>
                  </w:r>
                </w:p>
              </w:tc>
              <w:tc>
                <w:tcPr>
                  <w:tcW w:w="78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Gravidade</w:t>
                  </w:r>
                </w:p>
              </w:tc>
              <w:tc>
                <w:tcPr>
                  <w:tcW w:w="76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Urgência</w:t>
                  </w:r>
                </w:p>
              </w:tc>
              <w:tc>
                <w:tcPr>
                  <w:tcW w:w="8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Tendência</w:t>
                  </w:r>
                </w:p>
              </w:tc>
              <w:tc>
                <w:tcPr>
                  <w:tcW w:w="86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Pessoas afetadas</w:t>
                  </w:r>
                </w:p>
              </w:tc>
              <w:tc>
                <w:tcPr>
                  <w:tcW w:w="62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Total</w:t>
                  </w:r>
                </w:p>
              </w:tc>
              <w:tc>
                <w:tcPr>
                  <w:tcW w:w="2400" w:type="dxa"/>
                  <w:shd w:val="clear" w:color="auto" w:fill="E7E6E6"/>
                  <w:vAlign w:val="bottom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Evidência no Atlas</w:t>
                  </w:r>
                </w:p>
              </w:tc>
            </w:tr>
            <w:tr>
              <w:tc>
                <w:tcPr>
                  <w:tcW w:w="20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Moradia precária em favelas e comunidades urbanas</w:t>
                  </w:r>
                </w:p>
              </w:tc>
              <w:tc>
                <w:tcPr>
                  <w:tcW w:w="78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w="76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w="86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w="62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17</w:t>
                  </w:r>
                </w:p>
              </w:tc>
              <w:tc>
                <w:tcPr>
                  <w:tcW w:w="24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222.113 pessoas; 13,2% em Porto Alegre e 14,9% em Guaíba</w:t>
                  </w:r>
                </w:p>
              </w:tc>
            </w:tr>
            <w:tr>
              <w:tc>
                <w:tcPr>
                  <w:tcW w:w="20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Saneamento inadequado nos setores pobres</w:t>
                  </w:r>
                </w:p>
              </w:tc>
              <w:tc>
                <w:tcPr>
                  <w:tcW w:w="78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w="76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w="86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w="62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16</w:t>
                  </w:r>
                </w:p>
              </w:tc>
              <w:tc>
                <w:tcPr>
                  <w:tcW w:w="24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104 mil pessoas em setores do quintil mais pobre com menos de 80% de esgoto adequado</w:t>
                  </w:r>
                </w:p>
              </w:tc>
            </w:tr>
            <w:tr>
              <w:tc>
                <w:tcPr>
                  <w:tcW w:w="20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Baixa escolaridade de adultos</w:t>
                  </w:r>
                </w:p>
              </w:tc>
              <w:tc>
                <w:tcPr>
                  <w:tcW w:w="78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w="76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w="86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w="62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w="24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26,5% a 45,7% dos adultos sem fundamental; 36%–59% nos bolsões de Canoas, Sapucaia e Esteio (2010)</w:t>
                  </w:r>
                </w:p>
              </w:tc>
            </w:tr>
            <w:tr>
              <w:tc>
                <w:tcPr>
                  <w:tcW w:w="20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Inserção no trabalho e renda, sobretudo de jovens</w:t>
                  </w:r>
                </w:p>
              </w:tc>
              <w:tc>
                <w:tcPr>
                  <w:tcW w:w="78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w="76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w="86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w="62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w="24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Desocupação de 10,6% em Guajuviras (2010); 81.878 jovens de 15 a 29 anos nos bolsões</w:t>
                  </w:r>
                </w:p>
              </w:tc>
            </w:tr>
            <w:tr>
              <w:tc>
                <w:tcPr>
                  <w:tcW w:w="20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Primeira infância e cuidado</w:t>
                  </w:r>
                </w:p>
              </w:tc>
              <w:tc>
                <w:tcPr>
                  <w:tcW w:w="78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w="76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w="86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w="62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w="24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75.820 crianças de 0 a 14 anos nos bolsões; oferta de creche desconhecida</w:t>
                  </w:r>
                </w:p>
              </w:tc>
            </w:tr>
            <w:tr>
              <w:tc>
                <w:tcPr>
                  <w:tcW w:w="20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Violência letal</w:t>
                  </w:r>
                </w:p>
              </w:tc>
              <w:tc>
                <w:tcPr>
                  <w:tcW w:w="78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w="76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w="86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w="62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w="24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306 vítimas de CVLI em 2025; 15,2 por 100 mil em Porto Alegre</w:t>
                  </w:r>
                </w:p>
              </w:tc>
            </w:tr>
            <w:tr>
              <w:tc>
                <w:tcPr>
                  <w:tcW w:w="205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Rede de proteção social com capacidade desigual</w:t>
                  </w:r>
                </w:p>
              </w:tc>
              <w:tc>
                <w:tcPr>
                  <w:tcW w:w="78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w="76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w="80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w="86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w="620" w:type="dxa"/>
                  <w:vAlign w:val="top"/>
                </w:tcPr>
                <w:p>
                  <w:pPr>
                    <w:spacing w:before="20" w:after="20" w:line="240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13</w:t>
                  </w:r>
                </w:p>
              </w:tc>
              <w:tc>
                <w:tcPr>
                  <w:tcW w:w="2400" w:type="dxa"/>
                  <w:vAlign w:val="top"/>
                </w:tcPr>
                <w:p>
                  <w:pPr>
                    <w:spacing w:before="20" w:after="20" w:line="240" w:lineRule="auto"/>
                    <w:jc w:val="lef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Assistência social: R$ 57 por habitante em Sapucaia do Sul, contra R$ 421 em Guaíba</w:t>
                  </w:r>
                </w:p>
              </w:tc>
            </w:tr>
          </w:tbl>
          <w:p>
            <w:pPr>
              <w:spacing w:before="0" w:after="0" w:line="264" w:lineRule="auto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>
            <w:pPr>
              <w:spacing w:before="0" w:after="120" w:line="264" w:lineRule="auto"/>
              <w:jc w:val="left"/>
              <w:rPr>
                <w:rFonts w:ascii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color w:val="404040"/>
                <w:sz w:val="17"/>
                <w:szCs w:val="17"/>
              </w:rPr>
              <w:t xml:space="preserve">Escala de 1 (baixo) a 5 (alto). Pessoas afetadas: 1 = menos de 5 mil; 2 = 5 a 20 mil; 3 = 20 a 50 mil; 4 = 50 a 150 mil; 5 = mais de 150 mil. Tendência recebeu 3 (neutra) em todos os problemas porque o Atlas ainda não permite comparar 2010 com 2022 nesses temas. Riscos climáticos ficaram de fora por falta de dado no Atlas.</w:t>
            </w:r>
          </w:p>
          <w:p>
            <w:pPr>
              <w:spacing w:before="0" w:after="10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Leitura.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Moradia e saneamento lideram, mas dependem de investimento público; nelas o Instituto atua como articulador. Escolaridade de adultos, trabalho de jovens e primeira infância vêm a seguir e permitem atuação direta, com escolas e CRAS.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0B62ED" w:rsidRPr="00B1353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AE46E4" w14:textId="77777777" w:rsidR="00D37861" w:rsidRDefault="00D37861" w:rsidP="00D94BF4">
      <w:r>
        <w:separator/>
      </w:r>
    </w:p>
  </w:endnote>
  <w:endnote w:type="continuationSeparator" w:id="0">
    <w:p w14:paraId="352AE93E" w14:textId="77777777" w:rsidR="00D37861" w:rsidRDefault="00D37861" w:rsidP="00D94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51F00D" w14:textId="77777777" w:rsidR="00D37861" w:rsidRDefault="00D37861" w:rsidP="00D94BF4">
      <w:r>
        <w:separator/>
      </w:r>
    </w:p>
  </w:footnote>
  <w:footnote w:type="continuationSeparator" w:id="0">
    <w:p w14:paraId="68A1CA71" w14:textId="77777777" w:rsidR="00D37861" w:rsidRDefault="00D37861" w:rsidP="00D94B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65BF1" w14:textId="130F996A" w:rsidR="00D94BF4" w:rsidRPr="00D94BF4" w:rsidRDefault="00D94BF4" w:rsidP="00D94BF4">
    <w:pPr>
      <w:pStyle w:val="Cabealho"/>
      <w:jc w:val="left"/>
    </w:pPr>
    <w:r>
      <w:rPr>
        <w:noProof/>
        <w:sz w:val="20"/>
      </w:rPr>
      <w:drawing>
        <wp:inline distT="0" distB="0" distL="0" distR="0" wp14:anchorId="587D2537" wp14:editId="5409812D">
          <wp:extent cx="2254102" cy="371278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scola de Negócios_mono preto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1452" cy="37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702F29"/>
    <w:multiLevelType w:val="multilevel"/>
    <w:tmpl w:val="F6A484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64"/>
    <w:rsid w:val="00002523"/>
    <w:rsid w:val="00026BF5"/>
    <w:rsid w:val="000716BF"/>
    <w:rsid w:val="000B62ED"/>
    <w:rsid w:val="00154867"/>
    <w:rsid w:val="00176428"/>
    <w:rsid w:val="002307A0"/>
    <w:rsid w:val="0023160B"/>
    <w:rsid w:val="0023167B"/>
    <w:rsid w:val="0027255A"/>
    <w:rsid w:val="00280757"/>
    <w:rsid w:val="002A6B41"/>
    <w:rsid w:val="002B6B22"/>
    <w:rsid w:val="003244A2"/>
    <w:rsid w:val="00346B27"/>
    <w:rsid w:val="0036576E"/>
    <w:rsid w:val="003D7766"/>
    <w:rsid w:val="003F0997"/>
    <w:rsid w:val="0042442C"/>
    <w:rsid w:val="00477C76"/>
    <w:rsid w:val="004853B2"/>
    <w:rsid w:val="004C640C"/>
    <w:rsid w:val="00531E5A"/>
    <w:rsid w:val="00532DEA"/>
    <w:rsid w:val="005D2242"/>
    <w:rsid w:val="00655085"/>
    <w:rsid w:val="00671124"/>
    <w:rsid w:val="00673CAC"/>
    <w:rsid w:val="006A004B"/>
    <w:rsid w:val="007116E5"/>
    <w:rsid w:val="00730CA0"/>
    <w:rsid w:val="007453BA"/>
    <w:rsid w:val="007F3446"/>
    <w:rsid w:val="00820659"/>
    <w:rsid w:val="008528B0"/>
    <w:rsid w:val="008D2E68"/>
    <w:rsid w:val="008E73E9"/>
    <w:rsid w:val="009D7308"/>
    <w:rsid w:val="00A5798E"/>
    <w:rsid w:val="00AD62C5"/>
    <w:rsid w:val="00B11D79"/>
    <w:rsid w:val="00B13531"/>
    <w:rsid w:val="00B263DC"/>
    <w:rsid w:val="00B2711A"/>
    <w:rsid w:val="00BB5388"/>
    <w:rsid w:val="00C57E96"/>
    <w:rsid w:val="00CC4CAF"/>
    <w:rsid w:val="00CC7B64"/>
    <w:rsid w:val="00D05510"/>
    <w:rsid w:val="00D37861"/>
    <w:rsid w:val="00D43401"/>
    <w:rsid w:val="00D62878"/>
    <w:rsid w:val="00D713F8"/>
    <w:rsid w:val="00D83F8A"/>
    <w:rsid w:val="00D94BF4"/>
    <w:rsid w:val="00E01AED"/>
    <w:rsid w:val="00E12103"/>
    <w:rsid w:val="00E226FC"/>
    <w:rsid w:val="00E764AB"/>
    <w:rsid w:val="00E77629"/>
    <w:rsid w:val="00FB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5E41F2"/>
  <w15:chartTrackingRefBased/>
  <w15:docId w15:val="{AAB61CB1-7C80-400E-9031-125EAF8FB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7B64"/>
    <w:pPr>
      <w:spacing w:after="0" w:line="240" w:lineRule="auto"/>
      <w:jc w:val="both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94BF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94BF4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D94BF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94BF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Mapa1" Type="http://schemas.openxmlformats.org/officeDocument/2006/relationships/image" Target="media/mapa1.png"/><Relationship Id="rIdMapa2" Type="http://schemas.openxmlformats.org/officeDocument/2006/relationships/image" Target="media/mapa2.png"/><Relationship Id="rIdMapa3" Type="http://schemas.openxmlformats.org/officeDocument/2006/relationships/image" Target="media/mapa3.png"/><Relationship Id="rIdMapa4" Type="http://schemas.openxmlformats.org/officeDocument/2006/relationships/image" Target="media/mapa4.png"/><Relationship Id="rIdMapa5" Type="http://schemas.openxmlformats.org/officeDocument/2006/relationships/image" Target="media/mapa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531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Coelho</dc:creator>
  <cp:keywords/>
  <dc:description/>
  <cp:lastModifiedBy>Izete Pengo Bagolin</cp:lastModifiedBy>
  <cp:revision>7</cp:revision>
  <dcterms:created xsi:type="dcterms:W3CDTF">2026-10-08T16:24:00Z</dcterms:created>
  <dcterms:modified xsi:type="dcterms:W3CDTF">2026-10-08T17:41:00Z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ff69b197-3e2f-4c4b-9e2b-7c67b57e7fbe</vt:lpwstr>
  </property>
</Properties>
</file>