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pPr>
      <w:r>
        <w:t>Consumer Choice: Model Analysis and Baseline Simulation of an Agent-Based Model of Habits and Social Influence</w:t>
      </w:r>
    </w:p>
    <w:p>
      <w:pPr>
        <w:pStyle w:val="author"/>
      </w:pPr>
      <w:r>
        <w:t>[Author 1], [Author 2], [Author 3], [Author 4]</w:t>
      </w:r>
    </w:p>
    <w:p>
      <w:pPr>
        <w:pStyle w:val="authorinfo"/>
      </w:pPr>
      <w:r>
        <w:t>[Institution], [Programme]</w:t>
      </w:r>
    </w:p>
    <w:p>
      <w:pPr>
        <w:pStyle w:val="email"/>
      </w:pPr>
      <w:r>
        <w:t>{[student1], [student2], [student3], [student4]}@[domain]</w:t>
      </w:r>
    </w:p>
    <w:p>
      <w:pPr>
        <w:pStyle w:val="abstract"/>
      </w:pPr>
      <w:r>
        <w:rPr>
          <w:b/>
        </w:rPr>
        <w:t>Abstract.</w:t>
      </w:r>
      <w:r>
        <w:t xml:space="preserve"> This report analyses the Consumer Choice model, an agent-based model in which consumers choose between two products under the influence of habits, information from friends and social norms. The model was implemented in Python with Mesa 3, following the rules of the original NetLogo model. We describe the agents, their state variables and actions, and define a baseline. We then run 1000 replications of the baseline and a sensitivity analysis of three parameters, using only the outputs of the model: the market shares of the two products and consumer clustering. In the baseline, clustering reaches 0.94 at tick 1000, while the final market share of each product varies widely between runs (standard deviation 0.25). A small difference in quality determines which product dominates. These results define the reference for the extension of the model to a real market.</w:t>
      </w:r>
    </w:p>
    <w:p>
      <w:pPr>
        <w:pStyle w:val="abstract"/>
      </w:pPr>
      <w:r>
        <w:rPr>
          <w:b/>
        </w:rPr>
        <w:t>Keywords:</w:t>
      </w:r>
      <w:r>
        <w:t xml:space="preserve"> Agent-based modelling, Consumer behaviour, Social influence, Habits, Mesa.</w:t>
      </w:r>
    </w:p>
    <w:p>
      <w:pPr>
        <w:pStyle w:val="heading11"/>
      </w:pPr>
      <w:r>
        <w:t>1   Introduction</w:t>
      </w:r>
    </w:p>
    <w:p>
      <w:pPr>
        <w:pStyle w:val="p1a"/>
      </w:pPr>
      <w:r>
        <w:t>This report addresses the first two tasks of Project 1 of the course Multi-Agent Systems and Simulation of Organizations: (1) to analyse the chosen model and run it with a basic setup that becomes the baseline, and (2) to run the simulations for a large number of iterations to obtain meaningful statistics for the variables of interest. The remaining tasks (fitting the model to a real situation, learning agents and the analysis of the new model) will build on the baseline defined here.</w:t>
      </w:r>
    </w:p>
    <w:p>
      <w:pPr>
        <w:pStyle w:val="Normal"/>
      </w:pPr>
      <w:r>
        <w:t>The chosen model is Consumer Choice [1], from the NetLogo Models Library [2]. It derives from a basic model by M. A. Janssen and from earlier work on habits and social processes in market dynamics [3]. It simulates a market with two competing products whose quality can change. Consumers are linked in a social network and choose a product according to three mechanisms: habit, informative social influence (learning about quality from friends) and normative social influence (using the same product as the majority of friends) [4]. The model shows how these mechanisms produce clusters of consumption, tipping points and social lock-in, a situation in which a product of lower quality keeps its market because it is the norm [5].</w:t>
      </w:r>
    </w:p>
    <w:p>
      <w:pPr>
        <w:pStyle w:val="Normal"/>
      </w:pPr>
      <w:r>
        <w:t>The model was implemented in Python with the Mesa 3 framework [6]. The implementation follows the NetLogo code rule by rule. The description in Section 2 is organised along the lines of the ODD protocol [7] and places each rule next to the code that implements it. Section 3 presents the baseline experiments and their statistical analysis. Section 4 outlines how the model will be fitted to a real market in the next phase of the project. The code, data and figures are available in the project repository.</w:t>
      </w:r>
    </w:p>
    <w:p>
      <w:pPr>
        <w:pStyle w:val="heading11"/>
      </w:pPr>
      <w:r>
        <w:t>2   Model Description</w:t>
      </w:r>
    </w:p>
    <w:p>
      <w:pPr>
        <w:pStyle w:val="heading21"/>
      </w:pPr>
      <w:r>
        <w:t>2.1   Purpose and Entities</w:t>
      </w:r>
    </w:p>
    <w:p>
      <w:pPr>
        <w:pStyle w:val="p1a"/>
      </w:pPr>
      <w:r>
        <w:t>The purpose of the model is to explain how habits and social influence shape the market shares of two products, and why consumers may fail to adopt a product of higher quality. The model contains one type of agent, the consumer. The social network and the products are not agents (Table 1).</w:t>
      </w:r>
    </w:p>
    <w:p>
      <w:pPr>
        <w:pStyle w:val="tabletitle"/>
        <w:keepNext/>
      </w:pPr>
      <w:r>
        <w:rPr>
          <w:b/>
        </w:rPr>
        <w:t xml:space="preserve">Table 1. </w:t>
      </w:r>
      <w:r>
        <w:t>Entities of the model.</w:t>
      </w:r>
    </w:p>
    <w:tbl>
      <w:tblPr>
        <w:tblW w:w="6917" w:type="dxa"/>
        <w:jc w:val="center"/>
        <w:tblLayout w:type="fixed"/>
        <w:tblLook w:firstColumn="1" w:firstRow="1" w:lastColumn="0" w:lastRow="0" w:noHBand="0" w:noVBand="1" w:val="04A0"/>
      </w:tblPr>
      <w:tblGrid>
        <w:gridCol w:w="1701"/>
        <w:gridCol w:w="1928"/>
        <w:gridCol w:w="3288"/>
      </w:tblGrid>
      <w:tr>
        <w:tc>
          <w:tcPr>
            <w:tcW w:type="dxa" w:w="1701"/>
            <w:tcBorders>
              <w:top w:val="single" w:sz="8" w:color="000000"/>
              <w:bottom w:val="single" w:sz="4" w:color="000000"/>
            </w:tcBorders>
          </w:tcPr>
          <w:p>
            <w:pPr>
              <w:pStyle w:val="Normal"/>
              <w:spacing w:before="20" w:after="20" w:line="240" w:lineRule="auto"/>
              <w:ind w:firstLine="0"/>
              <w:jc w:val="left"/>
            </w:pPr>
            <w:r>
              <w:rPr>
                <w:b/>
                <w:sz w:val="15"/>
              </w:rPr>
              <w:t>Entity</w:t>
            </w:r>
          </w:p>
        </w:tc>
        <w:tc>
          <w:tcPr>
            <w:tcW w:type="dxa" w:w="1928"/>
            <w:tcBorders>
              <w:top w:val="single" w:sz="8" w:color="000000"/>
              <w:bottom w:val="single" w:sz="4" w:color="000000"/>
            </w:tcBorders>
          </w:tcPr>
          <w:p>
            <w:pPr>
              <w:pStyle w:val="Normal"/>
              <w:spacing w:before="20" w:after="20" w:line="240" w:lineRule="auto"/>
              <w:ind w:firstLine="0"/>
              <w:jc w:val="left"/>
            </w:pPr>
            <w:r>
              <w:rPr>
                <w:b/>
                <w:sz w:val="15"/>
              </w:rPr>
              <w:t>Represents</w:t>
            </w:r>
          </w:p>
        </w:tc>
        <w:tc>
          <w:tcPr>
            <w:tcW w:type="dxa" w:w="3288"/>
            <w:tcBorders>
              <w:top w:val="single" w:sz="8" w:color="000000"/>
              <w:bottom w:val="single" w:sz="4" w:color="000000"/>
            </w:tcBorders>
          </w:tcPr>
          <w:p>
            <w:pPr>
              <w:pStyle w:val="Normal"/>
              <w:spacing w:before="20" w:after="20" w:line="240" w:lineRule="auto"/>
              <w:ind w:firstLine="0"/>
              <w:jc w:val="left"/>
            </w:pPr>
            <w:r>
              <w:rPr>
                <w:b/>
                <w:sz w:val="15"/>
              </w:rPr>
              <w:t>Role in the model</w:t>
            </w:r>
          </w:p>
        </w:tc>
      </w:tr>
      <w:tr>
        <w:tc>
          <w:tcPr>
            <w:tcW w:type="dxa" w:w="1701"/>
          </w:tcPr>
          <w:p>
            <w:pPr>
              <w:pStyle w:val="Normal"/>
              <w:spacing w:before="20" w:after="20" w:line="240" w:lineRule="auto"/>
              <w:ind w:firstLine="0"/>
              <w:jc w:val="left"/>
            </w:pPr>
            <w:r>
              <w:rPr>
                <w:sz w:val="15"/>
              </w:rPr>
              <w:t>Consumer (100)</w:t>
            </w:r>
          </w:p>
        </w:tc>
        <w:tc>
          <w:tcPr>
            <w:tcW w:type="dxa" w:w="1928"/>
          </w:tcPr>
          <w:p>
            <w:pPr>
              <w:pStyle w:val="Normal"/>
              <w:spacing w:before="20" w:after="20" w:line="240" w:lineRule="auto"/>
              <w:ind w:firstLine="0"/>
              <w:jc w:val="left"/>
            </w:pPr>
            <w:r>
              <w:rPr>
                <w:sz w:val="15"/>
              </w:rPr>
              <w:t>A person who buys one of two products</w:t>
            </w:r>
          </w:p>
        </w:tc>
        <w:tc>
          <w:tcPr>
            <w:tcW w:type="dxa" w:w="3288"/>
          </w:tcPr>
          <w:p>
            <w:pPr>
              <w:pStyle w:val="Normal"/>
              <w:spacing w:before="20" w:after="20" w:line="240" w:lineRule="auto"/>
              <w:ind w:firstLine="0"/>
              <w:jc w:val="left"/>
            </w:pPr>
            <w:r>
              <w:rPr>
                <w:sz w:val="15"/>
              </w:rPr>
              <w:t>The only agent type. It chooses a product, learns about quality and influences its friends</w:t>
            </w:r>
          </w:p>
        </w:tc>
      </w:tr>
      <w:tr>
        <w:tc>
          <w:tcPr>
            <w:tcW w:type="dxa" w:w="1701"/>
          </w:tcPr>
          <w:p>
            <w:pPr>
              <w:pStyle w:val="Normal"/>
              <w:spacing w:before="20" w:after="20" w:line="240" w:lineRule="auto"/>
              <w:ind w:firstLine="0"/>
              <w:jc w:val="left"/>
            </w:pPr>
            <w:r>
              <w:rPr>
                <w:sz w:val="15"/>
              </w:rPr>
              <w:t>Link (≈250)</w:t>
            </w:r>
          </w:p>
        </w:tc>
        <w:tc>
          <w:tcPr>
            <w:tcW w:type="dxa" w:w="1928"/>
          </w:tcPr>
          <w:p>
            <w:pPr>
              <w:pStyle w:val="Normal"/>
              <w:spacing w:before="20" w:after="20" w:line="240" w:lineRule="auto"/>
              <w:ind w:firstLine="0"/>
              <w:jc w:val="left"/>
            </w:pPr>
            <w:r>
              <w:rPr>
                <w:sz w:val="15"/>
              </w:rPr>
              <w:t>A friendship</w:t>
            </w:r>
          </w:p>
        </w:tc>
        <w:tc>
          <w:tcPr>
            <w:tcW w:type="dxa" w:w="3288"/>
          </w:tcPr>
          <w:p>
            <w:pPr>
              <w:pStyle w:val="Normal"/>
              <w:spacing w:before="20" w:after="20" w:line="240" w:lineRule="auto"/>
              <w:ind w:firstLine="0"/>
              <w:jc w:val="left"/>
            </w:pPr>
            <w:r>
              <w:rPr>
                <w:sz w:val="15"/>
              </w:rPr>
              <w:t>Channel through which information and norms are transmitted. The network is fixed during a run</w:t>
            </w:r>
          </w:p>
        </w:tc>
      </w:tr>
      <w:tr>
        <w:tc>
          <w:tcPr>
            <w:tcW w:type="dxa" w:w="1701"/>
            <w:tcBorders>
              <w:bottom w:val="single" w:sz="8" w:color="000000"/>
            </w:tcBorders>
          </w:tcPr>
          <w:p>
            <w:pPr>
              <w:pStyle w:val="Normal"/>
              <w:spacing w:before="20" w:after="20" w:line="240" w:lineRule="auto"/>
              <w:ind w:firstLine="0"/>
              <w:jc w:val="left"/>
            </w:pPr>
            <w:r>
              <w:rPr>
                <w:sz w:val="15"/>
              </w:rPr>
              <w:t>Product: orange (0) and blue (1)</w:t>
            </w:r>
          </w:p>
        </w:tc>
        <w:tc>
          <w:tcPr>
            <w:tcW w:type="dxa" w:w="1928"/>
            <w:tcBorders>
              <w:bottom w:val="single" w:sz="8" w:color="000000"/>
            </w:tcBorders>
          </w:tcPr>
          <w:p>
            <w:pPr>
              <w:pStyle w:val="Normal"/>
              <w:spacing w:before="20" w:after="20" w:line="240" w:lineRule="auto"/>
              <w:ind w:firstLine="0"/>
              <w:jc w:val="left"/>
            </w:pPr>
            <w:r>
              <w:rPr>
                <w:sz w:val="15"/>
              </w:rPr>
              <w:t>Two competing brands</w:t>
            </w:r>
          </w:p>
        </w:tc>
        <w:tc>
          <w:tcPr>
            <w:tcW w:type="dxa" w:w="3288"/>
            <w:tcBorders>
              <w:bottom w:val="single" w:sz="8" w:color="000000"/>
            </w:tcBorders>
          </w:tcPr>
          <w:p>
            <w:pPr>
              <w:pStyle w:val="Normal"/>
              <w:spacing w:before="20" w:after="20" w:line="240" w:lineRule="auto"/>
              <w:ind w:firstLine="0"/>
              <w:jc w:val="left"/>
            </w:pPr>
            <w:r>
              <w:rPr>
                <w:sz w:val="15"/>
              </w:rPr>
              <w:t>Defined by global parameters (</w:t>
            </w:r>
            <w:r>
              <w:rPr>
                <w:rFonts w:ascii="Courier New" w:hAnsi="Courier New"/>
                <w:sz w:val="13"/>
              </w:rPr>
              <w:t>quality_orange</w:t>
            </w:r>
            <w:r>
              <w:rPr>
                <w:sz w:val="15"/>
              </w:rPr>
              <w:t xml:space="preserve">, </w:t>
            </w:r>
            <w:r>
              <w:rPr>
                <w:rFonts w:ascii="Courier New" w:hAnsi="Courier New"/>
                <w:sz w:val="13"/>
              </w:rPr>
              <w:t>quality_blue</w:t>
            </w:r>
            <w:r>
              <w:rPr>
                <w:sz w:val="15"/>
              </w:rPr>
              <w:t>) that can be changed during a run</w:t>
            </w:r>
          </w:p>
        </w:tc>
      </w:tr>
    </w:tbl>
    <w:p>
      <w:pPr>
        <w:pStyle w:val="Normal"/>
        <w:spacing w:after="0"/>
      </w:pPr>
    </w:p>
    <w:p>
      <w:pPr>
        <w:pStyle w:val="Normal"/>
      </w:pPr>
      <w:r>
        <w:t>Time is discrete. In each tick all consumers first execute the consumption decision and then update their utilities. Within each phase the consumers are activated in random order (Listing 1). The outputs are recorded at the end of each tick.</w:t>
      </w:r>
    </w:p>
    <w:p>
      <w:pPr>
        <w:pStyle w:val="programcode"/>
        <w:keepLines/>
      </w:pPr>
      <w:r>
        <w:rPr>
          <w:rFonts w:ascii="Courier New" w:hAnsi="Courier New" w:cs="Courier New"/>
          <w:sz w:val="14"/>
        </w:rPr>
        <w:t>126      def step(self):</w:t>
      </w:r>
      <w:r>
        <w:br/>
      </w:r>
      <w:r>
        <w:rPr>
          <w:rFonts w:ascii="Courier New" w:hAnsi="Courier New" w:cs="Courier New"/>
          <w:sz w:val="14"/>
        </w:rPr>
        <w:t>127          self.agents.shuffle_do("consume")</w:t>
      </w:r>
      <w:r>
        <w:br/>
      </w:r>
      <w:r>
        <w:rPr>
          <w:rFonts w:ascii="Courier New" w:hAnsi="Courier New" w:cs="Courier New"/>
          <w:sz w:val="14"/>
        </w:rPr>
        <w:t>128          self.agents.shuffle_do("update_utilities")</w:t>
      </w:r>
      <w:r>
        <w:br/>
      </w:r>
      <w:r>
        <w:rPr>
          <w:rFonts w:ascii="Courier New" w:hAnsi="Courier New" w:cs="Courier New"/>
          <w:sz w:val="14"/>
        </w:rPr>
        <w:t>129          self.datacollector.collect(self)</w:t>
      </w:r>
    </w:p>
    <w:p>
      <w:pPr>
        <w:pStyle w:val="figurelegend"/>
        <w:keepNext w:val="0"/>
      </w:pPr>
      <w:r>
        <w:rPr>
          <w:b/>
        </w:rPr>
        <w:t xml:space="preserve">Listing 1. </w:t>
      </w:r>
      <w:r>
        <w:t>Schedule of one tick (</w:t>
      </w:r>
      <w:r>
        <w:rPr>
          <w:rFonts w:ascii="Courier New" w:hAnsi="Courier New"/>
          <w:sz w:val="17"/>
        </w:rPr>
        <w:t>consumer_choice/model.py</w:t>
      </w:r>
      <w:r>
        <w:t>, lines 126–129).</w:t>
      </w:r>
    </w:p>
    <w:p>
      <w:pPr>
        <w:pStyle w:val="heading21"/>
      </w:pPr>
      <w:r>
        <w:t>2.2   State Variables of the Consumer</w:t>
      </w:r>
    </w:p>
    <w:p>
      <w:pPr>
        <w:pStyle w:val="p1a"/>
      </w:pPr>
      <w:r>
        <w:t xml:space="preserve">Each consumer holds five state variables (Table 2, Listing 2), and a position used only to build the network (Sect. 2.3). The variable </w:t>
      </w:r>
      <w:r>
        <w:rPr>
          <w:rFonts w:ascii="Courier New" w:hAnsi="Courier New"/>
          <w:sz w:val="17"/>
        </w:rPr>
        <w:t>satisfaction</w:t>
      </w:r>
      <w:r>
        <w:t xml:space="preserve"> links product quality to habit: it is the probability that the consumer keeps its current product without considering the alternative. The variable </w:t>
      </w:r>
      <w:r>
        <w:rPr>
          <w:rFonts w:ascii="Courier New" w:hAnsi="Courier New"/>
          <w:sz w:val="17"/>
        </w:rPr>
        <w:t>personal_experience</w:t>
      </w:r>
      <w:r>
        <w:t xml:space="preserve"> is the memory of the consumer; it is updated only for the product in use and may therefore become outdated when the quality of the other product changes.</w:t>
      </w:r>
    </w:p>
    <w:p>
      <w:pPr>
        <w:pStyle w:val="tabletitle"/>
        <w:keepNext/>
      </w:pPr>
      <w:r>
        <w:rPr>
          <w:b/>
        </w:rPr>
        <w:t xml:space="preserve">Table 2. </w:t>
      </w:r>
      <w:r>
        <w:t>State variables of the consumer.</w:t>
      </w:r>
    </w:p>
    <w:tbl>
      <w:tblPr>
        <w:tblW w:w="6917" w:type="dxa"/>
        <w:jc w:val="center"/>
        <w:tblLayout w:type="fixed"/>
        <w:tblLook w:firstColumn="1" w:firstRow="1" w:lastColumn="0" w:lastRow="0" w:noHBand="0" w:noVBand="1" w:val="04A0"/>
      </w:tblPr>
      <w:tblGrid>
        <w:gridCol w:w="1814"/>
        <w:gridCol w:w="1531"/>
        <w:gridCol w:w="1531"/>
        <w:gridCol w:w="2041"/>
      </w:tblGrid>
      <w:tr>
        <w:tc>
          <w:tcPr>
            <w:tcW w:type="dxa" w:w="1814"/>
            <w:tcBorders>
              <w:top w:val="single" w:sz="8" w:color="000000"/>
              <w:bottom w:val="single" w:sz="4" w:color="000000"/>
            </w:tcBorders>
          </w:tcPr>
          <w:p>
            <w:pPr>
              <w:pStyle w:val="Normal"/>
              <w:spacing w:before="20" w:after="20" w:line="240" w:lineRule="auto"/>
              <w:ind w:firstLine="0"/>
              <w:jc w:val="left"/>
            </w:pPr>
            <w:r>
              <w:rPr>
                <w:b/>
                <w:sz w:val="15"/>
              </w:rPr>
              <w:t>Variable</w:t>
            </w:r>
          </w:p>
        </w:tc>
        <w:tc>
          <w:tcPr>
            <w:tcW w:type="dxa" w:w="1531"/>
            <w:tcBorders>
              <w:top w:val="single" w:sz="8" w:color="000000"/>
              <w:bottom w:val="single" w:sz="4" w:color="000000"/>
            </w:tcBorders>
          </w:tcPr>
          <w:p>
            <w:pPr>
              <w:pStyle w:val="Normal"/>
              <w:spacing w:before="20" w:after="20" w:line="240" w:lineRule="auto"/>
              <w:ind w:firstLine="0"/>
              <w:jc w:val="left"/>
            </w:pPr>
            <w:r>
              <w:rPr>
                <w:b/>
                <w:sz w:val="15"/>
              </w:rPr>
              <w:t>Values</w:t>
            </w:r>
          </w:p>
        </w:tc>
        <w:tc>
          <w:tcPr>
            <w:tcW w:type="dxa" w:w="1531"/>
            <w:tcBorders>
              <w:top w:val="single" w:sz="8" w:color="000000"/>
              <w:bottom w:val="single" w:sz="4" w:color="000000"/>
            </w:tcBorders>
          </w:tcPr>
          <w:p>
            <w:pPr>
              <w:pStyle w:val="Normal"/>
              <w:spacing w:before="20" w:after="20" w:line="240" w:lineRule="auto"/>
              <w:ind w:firstLine="0"/>
              <w:jc w:val="left"/>
            </w:pPr>
            <w:r>
              <w:rPr>
                <w:b/>
                <w:sz w:val="15"/>
              </w:rPr>
              <w:t>Role</w:t>
            </w:r>
          </w:p>
        </w:tc>
        <w:tc>
          <w:tcPr>
            <w:tcW w:type="dxa" w:w="2041"/>
            <w:tcBorders>
              <w:top w:val="single" w:sz="8" w:color="000000"/>
              <w:bottom w:val="single" w:sz="4" w:color="000000"/>
            </w:tcBorders>
          </w:tcPr>
          <w:p>
            <w:pPr>
              <w:pStyle w:val="Normal"/>
              <w:spacing w:before="20" w:after="20" w:line="240" w:lineRule="auto"/>
              <w:ind w:firstLine="0"/>
              <w:jc w:val="left"/>
            </w:pPr>
            <w:r>
              <w:rPr>
                <w:b/>
                <w:sz w:val="15"/>
              </w:rPr>
              <w:t>Consequence</w:t>
            </w:r>
          </w:p>
        </w:tc>
      </w:tr>
      <w:tr>
        <w:tc>
          <w:tcPr>
            <w:tcW w:type="dxa" w:w="1814"/>
          </w:tcPr>
          <w:p>
            <w:pPr>
              <w:pStyle w:val="Normal"/>
              <w:spacing w:before="20" w:after="20" w:line="240" w:lineRule="auto"/>
              <w:ind w:firstLine="0"/>
              <w:jc w:val="left"/>
            </w:pPr>
            <w:r>
              <w:rPr>
                <w:rFonts w:ascii="Courier New" w:hAnsi="Courier New"/>
                <w:sz w:val="13"/>
              </w:rPr>
              <w:t>choice</w:t>
            </w:r>
          </w:p>
        </w:tc>
        <w:tc>
          <w:tcPr>
            <w:tcW w:type="dxa" w:w="1531"/>
          </w:tcPr>
          <w:p>
            <w:pPr>
              <w:pStyle w:val="Normal"/>
              <w:spacing w:before="20" w:after="20" w:line="240" w:lineRule="auto"/>
              <w:ind w:firstLine="0"/>
              <w:jc w:val="left"/>
            </w:pPr>
            <w:r>
              <w:rPr>
                <w:sz w:val="15"/>
              </w:rPr>
              <w:t>0 (orange) or 1 (blue)</w:t>
            </w:r>
          </w:p>
        </w:tc>
        <w:tc>
          <w:tcPr>
            <w:tcW w:type="dxa" w:w="1531"/>
          </w:tcPr>
          <w:p>
            <w:pPr>
              <w:pStyle w:val="Normal"/>
              <w:spacing w:before="20" w:after="20" w:line="240" w:lineRule="auto"/>
              <w:ind w:firstLine="0"/>
              <w:jc w:val="left"/>
            </w:pPr>
            <w:r>
              <w:rPr>
                <w:sz w:val="15"/>
              </w:rPr>
              <w:t>Product in use</w:t>
            </w:r>
          </w:p>
        </w:tc>
        <w:tc>
          <w:tcPr>
            <w:tcW w:type="dxa" w:w="2041"/>
          </w:tcPr>
          <w:p>
            <w:pPr>
              <w:pStyle w:val="Normal"/>
              <w:spacing w:before="20" w:after="20" w:line="240" w:lineRule="auto"/>
              <w:ind w:firstLine="0"/>
              <w:jc w:val="left"/>
            </w:pPr>
            <w:r>
              <w:rPr>
                <w:sz w:val="15"/>
              </w:rPr>
              <w:t>Counts for the market share; it is what friends observe when they compute the norm</w:t>
            </w:r>
          </w:p>
        </w:tc>
      </w:tr>
      <w:tr>
        <w:tc>
          <w:tcPr>
            <w:tcW w:type="dxa" w:w="1814"/>
          </w:tcPr>
          <w:p>
            <w:pPr>
              <w:pStyle w:val="Normal"/>
              <w:spacing w:before="20" w:after="20" w:line="240" w:lineRule="auto"/>
              <w:ind w:firstLine="0"/>
              <w:jc w:val="left"/>
            </w:pPr>
            <w:r>
              <w:rPr>
                <w:rFonts w:ascii="Courier New" w:hAnsi="Courier New"/>
                <w:sz w:val="13"/>
              </w:rPr>
              <w:t>satisfaction</w:t>
            </w:r>
          </w:p>
        </w:tc>
        <w:tc>
          <w:tcPr>
            <w:tcW w:type="dxa" w:w="1531"/>
          </w:tcPr>
          <w:p>
            <w:pPr>
              <w:pStyle w:val="Normal"/>
              <w:spacing w:before="20" w:after="20" w:line="240" w:lineRule="auto"/>
              <w:ind w:firstLine="0"/>
              <w:jc w:val="left"/>
            </w:pPr>
            <w:r>
              <w:rPr>
                <w:sz w:val="15"/>
              </w:rPr>
              <w:t>log10(1 + 9q) of the product in use</w:t>
            </w:r>
          </w:p>
        </w:tc>
        <w:tc>
          <w:tcPr>
            <w:tcW w:type="dxa" w:w="1531"/>
          </w:tcPr>
          <w:p>
            <w:pPr>
              <w:pStyle w:val="Normal"/>
              <w:spacing w:before="20" w:after="20" w:line="240" w:lineRule="auto"/>
              <w:ind w:firstLine="0"/>
              <w:jc w:val="left"/>
            </w:pPr>
            <w:r>
              <w:rPr>
                <w:sz w:val="15"/>
              </w:rPr>
              <w:t>Probability of keeping the product (habit)</w:t>
            </w:r>
          </w:p>
        </w:tc>
        <w:tc>
          <w:tcPr>
            <w:tcW w:type="dxa" w:w="2041"/>
          </w:tcPr>
          <w:p>
            <w:pPr>
              <w:pStyle w:val="Normal"/>
              <w:spacing w:before="20" w:after="20" w:line="240" w:lineRule="auto"/>
              <w:ind w:firstLine="0"/>
              <w:jc w:val="left"/>
            </w:pPr>
            <w:r>
              <w:rPr>
                <w:sz w:val="15"/>
              </w:rPr>
              <w:t>With q = 0.5 it equals 0.74. Higher quality produces stronger habits and less attention to the alternative</w:t>
            </w:r>
          </w:p>
        </w:tc>
      </w:tr>
      <w:tr>
        <w:tc>
          <w:tcPr>
            <w:tcW w:type="dxa" w:w="1814"/>
          </w:tcPr>
          <w:p>
            <w:pPr>
              <w:pStyle w:val="Normal"/>
              <w:spacing w:before="20" w:after="20" w:line="240" w:lineRule="auto"/>
              <w:ind w:firstLine="0"/>
              <w:jc w:val="left"/>
            </w:pPr>
            <w:r>
              <w:rPr>
                <w:rFonts w:ascii="Courier New" w:hAnsi="Courier New"/>
                <w:sz w:val="13"/>
              </w:rPr>
              <w:t>personal_experience</w:t>
            </w:r>
          </w:p>
        </w:tc>
        <w:tc>
          <w:tcPr>
            <w:tcW w:type="dxa" w:w="1531"/>
          </w:tcPr>
          <w:p>
            <w:pPr>
              <w:pStyle w:val="Normal"/>
              <w:spacing w:before="20" w:after="20" w:line="240" w:lineRule="auto"/>
              <w:ind w:firstLine="0"/>
              <w:jc w:val="left"/>
            </w:pPr>
            <w:r>
              <w:rPr>
                <w:sz w:val="15"/>
              </w:rPr>
              <w:t>Remembered quality of each product, initially [0, 0]</w:t>
            </w:r>
          </w:p>
        </w:tc>
        <w:tc>
          <w:tcPr>
            <w:tcW w:type="dxa" w:w="1531"/>
          </w:tcPr>
          <w:p>
            <w:pPr>
              <w:pStyle w:val="Normal"/>
              <w:spacing w:before="20" w:after="20" w:line="240" w:lineRule="auto"/>
              <w:ind w:firstLine="0"/>
              <w:jc w:val="left"/>
            </w:pPr>
            <w:r>
              <w:rPr>
                <w:sz w:val="15"/>
              </w:rPr>
              <w:t>Memory of the consumer</w:t>
            </w:r>
          </w:p>
        </w:tc>
        <w:tc>
          <w:tcPr>
            <w:tcW w:type="dxa" w:w="2041"/>
          </w:tcPr>
          <w:p>
            <w:pPr>
              <w:pStyle w:val="Normal"/>
              <w:spacing w:before="20" w:after="20" w:line="240" w:lineRule="auto"/>
              <w:ind w:firstLine="0"/>
              <w:jc w:val="left"/>
            </w:pPr>
            <w:r>
              <w:rPr>
                <w:sz w:val="15"/>
              </w:rPr>
              <w:t>A product never used is valued at 0; a change in the quality of the unused product is not perceived</w:t>
            </w:r>
          </w:p>
        </w:tc>
      </w:tr>
      <w:tr>
        <w:tc>
          <w:tcPr>
            <w:tcW w:type="dxa" w:w="1814"/>
          </w:tcPr>
          <w:p>
            <w:pPr>
              <w:pStyle w:val="Normal"/>
              <w:spacing w:before="20" w:after="20" w:line="240" w:lineRule="auto"/>
              <w:ind w:firstLine="0"/>
              <w:jc w:val="left"/>
            </w:pPr>
            <w:r>
              <w:rPr>
                <w:rFonts w:ascii="Courier New" w:hAnsi="Courier New"/>
                <w:sz w:val="13"/>
              </w:rPr>
              <w:t>utilities</w:t>
            </w:r>
          </w:p>
        </w:tc>
        <w:tc>
          <w:tcPr>
            <w:tcW w:type="dxa" w:w="1531"/>
          </w:tcPr>
          <w:p>
            <w:pPr>
              <w:pStyle w:val="Normal"/>
              <w:spacing w:before="20" w:after="20" w:line="240" w:lineRule="auto"/>
              <w:ind w:firstLine="0"/>
              <w:jc w:val="left"/>
            </w:pPr>
            <w:r>
              <w:rPr>
                <w:sz w:val="15"/>
              </w:rPr>
              <w:t>Total utility of each product</w:t>
            </w:r>
          </w:p>
        </w:tc>
        <w:tc>
          <w:tcPr>
            <w:tcW w:type="dxa" w:w="1531"/>
          </w:tcPr>
          <w:p>
            <w:pPr>
              <w:pStyle w:val="Normal"/>
              <w:spacing w:before="20" w:after="20" w:line="240" w:lineRule="auto"/>
              <w:ind w:firstLine="0"/>
              <w:jc w:val="left"/>
            </w:pPr>
            <w:r>
              <w:rPr>
                <w:sz w:val="15"/>
              </w:rPr>
              <w:t>Basis of the choice when the consumer neither keeps nor explores</w:t>
            </w:r>
          </w:p>
        </w:tc>
        <w:tc>
          <w:tcPr>
            <w:tcW w:type="dxa" w:w="2041"/>
          </w:tcPr>
          <w:p>
            <w:pPr>
              <w:pStyle w:val="Normal"/>
              <w:spacing w:before="20" w:after="20" w:line="240" w:lineRule="auto"/>
              <w:ind w:firstLine="0"/>
              <w:jc w:val="left"/>
            </w:pPr>
            <w:r>
              <w:rPr>
                <w:sz w:val="15"/>
              </w:rPr>
              <w:t>Combines norm and product utility (Sect. 2.4)</w:t>
            </w:r>
          </w:p>
        </w:tc>
      </w:tr>
      <w:tr>
        <w:tc>
          <w:tcPr>
            <w:tcW w:type="dxa" w:w="1814"/>
            <w:tcBorders>
              <w:bottom w:val="single" w:sz="8" w:color="000000"/>
            </w:tcBorders>
          </w:tcPr>
          <w:p>
            <w:pPr>
              <w:pStyle w:val="Normal"/>
              <w:spacing w:before="20" w:after="20" w:line="240" w:lineRule="auto"/>
              <w:ind w:firstLine="0"/>
              <w:jc w:val="left"/>
            </w:pPr>
            <w:r>
              <w:rPr>
                <w:rFonts w:ascii="Courier New" w:hAnsi="Courier New"/>
                <w:sz w:val="13"/>
              </w:rPr>
              <w:t>friends</w:t>
            </w:r>
          </w:p>
        </w:tc>
        <w:tc>
          <w:tcPr>
            <w:tcW w:type="dxa" w:w="1531"/>
            <w:tcBorders>
              <w:bottom w:val="single" w:sz="8" w:color="000000"/>
            </w:tcBorders>
          </w:tcPr>
          <w:p>
            <w:pPr>
              <w:pStyle w:val="Normal"/>
              <w:spacing w:before="20" w:after="20" w:line="240" w:lineRule="auto"/>
              <w:ind w:firstLine="0"/>
              <w:jc w:val="left"/>
            </w:pPr>
            <w:r>
              <w:rPr>
                <w:sz w:val="15"/>
              </w:rPr>
              <w:t>List of linked consumers</w:t>
            </w:r>
          </w:p>
        </w:tc>
        <w:tc>
          <w:tcPr>
            <w:tcW w:type="dxa" w:w="1531"/>
            <w:tcBorders>
              <w:bottom w:val="single" w:sz="8" w:color="000000"/>
            </w:tcBorders>
          </w:tcPr>
          <w:p>
            <w:pPr>
              <w:pStyle w:val="Normal"/>
              <w:spacing w:before="20" w:after="20" w:line="240" w:lineRule="auto"/>
              <w:ind w:firstLine="0"/>
              <w:jc w:val="left"/>
            </w:pPr>
            <w:r>
              <w:rPr>
                <w:sz w:val="15"/>
              </w:rPr>
              <w:t>Social network of the consumer</w:t>
            </w:r>
          </w:p>
        </w:tc>
        <w:tc>
          <w:tcPr>
            <w:tcW w:type="dxa" w:w="2041"/>
            <w:tcBorders>
              <w:bottom w:val="single" w:sz="8" w:color="000000"/>
            </w:tcBorders>
          </w:tcPr>
          <w:p>
            <w:pPr>
              <w:pStyle w:val="Normal"/>
              <w:spacing w:before="20" w:after="20" w:line="240" w:lineRule="auto"/>
              <w:ind w:firstLine="0"/>
              <w:jc w:val="left"/>
            </w:pPr>
            <w:r>
              <w:rPr>
                <w:sz w:val="15"/>
              </w:rPr>
              <w:t>Source of information and of the norm</w:t>
            </w:r>
          </w:p>
        </w:tc>
      </w:tr>
    </w:tbl>
    <w:p>
      <w:pPr>
        <w:pStyle w:val="Normal"/>
        <w:spacing w:after="0"/>
      </w:pPr>
    </w:p>
    <w:p>
      <w:pPr>
        <w:pStyle w:val="programcode"/>
        <w:keepLines/>
      </w:pPr>
      <w:r>
        <w:rPr>
          <w:rFonts w:ascii="Courier New" w:hAnsi="Courier New" w:cs="Courier New"/>
          <w:sz w:val="14"/>
        </w:rPr>
        <w:t xml:space="preserve"> 17  class Consumer(mesa.Agent):</w:t>
      </w:r>
      <w:r>
        <w:br/>
      </w:r>
      <w:r>
        <w:rPr>
          <w:rFonts w:ascii="Courier New" w:hAnsi="Courier New" w:cs="Courier New"/>
          <w:sz w:val="14"/>
        </w:rPr>
        <w:t xml:space="preserve"> 18      """A consumer who uses one of two products and has friends."""</w:t>
      </w:r>
      <w:r>
        <w:br/>
      </w:r>
      <w:r>
        <w:rPr>
          <w:rFonts w:ascii="Courier New" w:hAnsi="Courier New" w:cs="Courier New"/>
          <w:sz w:val="14"/>
        </w:rPr>
        <w:t xml:space="preserve"> 19  </w:t>
      </w:r>
      <w:r>
        <w:br/>
      </w:r>
      <w:r>
        <w:rPr>
          <w:rFonts w:ascii="Courier New" w:hAnsi="Courier New" w:cs="Courier New"/>
          <w:sz w:val="14"/>
        </w:rPr>
        <w:t xml:space="preserve"> 20      def __init__(self, model, choice, pos):</w:t>
      </w:r>
      <w:r>
        <w:br/>
      </w:r>
      <w:r>
        <w:rPr>
          <w:rFonts w:ascii="Courier New" w:hAnsi="Courier New" w:cs="Courier New"/>
          <w:sz w:val="14"/>
        </w:rPr>
        <w:t xml:space="preserve"> 21          super().__init__(model)</w:t>
      </w:r>
      <w:r>
        <w:br/>
      </w:r>
      <w:r>
        <w:rPr>
          <w:rFonts w:ascii="Courier New" w:hAnsi="Courier New" w:cs="Courier New"/>
          <w:sz w:val="14"/>
        </w:rPr>
        <w:t xml:space="preserve"> 22          # product in use: 0 orange, 1 blue</w:t>
      </w:r>
      <w:r>
        <w:br/>
      </w:r>
      <w:r>
        <w:rPr>
          <w:rFonts w:ascii="Courier New" w:hAnsi="Courier New" w:cs="Courier New"/>
          <w:sz w:val="14"/>
        </w:rPr>
        <w:t xml:space="preserve"> 23          self.choice = choice</w:t>
      </w:r>
      <w:r>
        <w:br/>
      </w:r>
      <w:r>
        <w:rPr>
          <w:rFonts w:ascii="Courier New" w:hAnsi="Courier New" w:cs="Courier New"/>
          <w:sz w:val="14"/>
        </w:rPr>
        <w:t xml:space="preserve"> 24          # total utility of each product</w:t>
      </w:r>
      <w:r>
        <w:br/>
      </w:r>
      <w:r>
        <w:rPr>
          <w:rFonts w:ascii="Courier New" w:hAnsi="Courier New" w:cs="Courier New"/>
          <w:sz w:val="14"/>
        </w:rPr>
        <w:t xml:space="preserve"> 25          self.utilities = [1.0, 0.0] if choice == ORANGE else [0.0, 1.0]</w:t>
      </w:r>
      <w:r>
        <w:br/>
      </w:r>
      <w:r>
        <w:rPr>
          <w:rFonts w:ascii="Courier New" w:hAnsi="Courier New" w:cs="Courier New"/>
          <w:sz w:val="14"/>
        </w:rPr>
        <w:t xml:space="preserve"> 26          # probability of keeping the product (habit)</w:t>
      </w:r>
      <w:r>
        <w:br/>
      </w:r>
      <w:r>
        <w:rPr>
          <w:rFonts w:ascii="Courier New" w:hAnsi="Courier New" w:cs="Courier New"/>
          <w:sz w:val="14"/>
        </w:rPr>
        <w:t xml:space="preserve"> 27          self.satisfaction = model.satisfaction(choice)</w:t>
      </w:r>
      <w:r>
        <w:br/>
      </w:r>
      <w:r>
        <w:rPr>
          <w:rFonts w:ascii="Courier New" w:hAnsi="Courier New" w:cs="Courier New"/>
          <w:sz w:val="14"/>
        </w:rPr>
        <w:t xml:space="preserve"> 28          # remembered quality of each product</w:t>
      </w:r>
      <w:r>
        <w:br/>
      </w:r>
      <w:r>
        <w:rPr>
          <w:rFonts w:ascii="Courier New" w:hAnsi="Courier New" w:cs="Courier New"/>
          <w:sz w:val="14"/>
        </w:rPr>
        <w:t xml:space="preserve"> 29          self.personal_experience = [0.0, 0.0]</w:t>
      </w:r>
      <w:r>
        <w:br/>
      </w:r>
      <w:r>
        <w:rPr>
          <w:rFonts w:ascii="Courier New" w:hAnsi="Courier New" w:cs="Courier New"/>
          <w:sz w:val="14"/>
        </w:rPr>
        <w:t xml:space="preserve"> 30          # location, used only to build the network</w:t>
      </w:r>
      <w:r>
        <w:br/>
      </w:r>
      <w:r>
        <w:rPr>
          <w:rFonts w:ascii="Courier New" w:hAnsi="Courier New" w:cs="Courier New"/>
          <w:sz w:val="14"/>
        </w:rPr>
        <w:t xml:space="preserve"> 31          self.pos = pos</w:t>
      </w:r>
      <w:r>
        <w:br/>
      </w:r>
      <w:r>
        <w:rPr>
          <w:rFonts w:ascii="Courier New" w:hAnsi="Courier New" w:cs="Courier New"/>
          <w:sz w:val="14"/>
        </w:rPr>
        <w:t xml:space="preserve"> 32          # linked consumers (social network)</w:t>
      </w:r>
      <w:r>
        <w:br/>
      </w:r>
      <w:r>
        <w:rPr>
          <w:rFonts w:ascii="Courier New" w:hAnsi="Courier New" w:cs="Courier New"/>
          <w:sz w:val="14"/>
        </w:rPr>
        <w:t xml:space="preserve"> 33          self.friends = []</w:t>
      </w:r>
    </w:p>
    <w:p>
      <w:pPr>
        <w:pStyle w:val="figurelegend"/>
        <w:keepNext w:val="0"/>
      </w:pPr>
      <w:r>
        <w:rPr>
          <w:b/>
        </w:rPr>
        <w:t xml:space="preserve">Listing 2. </w:t>
      </w:r>
      <w:r>
        <w:t>Consumer state variables (</w:t>
      </w:r>
      <w:r>
        <w:rPr>
          <w:rFonts w:ascii="Courier New" w:hAnsi="Courier New"/>
          <w:sz w:val="17"/>
        </w:rPr>
        <w:t>consumer_choice/model.py</w:t>
      </w:r>
      <w:r>
        <w:t>, lines 17–33).</w:t>
      </w:r>
    </w:p>
    <w:p>
      <w:pPr>
        <w:pStyle w:val="heading21"/>
      </w:pPr>
      <w:r>
        <w:t>2.3   Social Network</w:t>
      </w:r>
    </w:p>
    <w:p>
      <w:pPr>
        <w:pStyle w:val="p1a"/>
      </w:pPr>
      <w:r>
        <w:t xml:space="preserve">Each consumer is placed at a random position in a 51 × 51 space. Links are created one at a time: a random consumer is linked to the nearest consumer to which it is not yet linked, until the number of links equals </w:t>
      </w:r>
      <w:r>
        <w:rPr>
          <w:rFonts w:ascii="Courier New" w:hAnsi="Courier New"/>
          <w:sz w:val="17"/>
        </w:rPr>
        <w:t>avg_connections</w:t>
      </w:r>
      <w:r>
        <w:t xml:space="preserve"> × </w:t>
      </w:r>
      <w:r>
        <w:rPr>
          <w:rFonts w:ascii="Courier New" w:hAnsi="Courier New"/>
          <w:sz w:val="17"/>
        </w:rPr>
        <w:t>num_consumers</w:t>
      </w:r>
      <w:r>
        <w:t xml:space="preserve"> / 2 (250 in the baseline). The position is used only for this purpose (Listing 3). Because links connect nearby consumers, the network is local: friends of a consumer tend to be friends of each other. This property favours the formation of clusters of consumers that use the same product.</w:t>
      </w:r>
    </w:p>
    <w:p>
      <w:pPr>
        <w:pStyle w:val="programcode"/>
        <w:keepLines/>
      </w:pPr>
      <w:r>
        <w:rPr>
          <w:rFonts w:ascii="Courier New" w:hAnsi="Courier New" w:cs="Courier New"/>
          <w:sz w:val="14"/>
        </w:rPr>
        <w:t>108      def build_network(self, avg_connections):</w:t>
      </w:r>
      <w:r>
        <w:br/>
      </w:r>
      <w:r>
        <w:rPr>
          <w:rFonts w:ascii="Courier New" w:hAnsi="Courier New" w:cs="Courier New"/>
          <w:sz w:val="14"/>
        </w:rPr>
        <w:t>109          """Link a random consumer to its nearest unlinked consumer."""</w:t>
      </w:r>
      <w:r>
        <w:br/>
      </w:r>
      <w:r>
        <w:rPr>
          <w:rFonts w:ascii="Courier New" w:hAnsi="Courier New" w:cs="Courier New"/>
          <w:sz w:val="14"/>
        </w:rPr>
        <w:t>110          num_links = (avg_connections * self.num_consumers) / 2</w:t>
      </w:r>
      <w:r>
        <w:br/>
      </w:r>
      <w:r>
        <w:rPr>
          <w:rFonts w:ascii="Courier New" w:hAnsi="Courier New" w:cs="Courier New"/>
          <w:sz w:val="14"/>
        </w:rPr>
        <w:t>111          links = 0</w:t>
      </w:r>
      <w:r>
        <w:br/>
      </w:r>
      <w:r>
        <w:rPr>
          <w:rFonts w:ascii="Courier New" w:hAnsi="Courier New" w:cs="Courier New"/>
          <w:sz w:val="14"/>
        </w:rPr>
        <w:t>112          while links &lt; num_links:</w:t>
      </w:r>
      <w:r>
        <w:br/>
      </w:r>
      <w:r>
        <w:rPr>
          <w:rFonts w:ascii="Courier New" w:hAnsi="Courier New" w:cs="Courier New"/>
          <w:sz w:val="14"/>
        </w:rPr>
        <w:t>113              a = self.random.choice(self.consumers)</w:t>
      </w:r>
      <w:r>
        <w:br/>
      </w:r>
      <w:r>
        <w:rPr>
          <w:rFonts w:ascii="Courier New" w:hAnsi="Courier New" w:cs="Courier New"/>
          <w:sz w:val="14"/>
        </w:rPr>
        <w:t>114              cands = [c for c in self.consumers</w:t>
      </w:r>
      <w:r>
        <w:br/>
      </w:r>
      <w:r>
        <w:rPr>
          <w:rFonts w:ascii="Courier New" w:hAnsi="Courier New" w:cs="Courier New"/>
          <w:sz w:val="14"/>
        </w:rPr>
        <w:t>115                       if c is not a and c not in a.friends]</w:t>
      </w:r>
      <w:r>
        <w:br/>
      </w:r>
      <w:r>
        <w:rPr>
          <w:rFonts w:ascii="Courier New" w:hAnsi="Courier New" w:cs="Courier New"/>
          <w:sz w:val="14"/>
        </w:rPr>
        <w:t>116              if not cands:</w:t>
      </w:r>
      <w:r>
        <w:br/>
      </w:r>
      <w:r>
        <w:rPr>
          <w:rFonts w:ascii="Courier New" w:hAnsi="Courier New" w:cs="Courier New"/>
          <w:sz w:val="14"/>
        </w:rPr>
        <w:t>117                  continue</w:t>
      </w:r>
      <w:r>
        <w:br/>
      </w:r>
      <w:r>
        <w:rPr>
          <w:rFonts w:ascii="Courier New" w:hAnsi="Courier New" w:cs="Courier New"/>
          <w:sz w:val="14"/>
        </w:rPr>
        <w:t>118              d_min = min(math.dist(a.pos, c.pos) for c in cands)</w:t>
      </w:r>
      <w:r>
        <w:br/>
      </w:r>
      <w:r>
        <w:rPr>
          <w:rFonts w:ascii="Courier New" w:hAnsi="Courier New" w:cs="Courier New"/>
          <w:sz w:val="14"/>
        </w:rPr>
        <w:t>119              nearest = [c for c in cands</w:t>
      </w:r>
      <w:r>
        <w:br/>
      </w:r>
      <w:r>
        <w:rPr>
          <w:rFonts w:ascii="Courier New" w:hAnsi="Courier New" w:cs="Courier New"/>
          <w:sz w:val="14"/>
        </w:rPr>
        <w:t>120                         if math.dist(a.pos, c.pos) == d_min]</w:t>
      </w:r>
      <w:r>
        <w:br/>
      </w:r>
      <w:r>
        <w:rPr>
          <w:rFonts w:ascii="Courier New" w:hAnsi="Courier New" w:cs="Courier New"/>
          <w:sz w:val="14"/>
        </w:rPr>
        <w:t>121              target = self.random.choice(nearest)</w:t>
      </w:r>
      <w:r>
        <w:br/>
      </w:r>
      <w:r>
        <w:rPr>
          <w:rFonts w:ascii="Courier New" w:hAnsi="Courier New" w:cs="Courier New"/>
          <w:sz w:val="14"/>
        </w:rPr>
        <w:t>122              a.friends.append(target)</w:t>
      </w:r>
      <w:r>
        <w:br/>
      </w:r>
      <w:r>
        <w:rPr>
          <w:rFonts w:ascii="Courier New" w:hAnsi="Courier New" w:cs="Courier New"/>
          <w:sz w:val="14"/>
        </w:rPr>
        <w:t>123              target.friends.append(a)</w:t>
      </w:r>
      <w:r>
        <w:br/>
      </w:r>
      <w:r>
        <w:rPr>
          <w:rFonts w:ascii="Courier New" w:hAnsi="Courier New" w:cs="Courier New"/>
          <w:sz w:val="14"/>
        </w:rPr>
        <w:t>124              links += 1</w:t>
      </w:r>
    </w:p>
    <w:p>
      <w:pPr>
        <w:pStyle w:val="figurelegend"/>
        <w:keepNext w:val="0"/>
      </w:pPr>
      <w:r>
        <w:rPr>
          <w:b/>
        </w:rPr>
        <w:t xml:space="preserve">Listing 3. </w:t>
      </w:r>
      <w:r>
        <w:t>Construction of the social network (</w:t>
      </w:r>
      <w:r>
        <w:rPr>
          <w:rFonts w:ascii="Courier New" w:hAnsi="Courier New"/>
          <w:sz w:val="17"/>
        </w:rPr>
        <w:t>consumer_choice/model.py</w:t>
      </w:r>
      <w:r>
        <w:t>, lines 108–124).</w:t>
      </w:r>
    </w:p>
    <w:p>
      <w:pPr>
        <w:pStyle w:val="heading21"/>
      </w:pPr>
      <w:r>
        <w:t>2.4   Actions of the Consumer</w:t>
      </w:r>
    </w:p>
    <w:p>
      <w:pPr>
        <w:pStyle w:val="heading31"/>
      </w:pPr>
      <w:r>
        <w:rPr>
          <w:b/>
        </w:rPr>
        <w:t xml:space="preserve">Consumption Decision. </w:t>
      </w:r>
      <w:r>
        <w:rPr>
          <w:b w:val="0"/>
        </w:rPr>
        <w:t xml:space="preserve">In each tick the consumer applies three rules in sequence (Listing 4). First, with probability equal to </w:t>
      </w:r>
      <w:r>
        <w:rPr>
          <w:rFonts w:ascii="Courier New" w:hAnsi="Courier New"/>
          <w:b w:val="0"/>
          <w:sz w:val="17"/>
        </w:rPr>
        <w:t>satisfaction</w:t>
      </w:r>
      <w:r>
        <w:rPr>
          <w:b w:val="0"/>
        </w:rPr>
        <w:t xml:space="preserve">, it keeps the current product (habit). Second, if it did not keep the product, it switches to the other product with probability </w:t>
      </w:r>
      <w:r>
        <w:rPr>
          <w:rFonts w:ascii="Courier New" w:hAnsi="Courier New"/>
          <w:b w:val="0"/>
          <w:sz w:val="17"/>
        </w:rPr>
        <w:t>exploration</w:t>
      </w:r>
      <w:r>
        <w:rPr>
          <w:b w:val="0"/>
        </w:rPr>
        <w:t>. Third, if it neither kept nor explored, it chooses the product with the higher utility; if both utilities are equal, it keeps the current product. Satisfaction is then recomputed for the product in use. In the baseline the probability of exploring in a given tick is (1 − 0.74) × 0.01 ≈ 0.003.</w:t>
      </w:r>
    </w:p>
    <w:p>
      <w:pPr>
        <w:pStyle w:val="programcode"/>
        <w:keepLines/>
      </w:pPr>
      <w:r>
        <w:rPr>
          <w:rFonts w:ascii="Courier New" w:hAnsi="Courier New" w:cs="Courier New"/>
          <w:sz w:val="14"/>
        </w:rPr>
        <w:t xml:space="preserve"> 35      def consume(self):</w:t>
      </w:r>
      <w:r>
        <w:br/>
      </w:r>
      <w:r>
        <w:rPr>
          <w:rFonts w:ascii="Courier New" w:hAnsi="Courier New" w:cs="Courier New"/>
          <w:sz w:val="14"/>
        </w:rPr>
        <w:t xml:space="preserve"> 36          """Keep the product, explore the other, or choose by utility."""</w:t>
      </w:r>
      <w:r>
        <w:br/>
      </w:r>
      <w:r>
        <w:rPr>
          <w:rFonts w:ascii="Courier New" w:hAnsi="Courier New" w:cs="Courier New"/>
          <w:sz w:val="14"/>
        </w:rPr>
        <w:t xml:space="preserve"> 37          if self.random.random() &lt; self.satisfaction:</w:t>
      </w:r>
      <w:r>
        <w:br/>
      </w:r>
      <w:r>
        <w:rPr>
          <w:rFonts w:ascii="Courier New" w:hAnsi="Courier New" w:cs="Courier New"/>
          <w:sz w:val="14"/>
        </w:rPr>
        <w:t xml:space="preserve"> 38              pass                               # habit: keep the product</w:t>
      </w:r>
      <w:r>
        <w:br/>
      </w:r>
      <w:r>
        <w:rPr>
          <w:rFonts w:ascii="Courier New" w:hAnsi="Courier New" w:cs="Courier New"/>
          <w:sz w:val="14"/>
        </w:rPr>
        <w:t xml:space="preserve"> 39          elif self.random.random() &lt; self.model.exploration:</w:t>
      </w:r>
      <w:r>
        <w:br/>
      </w:r>
      <w:r>
        <w:rPr>
          <w:rFonts w:ascii="Courier New" w:hAnsi="Courier New" w:cs="Courier New"/>
          <w:sz w:val="14"/>
        </w:rPr>
        <w:t xml:space="preserve"> 40              self.choice = 1 - self.choice      # explore the other product</w:t>
      </w:r>
      <w:r>
        <w:br/>
      </w:r>
      <w:r>
        <w:rPr>
          <w:rFonts w:ascii="Courier New" w:hAnsi="Courier New" w:cs="Courier New"/>
          <w:sz w:val="14"/>
        </w:rPr>
        <w:t xml:space="preserve"> 41          elif self.utilities[ORANGE] != self.utilities[BLUE]:</w:t>
      </w:r>
      <w:r>
        <w:br/>
      </w:r>
      <w:r>
        <w:rPr>
          <w:rFonts w:ascii="Courier New" w:hAnsi="Courier New" w:cs="Courier New"/>
          <w:sz w:val="14"/>
        </w:rPr>
        <w:t xml:space="preserve"> 42              self.choice = (ORANGE if self.utilities[ORANGE]</w:t>
      </w:r>
      <w:r>
        <w:br/>
      </w:r>
      <w:r>
        <w:rPr>
          <w:rFonts w:ascii="Courier New" w:hAnsi="Courier New" w:cs="Courier New"/>
          <w:sz w:val="14"/>
        </w:rPr>
        <w:t xml:space="preserve"> 43                             &gt; self.utilities[BLUE] else BLUE)</w:t>
      </w:r>
      <w:r>
        <w:br/>
      </w:r>
      <w:r>
        <w:rPr>
          <w:rFonts w:ascii="Courier New" w:hAnsi="Courier New" w:cs="Courier New"/>
          <w:sz w:val="14"/>
        </w:rPr>
        <w:t xml:space="preserve"> 44          self.satisfaction = self.model.satisfaction(self.choice)</w:t>
      </w:r>
      <w:r>
        <w:br/>
      </w:r>
      <w:r>
        <w:t xml:space="preserve">   ...</w:t>
      </w:r>
      <w:r>
        <w:br/>
      </w:r>
      <w:r>
        <w:rPr>
          <w:rFonts w:ascii="Courier New" w:hAnsi="Courier New" w:cs="Courier New"/>
          <w:sz w:val="14"/>
        </w:rPr>
        <w:t>104      def satisfaction(self, choice):</w:t>
      </w:r>
      <w:r>
        <w:br/>
      </w:r>
      <w:r>
        <w:rPr>
          <w:rFonts w:ascii="Courier New" w:hAnsi="Courier New" w:cs="Courier New"/>
          <w:sz w:val="14"/>
        </w:rPr>
        <w:t>105          """Satisfaction grows with the log of quality: log10(1 + 9q)."""</w:t>
      </w:r>
      <w:r>
        <w:br/>
      </w:r>
      <w:r>
        <w:rPr>
          <w:rFonts w:ascii="Courier New" w:hAnsi="Courier New" w:cs="Courier New"/>
          <w:sz w:val="14"/>
        </w:rPr>
        <w:t>106          return math.log10(1 + 9 * self.quality[choice])</w:t>
      </w:r>
    </w:p>
    <w:p>
      <w:pPr>
        <w:pStyle w:val="figurelegend"/>
        <w:keepNext w:val="0"/>
      </w:pPr>
      <w:r>
        <w:rPr>
          <w:b/>
        </w:rPr>
        <w:t xml:space="preserve">Listing 4. </w:t>
      </w:r>
      <w:r>
        <w:t>Consumption decision and satisfaction (</w:t>
      </w:r>
      <w:r>
        <w:rPr>
          <w:rFonts w:ascii="Courier New" w:hAnsi="Courier New"/>
          <w:sz w:val="17"/>
        </w:rPr>
        <w:t>consumer_choice/model.py</w:t>
      </w:r>
      <w:r>
        <w:t>, lines 35–44, 104–106).</w:t>
      </w:r>
    </w:p>
    <w:p>
      <w:pPr>
        <w:pStyle w:val="heading31"/>
      </w:pPr>
      <w:r>
        <w:rPr>
          <w:b/>
        </w:rPr>
        <w:t xml:space="preserve">Utility Update. </w:t>
      </w:r>
      <w:r>
        <w:rPr>
          <w:b w:val="0"/>
        </w:rPr>
        <w:t xml:space="preserve">After the consumption phase, each consumer computes the utility of each product (Listing 5) in four steps: (1) the experience of the product in use is set to its current quality; (2) with probability </w:t>
      </w:r>
      <w:r>
        <w:rPr>
          <w:rFonts w:ascii="Courier New" w:hAnsi="Courier New"/>
          <w:b w:val="0"/>
          <w:sz w:val="17"/>
        </w:rPr>
        <w:t>information_exchange</w:t>
      </w:r>
      <w:r>
        <w:rPr>
          <w:b w:val="0"/>
        </w:rPr>
        <w:t>, and only if at least one friend uses the product, the consumer receives the current quality of that product; (3) the norm-based utility is the share of friends who use the product; (4) the total utility is</w:t>
      </w:r>
    </w:p>
    <w:p>
      <w:pPr>
        <w:pStyle w:val="Normal"/>
        <w:jc w:val="center"/>
      </w:pPr>
      <w:r>
        <w:rPr>
          <w:i/>
        </w:rPr>
        <w:t>U</w:t>
      </w:r>
      <w:r>
        <w:t xml:space="preserve"> = </w:t>
      </w:r>
      <w:r>
        <w:rPr>
          <w:i/>
        </w:rPr>
        <w:t>w</w:t>
      </w:r>
      <w:r>
        <w:t xml:space="preserve"> · </w:t>
      </w:r>
      <w:r>
        <w:rPr>
          <w:i/>
        </w:rPr>
        <w:t>N</w:t>
      </w:r>
      <w:r>
        <w:t xml:space="preserve"> + (1 − </w:t>
      </w:r>
      <w:r>
        <w:rPr>
          <w:i/>
        </w:rPr>
        <w:t>w</w:t>
      </w:r>
      <w:r>
        <w:t>) · (</w:t>
      </w:r>
      <w:r>
        <w:rPr>
          <w:i/>
        </w:rPr>
        <w:t>E</w:t>
      </w:r>
      <w:r>
        <w:t xml:space="preserve"> + </w:t>
      </w:r>
      <w:r>
        <w:rPr>
          <w:i/>
        </w:rPr>
        <w:t>I</w:t>
      </w:r>
      <w:r>
        <w:t>) / 2 ,</w:t>
      </w:r>
    </w:p>
    <w:p>
      <w:pPr>
        <w:pStyle w:val="Normal"/>
      </w:pPr>
      <w:r>
        <w:t xml:space="preserve">where </w:t>
      </w:r>
      <w:r>
        <w:rPr>
          <w:i/>
        </w:rPr>
        <w:t>w</w:t>
      </w:r>
      <w:r>
        <w:t xml:space="preserve"> is </w:t>
      </w:r>
      <w:r>
        <w:rPr>
          <w:rFonts w:ascii="Courier New" w:hAnsi="Courier New"/>
          <w:sz w:val="17"/>
        </w:rPr>
        <w:t>norm_influence</w:t>
      </w:r>
      <w:r>
        <w:t xml:space="preserve">, </w:t>
      </w:r>
      <w:r>
        <w:rPr>
          <w:i/>
        </w:rPr>
        <w:t>N</w:t>
      </w:r>
      <w:r>
        <w:t xml:space="preserve"> the share of friends using the product, </w:t>
      </w:r>
      <w:r>
        <w:rPr>
          <w:i/>
        </w:rPr>
        <w:t>E</w:t>
      </w:r>
      <w:r>
        <w:t xml:space="preserve"> the remembered quality and </w:t>
      </w:r>
      <w:r>
        <w:rPr>
          <w:i/>
        </w:rPr>
        <w:t>I</w:t>
      </w:r>
      <w:r>
        <w:t xml:space="preserve"> the quality reported by friends (0 if no information was received). Without information from friends, the product utility is half of the remembered quality. As a result, information exchange favours the product that friends already use, in the same direction as the norm.</w:t>
      </w:r>
    </w:p>
    <w:p>
      <w:pPr>
        <w:pStyle w:val="programcode"/>
        <w:keepLines/>
      </w:pPr>
      <w:r>
        <w:rPr>
          <w:rFonts w:ascii="Courier New" w:hAnsi="Courier New" w:cs="Courier New"/>
          <w:sz w:val="14"/>
        </w:rPr>
        <w:t xml:space="preserve"> 46      def update_utilities(self):</w:t>
      </w:r>
      <w:r>
        <w:br/>
      </w:r>
      <w:r>
        <w:rPr>
          <w:rFonts w:ascii="Courier New" w:hAnsi="Courier New" w:cs="Courier New"/>
          <w:sz w:val="14"/>
        </w:rPr>
        <w:t xml:space="preserve"> 47          """Combine own experience, friends' information and the norm."""</w:t>
      </w:r>
      <w:r>
        <w:br/>
      </w:r>
      <w:r>
        <w:rPr>
          <w:rFonts w:ascii="Courier New" w:hAnsi="Courier New" w:cs="Courier New"/>
          <w:sz w:val="14"/>
        </w:rPr>
        <w:t xml:space="preserve"> 48          m = self.model</w:t>
      </w:r>
      <w:r>
        <w:br/>
      </w:r>
      <w:r>
        <w:rPr>
          <w:rFonts w:ascii="Courier New" w:hAnsi="Courier New" w:cs="Courier New"/>
          <w:sz w:val="14"/>
        </w:rPr>
        <w:t xml:space="preserve"> 49          for option in (ORANGE, BLUE):</w:t>
      </w:r>
      <w:r>
        <w:br/>
      </w:r>
      <w:r>
        <w:rPr>
          <w:rFonts w:ascii="Courier New" w:hAnsi="Courier New" w:cs="Courier New"/>
          <w:sz w:val="14"/>
        </w:rPr>
        <w:t xml:space="preserve"> 50              # 1. own experience: only the product in use is updated</w:t>
      </w:r>
      <w:r>
        <w:br/>
      </w:r>
      <w:r>
        <w:rPr>
          <w:rFonts w:ascii="Courier New" w:hAnsi="Courier New" w:cs="Courier New"/>
          <w:sz w:val="14"/>
        </w:rPr>
        <w:t xml:space="preserve"> 51              if self.choice == option:</w:t>
      </w:r>
      <w:r>
        <w:br/>
      </w:r>
      <w:r>
        <w:rPr>
          <w:rFonts w:ascii="Courier New" w:hAnsi="Courier New" w:cs="Courier New"/>
          <w:sz w:val="14"/>
        </w:rPr>
        <w:t xml:space="preserve"> 52                  self.personal_experience[option] = m.quality[option]</w:t>
      </w:r>
      <w:r>
        <w:br/>
      </w:r>
      <w:r>
        <w:rPr>
          <w:rFonts w:ascii="Courier New" w:hAnsi="Courier New" w:cs="Courier New"/>
          <w:sz w:val="14"/>
        </w:rPr>
        <w:t xml:space="preserve"> 53              # 2. information exchange: a friend who uses the product</w:t>
      </w:r>
      <w:r>
        <w:br/>
      </w:r>
      <w:r>
        <w:rPr>
          <w:rFonts w:ascii="Courier New" w:hAnsi="Courier New" w:cs="Courier New"/>
          <w:sz w:val="14"/>
        </w:rPr>
        <w:t xml:space="preserve"> 54              #    reports its current quality</w:t>
      </w:r>
      <w:r>
        <w:br/>
      </w:r>
      <w:r>
        <w:rPr>
          <w:rFonts w:ascii="Courier New" w:hAnsi="Courier New" w:cs="Courier New"/>
          <w:sz w:val="14"/>
        </w:rPr>
        <w:t xml:space="preserve"> 55              neighbor_info = 0.0</w:t>
      </w:r>
      <w:r>
        <w:br/>
      </w:r>
      <w:r>
        <w:rPr>
          <w:rFonts w:ascii="Courier New" w:hAnsi="Courier New" w:cs="Courier New"/>
          <w:sz w:val="14"/>
        </w:rPr>
        <w:t xml:space="preserve"> 56              if (self.random.random() &lt;= m.information_exchange</w:t>
      </w:r>
      <w:r>
        <w:br/>
      </w:r>
      <w:r>
        <w:rPr>
          <w:rFonts w:ascii="Courier New" w:hAnsi="Courier New" w:cs="Courier New"/>
          <w:sz w:val="14"/>
        </w:rPr>
        <w:t xml:space="preserve"> 57                      and any(f.choice == option for f in self.friends)):</w:t>
      </w:r>
      <w:r>
        <w:br/>
      </w:r>
      <w:r>
        <w:rPr>
          <w:rFonts w:ascii="Courier New" w:hAnsi="Courier New" w:cs="Courier New"/>
          <w:sz w:val="14"/>
        </w:rPr>
        <w:t xml:space="preserve"> 58                  neighbor_info = m.quality[option]</w:t>
      </w:r>
      <w:r>
        <w:br/>
      </w:r>
      <w:r>
        <w:rPr>
          <w:rFonts w:ascii="Courier New" w:hAnsi="Courier New" w:cs="Courier New"/>
          <w:sz w:val="14"/>
        </w:rPr>
        <w:t xml:space="preserve"> 59              # 3. social norm: share of friends who use the product</w:t>
      </w:r>
      <w:r>
        <w:br/>
      </w:r>
      <w:r>
        <w:rPr>
          <w:rFonts w:ascii="Courier New" w:hAnsi="Courier New" w:cs="Courier New"/>
          <w:sz w:val="14"/>
        </w:rPr>
        <w:t xml:space="preserve"> 60              norm_util = 0.0</w:t>
      </w:r>
      <w:r>
        <w:br/>
      </w:r>
      <w:r>
        <w:rPr>
          <w:rFonts w:ascii="Courier New" w:hAnsi="Courier New" w:cs="Courier New"/>
          <w:sz w:val="14"/>
        </w:rPr>
        <w:t xml:space="preserve"> 61              if self.friends:</w:t>
      </w:r>
      <w:r>
        <w:br/>
      </w:r>
      <w:r>
        <w:rPr>
          <w:rFonts w:ascii="Courier New" w:hAnsi="Courier New" w:cs="Courier New"/>
          <w:sz w:val="14"/>
        </w:rPr>
        <w:t xml:space="preserve"> 62                  users = sum(f.choice == option for f in self.friends)</w:t>
      </w:r>
      <w:r>
        <w:br/>
      </w:r>
      <w:r>
        <w:rPr>
          <w:rFonts w:ascii="Courier New" w:hAnsi="Courier New" w:cs="Courier New"/>
          <w:sz w:val="14"/>
        </w:rPr>
        <w:t xml:space="preserve"> 63                  norm_util = users / len(self.friends)</w:t>
      </w:r>
      <w:r>
        <w:br/>
      </w:r>
      <w:r>
        <w:rPr>
          <w:rFonts w:ascii="Courier New" w:hAnsi="Courier New" w:cs="Courier New"/>
          <w:sz w:val="14"/>
        </w:rPr>
        <w:t xml:space="preserve"> 64              # 4. total utility: norm-based and product utility</w:t>
      </w:r>
      <w:r>
        <w:br/>
      </w:r>
      <w:r>
        <w:rPr>
          <w:rFonts w:ascii="Courier New" w:hAnsi="Courier New" w:cs="Courier New"/>
          <w:sz w:val="14"/>
        </w:rPr>
        <w:t xml:space="preserve"> 65              prod_util = (self.personal_experience[option]</w:t>
      </w:r>
      <w:r>
        <w:br/>
      </w:r>
      <w:r>
        <w:rPr>
          <w:rFonts w:ascii="Courier New" w:hAnsi="Courier New" w:cs="Courier New"/>
          <w:sz w:val="14"/>
        </w:rPr>
        <w:t xml:space="preserve"> 66                           + neighbor_info) / 2</w:t>
      </w:r>
      <w:r>
        <w:br/>
      </w:r>
      <w:r>
        <w:rPr>
          <w:rFonts w:ascii="Courier New" w:hAnsi="Courier New" w:cs="Courier New"/>
          <w:sz w:val="14"/>
        </w:rPr>
        <w:t xml:space="preserve"> 67              self.utilities[option] = (</w:t>
      </w:r>
      <w:r>
        <w:br/>
      </w:r>
      <w:r>
        <w:rPr>
          <w:rFonts w:ascii="Courier New" w:hAnsi="Courier New" w:cs="Courier New"/>
          <w:sz w:val="14"/>
        </w:rPr>
        <w:t xml:space="preserve"> 68                  m.norm_influence * norm_util</w:t>
      </w:r>
      <w:r>
        <w:br/>
      </w:r>
      <w:r>
        <w:rPr>
          <w:rFonts w:ascii="Courier New" w:hAnsi="Courier New" w:cs="Courier New"/>
          <w:sz w:val="14"/>
        </w:rPr>
        <w:t xml:space="preserve"> 69                  + (1 - m.norm_influence) * prod_util)</w:t>
      </w:r>
    </w:p>
    <w:p>
      <w:pPr>
        <w:pStyle w:val="figurelegend"/>
        <w:keepNext w:val="0"/>
      </w:pPr>
      <w:r>
        <w:rPr>
          <w:b/>
        </w:rPr>
        <w:t xml:space="preserve">Listing 5. </w:t>
      </w:r>
      <w:r>
        <w:t>Utility update (</w:t>
      </w:r>
      <w:r>
        <w:rPr>
          <w:rFonts w:ascii="Courier New" w:hAnsi="Courier New"/>
          <w:sz w:val="17"/>
        </w:rPr>
        <w:t>consumer_choice/model.py</w:t>
      </w:r>
      <w:r>
        <w:t>, lines 46–69).</w:t>
      </w:r>
    </w:p>
    <w:p>
      <w:pPr>
        <w:pStyle w:val="Normal"/>
      </w:pPr>
      <w:r>
        <w:t>Table 3 summarises the actions and their consequences.</w:t>
      </w:r>
    </w:p>
    <w:p>
      <w:pPr>
        <w:pStyle w:val="tabletitle"/>
        <w:keepNext/>
      </w:pPr>
      <w:r>
        <w:rPr>
          <w:b/>
        </w:rPr>
        <w:t xml:space="preserve">Table 3. </w:t>
      </w:r>
      <w:r>
        <w:t>Actions of the consumer, in the order in which they are executed.</w:t>
      </w:r>
    </w:p>
    <w:tbl>
      <w:tblPr>
        <w:tblW w:w="6917" w:type="dxa"/>
        <w:jc w:val="center"/>
        <w:tblLayout w:type="fixed"/>
        <w:tblLook w:firstColumn="1" w:firstRow="1" w:lastColumn="0" w:lastRow="0" w:noHBand="0" w:noVBand="1" w:val="04A0"/>
      </w:tblPr>
      <w:tblGrid>
        <w:gridCol w:w="1587"/>
        <w:gridCol w:w="2154"/>
        <w:gridCol w:w="3175"/>
      </w:tblGrid>
      <w:tr>
        <w:tc>
          <w:tcPr>
            <w:tcW w:type="dxa" w:w="1587"/>
            <w:tcBorders>
              <w:top w:val="single" w:sz="8" w:color="000000"/>
              <w:bottom w:val="single" w:sz="4" w:color="000000"/>
            </w:tcBorders>
          </w:tcPr>
          <w:p>
            <w:pPr>
              <w:pStyle w:val="Normal"/>
              <w:spacing w:before="20" w:after="20" w:line="240" w:lineRule="auto"/>
              <w:ind w:firstLine="0"/>
              <w:jc w:val="left"/>
            </w:pPr>
            <w:r>
              <w:rPr>
                <w:b/>
                <w:sz w:val="15"/>
              </w:rPr>
              <w:t>Action</w:t>
            </w:r>
          </w:p>
        </w:tc>
        <w:tc>
          <w:tcPr>
            <w:tcW w:type="dxa" w:w="2154"/>
            <w:tcBorders>
              <w:top w:val="single" w:sz="8" w:color="000000"/>
              <w:bottom w:val="single" w:sz="4" w:color="000000"/>
            </w:tcBorders>
          </w:tcPr>
          <w:p>
            <w:pPr>
              <w:pStyle w:val="Normal"/>
              <w:spacing w:before="20" w:after="20" w:line="240" w:lineRule="auto"/>
              <w:ind w:firstLine="0"/>
              <w:jc w:val="left"/>
            </w:pPr>
            <w:r>
              <w:rPr>
                <w:b/>
                <w:sz w:val="15"/>
              </w:rPr>
              <w:t>When</w:t>
            </w:r>
          </w:p>
        </w:tc>
        <w:tc>
          <w:tcPr>
            <w:tcW w:type="dxa" w:w="3175"/>
            <w:tcBorders>
              <w:top w:val="single" w:sz="8" w:color="000000"/>
              <w:bottom w:val="single" w:sz="4" w:color="000000"/>
            </w:tcBorders>
          </w:tcPr>
          <w:p>
            <w:pPr>
              <w:pStyle w:val="Normal"/>
              <w:spacing w:before="20" w:after="20" w:line="240" w:lineRule="auto"/>
              <w:ind w:firstLine="0"/>
              <w:jc w:val="left"/>
            </w:pPr>
            <w:r>
              <w:rPr>
                <w:b/>
                <w:sz w:val="15"/>
              </w:rPr>
              <w:t>Consequence</w:t>
            </w:r>
          </w:p>
        </w:tc>
      </w:tr>
      <w:tr>
        <w:tc>
          <w:tcPr>
            <w:tcW w:type="dxa" w:w="1587"/>
          </w:tcPr>
          <w:p>
            <w:pPr>
              <w:pStyle w:val="Normal"/>
              <w:spacing w:before="20" w:after="20" w:line="240" w:lineRule="auto"/>
              <w:ind w:firstLine="0"/>
              <w:jc w:val="left"/>
            </w:pPr>
            <w:r>
              <w:rPr>
                <w:sz w:val="15"/>
              </w:rPr>
              <w:t>Keep the product (habit)</w:t>
            </w:r>
          </w:p>
        </w:tc>
        <w:tc>
          <w:tcPr>
            <w:tcW w:type="dxa" w:w="2154"/>
          </w:tcPr>
          <w:p>
            <w:pPr>
              <w:pStyle w:val="Normal"/>
              <w:spacing w:before="20" w:after="20" w:line="240" w:lineRule="auto"/>
              <w:ind w:firstLine="0"/>
              <w:jc w:val="left"/>
            </w:pPr>
            <w:r>
              <w:rPr>
                <w:sz w:val="15"/>
              </w:rPr>
              <w:t xml:space="preserve">With probability </w:t>
            </w:r>
            <w:r>
              <w:rPr>
                <w:rFonts w:ascii="Courier New" w:hAnsi="Courier New"/>
                <w:sz w:val="13"/>
              </w:rPr>
              <w:t>satisfaction</w:t>
            </w:r>
          </w:p>
        </w:tc>
        <w:tc>
          <w:tcPr>
            <w:tcW w:type="dxa" w:w="3175"/>
          </w:tcPr>
          <w:p>
            <w:pPr>
              <w:pStyle w:val="Normal"/>
              <w:spacing w:before="20" w:after="20" w:line="240" w:lineRule="auto"/>
              <w:ind w:firstLine="0"/>
              <w:jc w:val="left"/>
            </w:pPr>
            <w:r>
              <w:rPr>
                <w:sz w:val="15"/>
              </w:rPr>
              <w:t>No change. The consumer does not consider the alternative, so improvements of the other product are not perceived</w:t>
            </w:r>
          </w:p>
        </w:tc>
      </w:tr>
      <w:tr>
        <w:tc>
          <w:tcPr>
            <w:tcW w:type="dxa" w:w="1587"/>
          </w:tcPr>
          <w:p>
            <w:pPr>
              <w:pStyle w:val="Normal"/>
              <w:spacing w:before="20" w:after="20" w:line="240" w:lineRule="auto"/>
              <w:ind w:firstLine="0"/>
              <w:jc w:val="left"/>
            </w:pPr>
            <w:r>
              <w:rPr>
                <w:sz w:val="15"/>
              </w:rPr>
              <w:t>Explore</w:t>
            </w:r>
          </w:p>
        </w:tc>
        <w:tc>
          <w:tcPr>
            <w:tcW w:type="dxa" w:w="2154"/>
          </w:tcPr>
          <w:p>
            <w:pPr>
              <w:pStyle w:val="Normal"/>
              <w:spacing w:before="20" w:after="20" w:line="240" w:lineRule="auto"/>
              <w:ind w:firstLine="0"/>
              <w:jc w:val="left"/>
            </w:pPr>
            <w:r>
              <w:rPr>
                <w:sz w:val="15"/>
              </w:rPr>
              <w:t xml:space="preserve">If not kept, with probability </w:t>
            </w:r>
            <w:r>
              <w:rPr>
                <w:rFonts w:ascii="Courier New" w:hAnsi="Courier New"/>
                <w:sz w:val="13"/>
              </w:rPr>
              <w:t>exploration</w:t>
            </w:r>
          </w:p>
        </w:tc>
        <w:tc>
          <w:tcPr>
            <w:tcW w:type="dxa" w:w="3175"/>
          </w:tcPr>
          <w:p>
            <w:pPr>
              <w:pStyle w:val="Normal"/>
              <w:spacing w:before="20" w:after="20" w:line="240" w:lineRule="auto"/>
              <w:ind w:firstLine="0"/>
              <w:jc w:val="left"/>
            </w:pPr>
            <w:r>
              <w:rPr>
                <w:sz w:val="15"/>
              </w:rPr>
              <w:t>Switches to the other product and learns its actual quality in the next update. It is the only way to discover an improvement of a product that no friend uses</w:t>
            </w:r>
          </w:p>
        </w:tc>
      </w:tr>
      <w:tr>
        <w:tc>
          <w:tcPr>
            <w:tcW w:type="dxa" w:w="1587"/>
          </w:tcPr>
          <w:p>
            <w:pPr>
              <w:pStyle w:val="Normal"/>
              <w:spacing w:before="20" w:after="20" w:line="240" w:lineRule="auto"/>
              <w:ind w:firstLine="0"/>
              <w:jc w:val="left"/>
            </w:pPr>
            <w:r>
              <w:rPr>
                <w:sz w:val="15"/>
              </w:rPr>
              <w:t>Choose by utility</w:t>
            </w:r>
          </w:p>
        </w:tc>
        <w:tc>
          <w:tcPr>
            <w:tcW w:type="dxa" w:w="2154"/>
          </w:tcPr>
          <w:p>
            <w:pPr>
              <w:pStyle w:val="Normal"/>
              <w:spacing w:before="20" w:after="20" w:line="240" w:lineRule="auto"/>
              <w:ind w:firstLine="0"/>
              <w:jc w:val="left"/>
            </w:pPr>
            <w:r>
              <w:rPr>
                <w:sz w:val="15"/>
              </w:rPr>
              <w:t>If neither kept nor explored, and utilities differ</w:t>
            </w:r>
          </w:p>
        </w:tc>
        <w:tc>
          <w:tcPr>
            <w:tcW w:type="dxa" w:w="3175"/>
          </w:tcPr>
          <w:p>
            <w:pPr>
              <w:pStyle w:val="Normal"/>
              <w:spacing w:before="20" w:after="20" w:line="240" w:lineRule="auto"/>
              <w:ind w:firstLine="0"/>
              <w:jc w:val="left"/>
            </w:pPr>
            <w:r>
              <w:rPr>
                <w:sz w:val="15"/>
              </w:rPr>
              <w:t>Selects the product with the higher utility; in a tie it keeps the current product</w:t>
            </w:r>
          </w:p>
        </w:tc>
      </w:tr>
      <w:tr>
        <w:tc>
          <w:tcPr>
            <w:tcW w:type="dxa" w:w="1587"/>
          </w:tcPr>
          <w:p>
            <w:pPr>
              <w:pStyle w:val="Normal"/>
              <w:spacing w:before="20" w:after="20" w:line="240" w:lineRule="auto"/>
              <w:ind w:firstLine="0"/>
              <w:jc w:val="left"/>
            </w:pPr>
            <w:r>
              <w:rPr>
                <w:sz w:val="15"/>
              </w:rPr>
              <w:t>Update experience</w:t>
            </w:r>
          </w:p>
        </w:tc>
        <w:tc>
          <w:tcPr>
            <w:tcW w:type="dxa" w:w="2154"/>
          </w:tcPr>
          <w:p>
            <w:pPr>
              <w:pStyle w:val="Normal"/>
              <w:spacing w:before="20" w:after="20" w:line="240" w:lineRule="auto"/>
              <w:ind w:firstLine="0"/>
              <w:jc w:val="left"/>
            </w:pPr>
            <w:r>
              <w:rPr>
                <w:sz w:val="15"/>
              </w:rPr>
              <w:t>Every tick, for the product in use</w:t>
            </w:r>
          </w:p>
        </w:tc>
        <w:tc>
          <w:tcPr>
            <w:tcW w:type="dxa" w:w="3175"/>
          </w:tcPr>
          <w:p>
            <w:pPr>
              <w:pStyle w:val="Normal"/>
              <w:spacing w:before="20" w:after="20" w:line="240" w:lineRule="auto"/>
              <w:ind w:firstLine="0"/>
              <w:jc w:val="left"/>
            </w:pPr>
            <w:r>
              <w:rPr>
                <w:sz w:val="15"/>
              </w:rPr>
              <w:t>Memory of that product equals its current quality</w:t>
            </w:r>
          </w:p>
        </w:tc>
      </w:tr>
      <w:tr>
        <w:tc>
          <w:tcPr>
            <w:tcW w:type="dxa" w:w="1587"/>
          </w:tcPr>
          <w:p>
            <w:pPr>
              <w:pStyle w:val="Normal"/>
              <w:spacing w:before="20" w:after="20" w:line="240" w:lineRule="auto"/>
              <w:ind w:firstLine="0"/>
              <w:jc w:val="left"/>
            </w:pPr>
            <w:r>
              <w:rPr>
                <w:sz w:val="15"/>
              </w:rPr>
              <w:t>Ask friends</w:t>
            </w:r>
          </w:p>
        </w:tc>
        <w:tc>
          <w:tcPr>
            <w:tcW w:type="dxa" w:w="2154"/>
          </w:tcPr>
          <w:p>
            <w:pPr>
              <w:pStyle w:val="Normal"/>
              <w:spacing w:before="20" w:after="20" w:line="240" w:lineRule="auto"/>
              <w:ind w:firstLine="0"/>
              <w:jc w:val="left"/>
            </w:pPr>
            <w:r>
              <w:rPr>
                <w:sz w:val="15"/>
              </w:rPr>
              <w:t xml:space="preserve">For each product, with probability </w:t>
            </w:r>
            <w:r>
              <w:rPr>
                <w:rFonts w:ascii="Courier New" w:hAnsi="Courier New"/>
                <w:sz w:val="13"/>
              </w:rPr>
              <w:t>information_exchange</w:t>
            </w:r>
            <w:r>
              <w:rPr>
                <w:sz w:val="15"/>
              </w:rPr>
              <w:t>, if a friend uses it</w:t>
            </w:r>
          </w:p>
        </w:tc>
        <w:tc>
          <w:tcPr>
            <w:tcW w:type="dxa" w:w="3175"/>
          </w:tcPr>
          <w:p>
            <w:pPr>
              <w:pStyle w:val="Normal"/>
              <w:spacing w:before="20" w:after="20" w:line="240" w:lineRule="auto"/>
              <w:ind w:firstLine="0"/>
              <w:jc w:val="left"/>
            </w:pPr>
            <w:r>
              <w:rPr>
                <w:sz w:val="15"/>
              </w:rPr>
              <w:t>Receives the current quality. Reinforces the product used by friends</w:t>
            </w:r>
          </w:p>
        </w:tc>
      </w:tr>
      <w:tr>
        <w:tc>
          <w:tcPr>
            <w:tcW w:type="dxa" w:w="1587"/>
            <w:tcBorders>
              <w:bottom w:val="single" w:sz="8" w:color="000000"/>
            </w:tcBorders>
          </w:tcPr>
          <w:p>
            <w:pPr>
              <w:pStyle w:val="Normal"/>
              <w:spacing w:before="20" w:after="20" w:line="240" w:lineRule="auto"/>
              <w:ind w:firstLine="0"/>
              <w:jc w:val="left"/>
            </w:pPr>
            <w:r>
              <w:rPr>
                <w:sz w:val="15"/>
              </w:rPr>
              <w:t>Observe the norm</w:t>
            </w:r>
          </w:p>
        </w:tc>
        <w:tc>
          <w:tcPr>
            <w:tcW w:type="dxa" w:w="2154"/>
            <w:tcBorders>
              <w:bottom w:val="single" w:sz="8" w:color="000000"/>
            </w:tcBorders>
          </w:tcPr>
          <w:p>
            <w:pPr>
              <w:pStyle w:val="Normal"/>
              <w:spacing w:before="20" w:after="20" w:line="240" w:lineRule="auto"/>
              <w:ind w:firstLine="0"/>
              <w:jc w:val="left"/>
            </w:pPr>
            <w:r>
              <w:rPr>
                <w:sz w:val="15"/>
              </w:rPr>
              <w:t>Every tick</w:t>
            </w:r>
          </w:p>
        </w:tc>
        <w:tc>
          <w:tcPr>
            <w:tcW w:type="dxa" w:w="3175"/>
            <w:tcBorders>
              <w:bottom w:val="single" w:sz="8" w:color="000000"/>
            </w:tcBorders>
          </w:tcPr>
          <w:p>
            <w:pPr>
              <w:pStyle w:val="Normal"/>
              <w:spacing w:before="20" w:after="20" w:line="240" w:lineRule="auto"/>
              <w:ind w:firstLine="0"/>
              <w:jc w:val="left"/>
            </w:pPr>
            <w:r>
              <w:rPr>
                <w:sz w:val="15"/>
              </w:rPr>
              <w:t>Pulls utility towards the local majority; produces clusters and can produce lock-in</w:t>
            </w:r>
          </w:p>
        </w:tc>
      </w:tr>
    </w:tbl>
    <w:p>
      <w:pPr>
        <w:pStyle w:val="Normal"/>
        <w:spacing w:after="0"/>
      </w:pPr>
    </w:p>
    <w:p>
      <w:pPr>
        <w:pStyle w:val="Normal"/>
      </w:pPr>
      <w:r>
        <w:t>Taken together, habit slows down change, exploration is the only source of new information about an unused product, and information exchange and the norm reinforce the product that is already used by friends. These mechanisms produce the three patterns described by the authors of the model: clustering of consumption, amplification of small differences in quality and social lock-in [1].</w:t>
      </w:r>
    </w:p>
    <w:p>
      <w:pPr>
        <w:pStyle w:val="heading21"/>
      </w:pPr>
      <w:r>
        <w:t>2.5   Global Parameters and Baseline</w:t>
      </w:r>
    </w:p>
    <w:p>
      <w:pPr>
        <w:pStyle w:val="p1a"/>
      </w:pPr>
      <w:r>
        <w:t>The model has eight parameters (Listing 6). The baseline uses the default values of the original model file (Table 4).</w:t>
      </w:r>
    </w:p>
    <w:p>
      <w:pPr>
        <w:pStyle w:val="programcode"/>
        <w:keepLines/>
      </w:pPr>
      <w:r>
        <w:rPr>
          <w:rFonts w:ascii="Courier New" w:hAnsi="Courier New" w:cs="Courier New"/>
          <w:sz w:val="14"/>
        </w:rPr>
        <w:t xml:space="preserve"> 75      def __init__(self, num_consumers=100, avg_connections=5,</w:t>
      </w:r>
      <w:r>
        <w:br/>
      </w:r>
      <w:r>
        <w:rPr>
          <w:rFonts w:ascii="Courier New" w:hAnsi="Courier New" w:cs="Courier New"/>
          <w:sz w:val="14"/>
        </w:rPr>
        <w:t xml:space="preserve"> 76                   initial_pct_orange=50, norm_influence=0.15,</w:t>
      </w:r>
      <w:r>
        <w:br/>
      </w:r>
      <w:r>
        <w:rPr>
          <w:rFonts w:ascii="Courier New" w:hAnsi="Courier New" w:cs="Courier New"/>
          <w:sz w:val="14"/>
        </w:rPr>
        <w:t xml:space="preserve"> 77                   information_exchange=0.05, exploration=0.01,</w:t>
      </w:r>
      <w:r>
        <w:br/>
      </w:r>
      <w:r>
        <w:rPr>
          <w:rFonts w:ascii="Courier New" w:hAnsi="Courier New" w:cs="Courier New"/>
          <w:sz w:val="14"/>
        </w:rPr>
        <w:t xml:space="preserve"> 78                   quality_orange=0.5, quality_blue=0.5, rng=None):</w:t>
      </w:r>
      <w:r>
        <w:br/>
      </w:r>
      <w:r>
        <w:rPr>
          <w:rFonts w:ascii="Courier New" w:hAnsi="Courier New" w:cs="Courier New"/>
          <w:sz w:val="14"/>
        </w:rPr>
        <w:t xml:space="preserve"> 79          super().__init__(rng=rng)</w:t>
      </w:r>
      <w:r>
        <w:br/>
      </w:r>
      <w:r>
        <w:rPr>
          <w:rFonts w:ascii="Courier New" w:hAnsi="Courier New" w:cs="Courier New"/>
          <w:sz w:val="14"/>
        </w:rPr>
        <w:t xml:space="preserve"> 80          self.num_consumers = num_consumers</w:t>
      </w:r>
      <w:r>
        <w:br/>
      </w:r>
      <w:r>
        <w:rPr>
          <w:rFonts w:ascii="Courier New" w:hAnsi="Courier New" w:cs="Courier New"/>
          <w:sz w:val="14"/>
        </w:rPr>
        <w:t xml:space="preserve"> 81          self.norm_influence = norm_influence</w:t>
      </w:r>
      <w:r>
        <w:br/>
      </w:r>
      <w:r>
        <w:rPr>
          <w:rFonts w:ascii="Courier New" w:hAnsi="Courier New" w:cs="Courier New"/>
          <w:sz w:val="14"/>
        </w:rPr>
        <w:t xml:space="preserve"> 82          self.information_exchange = information_exchange</w:t>
      </w:r>
      <w:r>
        <w:br/>
      </w:r>
      <w:r>
        <w:rPr>
          <w:rFonts w:ascii="Courier New" w:hAnsi="Courier New" w:cs="Courier New"/>
          <w:sz w:val="14"/>
        </w:rPr>
        <w:t xml:space="preserve"> 83          self.exploration = exploration</w:t>
      </w:r>
      <w:r>
        <w:br/>
      </w:r>
      <w:r>
        <w:rPr>
          <w:rFonts w:ascii="Courier New" w:hAnsi="Courier New" w:cs="Courier New"/>
          <w:sz w:val="14"/>
        </w:rPr>
        <w:t xml:space="preserve"> 84          self.quality = [quality_orange, quality_blue]</w:t>
      </w:r>
    </w:p>
    <w:p>
      <w:pPr>
        <w:pStyle w:val="figurelegend"/>
        <w:keepNext w:val="0"/>
      </w:pPr>
      <w:r>
        <w:rPr>
          <w:b/>
        </w:rPr>
        <w:t xml:space="preserve">Listing 6. </w:t>
      </w:r>
      <w:r>
        <w:t>Model parameters and their baseline values (</w:t>
      </w:r>
      <w:r>
        <w:rPr>
          <w:rFonts w:ascii="Courier New" w:hAnsi="Courier New"/>
          <w:sz w:val="17"/>
        </w:rPr>
        <w:t>consumer_choice/model.py</w:t>
      </w:r>
      <w:r>
        <w:t>, lines 75–84).</w:t>
      </w:r>
    </w:p>
    <w:p>
      <w:pPr>
        <w:pStyle w:val="tabletitle"/>
        <w:keepNext/>
      </w:pPr>
      <w:r>
        <w:rPr>
          <w:b/>
        </w:rPr>
        <w:t xml:space="preserve">Table 4. </w:t>
      </w:r>
      <w:r>
        <w:t>Global parameters, baseline values and role. The last column summarises the effect measured in Sect. 3.3; parameters marked “not tested” were kept at the baseline value.</w:t>
      </w:r>
    </w:p>
    <w:tbl>
      <w:tblPr>
        <w:tblW w:w="6917" w:type="dxa"/>
        <w:jc w:val="center"/>
        <w:tblLayout w:type="fixed"/>
        <w:tblLook w:firstColumn="1" w:firstRow="1" w:lastColumn="0" w:lastRow="0" w:noHBand="0" w:noVBand="1" w:val="04A0"/>
      </w:tblPr>
      <w:tblGrid>
        <w:gridCol w:w="1871"/>
        <w:gridCol w:w="850"/>
        <w:gridCol w:w="1757"/>
        <w:gridCol w:w="2438"/>
      </w:tblGrid>
      <w:tr>
        <w:tc>
          <w:tcPr>
            <w:tcW w:type="dxa" w:w="1871"/>
            <w:tcBorders>
              <w:top w:val="single" w:sz="8" w:color="000000"/>
              <w:bottom w:val="single" w:sz="4" w:color="000000"/>
            </w:tcBorders>
          </w:tcPr>
          <w:p>
            <w:pPr>
              <w:pStyle w:val="Normal"/>
              <w:spacing w:before="20" w:after="20" w:line="240" w:lineRule="auto"/>
              <w:ind w:firstLine="0"/>
              <w:jc w:val="left"/>
            </w:pPr>
            <w:r>
              <w:rPr>
                <w:b/>
                <w:sz w:val="15"/>
              </w:rPr>
              <w:t>Parameter</w:t>
            </w:r>
          </w:p>
        </w:tc>
        <w:tc>
          <w:tcPr>
            <w:tcW w:type="dxa" w:w="850"/>
            <w:tcBorders>
              <w:top w:val="single" w:sz="8" w:color="000000"/>
              <w:bottom w:val="single" w:sz="4" w:color="000000"/>
            </w:tcBorders>
          </w:tcPr>
          <w:p>
            <w:pPr>
              <w:pStyle w:val="Normal"/>
              <w:spacing w:before="20" w:after="20" w:line="240" w:lineRule="auto"/>
              <w:ind w:firstLine="0"/>
              <w:jc w:val="left"/>
            </w:pPr>
            <w:r>
              <w:rPr>
                <w:b/>
                <w:sz w:val="15"/>
              </w:rPr>
              <w:t>Baseline</w:t>
            </w:r>
          </w:p>
        </w:tc>
        <w:tc>
          <w:tcPr>
            <w:tcW w:type="dxa" w:w="1757"/>
            <w:tcBorders>
              <w:top w:val="single" w:sz="8" w:color="000000"/>
              <w:bottom w:val="single" w:sz="4" w:color="000000"/>
            </w:tcBorders>
          </w:tcPr>
          <w:p>
            <w:pPr>
              <w:pStyle w:val="Normal"/>
              <w:spacing w:before="20" w:after="20" w:line="240" w:lineRule="auto"/>
              <w:ind w:firstLine="0"/>
              <w:jc w:val="left"/>
            </w:pPr>
            <w:r>
              <w:rPr>
                <w:b/>
                <w:sz w:val="15"/>
              </w:rPr>
              <w:t>Role</w:t>
            </w:r>
          </w:p>
        </w:tc>
        <w:tc>
          <w:tcPr>
            <w:tcW w:type="dxa" w:w="2438"/>
            <w:tcBorders>
              <w:top w:val="single" w:sz="8" w:color="000000"/>
              <w:bottom w:val="single" w:sz="4" w:color="000000"/>
            </w:tcBorders>
          </w:tcPr>
          <w:p>
            <w:pPr>
              <w:pStyle w:val="Normal"/>
              <w:spacing w:before="20" w:after="20" w:line="240" w:lineRule="auto"/>
              <w:ind w:firstLine="0"/>
              <w:jc w:val="left"/>
            </w:pPr>
            <w:r>
              <w:rPr>
                <w:b/>
                <w:sz w:val="15"/>
              </w:rPr>
              <w:t>Effect of increasing the value</w:t>
            </w:r>
          </w:p>
        </w:tc>
      </w:tr>
      <w:tr>
        <w:tc>
          <w:tcPr>
            <w:tcW w:type="dxa" w:w="1871"/>
          </w:tcPr>
          <w:p>
            <w:pPr>
              <w:pStyle w:val="Normal"/>
              <w:spacing w:before="20" w:after="20" w:line="240" w:lineRule="auto"/>
              <w:ind w:firstLine="0"/>
              <w:jc w:val="left"/>
            </w:pPr>
            <w:r>
              <w:rPr>
                <w:rFonts w:ascii="Courier New" w:hAnsi="Courier New"/>
                <w:sz w:val="13"/>
              </w:rPr>
              <w:t>num_consumers</w:t>
            </w:r>
          </w:p>
        </w:tc>
        <w:tc>
          <w:tcPr>
            <w:tcW w:type="dxa" w:w="850"/>
          </w:tcPr>
          <w:p>
            <w:pPr>
              <w:pStyle w:val="Normal"/>
              <w:spacing w:before="20" w:after="20" w:line="240" w:lineRule="auto"/>
              <w:ind w:firstLine="0"/>
              <w:jc w:val="left"/>
            </w:pPr>
            <w:r>
              <w:rPr>
                <w:sz w:val="15"/>
              </w:rPr>
              <w:t>100</w:t>
            </w:r>
          </w:p>
        </w:tc>
        <w:tc>
          <w:tcPr>
            <w:tcW w:type="dxa" w:w="1757"/>
          </w:tcPr>
          <w:p>
            <w:pPr>
              <w:pStyle w:val="Normal"/>
              <w:spacing w:before="20" w:after="20" w:line="240" w:lineRule="auto"/>
              <w:ind w:firstLine="0"/>
              <w:jc w:val="left"/>
            </w:pPr>
            <w:r>
              <w:rPr>
                <w:sz w:val="15"/>
              </w:rPr>
              <w:t>Size of the market</w:t>
            </w:r>
          </w:p>
        </w:tc>
        <w:tc>
          <w:tcPr>
            <w:tcW w:type="dxa" w:w="2438"/>
          </w:tcPr>
          <w:p>
            <w:pPr>
              <w:pStyle w:val="Normal"/>
              <w:spacing w:before="20" w:after="20" w:line="240" w:lineRule="auto"/>
              <w:ind w:firstLine="0"/>
              <w:jc w:val="left"/>
            </w:pPr>
            <w:r>
              <w:rPr>
                <w:sz w:val="15"/>
              </w:rPr>
              <w:t>Not tested</w:t>
            </w:r>
          </w:p>
        </w:tc>
      </w:tr>
      <w:tr>
        <w:tc>
          <w:tcPr>
            <w:tcW w:type="dxa" w:w="1871"/>
          </w:tcPr>
          <w:p>
            <w:pPr>
              <w:pStyle w:val="Normal"/>
              <w:spacing w:before="20" w:after="20" w:line="240" w:lineRule="auto"/>
              <w:ind w:firstLine="0"/>
              <w:jc w:val="left"/>
            </w:pPr>
            <w:r>
              <w:rPr>
                <w:rFonts w:ascii="Courier New" w:hAnsi="Courier New"/>
                <w:sz w:val="13"/>
              </w:rPr>
              <w:t>avg_connections</w:t>
            </w:r>
          </w:p>
        </w:tc>
        <w:tc>
          <w:tcPr>
            <w:tcW w:type="dxa" w:w="850"/>
          </w:tcPr>
          <w:p>
            <w:pPr>
              <w:pStyle w:val="Normal"/>
              <w:spacing w:before="20" w:after="20" w:line="240" w:lineRule="auto"/>
              <w:ind w:firstLine="0"/>
              <w:jc w:val="left"/>
            </w:pPr>
            <w:r>
              <w:rPr>
                <w:sz w:val="15"/>
              </w:rPr>
              <w:t>5</w:t>
            </w:r>
          </w:p>
        </w:tc>
        <w:tc>
          <w:tcPr>
            <w:tcW w:type="dxa" w:w="1757"/>
          </w:tcPr>
          <w:p>
            <w:pPr>
              <w:pStyle w:val="Normal"/>
              <w:spacing w:before="20" w:after="20" w:line="240" w:lineRule="auto"/>
              <w:ind w:firstLine="0"/>
              <w:jc w:val="left"/>
            </w:pPr>
            <w:r>
              <w:rPr>
                <w:sz w:val="15"/>
              </w:rPr>
              <w:t>Average number of friends</w:t>
            </w:r>
          </w:p>
        </w:tc>
        <w:tc>
          <w:tcPr>
            <w:tcW w:type="dxa" w:w="2438"/>
          </w:tcPr>
          <w:p>
            <w:pPr>
              <w:pStyle w:val="Normal"/>
              <w:spacing w:before="20" w:after="20" w:line="240" w:lineRule="auto"/>
              <w:ind w:firstLine="0"/>
              <w:jc w:val="left"/>
            </w:pPr>
            <w:r>
              <w:rPr>
                <w:sz w:val="15"/>
              </w:rPr>
              <w:t>Not tested</w:t>
            </w:r>
          </w:p>
        </w:tc>
      </w:tr>
      <w:tr>
        <w:tc>
          <w:tcPr>
            <w:tcW w:type="dxa" w:w="1871"/>
          </w:tcPr>
          <w:p>
            <w:pPr>
              <w:pStyle w:val="Normal"/>
              <w:spacing w:before="20" w:after="20" w:line="240" w:lineRule="auto"/>
              <w:ind w:firstLine="0"/>
              <w:jc w:val="left"/>
            </w:pPr>
            <w:r>
              <w:rPr>
                <w:rFonts w:ascii="Courier New" w:hAnsi="Courier New"/>
                <w:sz w:val="13"/>
              </w:rPr>
              <w:t>initial_pct_orange</w:t>
            </w:r>
          </w:p>
        </w:tc>
        <w:tc>
          <w:tcPr>
            <w:tcW w:type="dxa" w:w="850"/>
          </w:tcPr>
          <w:p>
            <w:pPr>
              <w:pStyle w:val="Normal"/>
              <w:spacing w:before="20" w:after="20" w:line="240" w:lineRule="auto"/>
              <w:ind w:firstLine="0"/>
              <w:jc w:val="left"/>
            </w:pPr>
            <w:r>
              <w:rPr>
                <w:sz w:val="15"/>
              </w:rPr>
              <w:t>50</w:t>
            </w:r>
          </w:p>
        </w:tc>
        <w:tc>
          <w:tcPr>
            <w:tcW w:type="dxa" w:w="1757"/>
          </w:tcPr>
          <w:p>
            <w:pPr>
              <w:pStyle w:val="Normal"/>
              <w:spacing w:before="20" w:after="20" w:line="240" w:lineRule="auto"/>
              <w:ind w:firstLine="0"/>
              <w:jc w:val="left"/>
            </w:pPr>
            <w:r>
              <w:rPr>
                <w:sz w:val="15"/>
              </w:rPr>
              <w:t>Initial share of orange consumers</w:t>
            </w:r>
          </w:p>
        </w:tc>
        <w:tc>
          <w:tcPr>
            <w:tcW w:type="dxa" w:w="2438"/>
          </w:tcPr>
          <w:p>
            <w:pPr>
              <w:pStyle w:val="Normal"/>
              <w:spacing w:before="20" w:after="20" w:line="240" w:lineRule="auto"/>
              <w:ind w:firstLine="0"/>
              <w:jc w:val="left"/>
            </w:pPr>
            <w:r>
              <w:rPr>
                <w:sz w:val="15"/>
              </w:rPr>
              <w:t>Not tested</w:t>
            </w:r>
          </w:p>
        </w:tc>
      </w:tr>
      <w:tr>
        <w:tc>
          <w:tcPr>
            <w:tcW w:type="dxa" w:w="1871"/>
          </w:tcPr>
          <w:p>
            <w:pPr>
              <w:pStyle w:val="Normal"/>
              <w:spacing w:before="20" w:after="20" w:line="240" w:lineRule="auto"/>
              <w:ind w:firstLine="0"/>
              <w:jc w:val="left"/>
            </w:pPr>
            <w:r>
              <w:rPr>
                <w:rFonts w:ascii="Courier New" w:hAnsi="Courier New"/>
                <w:sz w:val="13"/>
              </w:rPr>
              <w:t>norm_influence</w:t>
            </w:r>
          </w:p>
        </w:tc>
        <w:tc>
          <w:tcPr>
            <w:tcW w:type="dxa" w:w="850"/>
          </w:tcPr>
          <w:p>
            <w:pPr>
              <w:pStyle w:val="Normal"/>
              <w:spacing w:before="20" w:after="20" w:line="240" w:lineRule="auto"/>
              <w:ind w:firstLine="0"/>
              <w:jc w:val="left"/>
            </w:pPr>
            <w:r>
              <w:rPr>
                <w:sz w:val="15"/>
              </w:rPr>
              <w:t>0.15</w:t>
            </w:r>
          </w:p>
        </w:tc>
        <w:tc>
          <w:tcPr>
            <w:tcW w:type="dxa" w:w="1757"/>
          </w:tcPr>
          <w:p>
            <w:pPr>
              <w:pStyle w:val="Normal"/>
              <w:spacing w:before="20" w:after="20" w:line="240" w:lineRule="auto"/>
              <w:ind w:firstLine="0"/>
              <w:jc w:val="left"/>
            </w:pPr>
            <w:r>
              <w:rPr>
                <w:sz w:val="15"/>
              </w:rPr>
              <w:t>Weight of the norm against product utility</w:t>
            </w:r>
          </w:p>
        </w:tc>
        <w:tc>
          <w:tcPr>
            <w:tcW w:type="dxa" w:w="2438"/>
          </w:tcPr>
          <w:p>
            <w:pPr>
              <w:pStyle w:val="Normal"/>
              <w:spacing w:before="20" w:after="20" w:line="240" w:lineRule="auto"/>
              <w:ind w:firstLine="0"/>
              <w:jc w:val="left"/>
            </w:pPr>
            <w:r>
              <w:rPr>
                <w:sz w:val="15"/>
              </w:rPr>
              <w:t>From 0 to 0.1, mean clustering rises from 0.54 to 0.94; above 0.1 it changes little</w:t>
            </w:r>
          </w:p>
        </w:tc>
      </w:tr>
      <w:tr>
        <w:tc>
          <w:tcPr>
            <w:tcW w:type="dxa" w:w="1871"/>
          </w:tcPr>
          <w:p>
            <w:pPr>
              <w:pStyle w:val="Normal"/>
              <w:spacing w:before="20" w:after="20" w:line="240" w:lineRule="auto"/>
              <w:ind w:firstLine="0"/>
              <w:jc w:val="left"/>
            </w:pPr>
            <w:r>
              <w:rPr>
                <w:rFonts w:ascii="Courier New" w:hAnsi="Courier New"/>
                <w:sz w:val="13"/>
              </w:rPr>
              <w:t>information_exchange</w:t>
            </w:r>
          </w:p>
        </w:tc>
        <w:tc>
          <w:tcPr>
            <w:tcW w:type="dxa" w:w="850"/>
          </w:tcPr>
          <w:p>
            <w:pPr>
              <w:pStyle w:val="Normal"/>
              <w:spacing w:before="20" w:after="20" w:line="240" w:lineRule="auto"/>
              <w:ind w:firstLine="0"/>
              <w:jc w:val="left"/>
            </w:pPr>
            <w:r>
              <w:rPr>
                <w:sz w:val="15"/>
              </w:rPr>
              <w:t>0.05</w:t>
            </w:r>
          </w:p>
        </w:tc>
        <w:tc>
          <w:tcPr>
            <w:tcW w:type="dxa" w:w="1757"/>
          </w:tcPr>
          <w:p>
            <w:pPr>
              <w:pStyle w:val="Normal"/>
              <w:spacing w:before="20" w:after="20" w:line="240" w:lineRule="auto"/>
              <w:ind w:firstLine="0"/>
              <w:jc w:val="left"/>
            </w:pPr>
            <w:r>
              <w:rPr>
                <w:sz w:val="15"/>
              </w:rPr>
              <w:t>Probability of learning from friends</w:t>
            </w:r>
          </w:p>
        </w:tc>
        <w:tc>
          <w:tcPr>
            <w:tcW w:type="dxa" w:w="2438"/>
          </w:tcPr>
          <w:p>
            <w:pPr>
              <w:pStyle w:val="Normal"/>
              <w:spacing w:before="20" w:after="20" w:line="240" w:lineRule="auto"/>
              <w:ind w:firstLine="0"/>
              <w:jc w:val="left"/>
            </w:pPr>
            <w:r>
              <w:rPr>
                <w:sz w:val="15"/>
              </w:rPr>
              <w:t>Not tested</w:t>
            </w:r>
          </w:p>
        </w:tc>
      </w:tr>
      <w:tr>
        <w:tc>
          <w:tcPr>
            <w:tcW w:type="dxa" w:w="1871"/>
          </w:tcPr>
          <w:p>
            <w:pPr>
              <w:pStyle w:val="Normal"/>
              <w:spacing w:before="20" w:after="20" w:line="240" w:lineRule="auto"/>
              <w:ind w:firstLine="0"/>
              <w:jc w:val="left"/>
            </w:pPr>
            <w:r>
              <w:rPr>
                <w:rFonts w:ascii="Courier New" w:hAnsi="Courier New"/>
                <w:sz w:val="13"/>
              </w:rPr>
              <w:t>exploration</w:t>
            </w:r>
          </w:p>
        </w:tc>
        <w:tc>
          <w:tcPr>
            <w:tcW w:type="dxa" w:w="850"/>
          </w:tcPr>
          <w:p>
            <w:pPr>
              <w:pStyle w:val="Normal"/>
              <w:spacing w:before="20" w:after="20" w:line="240" w:lineRule="auto"/>
              <w:ind w:firstLine="0"/>
              <w:jc w:val="left"/>
            </w:pPr>
            <w:r>
              <w:rPr>
                <w:sz w:val="15"/>
              </w:rPr>
              <w:t>0.01</w:t>
            </w:r>
          </w:p>
        </w:tc>
        <w:tc>
          <w:tcPr>
            <w:tcW w:type="dxa" w:w="1757"/>
          </w:tcPr>
          <w:p>
            <w:pPr>
              <w:pStyle w:val="Normal"/>
              <w:spacing w:before="20" w:after="20" w:line="240" w:lineRule="auto"/>
              <w:ind w:firstLine="0"/>
              <w:jc w:val="left"/>
            </w:pPr>
            <w:r>
              <w:rPr>
                <w:sz w:val="15"/>
              </w:rPr>
              <w:t>Probability of trying the other product</w:t>
            </w:r>
          </w:p>
        </w:tc>
        <w:tc>
          <w:tcPr>
            <w:tcW w:type="dxa" w:w="2438"/>
          </w:tcPr>
          <w:p>
            <w:pPr>
              <w:pStyle w:val="Normal"/>
              <w:spacing w:before="20" w:after="20" w:line="240" w:lineRule="auto"/>
              <w:ind w:firstLine="0"/>
              <w:jc w:val="left"/>
            </w:pPr>
            <w:r>
              <w:rPr>
                <w:sz w:val="15"/>
              </w:rPr>
              <w:t>At 0.2, mean clustering falls to 0.67 and the dispersion of market shares decreases</w:t>
            </w:r>
          </w:p>
        </w:tc>
      </w:tr>
      <w:tr>
        <w:tc>
          <w:tcPr>
            <w:tcW w:type="dxa" w:w="1871"/>
          </w:tcPr>
          <w:p>
            <w:pPr>
              <w:pStyle w:val="Normal"/>
              <w:spacing w:before="20" w:after="20" w:line="240" w:lineRule="auto"/>
              <w:ind w:firstLine="0"/>
              <w:jc w:val="left"/>
            </w:pPr>
            <w:r>
              <w:rPr>
                <w:rFonts w:ascii="Courier New" w:hAnsi="Courier New"/>
                <w:sz w:val="13"/>
              </w:rPr>
              <w:t>quality_orange</w:t>
            </w:r>
          </w:p>
        </w:tc>
        <w:tc>
          <w:tcPr>
            <w:tcW w:type="dxa" w:w="850"/>
          </w:tcPr>
          <w:p>
            <w:pPr>
              <w:pStyle w:val="Normal"/>
              <w:spacing w:before="20" w:after="20" w:line="240" w:lineRule="auto"/>
              <w:ind w:firstLine="0"/>
              <w:jc w:val="left"/>
            </w:pPr>
            <w:r>
              <w:rPr>
                <w:sz w:val="15"/>
              </w:rPr>
              <w:t>0.5</w:t>
            </w:r>
          </w:p>
        </w:tc>
        <w:tc>
          <w:tcPr>
            <w:tcW w:type="dxa" w:w="1757"/>
          </w:tcPr>
          <w:p>
            <w:pPr>
              <w:pStyle w:val="Normal"/>
              <w:spacing w:before="20" w:after="20" w:line="240" w:lineRule="auto"/>
              <w:ind w:firstLine="0"/>
              <w:jc w:val="left"/>
            </w:pPr>
            <w:r>
              <w:rPr>
                <w:sz w:val="15"/>
              </w:rPr>
              <w:t>Quality of the orange product</w:t>
            </w:r>
          </w:p>
        </w:tc>
        <w:tc>
          <w:tcPr>
            <w:tcW w:type="dxa" w:w="2438"/>
          </w:tcPr>
          <w:p>
            <w:pPr>
              <w:pStyle w:val="Normal"/>
              <w:spacing w:before="20" w:after="20" w:line="240" w:lineRule="auto"/>
              <w:ind w:firstLine="0"/>
              <w:jc w:val="left"/>
            </w:pPr>
            <w:r>
              <w:rPr>
                <w:sz w:val="15"/>
              </w:rPr>
              <w:t>Not tested (reference value)</w:t>
            </w:r>
          </w:p>
        </w:tc>
      </w:tr>
      <w:tr>
        <w:tc>
          <w:tcPr>
            <w:tcW w:type="dxa" w:w="1871"/>
            <w:tcBorders>
              <w:bottom w:val="single" w:sz="8" w:color="000000"/>
            </w:tcBorders>
          </w:tcPr>
          <w:p>
            <w:pPr>
              <w:pStyle w:val="Normal"/>
              <w:spacing w:before="20" w:after="20" w:line="240" w:lineRule="auto"/>
              <w:ind w:firstLine="0"/>
              <w:jc w:val="left"/>
            </w:pPr>
            <w:r>
              <w:rPr>
                <w:rFonts w:ascii="Courier New" w:hAnsi="Courier New"/>
                <w:sz w:val="13"/>
              </w:rPr>
              <w:t>quality_blue</w:t>
            </w:r>
          </w:p>
        </w:tc>
        <w:tc>
          <w:tcPr>
            <w:tcW w:type="dxa" w:w="850"/>
            <w:tcBorders>
              <w:bottom w:val="single" w:sz="8" w:color="000000"/>
            </w:tcBorders>
          </w:tcPr>
          <w:p>
            <w:pPr>
              <w:pStyle w:val="Normal"/>
              <w:spacing w:before="20" w:after="20" w:line="240" w:lineRule="auto"/>
              <w:ind w:firstLine="0"/>
              <w:jc w:val="left"/>
            </w:pPr>
            <w:r>
              <w:rPr>
                <w:sz w:val="15"/>
              </w:rPr>
              <w:t>0.5</w:t>
            </w:r>
          </w:p>
        </w:tc>
        <w:tc>
          <w:tcPr>
            <w:tcW w:type="dxa" w:w="1757"/>
            <w:tcBorders>
              <w:bottom w:val="single" w:sz="8" w:color="000000"/>
            </w:tcBorders>
          </w:tcPr>
          <w:p>
            <w:pPr>
              <w:pStyle w:val="Normal"/>
              <w:spacing w:before="20" w:after="20" w:line="240" w:lineRule="auto"/>
              <w:ind w:firstLine="0"/>
              <w:jc w:val="left"/>
            </w:pPr>
            <w:r>
              <w:rPr>
                <w:sz w:val="15"/>
              </w:rPr>
              <w:t>Quality of the blue product</w:t>
            </w:r>
          </w:p>
        </w:tc>
        <w:tc>
          <w:tcPr>
            <w:tcW w:type="dxa" w:w="2438"/>
            <w:tcBorders>
              <w:bottom w:val="single" w:sz="8" w:color="000000"/>
            </w:tcBorders>
          </w:tcPr>
          <w:p>
            <w:pPr>
              <w:pStyle w:val="Normal"/>
              <w:spacing w:before="20" w:after="20" w:line="240" w:lineRule="auto"/>
              <w:ind w:firstLine="0"/>
              <w:jc w:val="left"/>
            </w:pPr>
            <w:r>
              <w:rPr>
                <w:sz w:val="15"/>
              </w:rPr>
              <w:t>A difference of 0.05 gives the better product 93–95% of the market (mean)</w:t>
            </w:r>
          </w:p>
        </w:tc>
      </w:tr>
    </w:tbl>
    <w:p>
      <w:pPr>
        <w:pStyle w:val="Normal"/>
        <w:spacing w:after="0"/>
      </w:pPr>
    </w:p>
    <w:p>
      <w:pPr>
        <w:pStyle w:val="heading21"/>
      </w:pPr>
      <w:r>
        <w:t>2.6   Model Outputs</w:t>
      </w:r>
    </w:p>
    <w:p>
      <w:pPr>
        <w:pStyle w:val="p1a"/>
      </w:pPr>
      <w:r>
        <w:t xml:space="preserve">The original model reports two plots: the market shares of the two products and the clustering of consumers. The implementation records the same three quantities at every tick with a Mesa </w:t>
      </w:r>
      <w:r>
        <w:rPr>
          <w:rFonts w:ascii="Courier New" w:hAnsi="Courier New"/>
          <w:sz w:val="17"/>
        </w:rPr>
        <w:t>DataCollector</w:t>
      </w:r>
      <w:r>
        <w:t xml:space="preserve"> (Listing 7, Table 5). The analysis in Section 3 uses only these outputs.</w:t>
      </w:r>
    </w:p>
    <w:p>
      <w:pPr>
        <w:pStyle w:val="programcode"/>
        <w:keepLines/>
      </w:pPr>
      <w:r>
        <w:rPr>
          <w:rFonts w:ascii="Courier New" w:hAnsi="Courier New" w:cs="Courier New"/>
          <w:sz w:val="14"/>
        </w:rPr>
        <w:t xml:space="preserve"> 97          self.datacollector = mesa.DataCollector(model_reporters={</w:t>
      </w:r>
      <w:r>
        <w:br/>
      </w:r>
      <w:r>
        <w:rPr>
          <w:rFonts w:ascii="Courier New" w:hAnsi="Courier New" w:cs="Courier New"/>
          <w:sz w:val="14"/>
        </w:rPr>
        <w:t xml:space="preserve"> 98              "orange": lambda m: m.count_choice(ORANGE),</w:t>
      </w:r>
      <w:r>
        <w:br/>
      </w:r>
      <w:r>
        <w:rPr>
          <w:rFonts w:ascii="Courier New" w:hAnsi="Courier New" w:cs="Courier New"/>
          <w:sz w:val="14"/>
        </w:rPr>
        <w:t xml:space="preserve"> 99              "blue": lambda m: m.count_choice(BLUE),</w:t>
      </w:r>
      <w:r>
        <w:br/>
      </w:r>
      <w:r>
        <w:rPr>
          <w:rFonts w:ascii="Courier New" w:hAnsi="Courier New" w:cs="Courier New"/>
          <w:sz w:val="14"/>
        </w:rPr>
        <w:t>100              "clustering": lambda m: m.consumer_cluster(),</w:t>
      </w:r>
      <w:r>
        <w:br/>
      </w:r>
      <w:r>
        <w:rPr>
          <w:rFonts w:ascii="Courier New" w:hAnsi="Courier New" w:cs="Courier New"/>
          <w:sz w:val="14"/>
        </w:rPr>
        <w:t>101          })</w:t>
      </w:r>
      <w:r>
        <w:br/>
      </w:r>
      <w:r>
        <w:rPr>
          <w:rFonts w:ascii="Courier New" w:hAnsi="Courier New" w:cs="Courier New"/>
          <w:sz w:val="14"/>
        </w:rPr>
        <w:t>102          self.datacollector.collect(self)</w:t>
      </w:r>
      <w:r>
        <w:br/>
      </w:r>
      <w:r>
        <w:t xml:space="preserve">   ...</w:t>
      </w:r>
      <w:r>
        <w:br/>
      </w:r>
      <w:r>
        <w:rPr>
          <w:rFonts w:ascii="Courier New" w:hAnsi="Courier New" w:cs="Courier New"/>
          <w:sz w:val="14"/>
        </w:rPr>
        <w:t>132      def count_choice(self, product):</w:t>
      </w:r>
      <w:r>
        <w:br/>
      </w:r>
      <w:r>
        <w:rPr>
          <w:rFonts w:ascii="Courier New" w:hAnsi="Courier New" w:cs="Courier New"/>
          <w:sz w:val="14"/>
        </w:rPr>
        <w:t>133          return sum(c.choice == product for c in self.consumers)</w:t>
      </w:r>
      <w:r>
        <w:br/>
      </w:r>
      <w:r>
        <w:rPr>
          <w:rFonts w:ascii="Courier New" w:hAnsi="Courier New" w:cs="Courier New"/>
          <w:sz w:val="14"/>
        </w:rPr>
        <w:t xml:space="preserve">134  </w:t>
      </w:r>
      <w:r>
        <w:br/>
      </w:r>
      <w:r>
        <w:rPr>
          <w:rFonts w:ascii="Courier New" w:hAnsi="Courier New" w:cs="Courier New"/>
          <w:sz w:val="14"/>
        </w:rPr>
        <w:t>135      def consumer_cluster(self):</w:t>
      </w:r>
      <w:r>
        <w:br/>
      </w:r>
      <w:r>
        <w:rPr>
          <w:rFonts w:ascii="Courier New" w:hAnsi="Courier New" w:cs="Courier New"/>
          <w:sz w:val="14"/>
        </w:rPr>
        <w:t>136          """Mean share of friends who use the consumer's product."""</w:t>
      </w:r>
      <w:r>
        <w:br/>
      </w:r>
      <w:r>
        <w:rPr>
          <w:rFonts w:ascii="Courier New" w:hAnsi="Courier New" w:cs="Courier New"/>
          <w:sz w:val="14"/>
        </w:rPr>
        <w:t>137          total = 0.0</w:t>
      </w:r>
      <w:r>
        <w:br/>
      </w:r>
      <w:r>
        <w:rPr>
          <w:rFonts w:ascii="Courier New" w:hAnsi="Courier New" w:cs="Courier New"/>
          <w:sz w:val="14"/>
        </w:rPr>
        <w:t>138          for c in self.consumers:</w:t>
      </w:r>
      <w:r>
        <w:br/>
      </w:r>
      <w:r>
        <w:rPr>
          <w:rFonts w:ascii="Courier New" w:hAnsi="Courier New" w:cs="Courier New"/>
          <w:sz w:val="14"/>
        </w:rPr>
        <w:t>139              if c.friends:</w:t>
      </w:r>
      <w:r>
        <w:br/>
      </w:r>
      <w:r>
        <w:rPr>
          <w:rFonts w:ascii="Courier New" w:hAnsi="Courier New" w:cs="Courier New"/>
          <w:sz w:val="14"/>
        </w:rPr>
        <w:t>140                  same = sum(f.choice == c.choice for f in c.friends)</w:t>
      </w:r>
      <w:r>
        <w:br/>
      </w:r>
      <w:r>
        <w:rPr>
          <w:rFonts w:ascii="Courier New" w:hAnsi="Courier New" w:cs="Courier New"/>
          <w:sz w:val="14"/>
        </w:rPr>
        <w:t>141                  total += same / len(c.friends)</w:t>
      </w:r>
      <w:r>
        <w:br/>
      </w:r>
      <w:r>
        <w:rPr>
          <w:rFonts w:ascii="Courier New" w:hAnsi="Courier New" w:cs="Courier New"/>
          <w:sz w:val="14"/>
        </w:rPr>
        <w:t>142          return total / self.num_consumers</w:t>
      </w:r>
    </w:p>
    <w:p>
      <w:pPr>
        <w:pStyle w:val="figurelegend"/>
        <w:keepNext w:val="0"/>
      </w:pPr>
      <w:r>
        <w:rPr>
          <w:b/>
        </w:rPr>
        <w:t xml:space="preserve">Listing 7. </w:t>
      </w:r>
      <w:r>
        <w:t>Model outputs (</w:t>
      </w:r>
      <w:r>
        <w:rPr>
          <w:rFonts w:ascii="Courier New" w:hAnsi="Courier New"/>
          <w:sz w:val="17"/>
        </w:rPr>
        <w:t>consumer_choice/model.py</w:t>
      </w:r>
      <w:r>
        <w:t>, lines 97–102, 132–142).</w:t>
      </w:r>
    </w:p>
    <w:p>
      <w:pPr>
        <w:pStyle w:val="tabletitle"/>
        <w:keepNext/>
      </w:pPr>
      <w:r>
        <w:rPr>
          <w:b/>
        </w:rPr>
        <w:t xml:space="preserve">Table 5. </w:t>
      </w:r>
      <w:r>
        <w:t>Outputs of the model.</w:t>
      </w:r>
    </w:p>
    <w:tbl>
      <w:tblPr>
        <w:tblW w:w="6917" w:type="dxa"/>
        <w:jc w:val="center"/>
        <w:tblLayout w:type="fixed"/>
        <w:tblLook w:firstColumn="1" w:firstRow="1" w:lastColumn="0" w:lastRow="0" w:noHBand="0" w:noVBand="1" w:val="04A0"/>
      </w:tblPr>
      <w:tblGrid>
        <w:gridCol w:w="1531"/>
        <w:gridCol w:w="2835"/>
        <w:gridCol w:w="2551"/>
      </w:tblGrid>
      <w:tr>
        <w:tc>
          <w:tcPr>
            <w:tcW w:type="dxa" w:w="1531"/>
            <w:tcBorders>
              <w:top w:val="single" w:sz="8" w:color="000000"/>
              <w:bottom w:val="single" w:sz="4" w:color="000000"/>
            </w:tcBorders>
          </w:tcPr>
          <w:p>
            <w:pPr>
              <w:pStyle w:val="Normal"/>
              <w:spacing w:before="20" w:after="20" w:line="240" w:lineRule="auto"/>
              <w:ind w:firstLine="0"/>
              <w:jc w:val="left"/>
            </w:pPr>
            <w:r>
              <w:rPr>
                <w:b/>
                <w:sz w:val="15"/>
              </w:rPr>
              <w:t>Output</w:t>
            </w:r>
          </w:p>
        </w:tc>
        <w:tc>
          <w:tcPr>
            <w:tcW w:type="dxa" w:w="2835"/>
            <w:tcBorders>
              <w:top w:val="single" w:sz="8" w:color="000000"/>
              <w:bottom w:val="single" w:sz="4" w:color="000000"/>
            </w:tcBorders>
          </w:tcPr>
          <w:p>
            <w:pPr>
              <w:pStyle w:val="Normal"/>
              <w:spacing w:before="20" w:after="20" w:line="240" w:lineRule="auto"/>
              <w:ind w:firstLine="0"/>
              <w:jc w:val="left"/>
            </w:pPr>
            <w:r>
              <w:rPr>
                <w:b/>
                <w:sz w:val="15"/>
              </w:rPr>
              <w:t>Definition</w:t>
            </w:r>
          </w:p>
        </w:tc>
        <w:tc>
          <w:tcPr>
            <w:tcW w:type="dxa" w:w="2551"/>
            <w:tcBorders>
              <w:top w:val="single" w:sz="8" w:color="000000"/>
              <w:bottom w:val="single" w:sz="4" w:color="000000"/>
            </w:tcBorders>
          </w:tcPr>
          <w:p>
            <w:pPr>
              <w:pStyle w:val="Normal"/>
              <w:spacing w:before="20" w:after="20" w:line="240" w:lineRule="auto"/>
              <w:ind w:firstLine="0"/>
              <w:jc w:val="left"/>
            </w:pPr>
            <w:r>
              <w:rPr>
                <w:b/>
                <w:sz w:val="15"/>
              </w:rPr>
              <w:t>Interpretation</w:t>
            </w:r>
          </w:p>
        </w:tc>
      </w:tr>
      <w:tr>
        <w:tc>
          <w:tcPr>
            <w:tcW w:type="dxa" w:w="1531"/>
          </w:tcPr>
          <w:p>
            <w:pPr>
              <w:pStyle w:val="Normal"/>
              <w:spacing w:before="20" w:after="20" w:line="240" w:lineRule="auto"/>
              <w:ind w:firstLine="0"/>
              <w:jc w:val="left"/>
            </w:pPr>
            <w:r>
              <w:rPr>
                <w:sz w:val="15"/>
              </w:rPr>
              <w:t>Orange consumers</w:t>
            </w:r>
          </w:p>
        </w:tc>
        <w:tc>
          <w:tcPr>
            <w:tcW w:type="dxa" w:w="2835"/>
          </w:tcPr>
          <w:p>
            <w:pPr>
              <w:pStyle w:val="Normal"/>
              <w:spacing w:before="20" w:after="20" w:line="240" w:lineRule="auto"/>
              <w:ind w:firstLine="0"/>
              <w:jc w:val="left"/>
            </w:pPr>
            <w:r>
              <w:rPr>
                <w:sz w:val="15"/>
              </w:rPr>
              <w:t xml:space="preserve">Number of consumers with </w:t>
            </w:r>
            <w:r>
              <w:rPr>
                <w:rFonts w:ascii="Courier New" w:hAnsi="Courier New"/>
                <w:sz w:val="13"/>
              </w:rPr>
              <w:t>choice</w:t>
            </w:r>
            <w:r>
              <w:rPr>
                <w:sz w:val="15"/>
              </w:rPr>
              <w:t xml:space="preserve"> = 0</w:t>
            </w:r>
          </w:p>
        </w:tc>
        <w:tc>
          <w:tcPr>
            <w:tcW w:type="dxa" w:w="2551"/>
          </w:tcPr>
          <w:p>
            <w:pPr>
              <w:pStyle w:val="Normal"/>
              <w:spacing w:before="20" w:after="20" w:line="240" w:lineRule="auto"/>
              <w:ind w:firstLine="0"/>
              <w:jc w:val="left"/>
            </w:pPr>
            <w:r>
              <w:rPr>
                <w:sz w:val="15"/>
              </w:rPr>
              <w:t>Market share of the orange product (out of 100)</w:t>
            </w:r>
          </w:p>
        </w:tc>
      </w:tr>
      <w:tr>
        <w:tc>
          <w:tcPr>
            <w:tcW w:type="dxa" w:w="1531"/>
          </w:tcPr>
          <w:p>
            <w:pPr>
              <w:pStyle w:val="Normal"/>
              <w:spacing w:before="20" w:after="20" w:line="240" w:lineRule="auto"/>
              <w:ind w:firstLine="0"/>
              <w:jc w:val="left"/>
            </w:pPr>
            <w:r>
              <w:rPr>
                <w:sz w:val="15"/>
              </w:rPr>
              <w:t>Blue consumers</w:t>
            </w:r>
          </w:p>
        </w:tc>
        <w:tc>
          <w:tcPr>
            <w:tcW w:type="dxa" w:w="2835"/>
          </w:tcPr>
          <w:p>
            <w:pPr>
              <w:pStyle w:val="Normal"/>
              <w:spacing w:before="20" w:after="20" w:line="240" w:lineRule="auto"/>
              <w:ind w:firstLine="0"/>
              <w:jc w:val="left"/>
            </w:pPr>
            <w:r>
              <w:rPr>
                <w:sz w:val="15"/>
              </w:rPr>
              <w:t xml:space="preserve">Number of consumers with </w:t>
            </w:r>
            <w:r>
              <w:rPr>
                <w:rFonts w:ascii="Courier New" w:hAnsi="Courier New"/>
                <w:sz w:val="13"/>
              </w:rPr>
              <w:t>choice</w:t>
            </w:r>
            <w:r>
              <w:rPr>
                <w:sz w:val="15"/>
              </w:rPr>
              <w:t xml:space="preserve"> = 1</w:t>
            </w:r>
          </w:p>
        </w:tc>
        <w:tc>
          <w:tcPr>
            <w:tcW w:type="dxa" w:w="2551"/>
          </w:tcPr>
          <w:p>
            <w:pPr>
              <w:pStyle w:val="Normal"/>
              <w:spacing w:before="20" w:after="20" w:line="240" w:lineRule="auto"/>
              <w:ind w:firstLine="0"/>
              <w:jc w:val="left"/>
            </w:pPr>
            <w:r>
              <w:rPr>
                <w:sz w:val="15"/>
              </w:rPr>
              <w:t>Market share of the blue product (out of 100)</w:t>
            </w:r>
          </w:p>
        </w:tc>
      </w:tr>
      <w:tr>
        <w:tc>
          <w:tcPr>
            <w:tcW w:type="dxa" w:w="1531"/>
            <w:tcBorders>
              <w:bottom w:val="single" w:sz="8" w:color="000000"/>
            </w:tcBorders>
          </w:tcPr>
          <w:p>
            <w:pPr>
              <w:pStyle w:val="Normal"/>
              <w:spacing w:before="20" w:after="20" w:line="240" w:lineRule="auto"/>
              <w:ind w:firstLine="0"/>
              <w:jc w:val="left"/>
            </w:pPr>
            <w:r>
              <w:rPr>
                <w:sz w:val="15"/>
              </w:rPr>
              <w:t>Clustering</w:t>
            </w:r>
          </w:p>
        </w:tc>
        <w:tc>
          <w:tcPr>
            <w:tcW w:type="dxa" w:w="2835"/>
            <w:tcBorders>
              <w:bottom w:val="single" w:sz="8" w:color="000000"/>
            </w:tcBorders>
          </w:tcPr>
          <w:p>
            <w:pPr>
              <w:pStyle w:val="Normal"/>
              <w:spacing w:before="20" w:after="20" w:line="240" w:lineRule="auto"/>
              <w:ind w:firstLine="0"/>
              <w:jc w:val="left"/>
            </w:pPr>
            <w:r>
              <w:rPr>
                <w:sz w:val="15"/>
              </w:rPr>
              <w:t>Mean, over consumers, of the share of friends that use the same product</w:t>
            </w:r>
          </w:p>
        </w:tc>
        <w:tc>
          <w:tcPr>
            <w:tcW w:type="dxa" w:w="2551"/>
            <w:tcBorders>
              <w:bottom w:val="single" w:sz="8" w:color="000000"/>
            </w:tcBorders>
          </w:tcPr>
          <w:p>
            <w:pPr>
              <w:pStyle w:val="Normal"/>
              <w:spacing w:before="20" w:after="20" w:line="240" w:lineRule="auto"/>
              <w:ind w:firstLine="0"/>
              <w:jc w:val="left"/>
            </w:pPr>
            <w:r>
              <w:rPr>
                <w:sz w:val="15"/>
              </w:rPr>
              <w:t>1: all friends use the same product; ≈0.5: choices independent of friends</w:t>
            </w:r>
          </w:p>
        </w:tc>
      </w:tr>
    </w:tbl>
    <w:p>
      <w:pPr>
        <w:pStyle w:val="Normal"/>
        <w:spacing w:after="0"/>
      </w:pPr>
    </w:p>
    <w:p>
      <w:pPr>
        <w:pStyle w:val="heading21"/>
      </w:pPr>
      <w:r>
        <w:t>2.7   Notes on the Implementation</w:t>
      </w:r>
    </w:p>
    <w:p>
      <w:pPr>
        <w:pStyle w:val="p1a"/>
      </w:pPr>
      <w:r>
        <w:t>Three differences between the description in the Info tab of the original model and its code were found; the implementation follows the code:</w:t>
      </w:r>
    </w:p>
    <w:p>
      <w:pPr>
        <w:pStyle w:val="Normal"/>
        <w:ind w:left="283" w:hanging="198"/>
      </w:pPr>
      <w:r>
        <w:t xml:space="preserve">– The Info tab states a default </w:t>
      </w:r>
      <w:r>
        <w:rPr>
          <w:rFonts w:ascii="Courier New" w:hAnsi="Courier New"/>
          <w:sz w:val="17"/>
        </w:rPr>
        <w:t>exploration</w:t>
      </w:r>
      <w:r>
        <w:t xml:space="preserve"> of 0.05; the model file uses 0.01.</w:t>
      </w:r>
    </w:p>
    <w:p>
      <w:pPr>
        <w:pStyle w:val="Normal"/>
        <w:ind w:left="283" w:hanging="198"/>
      </w:pPr>
      <w:r>
        <w:t>– The Info tab states that friends may share outdated information. In the code, a friend always reports the current quality of the product.</w:t>
      </w:r>
    </w:p>
    <w:p>
      <w:pPr>
        <w:pStyle w:val="Normal"/>
        <w:ind w:left="283" w:hanging="198"/>
      </w:pPr>
      <w:r>
        <w:t>– The Info tab states that less satisfied consumers seek more information. In the code, the probability of information exchange does not depend on satisfaction; satisfaction only determines whether the utilities are used in the decision.</w:t>
      </w:r>
    </w:p>
    <w:p>
      <w:pPr>
        <w:pStyle w:val="heading11"/>
      </w:pPr>
      <w:r>
        <w:t>3   Baseline Simulation and Statistical Analysis</w:t>
      </w:r>
    </w:p>
    <w:p>
      <w:pPr>
        <w:pStyle w:val="heading21"/>
      </w:pPr>
      <w:r>
        <w:t>3.1   Experimental Setup</w:t>
      </w:r>
    </w:p>
    <w:p>
      <w:pPr>
        <w:pStyle w:val="p1a"/>
      </w:pPr>
      <w:r>
        <w:t xml:space="preserve">The baseline was replicated 1000 times with different random seeds (0 to 999), for 2000 ticks each, with the outputs recorded at every tick. The statistics are reported at tick 1000, and ticks 1500 and 2000 are used to check the horizon. For the sensitivity analysis, three parameters were varied one at a time, with 100 replications per value and 1000 ticks per run (Table 6). The same 100 seeds were used for every value of a parameter (common random numbers), so that differences between values are not due to different random draws. The experiments use the Mesa </w:t>
      </w:r>
      <w:r>
        <w:rPr>
          <w:rFonts w:ascii="Courier New" w:hAnsi="Courier New"/>
          <w:sz w:val="17"/>
        </w:rPr>
        <w:t>batch_run</w:t>
      </w:r>
      <w:r>
        <w:t xml:space="preserve"> function (Listing 8).</w:t>
      </w:r>
    </w:p>
    <w:p>
      <w:pPr>
        <w:pStyle w:val="tabletitle"/>
        <w:keepNext/>
      </w:pPr>
      <w:r>
        <w:rPr>
          <w:b/>
        </w:rPr>
        <w:t xml:space="preserve">Table 6. </w:t>
      </w:r>
      <w:r>
        <w:t>Experimental design.</w:t>
      </w:r>
    </w:p>
    <w:tbl>
      <w:tblPr>
        <w:tblW w:w="6917" w:type="dxa"/>
        <w:jc w:val="center"/>
        <w:tblLayout w:type="fixed"/>
        <w:tblLook w:firstColumn="1" w:firstRow="1" w:lastColumn="0" w:lastRow="0" w:noHBand="0" w:noVBand="1" w:val="04A0"/>
      </w:tblPr>
      <w:tblGrid>
        <w:gridCol w:w="1247"/>
        <w:gridCol w:w="3515"/>
        <w:gridCol w:w="1134"/>
        <w:gridCol w:w="1020"/>
      </w:tblGrid>
      <w:tr>
        <w:tc>
          <w:tcPr>
            <w:tcW w:type="dxa" w:w="1247"/>
            <w:tcBorders>
              <w:top w:val="single" w:sz="8" w:color="000000"/>
              <w:bottom w:val="single" w:sz="4" w:color="000000"/>
            </w:tcBorders>
          </w:tcPr>
          <w:p>
            <w:pPr>
              <w:pStyle w:val="Normal"/>
              <w:spacing w:before="20" w:after="20" w:line="240" w:lineRule="auto"/>
              <w:ind w:firstLine="0"/>
              <w:jc w:val="left"/>
            </w:pPr>
            <w:r>
              <w:rPr>
                <w:b/>
                <w:sz w:val="15"/>
              </w:rPr>
              <w:t>Experiment</w:t>
            </w:r>
          </w:p>
        </w:tc>
        <w:tc>
          <w:tcPr>
            <w:tcW w:type="dxa" w:w="3515"/>
            <w:tcBorders>
              <w:top w:val="single" w:sz="8" w:color="000000"/>
              <w:bottom w:val="single" w:sz="4" w:color="000000"/>
            </w:tcBorders>
          </w:tcPr>
          <w:p>
            <w:pPr>
              <w:pStyle w:val="Normal"/>
              <w:spacing w:before="20" w:after="20" w:line="240" w:lineRule="auto"/>
              <w:ind w:firstLine="0"/>
              <w:jc w:val="left"/>
            </w:pPr>
            <w:r>
              <w:rPr>
                <w:b/>
                <w:sz w:val="15"/>
              </w:rPr>
              <w:t>Parameter values</w:t>
            </w:r>
          </w:p>
        </w:tc>
        <w:tc>
          <w:tcPr>
            <w:tcW w:type="dxa" w:w="1134"/>
            <w:tcBorders>
              <w:top w:val="single" w:sz="8" w:color="000000"/>
              <w:bottom w:val="single" w:sz="4" w:color="000000"/>
            </w:tcBorders>
          </w:tcPr>
          <w:p>
            <w:pPr>
              <w:pStyle w:val="Normal"/>
              <w:spacing w:before="20" w:after="20" w:line="240" w:lineRule="auto"/>
              <w:ind w:firstLine="0"/>
              <w:jc w:val="left"/>
            </w:pPr>
            <w:r>
              <w:rPr>
                <w:b/>
                <w:sz w:val="15"/>
              </w:rPr>
              <w:t>Runs per value</w:t>
            </w:r>
          </w:p>
        </w:tc>
        <w:tc>
          <w:tcPr>
            <w:tcW w:type="dxa" w:w="1020"/>
            <w:tcBorders>
              <w:top w:val="single" w:sz="8" w:color="000000"/>
              <w:bottom w:val="single" w:sz="4" w:color="000000"/>
            </w:tcBorders>
          </w:tcPr>
          <w:p>
            <w:pPr>
              <w:pStyle w:val="Normal"/>
              <w:spacing w:before="20" w:after="20" w:line="240" w:lineRule="auto"/>
              <w:ind w:firstLine="0"/>
              <w:jc w:val="left"/>
            </w:pPr>
            <w:r>
              <w:rPr>
                <w:b/>
                <w:sz w:val="15"/>
              </w:rPr>
              <w:t>Ticks</w:t>
            </w:r>
          </w:p>
        </w:tc>
      </w:tr>
      <w:tr>
        <w:tc>
          <w:tcPr>
            <w:tcW w:type="dxa" w:w="1247"/>
          </w:tcPr>
          <w:p>
            <w:pPr>
              <w:pStyle w:val="Normal"/>
              <w:spacing w:before="20" w:after="20" w:line="240" w:lineRule="auto"/>
              <w:ind w:firstLine="0"/>
              <w:jc w:val="left"/>
            </w:pPr>
            <w:r>
              <w:rPr>
                <w:sz w:val="15"/>
              </w:rPr>
              <w:t>Baseline</w:t>
            </w:r>
          </w:p>
        </w:tc>
        <w:tc>
          <w:tcPr>
            <w:tcW w:type="dxa" w:w="3515"/>
          </w:tcPr>
          <w:p>
            <w:pPr>
              <w:pStyle w:val="Normal"/>
              <w:spacing w:before="20" w:after="20" w:line="240" w:lineRule="auto"/>
              <w:ind w:firstLine="0"/>
              <w:jc w:val="left"/>
            </w:pPr>
            <w:r>
              <w:rPr>
                <w:sz w:val="15"/>
              </w:rPr>
              <w:t>Table 4</w:t>
            </w:r>
          </w:p>
        </w:tc>
        <w:tc>
          <w:tcPr>
            <w:tcW w:type="dxa" w:w="1134"/>
          </w:tcPr>
          <w:p>
            <w:pPr>
              <w:pStyle w:val="Normal"/>
              <w:spacing w:before="20" w:after="20" w:line="240" w:lineRule="auto"/>
              <w:ind w:firstLine="0"/>
              <w:jc w:val="left"/>
            </w:pPr>
            <w:r>
              <w:rPr>
                <w:sz w:val="15"/>
              </w:rPr>
              <w:t>1000</w:t>
            </w:r>
          </w:p>
        </w:tc>
        <w:tc>
          <w:tcPr>
            <w:tcW w:type="dxa" w:w="1020"/>
          </w:tcPr>
          <w:p>
            <w:pPr>
              <w:pStyle w:val="Normal"/>
              <w:spacing w:before="20" w:after="20" w:line="240" w:lineRule="auto"/>
              <w:ind w:firstLine="0"/>
              <w:jc w:val="left"/>
            </w:pPr>
            <w:r>
              <w:rPr>
                <w:sz w:val="15"/>
              </w:rPr>
              <w:t>2000</w:t>
            </w:r>
          </w:p>
        </w:tc>
      </w:tr>
      <w:tr>
        <w:tc>
          <w:tcPr>
            <w:tcW w:type="dxa" w:w="1247"/>
          </w:tcPr>
          <w:p>
            <w:pPr>
              <w:pStyle w:val="Normal"/>
              <w:spacing w:before="20" w:after="20" w:line="240" w:lineRule="auto"/>
              <w:ind w:firstLine="0"/>
              <w:jc w:val="left"/>
            </w:pPr>
            <w:r>
              <w:rPr>
                <w:sz w:val="15"/>
              </w:rPr>
              <w:t>Norm</w:t>
            </w:r>
          </w:p>
        </w:tc>
        <w:tc>
          <w:tcPr>
            <w:tcW w:type="dxa" w:w="3515"/>
          </w:tcPr>
          <w:p>
            <w:pPr>
              <w:pStyle w:val="Normal"/>
              <w:spacing w:before="20" w:after="20" w:line="240" w:lineRule="auto"/>
              <w:ind w:firstLine="0"/>
              <w:jc w:val="left"/>
            </w:pPr>
            <w:r>
              <w:rPr>
                <w:rFonts w:ascii="Courier New" w:hAnsi="Courier New"/>
                <w:sz w:val="13"/>
              </w:rPr>
              <w:t>norm_influence</w:t>
            </w:r>
            <w:r>
              <w:rPr>
                <w:sz w:val="15"/>
              </w:rPr>
              <w:t xml:space="preserve"> = 0, 0.1, …, 1.0</w:t>
            </w:r>
          </w:p>
        </w:tc>
        <w:tc>
          <w:tcPr>
            <w:tcW w:type="dxa" w:w="1134"/>
          </w:tcPr>
          <w:p>
            <w:pPr>
              <w:pStyle w:val="Normal"/>
              <w:spacing w:before="20" w:after="20" w:line="240" w:lineRule="auto"/>
              <w:ind w:firstLine="0"/>
              <w:jc w:val="left"/>
            </w:pPr>
            <w:r>
              <w:rPr>
                <w:sz w:val="15"/>
              </w:rPr>
              <w:t>100</w:t>
            </w:r>
          </w:p>
        </w:tc>
        <w:tc>
          <w:tcPr>
            <w:tcW w:type="dxa" w:w="1020"/>
          </w:tcPr>
          <w:p>
            <w:pPr>
              <w:pStyle w:val="Normal"/>
              <w:spacing w:before="20" w:after="20" w:line="240" w:lineRule="auto"/>
              <w:ind w:firstLine="0"/>
              <w:jc w:val="left"/>
            </w:pPr>
            <w:r>
              <w:rPr>
                <w:sz w:val="15"/>
              </w:rPr>
              <w:t>1000</w:t>
            </w:r>
          </w:p>
        </w:tc>
      </w:tr>
      <w:tr>
        <w:tc>
          <w:tcPr>
            <w:tcW w:type="dxa" w:w="1247"/>
          </w:tcPr>
          <w:p>
            <w:pPr>
              <w:pStyle w:val="Normal"/>
              <w:spacing w:before="20" w:after="20" w:line="240" w:lineRule="auto"/>
              <w:ind w:firstLine="0"/>
              <w:jc w:val="left"/>
            </w:pPr>
            <w:r>
              <w:rPr>
                <w:sz w:val="15"/>
              </w:rPr>
              <w:t>Quality</w:t>
            </w:r>
          </w:p>
        </w:tc>
        <w:tc>
          <w:tcPr>
            <w:tcW w:type="dxa" w:w="3515"/>
          </w:tcPr>
          <w:p>
            <w:pPr>
              <w:pStyle w:val="Normal"/>
              <w:spacing w:before="20" w:after="20" w:line="240" w:lineRule="auto"/>
              <w:ind w:firstLine="0"/>
              <w:jc w:val="left"/>
            </w:pPr>
            <w:r>
              <w:rPr>
                <w:rFonts w:ascii="Courier New" w:hAnsi="Courier New"/>
                <w:sz w:val="13"/>
              </w:rPr>
              <w:t>quality_blue</w:t>
            </w:r>
            <w:r>
              <w:rPr>
                <w:sz w:val="15"/>
              </w:rPr>
              <w:t xml:space="preserve"> = 0.3, 0.4, 0.45, 0.5, 0.55, 0.6, 0.7</w:t>
            </w:r>
          </w:p>
        </w:tc>
        <w:tc>
          <w:tcPr>
            <w:tcW w:type="dxa" w:w="1134"/>
          </w:tcPr>
          <w:p>
            <w:pPr>
              <w:pStyle w:val="Normal"/>
              <w:spacing w:before="20" w:after="20" w:line="240" w:lineRule="auto"/>
              <w:ind w:firstLine="0"/>
              <w:jc w:val="left"/>
            </w:pPr>
            <w:r>
              <w:rPr>
                <w:sz w:val="15"/>
              </w:rPr>
              <w:t>100</w:t>
            </w:r>
          </w:p>
        </w:tc>
        <w:tc>
          <w:tcPr>
            <w:tcW w:type="dxa" w:w="1020"/>
          </w:tcPr>
          <w:p>
            <w:pPr>
              <w:pStyle w:val="Normal"/>
              <w:spacing w:before="20" w:after="20" w:line="240" w:lineRule="auto"/>
              <w:ind w:firstLine="0"/>
              <w:jc w:val="left"/>
            </w:pPr>
            <w:r>
              <w:rPr>
                <w:sz w:val="15"/>
              </w:rPr>
              <w:t>1000</w:t>
            </w:r>
          </w:p>
        </w:tc>
      </w:tr>
      <w:tr>
        <w:tc>
          <w:tcPr>
            <w:tcW w:type="dxa" w:w="1247"/>
            <w:tcBorders>
              <w:bottom w:val="single" w:sz="8" w:color="000000"/>
            </w:tcBorders>
          </w:tcPr>
          <w:p>
            <w:pPr>
              <w:pStyle w:val="Normal"/>
              <w:spacing w:before="20" w:after="20" w:line="240" w:lineRule="auto"/>
              <w:ind w:firstLine="0"/>
              <w:jc w:val="left"/>
            </w:pPr>
            <w:r>
              <w:rPr>
                <w:sz w:val="15"/>
              </w:rPr>
              <w:t>Exploration</w:t>
            </w:r>
          </w:p>
        </w:tc>
        <w:tc>
          <w:tcPr>
            <w:tcW w:type="dxa" w:w="3515"/>
            <w:tcBorders>
              <w:bottom w:val="single" w:sz="8" w:color="000000"/>
            </w:tcBorders>
          </w:tcPr>
          <w:p>
            <w:pPr>
              <w:pStyle w:val="Normal"/>
              <w:spacing w:before="20" w:after="20" w:line="240" w:lineRule="auto"/>
              <w:ind w:firstLine="0"/>
              <w:jc w:val="left"/>
            </w:pPr>
            <w:r>
              <w:rPr>
                <w:rFonts w:ascii="Courier New" w:hAnsi="Courier New"/>
                <w:sz w:val="13"/>
              </w:rPr>
              <w:t>exploration</w:t>
            </w:r>
            <w:r>
              <w:rPr>
                <w:sz w:val="15"/>
              </w:rPr>
              <w:t xml:space="preserve"> = 0, 0.01, 0.05, 0.1, 0.2</w:t>
            </w:r>
          </w:p>
        </w:tc>
        <w:tc>
          <w:tcPr>
            <w:tcW w:type="dxa" w:w="1134"/>
            <w:tcBorders>
              <w:bottom w:val="single" w:sz="8" w:color="000000"/>
            </w:tcBorders>
          </w:tcPr>
          <w:p>
            <w:pPr>
              <w:pStyle w:val="Normal"/>
              <w:spacing w:before="20" w:after="20" w:line="240" w:lineRule="auto"/>
              <w:ind w:firstLine="0"/>
              <w:jc w:val="left"/>
            </w:pPr>
            <w:r>
              <w:rPr>
                <w:sz w:val="15"/>
              </w:rPr>
              <w:t>100</w:t>
            </w:r>
          </w:p>
        </w:tc>
        <w:tc>
          <w:tcPr>
            <w:tcW w:type="dxa" w:w="1020"/>
            <w:tcBorders>
              <w:bottom w:val="single" w:sz="8" w:color="000000"/>
            </w:tcBorders>
          </w:tcPr>
          <w:p>
            <w:pPr>
              <w:pStyle w:val="Normal"/>
              <w:spacing w:before="20" w:after="20" w:line="240" w:lineRule="auto"/>
              <w:ind w:firstLine="0"/>
              <w:jc w:val="left"/>
            </w:pPr>
            <w:r>
              <w:rPr>
                <w:sz w:val="15"/>
              </w:rPr>
              <w:t>1000</w:t>
            </w:r>
          </w:p>
        </w:tc>
      </w:tr>
    </w:tbl>
    <w:p>
      <w:pPr>
        <w:pStyle w:val="Normal"/>
        <w:spacing w:after="0"/>
      </w:pPr>
    </w:p>
    <w:p>
      <w:pPr>
        <w:pStyle w:val="programcode"/>
        <w:keepLines/>
      </w:pPr>
      <w:r>
        <w:rPr>
          <w:rFonts w:ascii="Courier New" w:hAnsi="Courier New" w:cs="Courier New"/>
          <w:sz w:val="14"/>
        </w:rPr>
        <w:t xml:space="preserve"> 24  BASELINE = dict(num_consumers=100, avg_connections=5,</w:t>
      </w:r>
      <w:r>
        <w:br/>
      </w:r>
      <w:r>
        <w:rPr>
          <w:rFonts w:ascii="Courier New" w:hAnsi="Courier New" w:cs="Courier New"/>
          <w:sz w:val="14"/>
        </w:rPr>
        <w:t xml:space="preserve"> 25                  initial_pct_orange=50, norm_influence=0.15,</w:t>
      </w:r>
      <w:r>
        <w:br/>
      </w:r>
      <w:r>
        <w:rPr>
          <w:rFonts w:ascii="Courier New" w:hAnsi="Courier New" w:cs="Courier New"/>
          <w:sz w:val="14"/>
        </w:rPr>
        <w:t xml:space="preserve"> 26                  information_exchange=0.05, exploration=0.01,</w:t>
      </w:r>
      <w:r>
        <w:br/>
      </w:r>
      <w:r>
        <w:rPr>
          <w:rFonts w:ascii="Courier New" w:hAnsi="Courier New" w:cs="Courier New"/>
          <w:sz w:val="14"/>
        </w:rPr>
        <w:t xml:space="preserve"> 27                  quality_orange=0.5, quality_blue=0.5)</w:t>
      </w:r>
      <w:r>
        <w:br/>
      </w:r>
      <w:r>
        <w:t xml:space="preserve">   ...</w:t>
      </w:r>
      <w:r>
        <w:br/>
      </w:r>
      <w:r>
        <w:rPr>
          <w:rFonts w:ascii="Courier New" w:hAnsi="Courier New" w:cs="Courier New"/>
          <w:sz w:val="14"/>
        </w:rPr>
        <w:t xml:space="preserve"> 49      results = batch_run(ConsumerChoiceModel, parameters=params,</w:t>
      </w:r>
      <w:r>
        <w:br/>
      </w:r>
      <w:r>
        <w:rPr>
          <w:rFonts w:ascii="Courier New" w:hAnsi="Courier New" w:cs="Courier New"/>
          <w:sz w:val="14"/>
        </w:rPr>
        <w:t xml:space="preserve"> 50                          rng=list(range(seed0, seed0 + runs)),</w:t>
      </w:r>
      <w:r>
        <w:br/>
      </w:r>
      <w:r>
        <w:rPr>
          <w:rFonts w:ascii="Courier New" w:hAnsi="Courier New" w:cs="Courier New"/>
          <w:sz w:val="14"/>
        </w:rPr>
        <w:t xml:space="preserve"> 51                          max_steps=ticks,</w:t>
      </w:r>
      <w:r>
        <w:br/>
      </w:r>
      <w:r>
        <w:rPr>
          <w:rFonts w:ascii="Courier New" w:hAnsi="Courier New" w:cs="Courier New"/>
          <w:sz w:val="14"/>
        </w:rPr>
        <w:t xml:space="preserve"> 52                          data_collection_period=1 if every_tick else -1,</w:t>
      </w:r>
      <w:r>
        <w:br/>
      </w:r>
      <w:r>
        <w:rPr>
          <w:rFonts w:ascii="Courier New" w:hAnsi="Courier New" w:cs="Courier New"/>
          <w:sz w:val="14"/>
        </w:rPr>
        <w:t xml:space="preserve"> 53                          number_processes=PROCESSES,</w:t>
      </w:r>
      <w:r>
        <w:br/>
      </w:r>
      <w:r>
        <w:rPr>
          <w:rFonts w:ascii="Courier New" w:hAnsi="Courier New" w:cs="Courier New"/>
          <w:sz w:val="14"/>
        </w:rPr>
        <w:t xml:space="preserve"> 54                          display_progress=False)</w:t>
      </w:r>
    </w:p>
    <w:p>
      <w:pPr>
        <w:pStyle w:val="figurelegend"/>
        <w:keepNext w:val="0"/>
      </w:pPr>
      <w:r>
        <w:rPr>
          <w:b/>
        </w:rPr>
        <w:t xml:space="preserve">Listing 8. </w:t>
      </w:r>
      <w:r>
        <w:t>Baseline values and batch run (</w:t>
      </w:r>
      <w:r>
        <w:rPr>
          <w:rFonts w:ascii="Courier New" w:hAnsi="Courier New"/>
          <w:sz w:val="17"/>
        </w:rPr>
        <w:t>experiments/run_experiments.py</w:t>
      </w:r>
      <w:r>
        <w:t>, lines 24–27, 49–54).</w:t>
      </w:r>
    </w:p>
    <w:p>
      <w:pPr>
        <w:pStyle w:val="Normal"/>
      </w:pPr>
      <w:r>
        <w:t xml:space="preserve">For each output we report the mean, the standard deviation (SD), the 95% confidence interval of the mean (Student’s </w:t>
      </w:r>
      <w:r>
        <w:rPr>
          <w:i/>
        </w:rPr>
        <w:t>t</w:t>
      </w:r>
      <w:r>
        <w:t>), the median and the 5th and 95th percentiles (P5, P95). Market shares are expressed as fractions of the 100 consumers.</w:t>
      </w:r>
    </w:p>
    <w:p>
      <w:pPr>
        <w:pStyle w:val="heading31"/>
      </w:pPr>
      <w:r>
        <w:rPr>
          <w:b/>
        </w:rPr>
        <w:t xml:space="preserve">Number of Runs. </w:t>
      </w:r>
      <w:r>
        <w:rPr>
          <w:b w:val="0"/>
        </w:rPr>
        <w:t>Figure 2 shows the mean of each output at tick 1000 as a function of the number of runs. With 100 runs, the half-width of the 95% confidence interval is 0.051 for the orange share and 0.006 for clustering. With 1000 runs it is 0.016 and 0.002. The market share requires more runs than clustering because its variance between runs is about 67 times larger. We therefore use 1000 runs for the baseline and 100 runs per value in the sensitivity analysis, where the differences between parameter values are larger than this precision.</w:t>
      </w:r>
    </w:p>
    <w:p>
      <w:pPr>
        <w:pStyle w:val="heading31"/>
      </w:pPr>
      <w:r>
        <w:rPr>
          <w:b/>
        </w:rPr>
        <w:t xml:space="preserve">Horizon. </w:t>
      </w:r>
      <w:r>
        <w:rPr>
          <w:b w:val="0"/>
        </w:rPr>
        <w:t>Table 8 shows the outputs at several ticks. Mean clustering increases by 0.018 between ticks 500 and 1000 and by 0.011 between ticks 1000 and 2000. The SD of the orange share keeps increasing (0.21, 0.25, 0.29 at ticks 500, 1000 and 2000). The model does not reach a stationary distribution of market shares within 2000 ticks: individual markets continue to move away from the initial 50/50 split. Tick 1000 is used as the reference horizon because the change of mean clustering after it is small and the shares have already separated. Statistics at a later tick would show a larger dispersion of shares; this must be considered when the extended model is compared with the baseline.</w:t>
      </w:r>
    </w:p>
    <w:p>
      <w:pPr>
        <w:pStyle w:val="heading21"/>
      </w:pPr>
      <w:r>
        <w:t>3.2   Baseline Results</w:t>
      </w:r>
    </w:p>
    <w:p>
      <w:pPr>
        <w:pStyle w:val="p1a"/>
      </w:pPr>
      <w:r>
        <w:t>Table 7 reports the statistics of the three outputs at tick 1000 over the 1000 runs, and Fig. 1 shows their evolution.</w:t>
      </w:r>
    </w:p>
    <w:p>
      <w:pPr>
        <w:pStyle w:val="tabletitle"/>
        <w:keepNext/>
      </w:pPr>
      <w:r>
        <w:rPr>
          <w:b/>
        </w:rPr>
        <w:t xml:space="preserve">Table 7. </w:t>
      </w:r>
      <w:r>
        <w:t>Baseline outputs at tick 1000 (1000 runs).</w:t>
      </w:r>
    </w:p>
    <w:tbl>
      <w:tblPr>
        <w:tblW w:w="6917" w:type="dxa"/>
        <w:jc w:val="center"/>
        <w:tblLayout w:type="fixed"/>
        <w:tblLook w:firstColumn="1" w:firstRow="1" w:lastColumn="0" w:lastRow="0" w:noHBand="0" w:noVBand="1" w:val="04A0"/>
      </w:tblPr>
      <w:tblGrid>
        <w:gridCol w:w="1701"/>
        <w:gridCol w:w="680"/>
        <w:gridCol w:w="680"/>
        <w:gridCol w:w="1361"/>
        <w:gridCol w:w="794"/>
        <w:gridCol w:w="850"/>
        <w:gridCol w:w="850"/>
      </w:tblGrid>
      <w:tr>
        <w:tc>
          <w:tcPr>
            <w:tcW w:type="dxa" w:w="1701"/>
            <w:tcBorders>
              <w:top w:val="single" w:sz="8" w:color="000000"/>
              <w:bottom w:val="single" w:sz="4" w:color="000000"/>
            </w:tcBorders>
          </w:tcPr>
          <w:p>
            <w:pPr>
              <w:pStyle w:val="Normal"/>
              <w:spacing w:before="20" w:after="20" w:line="240" w:lineRule="auto"/>
              <w:ind w:firstLine="0"/>
              <w:jc w:val="left"/>
            </w:pPr>
            <w:r>
              <w:rPr>
                <w:b/>
                <w:sz w:val="15"/>
              </w:rPr>
              <w:t>Output</w:t>
            </w:r>
          </w:p>
        </w:tc>
        <w:tc>
          <w:tcPr>
            <w:tcW w:type="dxa" w:w="680"/>
            <w:tcBorders>
              <w:top w:val="single" w:sz="8" w:color="000000"/>
              <w:bottom w:val="single" w:sz="4" w:color="000000"/>
            </w:tcBorders>
          </w:tcPr>
          <w:p>
            <w:pPr>
              <w:pStyle w:val="Normal"/>
              <w:spacing w:before="20" w:after="20" w:line="240" w:lineRule="auto"/>
              <w:ind w:firstLine="0"/>
              <w:jc w:val="right"/>
            </w:pPr>
            <w:r>
              <w:rPr>
                <w:b/>
                <w:sz w:val="15"/>
              </w:rPr>
              <w:t>Mean</w:t>
            </w:r>
          </w:p>
        </w:tc>
        <w:tc>
          <w:tcPr>
            <w:tcW w:type="dxa" w:w="680"/>
            <w:tcBorders>
              <w:top w:val="single" w:sz="8" w:color="000000"/>
              <w:bottom w:val="single" w:sz="4" w:color="000000"/>
            </w:tcBorders>
          </w:tcPr>
          <w:p>
            <w:pPr>
              <w:pStyle w:val="Normal"/>
              <w:spacing w:before="20" w:after="20" w:line="240" w:lineRule="auto"/>
              <w:ind w:firstLine="0"/>
              <w:jc w:val="right"/>
            </w:pPr>
            <w:r>
              <w:rPr>
                <w:b/>
                <w:sz w:val="15"/>
              </w:rPr>
              <w:t>SD</w:t>
            </w:r>
          </w:p>
        </w:tc>
        <w:tc>
          <w:tcPr>
            <w:tcW w:type="dxa" w:w="1361"/>
            <w:tcBorders>
              <w:top w:val="single" w:sz="8" w:color="000000"/>
              <w:bottom w:val="single" w:sz="4" w:color="000000"/>
            </w:tcBorders>
          </w:tcPr>
          <w:p>
            <w:pPr>
              <w:pStyle w:val="Normal"/>
              <w:spacing w:before="20" w:after="20" w:line="240" w:lineRule="auto"/>
              <w:ind w:firstLine="0"/>
              <w:jc w:val="right"/>
            </w:pPr>
            <w:r>
              <w:rPr>
                <w:b/>
                <w:sz w:val="15"/>
              </w:rPr>
              <w:t>95% CI</w:t>
            </w:r>
          </w:p>
        </w:tc>
        <w:tc>
          <w:tcPr>
            <w:tcW w:type="dxa" w:w="794"/>
            <w:tcBorders>
              <w:top w:val="single" w:sz="8" w:color="000000"/>
              <w:bottom w:val="single" w:sz="4" w:color="000000"/>
            </w:tcBorders>
          </w:tcPr>
          <w:p>
            <w:pPr>
              <w:pStyle w:val="Normal"/>
              <w:spacing w:before="20" w:after="20" w:line="240" w:lineRule="auto"/>
              <w:ind w:firstLine="0"/>
              <w:jc w:val="right"/>
            </w:pPr>
            <w:r>
              <w:rPr>
                <w:b/>
                <w:sz w:val="15"/>
              </w:rPr>
              <w:t>Median</w:t>
            </w:r>
          </w:p>
        </w:tc>
        <w:tc>
          <w:tcPr>
            <w:tcW w:type="dxa" w:w="850"/>
            <w:tcBorders>
              <w:top w:val="single" w:sz="8" w:color="000000"/>
              <w:bottom w:val="single" w:sz="4" w:color="000000"/>
            </w:tcBorders>
          </w:tcPr>
          <w:p>
            <w:pPr>
              <w:pStyle w:val="Normal"/>
              <w:spacing w:before="20" w:after="20" w:line="240" w:lineRule="auto"/>
              <w:ind w:firstLine="0"/>
              <w:jc w:val="right"/>
            </w:pPr>
            <w:r>
              <w:rPr>
                <w:b/>
                <w:sz w:val="15"/>
              </w:rPr>
              <w:t>P5</w:t>
            </w:r>
          </w:p>
        </w:tc>
        <w:tc>
          <w:tcPr>
            <w:tcW w:type="dxa" w:w="850"/>
            <w:tcBorders>
              <w:top w:val="single" w:sz="8" w:color="000000"/>
              <w:bottom w:val="single" w:sz="4" w:color="000000"/>
            </w:tcBorders>
          </w:tcPr>
          <w:p>
            <w:pPr>
              <w:pStyle w:val="Normal"/>
              <w:spacing w:before="20" w:after="20" w:line="240" w:lineRule="auto"/>
              <w:ind w:firstLine="0"/>
              <w:jc w:val="right"/>
            </w:pPr>
            <w:r>
              <w:rPr>
                <w:b/>
                <w:sz w:val="15"/>
              </w:rPr>
              <w:t>P95</w:t>
            </w:r>
          </w:p>
        </w:tc>
      </w:tr>
      <w:tr>
        <w:tc>
          <w:tcPr>
            <w:tcW w:type="dxa" w:w="1701"/>
          </w:tcPr>
          <w:p>
            <w:pPr>
              <w:pStyle w:val="Normal"/>
              <w:spacing w:before="20" w:after="20" w:line="240" w:lineRule="auto"/>
              <w:ind w:firstLine="0"/>
              <w:jc w:val="left"/>
            </w:pPr>
            <w:r>
              <w:rPr>
                <w:sz w:val="15"/>
              </w:rPr>
              <w:t>Orange market share</w:t>
            </w:r>
          </w:p>
        </w:tc>
        <w:tc>
          <w:tcPr>
            <w:tcW w:type="dxa" w:w="680"/>
          </w:tcPr>
          <w:p>
            <w:pPr>
              <w:pStyle w:val="Normal"/>
              <w:spacing w:before="20" w:after="20" w:line="240" w:lineRule="auto"/>
              <w:ind w:firstLine="0"/>
              <w:jc w:val="right"/>
            </w:pPr>
            <w:r>
              <w:rPr>
                <w:sz w:val="15"/>
              </w:rPr>
              <w:t>0.506</w:t>
            </w:r>
          </w:p>
        </w:tc>
        <w:tc>
          <w:tcPr>
            <w:tcW w:type="dxa" w:w="680"/>
          </w:tcPr>
          <w:p>
            <w:pPr>
              <w:pStyle w:val="Normal"/>
              <w:spacing w:before="20" w:after="20" w:line="240" w:lineRule="auto"/>
              <w:ind w:firstLine="0"/>
              <w:jc w:val="right"/>
            </w:pPr>
            <w:r>
              <w:rPr>
                <w:sz w:val="15"/>
              </w:rPr>
              <w:t>0.252</w:t>
            </w:r>
          </w:p>
        </w:tc>
        <w:tc>
          <w:tcPr>
            <w:tcW w:type="dxa" w:w="1361"/>
          </w:tcPr>
          <w:p>
            <w:pPr>
              <w:pStyle w:val="Normal"/>
              <w:spacing w:before="20" w:after="20" w:line="240" w:lineRule="auto"/>
              <w:ind w:firstLine="0"/>
              <w:jc w:val="right"/>
            </w:pPr>
            <w:r>
              <w:rPr>
                <w:sz w:val="15"/>
              </w:rPr>
              <w:t>0.490–0.521</w:t>
            </w:r>
          </w:p>
        </w:tc>
        <w:tc>
          <w:tcPr>
            <w:tcW w:type="dxa" w:w="794"/>
          </w:tcPr>
          <w:p>
            <w:pPr>
              <w:pStyle w:val="Normal"/>
              <w:spacing w:before="20" w:after="20" w:line="240" w:lineRule="auto"/>
              <w:ind w:firstLine="0"/>
              <w:jc w:val="right"/>
            </w:pPr>
            <w:r>
              <w:rPr>
                <w:sz w:val="15"/>
              </w:rPr>
              <w:t>0.510</w:t>
            </w:r>
          </w:p>
        </w:tc>
        <w:tc>
          <w:tcPr>
            <w:tcW w:type="dxa" w:w="850"/>
          </w:tcPr>
          <w:p>
            <w:pPr>
              <w:pStyle w:val="Normal"/>
              <w:spacing w:before="20" w:after="20" w:line="240" w:lineRule="auto"/>
              <w:ind w:firstLine="0"/>
              <w:jc w:val="right"/>
            </w:pPr>
            <w:r>
              <w:rPr>
                <w:sz w:val="15"/>
              </w:rPr>
              <w:t>0.11</w:t>
            </w:r>
          </w:p>
        </w:tc>
        <w:tc>
          <w:tcPr>
            <w:tcW w:type="dxa" w:w="850"/>
          </w:tcPr>
          <w:p>
            <w:pPr>
              <w:pStyle w:val="Normal"/>
              <w:spacing w:before="20" w:after="20" w:line="240" w:lineRule="auto"/>
              <w:ind w:firstLine="0"/>
              <w:jc w:val="right"/>
            </w:pPr>
            <w:r>
              <w:rPr>
                <w:sz w:val="15"/>
              </w:rPr>
              <w:t>0.92</w:t>
            </w:r>
          </w:p>
        </w:tc>
      </w:tr>
      <w:tr>
        <w:tc>
          <w:tcPr>
            <w:tcW w:type="dxa" w:w="1701"/>
          </w:tcPr>
          <w:p>
            <w:pPr>
              <w:pStyle w:val="Normal"/>
              <w:spacing w:before="20" w:after="20" w:line="240" w:lineRule="auto"/>
              <w:ind w:firstLine="0"/>
              <w:jc w:val="left"/>
            </w:pPr>
            <w:r>
              <w:rPr>
                <w:sz w:val="15"/>
              </w:rPr>
              <w:t>Blue market share</w:t>
            </w:r>
          </w:p>
        </w:tc>
        <w:tc>
          <w:tcPr>
            <w:tcW w:type="dxa" w:w="680"/>
          </w:tcPr>
          <w:p>
            <w:pPr>
              <w:pStyle w:val="Normal"/>
              <w:spacing w:before="20" w:after="20" w:line="240" w:lineRule="auto"/>
              <w:ind w:firstLine="0"/>
              <w:jc w:val="right"/>
            </w:pPr>
            <w:r>
              <w:rPr>
                <w:sz w:val="15"/>
              </w:rPr>
              <w:t>0.494</w:t>
            </w:r>
          </w:p>
        </w:tc>
        <w:tc>
          <w:tcPr>
            <w:tcW w:type="dxa" w:w="680"/>
          </w:tcPr>
          <w:p>
            <w:pPr>
              <w:pStyle w:val="Normal"/>
              <w:spacing w:before="20" w:after="20" w:line="240" w:lineRule="auto"/>
              <w:ind w:firstLine="0"/>
              <w:jc w:val="right"/>
            </w:pPr>
            <w:r>
              <w:rPr>
                <w:sz w:val="15"/>
              </w:rPr>
              <w:t>0.252</w:t>
            </w:r>
          </w:p>
        </w:tc>
        <w:tc>
          <w:tcPr>
            <w:tcW w:type="dxa" w:w="1361"/>
          </w:tcPr>
          <w:p>
            <w:pPr>
              <w:pStyle w:val="Normal"/>
              <w:spacing w:before="20" w:after="20" w:line="240" w:lineRule="auto"/>
              <w:ind w:firstLine="0"/>
              <w:jc w:val="right"/>
            </w:pPr>
            <w:r>
              <w:rPr>
                <w:sz w:val="15"/>
              </w:rPr>
              <w:t>0.479–0.510</w:t>
            </w:r>
          </w:p>
        </w:tc>
        <w:tc>
          <w:tcPr>
            <w:tcW w:type="dxa" w:w="794"/>
          </w:tcPr>
          <w:p>
            <w:pPr>
              <w:pStyle w:val="Normal"/>
              <w:spacing w:before="20" w:after="20" w:line="240" w:lineRule="auto"/>
              <w:ind w:firstLine="0"/>
              <w:jc w:val="right"/>
            </w:pPr>
            <w:r>
              <w:rPr>
                <w:sz w:val="15"/>
              </w:rPr>
              <w:t>0.490</w:t>
            </w:r>
          </w:p>
        </w:tc>
        <w:tc>
          <w:tcPr>
            <w:tcW w:type="dxa" w:w="850"/>
          </w:tcPr>
          <w:p>
            <w:pPr>
              <w:pStyle w:val="Normal"/>
              <w:spacing w:before="20" w:after="20" w:line="240" w:lineRule="auto"/>
              <w:ind w:firstLine="0"/>
              <w:jc w:val="right"/>
            </w:pPr>
            <w:r>
              <w:rPr>
                <w:sz w:val="15"/>
              </w:rPr>
              <w:t>0.08</w:t>
            </w:r>
          </w:p>
        </w:tc>
        <w:tc>
          <w:tcPr>
            <w:tcW w:type="dxa" w:w="850"/>
          </w:tcPr>
          <w:p>
            <w:pPr>
              <w:pStyle w:val="Normal"/>
              <w:spacing w:before="20" w:after="20" w:line="240" w:lineRule="auto"/>
              <w:ind w:firstLine="0"/>
              <w:jc w:val="right"/>
            </w:pPr>
            <w:r>
              <w:rPr>
                <w:sz w:val="15"/>
              </w:rPr>
              <w:t>0.89</w:t>
            </w:r>
          </w:p>
        </w:tc>
      </w:tr>
      <w:tr>
        <w:tc>
          <w:tcPr>
            <w:tcW w:type="dxa" w:w="1701"/>
            <w:tcBorders>
              <w:bottom w:val="single" w:sz="8" w:color="000000"/>
            </w:tcBorders>
          </w:tcPr>
          <w:p>
            <w:pPr>
              <w:pStyle w:val="Normal"/>
              <w:spacing w:before="20" w:after="20" w:line="240" w:lineRule="auto"/>
              <w:ind w:firstLine="0"/>
              <w:jc w:val="left"/>
            </w:pPr>
            <w:r>
              <w:rPr>
                <w:sz w:val="15"/>
              </w:rPr>
              <w:t>Clustering</w:t>
            </w:r>
          </w:p>
        </w:tc>
        <w:tc>
          <w:tcPr>
            <w:tcW w:type="dxa" w:w="680"/>
            <w:tcBorders>
              <w:bottom w:val="single" w:sz="8" w:color="000000"/>
            </w:tcBorders>
          </w:tcPr>
          <w:p>
            <w:pPr>
              <w:pStyle w:val="Normal"/>
              <w:spacing w:before="20" w:after="20" w:line="240" w:lineRule="auto"/>
              <w:ind w:firstLine="0"/>
              <w:jc w:val="right"/>
            </w:pPr>
            <w:r>
              <w:rPr>
                <w:sz w:val="15"/>
              </w:rPr>
              <w:t>0.937</w:t>
            </w:r>
          </w:p>
        </w:tc>
        <w:tc>
          <w:tcPr>
            <w:tcW w:type="dxa" w:w="680"/>
            <w:tcBorders>
              <w:bottom w:val="single" w:sz="8" w:color="000000"/>
            </w:tcBorders>
          </w:tcPr>
          <w:p>
            <w:pPr>
              <w:pStyle w:val="Normal"/>
              <w:spacing w:before="20" w:after="20" w:line="240" w:lineRule="auto"/>
              <w:ind w:firstLine="0"/>
              <w:jc w:val="right"/>
            </w:pPr>
            <w:r>
              <w:rPr>
                <w:sz w:val="15"/>
              </w:rPr>
              <w:t>0.031</w:t>
            </w:r>
          </w:p>
        </w:tc>
        <w:tc>
          <w:tcPr>
            <w:tcW w:type="dxa" w:w="1361"/>
            <w:tcBorders>
              <w:bottom w:val="single" w:sz="8" w:color="000000"/>
            </w:tcBorders>
          </w:tcPr>
          <w:p>
            <w:pPr>
              <w:pStyle w:val="Normal"/>
              <w:spacing w:before="20" w:after="20" w:line="240" w:lineRule="auto"/>
              <w:ind w:firstLine="0"/>
              <w:jc w:val="right"/>
            </w:pPr>
            <w:r>
              <w:rPr>
                <w:sz w:val="15"/>
              </w:rPr>
              <w:t>0.935–0.939</w:t>
            </w:r>
          </w:p>
        </w:tc>
        <w:tc>
          <w:tcPr>
            <w:tcW w:type="dxa" w:w="794"/>
            <w:tcBorders>
              <w:bottom w:val="single" w:sz="8" w:color="000000"/>
            </w:tcBorders>
          </w:tcPr>
          <w:p>
            <w:pPr>
              <w:pStyle w:val="Normal"/>
              <w:spacing w:before="20" w:after="20" w:line="240" w:lineRule="auto"/>
              <w:ind w:firstLine="0"/>
              <w:jc w:val="right"/>
            </w:pPr>
            <w:r>
              <w:rPr>
                <w:sz w:val="15"/>
              </w:rPr>
              <w:t>0.941</w:t>
            </w:r>
          </w:p>
        </w:tc>
        <w:tc>
          <w:tcPr>
            <w:tcW w:type="dxa" w:w="850"/>
            <w:tcBorders>
              <w:bottom w:val="single" w:sz="8" w:color="000000"/>
            </w:tcBorders>
          </w:tcPr>
          <w:p>
            <w:pPr>
              <w:pStyle w:val="Normal"/>
              <w:spacing w:before="20" w:after="20" w:line="240" w:lineRule="auto"/>
              <w:ind w:firstLine="0"/>
              <w:jc w:val="right"/>
            </w:pPr>
            <w:r>
              <w:rPr>
                <w:sz w:val="15"/>
              </w:rPr>
              <w:t>0.88</w:t>
            </w:r>
          </w:p>
        </w:tc>
        <w:tc>
          <w:tcPr>
            <w:tcW w:type="dxa" w:w="850"/>
            <w:tcBorders>
              <w:bottom w:val="single" w:sz="8" w:color="000000"/>
            </w:tcBorders>
          </w:tcPr>
          <w:p>
            <w:pPr>
              <w:pStyle w:val="Normal"/>
              <w:spacing w:before="20" w:after="20" w:line="240" w:lineRule="auto"/>
              <w:ind w:firstLine="0"/>
              <w:jc w:val="right"/>
            </w:pPr>
            <w:r>
              <w:rPr>
                <w:sz w:val="15"/>
              </w:rPr>
              <w:t>0.98</w:t>
            </w:r>
          </w:p>
        </w:tc>
      </w:tr>
    </w:tbl>
    <w:p>
      <w:pPr>
        <w:pStyle w:val="Normal"/>
        <w:spacing w:after="0"/>
      </w:pPr>
    </w:p>
    <w:p>
      <w:pPr>
        <w:pStyle w:val="Normal"/>
        <w:keepNext/>
        <w:ind w:firstLine="0"/>
        <w:jc w:val="center"/>
      </w:pPr>
      <w:r>
        <w:drawing>
          <wp:inline xmlns:a="http://schemas.openxmlformats.org/drawingml/2006/main" xmlns:pic="http://schemas.openxmlformats.org/drawingml/2006/picture">
            <wp:extent cx="4392000" cy="1585532"/>
            <wp:docPr id="1" name="Picture 1"/>
            <wp:cNvGraphicFramePr>
              <a:graphicFrameLocks noChangeAspect="1"/>
            </wp:cNvGraphicFramePr>
            <a:graphic>
              <a:graphicData uri="http://schemas.openxmlformats.org/drawingml/2006/picture">
                <pic:pic>
                  <pic:nvPicPr>
                    <pic:cNvPr id="0" name="fig1_baseline.png"/>
                    <pic:cNvPicPr/>
                  </pic:nvPicPr>
                  <pic:blipFill>
                    <a:blip r:embed="rId13"/>
                    <a:stretch>
                      <a:fillRect/>
                    </a:stretch>
                  </pic:blipFill>
                  <pic:spPr>
                    <a:xfrm>
                      <a:off x="0" y="0"/>
                      <a:ext cx="4392000" cy="1585532"/>
                    </a:xfrm>
                    <a:prstGeom prst="rect"/>
                  </pic:spPr>
                </pic:pic>
              </a:graphicData>
            </a:graphic>
          </wp:inline>
        </w:drawing>
      </w:r>
    </w:p>
    <w:p>
      <w:pPr>
        <w:pStyle w:val="figurelegend"/>
        <w:keepNext w:val="0"/>
      </w:pPr>
      <w:r>
        <w:rPr>
          <w:b/>
        </w:rPr>
        <w:t xml:space="preserve">Fig. 1. </w:t>
      </w:r>
      <w:r>
        <w:t>Baseline. (a) Orange market share in three runs (the 5th, 50th and 95th percentile of the final share). (b) Mean clustering and mean orange share over 1000 runs, with the band between P5 and P95. (c) Distribution of the orange share at tick 1000.</w:t>
      </w:r>
    </w:p>
    <w:p>
      <w:pPr>
        <w:pStyle w:val="Normal"/>
      </w:pPr>
      <w:r>
        <w:t>Three results characterise the baseline:</w:t>
      </w:r>
    </w:p>
    <w:p>
      <w:pPr>
        <w:pStyle w:val="Normal"/>
        <w:ind w:left="283" w:hanging="198"/>
      </w:pPr>
      <w:r>
        <w:t xml:space="preserve">– </w:t>
      </w:r>
      <w:r>
        <w:rPr>
          <w:i/>
        </w:rPr>
        <w:t>Each market becomes segmented.</w:t>
      </w:r>
      <w:r>
        <w:t xml:space="preserve"> Mean clustering rises from 0.50 at tick 0 to 0.94 at tick 1000 (95% CI 0.935–0.939). On average, 94% of the friends of a consumer use the same product. The variation between runs is small (SD 0.031), so this result does not depend on the random seed.</w:t>
      </w:r>
    </w:p>
    <w:p>
      <w:pPr>
        <w:pStyle w:val="Normal"/>
        <w:ind w:left="283" w:hanging="198"/>
      </w:pPr>
      <w:r>
        <w:t xml:space="preserve">– </w:t>
      </w:r>
      <w:r>
        <w:rPr>
          <w:i/>
        </w:rPr>
        <w:t>The market outcome is not predictable.</w:t>
      </w:r>
      <w:r>
        <w:t xml:space="preserve"> The mean orange share is 0.51, as expected from the symmetry of the baseline (equal qualities and initial shares), but the SD between runs is 0.25. In 90% of the runs the orange share lies between 0.11 and 0.92. Orange holds the majority in 50.5% of the runs and blue in 47.4% (ties: 2.1%). Only 27% of the runs end with shares between 0.40 and 0.60, and 10.8% end with one product at 90% or more.</w:t>
      </w:r>
    </w:p>
    <w:p>
      <w:pPr>
        <w:pStyle w:val="Normal"/>
        <w:ind w:left="283" w:hanging="198"/>
      </w:pPr>
      <w:r>
        <w:t xml:space="preserve">– </w:t>
      </w:r>
      <w:r>
        <w:rPr>
          <w:i/>
        </w:rPr>
        <w:t>The mean share is not informative; the dispersion is.</w:t>
      </w:r>
      <w:r>
        <w:t xml:space="preserve"> With identical products, the result of a run depends on early random events that are amplified by the norm and by information exchange. The relevant statistic for the baseline is therefore the distribution of shares (Fig. 1c), not its mean.</w:t>
      </w:r>
    </w:p>
    <w:p>
      <w:pPr>
        <w:pStyle w:val="tabletitle"/>
        <w:keepNext/>
      </w:pPr>
      <w:r>
        <w:rPr>
          <w:b/>
        </w:rPr>
        <w:t xml:space="preserve">Table 8. </w:t>
      </w:r>
      <w:r>
        <w:t>Mean and SD of the outputs over time (baseline).</w:t>
      </w:r>
    </w:p>
    <w:tbl>
      <w:tblPr>
        <w:tblW w:w="6917" w:type="dxa"/>
        <w:jc w:val="center"/>
        <w:tblLayout w:type="fixed"/>
        <w:tblLook w:firstColumn="1" w:firstRow="1" w:lastColumn="0" w:lastRow="0" w:noHBand="0" w:noVBand="1" w:val="04A0"/>
      </w:tblPr>
      <w:tblGrid>
        <w:gridCol w:w="794"/>
        <w:gridCol w:w="1531"/>
        <w:gridCol w:w="1531"/>
        <w:gridCol w:w="1531"/>
        <w:gridCol w:w="1531"/>
      </w:tblGrid>
      <w:tr>
        <w:tc>
          <w:tcPr>
            <w:tcW w:type="dxa" w:w="794"/>
            <w:tcBorders>
              <w:top w:val="single" w:sz="8" w:color="000000"/>
              <w:bottom w:val="single" w:sz="4" w:color="000000"/>
            </w:tcBorders>
          </w:tcPr>
          <w:p>
            <w:pPr>
              <w:pStyle w:val="Normal"/>
              <w:spacing w:before="20" w:after="20" w:line="240" w:lineRule="auto"/>
              <w:ind w:firstLine="0"/>
              <w:jc w:val="left"/>
            </w:pPr>
            <w:r>
              <w:rPr>
                <w:b/>
                <w:sz w:val="15"/>
              </w:rPr>
              <w:t>Tick</w:t>
            </w:r>
          </w:p>
        </w:tc>
        <w:tc>
          <w:tcPr>
            <w:tcW w:type="dxa" w:w="1531"/>
            <w:tcBorders>
              <w:top w:val="single" w:sz="8" w:color="000000"/>
              <w:bottom w:val="single" w:sz="4" w:color="000000"/>
            </w:tcBorders>
          </w:tcPr>
          <w:p>
            <w:pPr>
              <w:pStyle w:val="Normal"/>
              <w:spacing w:before="20" w:after="20" w:line="240" w:lineRule="auto"/>
              <w:ind w:firstLine="0"/>
              <w:jc w:val="right"/>
            </w:pPr>
            <w:r>
              <w:rPr>
                <w:b/>
                <w:sz w:val="15"/>
              </w:rPr>
              <w:t>Clustering (mean)</w:t>
            </w:r>
          </w:p>
        </w:tc>
        <w:tc>
          <w:tcPr>
            <w:tcW w:type="dxa" w:w="1531"/>
            <w:tcBorders>
              <w:top w:val="single" w:sz="8" w:color="000000"/>
              <w:bottom w:val="single" w:sz="4" w:color="000000"/>
            </w:tcBorders>
          </w:tcPr>
          <w:p>
            <w:pPr>
              <w:pStyle w:val="Normal"/>
              <w:spacing w:before="20" w:after="20" w:line="240" w:lineRule="auto"/>
              <w:ind w:firstLine="0"/>
              <w:jc w:val="right"/>
            </w:pPr>
            <w:r>
              <w:rPr>
                <w:b/>
                <w:sz w:val="15"/>
              </w:rPr>
              <w:t>Clustering (SD)</w:t>
            </w:r>
          </w:p>
        </w:tc>
        <w:tc>
          <w:tcPr>
            <w:tcW w:type="dxa" w:w="1531"/>
            <w:tcBorders>
              <w:top w:val="single" w:sz="8" w:color="000000"/>
              <w:bottom w:val="single" w:sz="4" w:color="000000"/>
            </w:tcBorders>
          </w:tcPr>
          <w:p>
            <w:pPr>
              <w:pStyle w:val="Normal"/>
              <w:spacing w:before="20" w:after="20" w:line="240" w:lineRule="auto"/>
              <w:ind w:firstLine="0"/>
              <w:jc w:val="right"/>
            </w:pPr>
            <w:r>
              <w:rPr>
                <w:b/>
                <w:sz w:val="15"/>
              </w:rPr>
              <w:t>Orange share (mean)</w:t>
            </w:r>
          </w:p>
        </w:tc>
        <w:tc>
          <w:tcPr>
            <w:tcW w:type="dxa" w:w="1531"/>
            <w:tcBorders>
              <w:top w:val="single" w:sz="8" w:color="000000"/>
              <w:bottom w:val="single" w:sz="4" w:color="000000"/>
            </w:tcBorders>
          </w:tcPr>
          <w:p>
            <w:pPr>
              <w:pStyle w:val="Normal"/>
              <w:spacing w:before="20" w:after="20" w:line="240" w:lineRule="auto"/>
              <w:ind w:firstLine="0"/>
              <w:jc w:val="right"/>
            </w:pPr>
            <w:r>
              <w:rPr>
                <w:b/>
                <w:sz w:val="15"/>
              </w:rPr>
              <w:t>Orange share (SD)</w:t>
            </w:r>
          </w:p>
        </w:tc>
      </w:tr>
      <w:tr>
        <w:tc>
          <w:tcPr>
            <w:tcW w:type="dxa" w:w="794"/>
          </w:tcPr>
          <w:p>
            <w:pPr>
              <w:pStyle w:val="Normal"/>
              <w:spacing w:before="20" w:after="20" w:line="240" w:lineRule="auto"/>
              <w:ind w:firstLine="0"/>
              <w:jc w:val="left"/>
            </w:pPr>
            <w:r>
              <w:rPr>
                <w:sz w:val="15"/>
              </w:rPr>
              <w:t>0</w:t>
            </w:r>
          </w:p>
        </w:tc>
        <w:tc>
          <w:tcPr>
            <w:tcW w:type="dxa" w:w="1531"/>
          </w:tcPr>
          <w:p>
            <w:pPr>
              <w:pStyle w:val="Normal"/>
              <w:spacing w:before="20" w:after="20" w:line="240" w:lineRule="auto"/>
              <w:ind w:firstLine="0"/>
              <w:jc w:val="right"/>
            </w:pPr>
            <w:r>
              <w:rPr>
                <w:sz w:val="15"/>
              </w:rPr>
              <w:t>0.499</w:t>
            </w:r>
          </w:p>
        </w:tc>
        <w:tc>
          <w:tcPr>
            <w:tcW w:type="dxa" w:w="1531"/>
          </w:tcPr>
          <w:p>
            <w:pPr>
              <w:pStyle w:val="Normal"/>
              <w:spacing w:before="20" w:after="20" w:line="240" w:lineRule="auto"/>
              <w:ind w:firstLine="0"/>
              <w:jc w:val="right"/>
            </w:pPr>
            <w:r>
              <w:rPr>
                <w:sz w:val="15"/>
              </w:rPr>
              <w:t>0.033</w:t>
            </w:r>
          </w:p>
        </w:tc>
        <w:tc>
          <w:tcPr>
            <w:tcW w:type="dxa" w:w="1531"/>
          </w:tcPr>
          <w:p>
            <w:pPr>
              <w:pStyle w:val="Normal"/>
              <w:spacing w:before="20" w:after="20" w:line="240" w:lineRule="auto"/>
              <w:ind w:firstLine="0"/>
              <w:jc w:val="right"/>
            </w:pPr>
            <w:r>
              <w:rPr>
                <w:sz w:val="15"/>
              </w:rPr>
              <w:t>0.503</w:t>
            </w:r>
          </w:p>
        </w:tc>
        <w:tc>
          <w:tcPr>
            <w:tcW w:type="dxa" w:w="1531"/>
          </w:tcPr>
          <w:p>
            <w:pPr>
              <w:pStyle w:val="Normal"/>
              <w:spacing w:before="20" w:after="20" w:line="240" w:lineRule="auto"/>
              <w:ind w:firstLine="0"/>
              <w:jc w:val="right"/>
            </w:pPr>
            <w:r>
              <w:rPr>
                <w:sz w:val="15"/>
              </w:rPr>
              <w:t>0.051</w:t>
            </w:r>
          </w:p>
        </w:tc>
      </w:tr>
      <w:tr>
        <w:tc>
          <w:tcPr>
            <w:tcW w:type="dxa" w:w="794"/>
          </w:tcPr>
          <w:p>
            <w:pPr>
              <w:pStyle w:val="Normal"/>
              <w:spacing w:before="20" w:after="20" w:line="240" w:lineRule="auto"/>
              <w:ind w:firstLine="0"/>
              <w:jc w:val="left"/>
            </w:pPr>
            <w:r>
              <w:rPr>
                <w:sz w:val="15"/>
              </w:rPr>
              <w:t>100</w:t>
            </w:r>
          </w:p>
        </w:tc>
        <w:tc>
          <w:tcPr>
            <w:tcW w:type="dxa" w:w="1531"/>
          </w:tcPr>
          <w:p>
            <w:pPr>
              <w:pStyle w:val="Normal"/>
              <w:spacing w:before="20" w:after="20" w:line="240" w:lineRule="auto"/>
              <w:ind w:firstLine="0"/>
              <w:jc w:val="right"/>
            </w:pPr>
            <w:r>
              <w:rPr>
                <w:sz w:val="15"/>
              </w:rPr>
              <w:t>0.779</w:t>
            </w:r>
          </w:p>
        </w:tc>
        <w:tc>
          <w:tcPr>
            <w:tcW w:type="dxa" w:w="1531"/>
          </w:tcPr>
          <w:p>
            <w:pPr>
              <w:pStyle w:val="Normal"/>
              <w:spacing w:before="20" w:after="20" w:line="240" w:lineRule="auto"/>
              <w:ind w:firstLine="0"/>
              <w:jc w:val="right"/>
            </w:pPr>
            <w:r>
              <w:rPr>
                <w:sz w:val="15"/>
              </w:rPr>
              <w:t>0.043</w:t>
            </w:r>
          </w:p>
        </w:tc>
        <w:tc>
          <w:tcPr>
            <w:tcW w:type="dxa" w:w="1531"/>
          </w:tcPr>
          <w:p>
            <w:pPr>
              <w:pStyle w:val="Normal"/>
              <w:spacing w:before="20" w:after="20" w:line="240" w:lineRule="auto"/>
              <w:ind w:firstLine="0"/>
              <w:jc w:val="right"/>
            </w:pPr>
            <w:r>
              <w:rPr>
                <w:sz w:val="15"/>
              </w:rPr>
              <w:t>0.505</w:t>
            </w:r>
          </w:p>
        </w:tc>
        <w:tc>
          <w:tcPr>
            <w:tcW w:type="dxa" w:w="1531"/>
          </w:tcPr>
          <w:p>
            <w:pPr>
              <w:pStyle w:val="Normal"/>
              <w:spacing w:before="20" w:after="20" w:line="240" w:lineRule="auto"/>
              <w:ind w:firstLine="0"/>
              <w:jc w:val="right"/>
            </w:pPr>
            <w:r>
              <w:rPr>
                <w:sz w:val="15"/>
              </w:rPr>
              <w:t>0.128</w:t>
            </w:r>
          </w:p>
        </w:tc>
      </w:tr>
      <w:tr>
        <w:tc>
          <w:tcPr>
            <w:tcW w:type="dxa" w:w="794"/>
          </w:tcPr>
          <w:p>
            <w:pPr>
              <w:pStyle w:val="Normal"/>
              <w:spacing w:before="20" w:after="20" w:line="240" w:lineRule="auto"/>
              <w:ind w:firstLine="0"/>
              <w:jc w:val="left"/>
            </w:pPr>
            <w:r>
              <w:rPr>
                <w:sz w:val="15"/>
              </w:rPr>
              <w:t>250</w:t>
            </w:r>
          </w:p>
        </w:tc>
        <w:tc>
          <w:tcPr>
            <w:tcW w:type="dxa" w:w="1531"/>
          </w:tcPr>
          <w:p>
            <w:pPr>
              <w:pStyle w:val="Normal"/>
              <w:spacing w:before="20" w:after="20" w:line="240" w:lineRule="auto"/>
              <w:ind w:firstLine="0"/>
              <w:jc w:val="right"/>
            </w:pPr>
            <w:r>
              <w:rPr>
                <w:sz w:val="15"/>
              </w:rPr>
              <w:t>0.887</w:t>
            </w:r>
          </w:p>
        </w:tc>
        <w:tc>
          <w:tcPr>
            <w:tcW w:type="dxa" w:w="1531"/>
          </w:tcPr>
          <w:p>
            <w:pPr>
              <w:pStyle w:val="Normal"/>
              <w:spacing w:before="20" w:after="20" w:line="240" w:lineRule="auto"/>
              <w:ind w:firstLine="0"/>
              <w:jc w:val="right"/>
            </w:pPr>
            <w:r>
              <w:rPr>
                <w:sz w:val="15"/>
              </w:rPr>
              <w:t>0.036</w:t>
            </w:r>
          </w:p>
        </w:tc>
        <w:tc>
          <w:tcPr>
            <w:tcW w:type="dxa" w:w="1531"/>
          </w:tcPr>
          <w:p>
            <w:pPr>
              <w:pStyle w:val="Normal"/>
              <w:spacing w:before="20" w:after="20" w:line="240" w:lineRule="auto"/>
              <w:ind w:firstLine="0"/>
              <w:jc w:val="right"/>
            </w:pPr>
            <w:r>
              <w:rPr>
                <w:sz w:val="15"/>
              </w:rPr>
              <w:t>0.507</w:t>
            </w:r>
          </w:p>
        </w:tc>
        <w:tc>
          <w:tcPr>
            <w:tcW w:type="dxa" w:w="1531"/>
          </w:tcPr>
          <w:p>
            <w:pPr>
              <w:pStyle w:val="Normal"/>
              <w:spacing w:before="20" w:after="20" w:line="240" w:lineRule="auto"/>
              <w:ind w:firstLine="0"/>
              <w:jc w:val="right"/>
            </w:pPr>
            <w:r>
              <w:rPr>
                <w:sz w:val="15"/>
              </w:rPr>
              <w:t>0.176</w:t>
            </w:r>
          </w:p>
        </w:tc>
      </w:tr>
      <w:tr>
        <w:tc>
          <w:tcPr>
            <w:tcW w:type="dxa" w:w="794"/>
          </w:tcPr>
          <w:p>
            <w:pPr>
              <w:pStyle w:val="Normal"/>
              <w:spacing w:before="20" w:after="20" w:line="240" w:lineRule="auto"/>
              <w:ind w:firstLine="0"/>
              <w:jc w:val="left"/>
            </w:pPr>
            <w:r>
              <w:rPr>
                <w:sz w:val="15"/>
              </w:rPr>
              <w:t>500</w:t>
            </w:r>
          </w:p>
        </w:tc>
        <w:tc>
          <w:tcPr>
            <w:tcW w:type="dxa" w:w="1531"/>
          </w:tcPr>
          <w:p>
            <w:pPr>
              <w:pStyle w:val="Normal"/>
              <w:spacing w:before="20" w:after="20" w:line="240" w:lineRule="auto"/>
              <w:ind w:firstLine="0"/>
              <w:jc w:val="right"/>
            </w:pPr>
            <w:r>
              <w:rPr>
                <w:sz w:val="15"/>
              </w:rPr>
              <w:t>0.919</w:t>
            </w:r>
          </w:p>
        </w:tc>
        <w:tc>
          <w:tcPr>
            <w:tcW w:type="dxa" w:w="1531"/>
          </w:tcPr>
          <w:p>
            <w:pPr>
              <w:pStyle w:val="Normal"/>
              <w:spacing w:before="20" w:after="20" w:line="240" w:lineRule="auto"/>
              <w:ind w:firstLine="0"/>
              <w:jc w:val="right"/>
            </w:pPr>
            <w:r>
              <w:rPr>
                <w:sz w:val="15"/>
              </w:rPr>
              <w:t>0.031</w:t>
            </w:r>
          </w:p>
        </w:tc>
        <w:tc>
          <w:tcPr>
            <w:tcW w:type="dxa" w:w="1531"/>
          </w:tcPr>
          <w:p>
            <w:pPr>
              <w:pStyle w:val="Normal"/>
              <w:spacing w:before="20" w:after="20" w:line="240" w:lineRule="auto"/>
              <w:ind w:firstLine="0"/>
              <w:jc w:val="right"/>
            </w:pPr>
            <w:r>
              <w:rPr>
                <w:sz w:val="15"/>
              </w:rPr>
              <w:t>0.510</w:t>
            </w:r>
          </w:p>
        </w:tc>
        <w:tc>
          <w:tcPr>
            <w:tcW w:type="dxa" w:w="1531"/>
          </w:tcPr>
          <w:p>
            <w:pPr>
              <w:pStyle w:val="Normal"/>
              <w:spacing w:before="20" w:after="20" w:line="240" w:lineRule="auto"/>
              <w:ind w:firstLine="0"/>
              <w:jc w:val="right"/>
            </w:pPr>
            <w:r>
              <w:rPr>
                <w:sz w:val="15"/>
              </w:rPr>
              <w:t>0.210</w:t>
            </w:r>
          </w:p>
        </w:tc>
      </w:tr>
      <w:tr>
        <w:tc>
          <w:tcPr>
            <w:tcW w:type="dxa" w:w="794"/>
          </w:tcPr>
          <w:p>
            <w:pPr>
              <w:pStyle w:val="Normal"/>
              <w:spacing w:before="20" w:after="20" w:line="240" w:lineRule="auto"/>
              <w:ind w:firstLine="0"/>
              <w:jc w:val="left"/>
            </w:pPr>
            <w:r>
              <w:rPr>
                <w:sz w:val="15"/>
              </w:rPr>
              <w:t>750</w:t>
            </w:r>
          </w:p>
        </w:tc>
        <w:tc>
          <w:tcPr>
            <w:tcW w:type="dxa" w:w="1531"/>
          </w:tcPr>
          <w:p>
            <w:pPr>
              <w:pStyle w:val="Normal"/>
              <w:spacing w:before="20" w:after="20" w:line="240" w:lineRule="auto"/>
              <w:ind w:firstLine="0"/>
              <w:jc w:val="right"/>
            </w:pPr>
            <w:r>
              <w:rPr>
                <w:sz w:val="15"/>
              </w:rPr>
              <w:t>0.931</w:t>
            </w:r>
          </w:p>
        </w:tc>
        <w:tc>
          <w:tcPr>
            <w:tcW w:type="dxa" w:w="1531"/>
          </w:tcPr>
          <w:p>
            <w:pPr>
              <w:pStyle w:val="Normal"/>
              <w:spacing w:before="20" w:after="20" w:line="240" w:lineRule="auto"/>
              <w:ind w:firstLine="0"/>
              <w:jc w:val="right"/>
            </w:pPr>
            <w:r>
              <w:rPr>
                <w:sz w:val="15"/>
              </w:rPr>
              <w:t>0.032</w:t>
            </w:r>
          </w:p>
        </w:tc>
        <w:tc>
          <w:tcPr>
            <w:tcW w:type="dxa" w:w="1531"/>
          </w:tcPr>
          <w:p>
            <w:pPr>
              <w:pStyle w:val="Normal"/>
              <w:spacing w:before="20" w:after="20" w:line="240" w:lineRule="auto"/>
              <w:ind w:firstLine="0"/>
              <w:jc w:val="right"/>
            </w:pPr>
            <w:r>
              <w:rPr>
                <w:sz w:val="15"/>
              </w:rPr>
              <w:t>0.509</w:t>
            </w:r>
          </w:p>
        </w:tc>
        <w:tc>
          <w:tcPr>
            <w:tcW w:type="dxa" w:w="1531"/>
          </w:tcPr>
          <w:p>
            <w:pPr>
              <w:pStyle w:val="Normal"/>
              <w:spacing w:before="20" w:after="20" w:line="240" w:lineRule="auto"/>
              <w:ind w:firstLine="0"/>
              <w:jc w:val="right"/>
            </w:pPr>
            <w:r>
              <w:rPr>
                <w:sz w:val="15"/>
              </w:rPr>
              <w:t>0.235</w:t>
            </w:r>
          </w:p>
        </w:tc>
      </w:tr>
      <w:tr>
        <w:tc>
          <w:tcPr>
            <w:tcW w:type="dxa" w:w="794"/>
          </w:tcPr>
          <w:p>
            <w:pPr>
              <w:pStyle w:val="Normal"/>
              <w:spacing w:before="20" w:after="20" w:line="240" w:lineRule="auto"/>
              <w:ind w:firstLine="0"/>
              <w:jc w:val="left"/>
            </w:pPr>
            <w:r>
              <w:rPr>
                <w:sz w:val="15"/>
              </w:rPr>
              <w:t>1000</w:t>
            </w:r>
          </w:p>
        </w:tc>
        <w:tc>
          <w:tcPr>
            <w:tcW w:type="dxa" w:w="1531"/>
          </w:tcPr>
          <w:p>
            <w:pPr>
              <w:pStyle w:val="Normal"/>
              <w:spacing w:before="20" w:after="20" w:line="240" w:lineRule="auto"/>
              <w:ind w:firstLine="0"/>
              <w:jc w:val="right"/>
            </w:pPr>
            <w:r>
              <w:rPr>
                <w:sz w:val="15"/>
              </w:rPr>
              <w:t>0.937</w:t>
            </w:r>
          </w:p>
        </w:tc>
        <w:tc>
          <w:tcPr>
            <w:tcW w:type="dxa" w:w="1531"/>
          </w:tcPr>
          <w:p>
            <w:pPr>
              <w:pStyle w:val="Normal"/>
              <w:spacing w:before="20" w:after="20" w:line="240" w:lineRule="auto"/>
              <w:ind w:firstLine="0"/>
              <w:jc w:val="right"/>
            </w:pPr>
            <w:r>
              <w:rPr>
                <w:sz w:val="15"/>
              </w:rPr>
              <w:t>0.031</w:t>
            </w:r>
          </w:p>
        </w:tc>
        <w:tc>
          <w:tcPr>
            <w:tcW w:type="dxa" w:w="1531"/>
          </w:tcPr>
          <w:p>
            <w:pPr>
              <w:pStyle w:val="Normal"/>
              <w:spacing w:before="20" w:after="20" w:line="240" w:lineRule="auto"/>
              <w:ind w:firstLine="0"/>
              <w:jc w:val="right"/>
            </w:pPr>
            <w:r>
              <w:rPr>
                <w:sz w:val="15"/>
              </w:rPr>
              <w:t>0.506</w:t>
            </w:r>
          </w:p>
        </w:tc>
        <w:tc>
          <w:tcPr>
            <w:tcW w:type="dxa" w:w="1531"/>
          </w:tcPr>
          <w:p>
            <w:pPr>
              <w:pStyle w:val="Normal"/>
              <w:spacing w:before="20" w:after="20" w:line="240" w:lineRule="auto"/>
              <w:ind w:firstLine="0"/>
              <w:jc w:val="right"/>
            </w:pPr>
            <w:r>
              <w:rPr>
                <w:sz w:val="15"/>
              </w:rPr>
              <w:t>0.252</w:t>
            </w:r>
          </w:p>
        </w:tc>
      </w:tr>
      <w:tr>
        <w:tc>
          <w:tcPr>
            <w:tcW w:type="dxa" w:w="794"/>
          </w:tcPr>
          <w:p>
            <w:pPr>
              <w:pStyle w:val="Normal"/>
              <w:spacing w:before="20" w:after="20" w:line="240" w:lineRule="auto"/>
              <w:ind w:firstLine="0"/>
              <w:jc w:val="left"/>
            </w:pPr>
            <w:r>
              <w:rPr>
                <w:sz w:val="15"/>
              </w:rPr>
              <w:t>1500</w:t>
            </w:r>
          </w:p>
        </w:tc>
        <w:tc>
          <w:tcPr>
            <w:tcW w:type="dxa" w:w="1531"/>
          </w:tcPr>
          <w:p>
            <w:pPr>
              <w:pStyle w:val="Normal"/>
              <w:spacing w:before="20" w:after="20" w:line="240" w:lineRule="auto"/>
              <w:ind w:firstLine="0"/>
              <w:jc w:val="right"/>
            </w:pPr>
            <w:r>
              <w:rPr>
                <w:sz w:val="15"/>
              </w:rPr>
              <w:t>0.944</w:t>
            </w:r>
          </w:p>
        </w:tc>
        <w:tc>
          <w:tcPr>
            <w:tcW w:type="dxa" w:w="1531"/>
          </w:tcPr>
          <w:p>
            <w:pPr>
              <w:pStyle w:val="Normal"/>
              <w:spacing w:before="20" w:after="20" w:line="240" w:lineRule="auto"/>
              <w:ind w:firstLine="0"/>
              <w:jc w:val="right"/>
            </w:pPr>
            <w:r>
              <w:rPr>
                <w:sz w:val="15"/>
              </w:rPr>
              <w:t>0.028</w:t>
            </w:r>
          </w:p>
        </w:tc>
        <w:tc>
          <w:tcPr>
            <w:tcW w:type="dxa" w:w="1531"/>
          </w:tcPr>
          <w:p>
            <w:pPr>
              <w:pStyle w:val="Normal"/>
              <w:spacing w:before="20" w:after="20" w:line="240" w:lineRule="auto"/>
              <w:ind w:firstLine="0"/>
              <w:jc w:val="right"/>
            </w:pPr>
            <w:r>
              <w:rPr>
                <w:sz w:val="15"/>
              </w:rPr>
              <w:t>0.510</w:t>
            </w:r>
          </w:p>
        </w:tc>
        <w:tc>
          <w:tcPr>
            <w:tcW w:type="dxa" w:w="1531"/>
          </w:tcPr>
          <w:p>
            <w:pPr>
              <w:pStyle w:val="Normal"/>
              <w:spacing w:before="20" w:after="20" w:line="240" w:lineRule="auto"/>
              <w:ind w:firstLine="0"/>
              <w:jc w:val="right"/>
            </w:pPr>
            <w:r>
              <w:rPr>
                <w:sz w:val="15"/>
              </w:rPr>
              <w:t>0.274</w:t>
            </w:r>
          </w:p>
        </w:tc>
      </w:tr>
      <w:tr>
        <w:tc>
          <w:tcPr>
            <w:tcW w:type="dxa" w:w="794"/>
            <w:tcBorders>
              <w:bottom w:val="single" w:sz="8" w:color="000000"/>
            </w:tcBorders>
          </w:tcPr>
          <w:p>
            <w:pPr>
              <w:pStyle w:val="Normal"/>
              <w:spacing w:before="20" w:after="20" w:line="240" w:lineRule="auto"/>
              <w:ind w:firstLine="0"/>
              <w:jc w:val="left"/>
            </w:pPr>
            <w:r>
              <w:rPr>
                <w:sz w:val="15"/>
              </w:rPr>
              <w:t>2000</w:t>
            </w:r>
          </w:p>
        </w:tc>
        <w:tc>
          <w:tcPr>
            <w:tcW w:type="dxa" w:w="1531"/>
            <w:tcBorders>
              <w:bottom w:val="single" w:sz="8" w:color="000000"/>
            </w:tcBorders>
          </w:tcPr>
          <w:p>
            <w:pPr>
              <w:pStyle w:val="Normal"/>
              <w:spacing w:before="20" w:after="20" w:line="240" w:lineRule="auto"/>
              <w:ind w:firstLine="0"/>
              <w:jc w:val="right"/>
            </w:pPr>
            <w:r>
              <w:rPr>
                <w:sz w:val="15"/>
              </w:rPr>
              <w:t>0.948</w:t>
            </w:r>
          </w:p>
        </w:tc>
        <w:tc>
          <w:tcPr>
            <w:tcW w:type="dxa" w:w="1531"/>
            <w:tcBorders>
              <w:bottom w:val="single" w:sz="8" w:color="000000"/>
            </w:tcBorders>
          </w:tcPr>
          <w:p>
            <w:pPr>
              <w:pStyle w:val="Normal"/>
              <w:spacing w:before="20" w:after="20" w:line="240" w:lineRule="auto"/>
              <w:ind w:firstLine="0"/>
              <w:jc w:val="right"/>
            </w:pPr>
            <w:r>
              <w:rPr>
                <w:sz w:val="15"/>
              </w:rPr>
              <w:t>0.031</w:t>
            </w:r>
          </w:p>
        </w:tc>
        <w:tc>
          <w:tcPr>
            <w:tcW w:type="dxa" w:w="1531"/>
            <w:tcBorders>
              <w:bottom w:val="single" w:sz="8" w:color="000000"/>
            </w:tcBorders>
          </w:tcPr>
          <w:p>
            <w:pPr>
              <w:pStyle w:val="Normal"/>
              <w:spacing w:before="20" w:after="20" w:line="240" w:lineRule="auto"/>
              <w:ind w:firstLine="0"/>
              <w:jc w:val="right"/>
            </w:pPr>
            <w:r>
              <w:rPr>
                <w:sz w:val="15"/>
              </w:rPr>
              <w:t>0.511</w:t>
            </w:r>
          </w:p>
        </w:tc>
        <w:tc>
          <w:tcPr>
            <w:tcW w:type="dxa" w:w="1531"/>
            <w:tcBorders>
              <w:bottom w:val="single" w:sz="8" w:color="000000"/>
            </w:tcBorders>
          </w:tcPr>
          <w:p>
            <w:pPr>
              <w:pStyle w:val="Normal"/>
              <w:spacing w:before="20" w:after="20" w:line="240" w:lineRule="auto"/>
              <w:ind w:firstLine="0"/>
              <w:jc w:val="right"/>
            </w:pPr>
            <w:r>
              <w:rPr>
                <w:sz w:val="15"/>
              </w:rPr>
              <w:t>0.291</w:t>
            </w:r>
          </w:p>
        </w:tc>
      </w:tr>
    </w:tbl>
    <w:p>
      <w:pPr>
        <w:pStyle w:val="Normal"/>
        <w:spacing w:after="0"/>
      </w:pPr>
    </w:p>
    <w:p>
      <w:pPr>
        <w:pStyle w:val="Normal"/>
        <w:keepNext/>
        <w:ind w:firstLine="0"/>
        <w:jc w:val="center"/>
      </w:pPr>
      <w:r>
        <w:drawing>
          <wp:inline xmlns:a="http://schemas.openxmlformats.org/drawingml/2006/main" xmlns:pic="http://schemas.openxmlformats.org/drawingml/2006/picture">
            <wp:extent cx="4392000" cy="1541807"/>
            <wp:docPr id="2" name="Picture 2"/>
            <wp:cNvGraphicFramePr>
              <a:graphicFrameLocks noChangeAspect="1"/>
            </wp:cNvGraphicFramePr>
            <a:graphic>
              <a:graphicData uri="http://schemas.openxmlformats.org/drawingml/2006/picture">
                <pic:pic>
                  <pic:nvPicPr>
                    <pic:cNvPr id="0" name="fig2_number_of_runs.png"/>
                    <pic:cNvPicPr/>
                  </pic:nvPicPr>
                  <pic:blipFill>
                    <a:blip r:embed="rId14"/>
                    <a:stretch>
                      <a:fillRect/>
                    </a:stretch>
                  </pic:blipFill>
                  <pic:spPr>
                    <a:xfrm>
                      <a:off x="0" y="0"/>
                      <a:ext cx="4392000" cy="1541807"/>
                    </a:xfrm>
                    <a:prstGeom prst="rect"/>
                  </pic:spPr>
                </pic:pic>
              </a:graphicData>
            </a:graphic>
          </wp:inline>
        </w:drawing>
      </w:r>
    </w:p>
    <w:p>
      <w:pPr>
        <w:pStyle w:val="figurelegend"/>
        <w:keepNext w:val="0"/>
      </w:pPr>
      <w:r>
        <w:rPr>
          <w:b/>
        </w:rPr>
        <w:t xml:space="preserve">Fig. 2. </w:t>
      </w:r>
      <w:r>
        <w:t>Mean of the outputs at tick 1000 as a function of the number of runs, with the 95% confidence interval. (a) Orange market share. (b) Clustering.</w:t>
      </w:r>
    </w:p>
    <w:p>
      <w:pPr>
        <w:pStyle w:val="heading21"/>
      </w:pPr>
      <w:r>
        <w:t>3.3   Sensitivity Analysis</w:t>
      </w:r>
    </w:p>
    <w:p>
      <w:pPr>
        <w:pStyle w:val="p1a"/>
      </w:pPr>
      <w:r>
        <w:t>The sensitivity analysis varies one parameter at a time, with all other parameters at the baseline. Figures 3 to 5 show the distribution of the orange share and the mean clustering at tick 1000, and Tables 9 to 11 report the statistics.</w:t>
      </w:r>
    </w:p>
    <w:p>
      <w:pPr>
        <w:pStyle w:val="heading31"/>
      </w:pPr>
      <w:r>
        <w:rPr>
          <w:b/>
        </w:rPr>
        <w:t xml:space="preserve">Social Norm. </w:t>
      </w:r>
      <w:r>
        <w:rPr>
          <w:b w:val="0"/>
        </w:rPr>
        <w:t>Without norm (</w:t>
      </w:r>
      <w:r>
        <w:rPr>
          <w:rFonts w:ascii="Courier New" w:hAnsi="Courier New"/>
          <w:b w:val="0"/>
          <w:sz w:val="17"/>
        </w:rPr>
        <w:t>norm_influence</w:t>
      </w:r>
      <w:r>
        <w:rPr>
          <w:b w:val="0"/>
        </w:rPr>
        <w:t xml:space="preserve"> = 0), mean clustering is 0.54, close to the value of independent choices, and the orange share stays near 0.5 (SD 0.07). With </w:t>
      </w:r>
      <w:r>
        <w:rPr>
          <w:rFonts w:ascii="Courier New" w:hAnsi="Courier New"/>
          <w:b w:val="0"/>
          <w:sz w:val="17"/>
        </w:rPr>
        <w:t>norm_influence</w:t>
      </w:r>
      <w:r>
        <w:rPr>
          <w:b w:val="0"/>
        </w:rPr>
        <w:t xml:space="preserve"> = 0.1, mean clustering is 0.94 and the SD of the orange share is 0.24. Above 0.1 both values change little (clustering between 0.94 and 0.95). The effect of the norm is a threshold, not a gradual effect. The reason is visible in the utility function. With both qualities equal to </w:t>
      </w:r>
      <w:r>
        <w:rPr>
          <w:b w:val="0"/>
          <w:i/>
        </w:rPr>
        <w:t>q</w:t>
      </w:r>
      <w:r>
        <w:rPr>
          <w:b w:val="0"/>
        </w:rPr>
        <w:t xml:space="preserve">, the product utility of a consumer can only take the values 0, </w:t>
      </w:r>
      <w:r>
        <w:rPr>
          <w:b w:val="0"/>
          <w:i/>
        </w:rPr>
        <w:t>q</w:t>
      </w:r>
      <w:r>
        <w:rPr>
          <w:b w:val="0"/>
        </w:rPr>
        <w:t xml:space="preserve">/2 and </w:t>
      </w:r>
      <w:r>
        <w:rPr>
          <w:b w:val="0"/>
          <w:i/>
        </w:rPr>
        <w:t>q</w:t>
      </w:r>
      <w:r>
        <w:rPr>
          <w:b w:val="0"/>
        </w:rPr>
        <w:t xml:space="preserve">, so the difference between the two products is either 0 or at least </w:t>
      </w:r>
      <w:r>
        <w:rPr>
          <w:b w:val="0"/>
          <w:i/>
        </w:rPr>
        <w:t>q</w:t>
      </w:r>
      <w:r>
        <w:rPr>
          <w:b w:val="0"/>
        </w:rPr>
        <w:t xml:space="preserve">/2. The norm can reverse a non-zero difference only if </w:t>
      </w:r>
      <w:r>
        <w:rPr>
          <w:b w:val="0"/>
          <w:i/>
        </w:rPr>
        <w:t>w</w:t>
      </w:r>
      <w:r>
        <w:rPr>
          <w:b w:val="0"/>
        </w:rPr>
        <w:t xml:space="preserve"> / (1 − </w:t>
      </w:r>
      <w:r>
        <w:rPr>
          <w:b w:val="0"/>
          <w:i/>
        </w:rPr>
        <w:t>w</w:t>
      </w:r>
      <w:r>
        <w:rPr>
          <w:b w:val="0"/>
        </w:rPr>
        <w:t xml:space="preserve">) &gt; </w:t>
      </w:r>
      <w:r>
        <w:rPr>
          <w:b w:val="0"/>
          <w:i/>
        </w:rPr>
        <w:t>q</w:t>
      </w:r>
      <w:r>
        <w:rPr>
          <w:b w:val="0"/>
        </w:rPr>
        <w:t xml:space="preserve">/2, that is, </w:t>
      </w:r>
      <w:r>
        <w:rPr>
          <w:b w:val="0"/>
          <w:i/>
        </w:rPr>
        <w:t>w</w:t>
      </w:r>
      <w:r>
        <w:rPr>
          <w:b w:val="0"/>
        </w:rPr>
        <w:t xml:space="preserve"> &gt; </w:t>
      </w:r>
      <w:r>
        <w:rPr>
          <w:b w:val="0"/>
          <w:i/>
        </w:rPr>
        <w:t>q</w:t>
      </w:r>
      <w:r>
        <w:rPr>
          <w:b w:val="0"/>
        </w:rPr>
        <w:t xml:space="preserve"> / (2 + </w:t>
      </w:r>
      <w:r>
        <w:rPr>
          <w:b w:val="0"/>
          <w:i/>
        </w:rPr>
        <w:t>q</w:t>
      </w:r>
      <w:r>
        <w:rPr>
          <w:b w:val="0"/>
        </w:rPr>
        <w:t xml:space="preserve">) = 0.2 for </w:t>
      </w:r>
      <w:r>
        <w:rPr>
          <w:b w:val="0"/>
          <w:i/>
        </w:rPr>
        <w:t>q</w:t>
      </w:r>
      <w:r>
        <w:rPr>
          <w:b w:val="0"/>
        </w:rPr>
        <w:t xml:space="preserve"> = 0.5. For </w:t>
      </w:r>
      <w:r>
        <w:rPr>
          <w:b w:val="0"/>
          <w:i/>
        </w:rPr>
        <w:t>w</w:t>
      </w:r>
      <w:r>
        <w:rPr>
          <w:b w:val="0"/>
        </w:rPr>
        <w:t xml:space="preserve"> ≤ 0.2 the norm acts only when the product utilities are equal. This explains why the results for </w:t>
      </w:r>
      <w:r>
        <w:rPr>
          <w:b w:val="0"/>
          <w:i/>
        </w:rPr>
        <w:t>w</w:t>
      </w:r>
      <w:r>
        <w:rPr>
          <w:b w:val="0"/>
        </w:rPr>
        <w:t xml:space="preserve"> = 0.1 and </w:t>
      </w:r>
      <w:r>
        <w:rPr>
          <w:b w:val="0"/>
          <w:i/>
        </w:rPr>
        <w:t>w</w:t>
      </w:r>
      <w:r>
        <w:rPr>
          <w:b w:val="0"/>
        </w:rPr>
        <w:t xml:space="preserve"> = 0.2 are identical under common random numbers (Table 9), and why a small positive norm is sufficient to coordinate the choices of friends.</w:t>
      </w:r>
    </w:p>
    <w:p>
      <w:pPr>
        <w:pStyle w:val="Normal"/>
        <w:keepNext/>
        <w:ind w:firstLine="0"/>
        <w:jc w:val="center"/>
      </w:pPr>
      <w:r>
        <w:drawing>
          <wp:inline xmlns:a="http://schemas.openxmlformats.org/drawingml/2006/main" xmlns:pic="http://schemas.openxmlformats.org/drawingml/2006/picture">
            <wp:extent cx="4392000" cy="1565870"/>
            <wp:docPr id="3" name="Picture 3"/>
            <wp:cNvGraphicFramePr>
              <a:graphicFrameLocks noChangeAspect="1"/>
            </wp:cNvGraphicFramePr>
            <a:graphic>
              <a:graphicData uri="http://schemas.openxmlformats.org/drawingml/2006/picture">
                <pic:pic>
                  <pic:nvPicPr>
                    <pic:cNvPr id="0" name="fig3_sensitivity_norm_influence.png"/>
                    <pic:cNvPicPr/>
                  </pic:nvPicPr>
                  <pic:blipFill>
                    <a:blip r:embed="rId15"/>
                    <a:stretch>
                      <a:fillRect/>
                    </a:stretch>
                  </pic:blipFill>
                  <pic:spPr>
                    <a:xfrm>
                      <a:off x="0" y="0"/>
                      <a:ext cx="4392000" cy="1565870"/>
                    </a:xfrm>
                    <a:prstGeom prst="rect"/>
                  </pic:spPr>
                </pic:pic>
              </a:graphicData>
            </a:graphic>
          </wp:inline>
        </w:drawing>
      </w:r>
    </w:p>
    <w:p>
      <w:pPr>
        <w:pStyle w:val="figurelegend"/>
        <w:keepNext w:val="0"/>
      </w:pPr>
      <w:r>
        <w:rPr>
          <w:b/>
        </w:rPr>
        <w:t xml:space="preserve">Fig. 3. </w:t>
      </w:r>
      <w:r>
        <w:t xml:space="preserve">Effect of </w:t>
      </w:r>
      <w:r>
        <w:rPr>
          <w:rFonts w:ascii="Courier New" w:hAnsi="Courier New"/>
          <w:sz w:val="17"/>
        </w:rPr>
        <w:t>norm_influence</w:t>
      </w:r>
      <w:r>
        <w:t xml:space="preserve"> (100 runs per value). (a) Distribution of the orange share at tick 1000. (b) Mean clustering at tick 1000 with 95% confidence interval.</w:t>
      </w:r>
    </w:p>
    <w:p>
      <w:pPr>
        <w:pStyle w:val="tabletitle"/>
        <w:keepNext/>
      </w:pPr>
      <w:r>
        <w:rPr>
          <w:b/>
        </w:rPr>
        <w:t xml:space="preserve">Table 9. </w:t>
      </w:r>
      <w:r>
        <w:t xml:space="preserve">Outputs at tick 1000 as a function of </w:t>
      </w:r>
      <w:r>
        <w:rPr>
          <w:rFonts w:ascii="Courier New" w:hAnsi="Courier New"/>
          <w:sz w:val="17"/>
        </w:rPr>
        <w:t>norm_influence</w:t>
      </w:r>
      <w:r>
        <w:t xml:space="preserve"> (100 runs per value).</w:t>
      </w:r>
    </w:p>
    <w:tbl>
      <w:tblPr>
        <w:tblW w:w="6917" w:type="dxa"/>
        <w:jc w:val="center"/>
        <w:tblLayout w:type="fixed"/>
        <w:tblLook w:firstColumn="1" w:firstRow="1" w:lastColumn="0" w:lastRow="0" w:noHBand="0" w:noVBand="1" w:val="04A0"/>
      </w:tblPr>
      <w:tblGrid>
        <w:gridCol w:w="1474"/>
        <w:gridCol w:w="1361"/>
        <w:gridCol w:w="1247"/>
        <w:gridCol w:w="1304"/>
        <w:gridCol w:w="1531"/>
      </w:tblGrid>
      <w:tr>
        <w:tc>
          <w:tcPr>
            <w:tcW w:type="dxa" w:w="1474"/>
            <w:tcBorders>
              <w:top w:val="single" w:sz="8" w:color="000000"/>
              <w:bottom w:val="single" w:sz="4" w:color="000000"/>
            </w:tcBorders>
          </w:tcPr>
          <w:p>
            <w:pPr>
              <w:pStyle w:val="Normal"/>
              <w:spacing w:before="20" w:after="20" w:line="240" w:lineRule="auto"/>
              <w:ind w:firstLine="0"/>
              <w:jc w:val="left"/>
            </w:pPr>
            <w:r>
              <w:rPr>
                <w:rFonts w:ascii="Courier New" w:hAnsi="Courier New"/>
                <w:b/>
                <w:sz w:val="13"/>
              </w:rPr>
              <w:t>norm_influence</w:t>
            </w:r>
          </w:p>
        </w:tc>
        <w:tc>
          <w:tcPr>
            <w:tcW w:type="dxa" w:w="1361"/>
            <w:tcBorders>
              <w:top w:val="single" w:sz="8" w:color="000000"/>
              <w:bottom w:val="single" w:sz="4" w:color="000000"/>
            </w:tcBorders>
          </w:tcPr>
          <w:p>
            <w:pPr>
              <w:pStyle w:val="Normal"/>
              <w:spacing w:before="20" w:after="20" w:line="240" w:lineRule="auto"/>
              <w:ind w:firstLine="0"/>
              <w:jc w:val="right"/>
            </w:pPr>
            <w:r>
              <w:rPr>
                <w:b/>
                <w:sz w:val="15"/>
              </w:rPr>
              <w:t>Orange share (mean)</w:t>
            </w:r>
          </w:p>
        </w:tc>
        <w:tc>
          <w:tcPr>
            <w:tcW w:type="dxa" w:w="1247"/>
            <w:tcBorders>
              <w:top w:val="single" w:sz="8" w:color="000000"/>
              <w:bottom w:val="single" w:sz="4" w:color="000000"/>
            </w:tcBorders>
          </w:tcPr>
          <w:p>
            <w:pPr>
              <w:pStyle w:val="Normal"/>
              <w:spacing w:before="20" w:after="20" w:line="240" w:lineRule="auto"/>
              <w:ind w:firstLine="0"/>
              <w:jc w:val="right"/>
            </w:pPr>
            <w:r>
              <w:rPr>
                <w:b/>
                <w:sz w:val="15"/>
              </w:rPr>
              <w:t>Orange share (SD)</w:t>
            </w:r>
          </w:p>
        </w:tc>
        <w:tc>
          <w:tcPr>
            <w:tcW w:type="dxa" w:w="1304"/>
            <w:tcBorders>
              <w:top w:val="single" w:sz="8" w:color="000000"/>
              <w:bottom w:val="single" w:sz="4" w:color="000000"/>
            </w:tcBorders>
          </w:tcPr>
          <w:p>
            <w:pPr>
              <w:pStyle w:val="Normal"/>
              <w:spacing w:before="20" w:after="20" w:line="240" w:lineRule="auto"/>
              <w:ind w:firstLine="0"/>
              <w:jc w:val="right"/>
            </w:pPr>
            <w:r>
              <w:rPr>
                <w:b/>
                <w:sz w:val="15"/>
              </w:rPr>
              <w:t>Clustering (mean)</w:t>
            </w:r>
          </w:p>
        </w:tc>
        <w:tc>
          <w:tcPr>
            <w:tcW w:type="dxa" w:w="1531"/>
            <w:tcBorders>
              <w:top w:val="single" w:sz="8" w:color="000000"/>
              <w:bottom w:val="single" w:sz="4" w:color="000000"/>
            </w:tcBorders>
          </w:tcPr>
          <w:p>
            <w:pPr>
              <w:pStyle w:val="Normal"/>
              <w:spacing w:before="20" w:after="20" w:line="240" w:lineRule="auto"/>
              <w:ind w:firstLine="0"/>
              <w:jc w:val="right"/>
            </w:pPr>
            <w:r>
              <w:rPr>
                <w:b/>
                <w:sz w:val="15"/>
              </w:rPr>
              <w:t>Clustering 95% CI</w:t>
            </w:r>
          </w:p>
        </w:tc>
      </w:tr>
      <w:tr>
        <w:tc>
          <w:tcPr>
            <w:tcW w:type="dxa" w:w="1474"/>
          </w:tcPr>
          <w:p>
            <w:pPr>
              <w:pStyle w:val="Normal"/>
              <w:spacing w:before="20" w:after="20" w:line="240" w:lineRule="auto"/>
              <w:ind w:firstLine="0"/>
              <w:jc w:val="left"/>
            </w:pPr>
            <w:r>
              <w:rPr>
                <w:sz w:val="15"/>
              </w:rPr>
              <w:t>0</w:t>
            </w:r>
          </w:p>
        </w:tc>
        <w:tc>
          <w:tcPr>
            <w:tcW w:type="dxa" w:w="1361"/>
          </w:tcPr>
          <w:p>
            <w:pPr>
              <w:pStyle w:val="Normal"/>
              <w:spacing w:before="20" w:after="20" w:line="240" w:lineRule="auto"/>
              <w:ind w:firstLine="0"/>
              <w:jc w:val="right"/>
            </w:pPr>
            <w:r>
              <w:rPr>
                <w:sz w:val="15"/>
              </w:rPr>
              <w:t>0.499</w:t>
            </w:r>
          </w:p>
        </w:tc>
        <w:tc>
          <w:tcPr>
            <w:tcW w:type="dxa" w:w="1247"/>
          </w:tcPr>
          <w:p>
            <w:pPr>
              <w:pStyle w:val="Normal"/>
              <w:spacing w:before="20" w:after="20" w:line="240" w:lineRule="auto"/>
              <w:ind w:firstLine="0"/>
              <w:jc w:val="right"/>
            </w:pPr>
            <w:r>
              <w:rPr>
                <w:sz w:val="15"/>
              </w:rPr>
              <w:t>0.067</w:t>
            </w:r>
          </w:p>
        </w:tc>
        <w:tc>
          <w:tcPr>
            <w:tcW w:type="dxa" w:w="1304"/>
          </w:tcPr>
          <w:p>
            <w:pPr>
              <w:pStyle w:val="Normal"/>
              <w:spacing w:before="20" w:after="20" w:line="240" w:lineRule="auto"/>
              <w:ind w:firstLine="0"/>
              <w:jc w:val="right"/>
            </w:pPr>
            <w:r>
              <w:rPr>
                <w:sz w:val="15"/>
              </w:rPr>
              <w:t>0.543</w:t>
            </w:r>
          </w:p>
        </w:tc>
        <w:tc>
          <w:tcPr>
            <w:tcW w:type="dxa" w:w="1531"/>
          </w:tcPr>
          <w:p>
            <w:pPr>
              <w:pStyle w:val="Normal"/>
              <w:spacing w:before="20" w:after="20" w:line="240" w:lineRule="auto"/>
              <w:ind w:firstLine="0"/>
              <w:jc w:val="right"/>
            </w:pPr>
            <w:r>
              <w:rPr>
                <w:sz w:val="15"/>
              </w:rPr>
              <w:t>0.535–0.550</w:t>
            </w:r>
          </w:p>
        </w:tc>
      </w:tr>
      <w:tr>
        <w:tc>
          <w:tcPr>
            <w:tcW w:type="dxa" w:w="1474"/>
          </w:tcPr>
          <w:p>
            <w:pPr>
              <w:pStyle w:val="Normal"/>
              <w:spacing w:before="20" w:after="20" w:line="240" w:lineRule="auto"/>
              <w:ind w:firstLine="0"/>
              <w:jc w:val="left"/>
            </w:pPr>
            <w:r>
              <w:rPr>
                <w:sz w:val="15"/>
              </w:rPr>
              <w:t>0.1</w:t>
            </w:r>
          </w:p>
        </w:tc>
        <w:tc>
          <w:tcPr>
            <w:tcW w:type="dxa" w:w="1361"/>
          </w:tcPr>
          <w:p>
            <w:pPr>
              <w:pStyle w:val="Normal"/>
              <w:spacing w:before="20" w:after="20" w:line="240" w:lineRule="auto"/>
              <w:ind w:firstLine="0"/>
              <w:jc w:val="right"/>
            </w:pPr>
            <w:r>
              <w:rPr>
                <w:sz w:val="15"/>
              </w:rPr>
              <w:t>0.506</w:t>
            </w:r>
          </w:p>
        </w:tc>
        <w:tc>
          <w:tcPr>
            <w:tcW w:type="dxa" w:w="1247"/>
          </w:tcPr>
          <w:p>
            <w:pPr>
              <w:pStyle w:val="Normal"/>
              <w:spacing w:before="20" w:after="20" w:line="240" w:lineRule="auto"/>
              <w:ind w:firstLine="0"/>
              <w:jc w:val="right"/>
            </w:pPr>
            <w:r>
              <w:rPr>
                <w:sz w:val="15"/>
              </w:rPr>
              <w:t>0.238</w:t>
            </w:r>
          </w:p>
        </w:tc>
        <w:tc>
          <w:tcPr>
            <w:tcW w:type="dxa" w:w="1304"/>
          </w:tcPr>
          <w:p>
            <w:pPr>
              <w:pStyle w:val="Normal"/>
              <w:spacing w:before="20" w:after="20" w:line="240" w:lineRule="auto"/>
              <w:ind w:firstLine="0"/>
              <w:jc w:val="right"/>
            </w:pPr>
            <w:r>
              <w:rPr>
                <w:sz w:val="15"/>
              </w:rPr>
              <w:t>0.939</w:t>
            </w:r>
          </w:p>
        </w:tc>
        <w:tc>
          <w:tcPr>
            <w:tcW w:type="dxa" w:w="1531"/>
          </w:tcPr>
          <w:p>
            <w:pPr>
              <w:pStyle w:val="Normal"/>
              <w:spacing w:before="20" w:after="20" w:line="240" w:lineRule="auto"/>
              <w:ind w:firstLine="0"/>
              <w:jc w:val="right"/>
            </w:pPr>
            <w:r>
              <w:rPr>
                <w:sz w:val="15"/>
              </w:rPr>
              <w:t>0.932–0.945</w:t>
            </w:r>
          </w:p>
        </w:tc>
      </w:tr>
      <w:tr>
        <w:tc>
          <w:tcPr>
            <w:tcW w:type="dxa" w:w="1474"/>
          </w:tcPr>
          <w:p>
            <w:pPr>
              <w:pStyle w:val="Normal"/>
              <w:spacing w:before="20" w:after="20" w:line="240" w:lineRule="auto"/>
              <w:ind w:firstLine="0"/>
              <w:jc w:val="left"/>
            </w:pPr>
            <w:r>
              <w:rPr>
                <w:sz w:val="15"/>
              </w:rPr>
              <w:t>0.2</w:t>
            </w:r>
          </w:p>
        </w:tc>
        <w:tc>
          <w:tcPr>
            <w:tcW w:type="dxa" w:w="1361"/>
          </w:tcPr>
          <w:p>
            <w:pPr>
              <w:pStyle w:val="Normal"/>
              <w:spacing w:before="20" w:after="20" w:line="240" w:lineRule="auto"/>
              <w:ind w:firstLine="0"/>
              <w:jc w:val="right"/>
            </w:pPr>
            <w:r>
              <w:rPr>
                <w:sz w:val="15"/>
              </w:rPr>
              <w:t>0.506</w:t>
            </w:r>
          </w:p>
        </w:tc>
        <w:tc>
          <w:tcPr>
            <w:tcW w:type="dxa" w:w="1247"/>
          </w:tcPr>
          <w:p>
            <w:pPr>
              <w:pStyle w:val="Normal"/>
              <w:spacing w:before="20" w:after="20" w:line="240" w:lineRule="auto"/>
              <w:ind w:firstLine="0"/>
              <w:jc w:val="right"/>
            </w:pPr>
            <w:r>
              <w:rPr>
                <w:sz w:val="15"/>
              </w:rPr>
              <w:t>0.238</w:t>
            </w:r>
          </w:p>
        </w:tc>
        <w:tc>
          <w:tcPr>
            <w:tcW w:type="dxa" w:w="1304"/>
          </w:tcPr>
          <w:p>
            <w:pPr>
              <w:pStyle w:val="Normal"/>
              <w:spacing w:before="20" w:after="20" w:line="240" w:lineRule="auto"/>
              <w:ind w:firstLine="0"/>
              <w:jc w:val="right"/>
            </w:pPr>
            <w:r>
              <w:rPr>
                <w:sz w:val="15"/>
              </w:rPr>
              <w:t>0.939</w:t>
            </w:r>
          </w:p>
        </w:tc>
        <w:tc>
          <w:tcPr>
            <w:tcW w:type="dxa" w:w="1531"/>
          </w:tcPr>
          <w:p>
            <w:pPr>
              <w:pStyle w:val="Normal"/>
              <w:spacing w:before="20" w:after="20" w:line="240" w:lineRule="auto"/>
              <w:ind w:firstLine="0"/>
              <w:jc w:val="right"/>
            </w:pPr>
            <w:r>
              <w:rPr>
                <w:sz w:val="15"/>
              </w:rPr>
              <w:t>0.932–0.945</w:t>
            </w:r>
          </w:p>
        </w:tc>
      </w:tr>
      <w:tr>
        <w:tc>
          <w:tcPr>
            <w:tcW w:type="dxa" w:w="1474"/>
          </w:tcPr>
          <w:p>
            <w:pPr>
              <w:pStyle w:val="Normal"/>
              <w:spacing w:before="20" w:after="20" w:line="240" w:lineRule="auto"/>
              <w:ind w:firstLine="0"/>
              <w:jc w:val="left"/>
            </w:pPr>
            <w:r>
              <w:rPr>
                <w:sz w:val="15"/>
              </w:rPr>
              <w:t>0.3</w:t>
            </w:r>
          </w:p>
        </w:tc>
        <w:tc>
          <w:tcPr>
            <w:tcW w:type="dxa" w:w="1361"/>
          </w:tcPr>
          <w:p>
            <w:pPr>
              <w:pStyle w:val="Normal"/>
              <w:spacing w:before="20" w:after="20" w:line="240" w:lineRule="auto"/>
              <w:ind w:firstLine="0"/>
              <w:jc w:val="right"/>
            </w:pPr>
            <w:r>
              <w:rPr>
                <w:sz w:val="15"/>
              </w:rPr>
              <w:t>0.524</w:t>
            </w:r>
          </w:p>
        </w:tc>
        <w:tc>
          <w:tcPr>
            <w:tcW w:type="dxa" w:w="1247"/>
          </w:tcPr>
          <w:p>
            <w:pPr>
              <w:pStyle w:val="Normal"/>
              <w:spacing w:before="20" w:after="20" w:line="240" w:lineRule="auto"/>
              <w:ind w:firstLine="0"/>
              <w:jc w:val="right"/>
            </w:pPr>
            <w:r>
              <w:rPr>
                <w:sz w:val="15"/>
              </w:rPr>
              <w:t>0.239</w:t>
            </w:r>
          </w:p>
        </w:tc>
        <w:tc>
          <w:tcPr>
            <w:tcW w:type="dxa" w:w="1304"/>
          </w:tcPr>
          <w:p>
            <w:pPr>
              <w:pStyle w:val="Normal"/>
              <w:spacing w:before="20" w:after="20" w:line="240" w:lineRule="auto"/>
              <w:ind w:firstLine="0"/>
              <w:jc w:val="right"/>
            </w:pPr>
            <w:r>
              <w:rPr>
                <w:sz w:val="15"/>
              </w:rPr>
              <w:t>0.946</w:t>
            </w:r>
          </w:p>
        </w:tc>
        <w:tc>
          <w:tcPr>
            <w:tcW w:type="dxa" w:w="1531"/>
          </w:tcPr>
          <w:p>
            <w:pPr>
              <w:pStyle w:val="Normal"/>
              <w:spacing w:before="20" w:after="20" w:line="240" w:lineRule="auto"/>
              <w:ind w:firstLine="0"/>
              <w:jc w:val="right"/>
            </w:pPr>
            <w:r>
              <w:rPr>
                <w:sz w:val="15"/>
              </w:rPr>
              <w:t>0.940–0.951</w:t>
            </w:r>
          </w:p>
        </w:tc>
      </w:tr>
      <w:tr>
        <w:tc>
          <w:tcPr>
            <w:tcW w:type="dxa" w:w="1474"/>
          </w:tcPr>
          <w:p>
            <w:pPr>
              <w:pStyle w:val="Normal"/>
              <w:spacing w:before="20" w:after="20" w:line="240" w:lineRule="auto"/>
              <w:ind w:firstLine="0"/>
              <w:jc w:val="left"/>
            </w:pPr>
            <w:r>
              <w:rPr>
                <w:sz w:val="15"/>
              </w:rPr>
              <w:t>0.4</w:t>
            </w:r>
          </w:p>
        </w:tc>
        <w:tc>
          <w:tcPr>
            <w:tcW w:type="dxa" w:w="1361"/>
          </w:tcPr>
          <w:p>
            <w:pPr>
              <w:pStyle w:val="Normal"/>
              <w:spacing w:before="20" w:after="20" w:line="240" w:lineRule="auto"/>
              <w:ind w:firstLine="0"/>
              <w:jc w:val="right"/>
            </w:pPr>
            <w:r>
              <w:rPr>
                <w:sz w:val="15"/>
              </w:rPr>
              <w:t>0.490</w:t>
            </w:r>
          </w:p>
        </w:tc>
        <w:tc>
          <w:tcPr>
            <w:tcW w:type="dxa" w:w="1247"/>
          </w:tcPr>
          <w:p>
            <w:pPr>
              <w:pStyle w:val="Normal"/>
              <w:spacing w:before="20" w:after="20" w:line="240" w:lineRule="auto"/>
              <w:ind w:firstLine="0"/>
              <w:jc w:val="right"/>
            </w:pPr>
            <w:r>
              <w:rPr>
                <w:sz w:val="15"/>
              </w:rPr>
              <w:t>0.209</w:t>
            </w:r>
          </w:p>
        </w:tc>
        <w:tc>
          <w:tcPr>
            <w:tcW w:type="dxa" w:w="1304"/>
          </w:tcPr>
          <w:p>
            <w:pPr>
              <w:pStyle w:val="Normal"/>
              <w:spacing w:before="20" w:after="20" w:line="240" w:lineRule="auto"/>
              <w:ind w:firstLine="0"/>
              <w:jc w:val="right"/>
            </w:pPr>
            <w:r>
              <w:rPr>
                <w:sz w:val="15"/>
              </w:rPr>
              <w:t>0.941</w:t>
            </w:r>
          </w:p>
        </w:tc>
        <w:tc>
          <w:tcPr>
            <w:tcW w:type="dxa" w:w="1531"/>
          </w:tcPr>
          <w:p>
            <w:pPr>
              <w:pStyle w:val="Normal"/>
              <w:spacing w:before="20" w:after="20" w:line="240" w:lineRule="auto"/>
              <w:ind w:firstLine="0"/>
              <w:jc w:val="right"/>
            </w:pPr>
            <w:r>
              <w:rPr>
                <w:sz w:val="15"/>
              </w:rPr>
              <w:t>0.936–0.946</w:t>
            </w:r>
          </w:p>
        </w:tc>
      </w:tr>
      <w:tr>
        <w:tc>
          <w:tcPr>
            <w:tcW w:type="dxa" w:w="1474"/>
          </w:tcPr>
          <w:p>
            <w:pPr>
              <w:pStyle w:val="Normal"/>
              <w:spacing w:before="20" w:after="20" w:line="240" w:lineRule="auto"/>
              <w:ind w:firstLine="0"/>
              <w:jc w:val="left"/>
            </w:pPr>
            <w:r>
              <w:rPr>
                <w:sz w:val="15"/>
              </w:rPr>
              <w:t>0.5</w:t>
            </w:r>
          </w:p>
        </w:tc>
        <w:tc>
          <w:tcPr>
            <w:tcW w:type="dxa" w:w="1361"/>
          </w:tcPr>
          <w:p>
            <w:pPr>
              <w:pStyle w:val="Normal"/>
              <w:spacing w:before="20" w:after="20" w:line="240" w:lineRule="auto"/>
              <w:ind w:firstLine="0"/>
              <w:jc w:val="right"/>
            </w:pPr>
            <w:r>
              <w:rPr>
                <w:sz w:val="15"/>
              </w:rPr>
              <w:t>0.506</w:t>
            </w:r>
          </w:p>
        </w:tc>
        <w:tc>
          <w:tcPr>
            <w:tcW w:type="dxa" w:w="1247"/>
          </w:tcPr>
          <w:p>
            <w:pPr>
              <w:pStyle w:val="Normal"/>
              <w:spacing w:before="20" w:after="20" w:line="240" w:lineRule="auto"/>
              <w:ind w:firstLine="0"/>
              <w:jc w:val="right"/>
            </w:pPr>
            <w:r>
              <w:rPr>
                <w:sz w:val="15"/>
              </w:rPr>
              <w:t>0.232</w:t>
            </w:r>
          </w:p>
        </w:tc>
        <w:tc>
          <w:tcPr>
            <w:tcW w:type="dxa" w:w="1304"/>
          </w:tcPr>
          <w:p>
            <w:pPr>
              <w:pStyle w:val="Normal"/>
              <w:spacing w:before="20" w:after="20" w:line="240" w:lineRule="auto"/>
              <w:ind w:firstLine="0"/>
              <w:jc w:val="right"/>
            </w:pPr>
            <w:r>
              <w:rPr>
                <w:sz w:val="15"/>
              </w:rPr>
              <w:t>0.944</w:t>
            </w:r>
          </w:p>
        </w:tc>
        <w:tc>
          <w:tcPr>
            <w:tcW w:type="dxa" w:w="1531"/>
          </w:tcPr>
          <w:p>
            <w:pPr>
              <w:pStyle w:val="Normal"/>
              <w:spacing w:before="20" w:after="20" w:line="240" w:lineRule="auto"/>
              <w:ind w:firstLine="0"/>
              <w:jc w:val="right"/>
            </w:pPr>
            <w:r>
              <w:rPr>
                <w:sz w:val="15"/>
              </w:rPr>
              <w:t>0.939–0.949</w:t>
            </w:r>
          </w:p>
        </w:tc>
      </w:tr>
      <w:tr>
        <w:tc>
          <w:tcPr>
            <w:tcW w:type="dxa" w:w="1474"/>
          </w:tcPr>
          <w:p>
            <w:pPr>
              <w:pStyle w:val="Normal"/>
              <w:spacing w:before="20" w:after="20" w:line="240" w:lineRule="auto"/>
              <w:ind w:firstLine="0"/>
              <w:jc w:val="left"/>
            </w:pPr>
            <w:r>
              <w:rPr>
                <w:sz w:val="15"/>
              </w:rPr>
              <w:t>0.6</w:t>
            </w:r>
          </w:p>
        </w:tc>
        <w:tc>
          <w:tcPr>
            <w:tcW w:type="dxa" w:w="1361"/>
          </w:tcPr>
          <w:p>
            <w:pPr>
              <w:pStyle w:val="Normal"/>
              <w:spacing w:before="20" w:after="20" w:line="240" w:lineRule="auto"/>
              <w:ind w:firstLine="0"/>
              <w:jc w:val="right"/>
            </w:pPr>
            <w:r>
              <w:rPr>
                <w:sz w:val="15"/>
              </w:rPr>
              <w:t>0.492</w:t>
            </w:r>
          </w:p>
        </w:tc>
        <w:tc>
          <w:tcPr>
            <w:tcW w:type="dxa" w:w="1247"/>
          </w:tcPr>
          <w:p>
            <w:pPr>
              <w:pStyle w:val="Normal"/>
              <w:spacing w:before="20" w:after="20" w:line="240" w:lineRule="auto"/>
              <w:ind w:firstLine="0"/>
              <w:jc w:val="right"/>
            </w:pPr>
            <w:r>
              <w:rPr>
                <w:sz w:val="15"/>
              </w:rPr>
              <w:t>0.231</w:t>
            </w:r>
          </w:p>
        </w:tc>
        <w:tc>
          <w:tcPr>
            <w:tcW w:type="dxa" w:w="1304"/>
          </w:tcPr>
          <w:p>
            <w:pPr>
              <w:pStyle w:val="Normal"/>
              <w:spacing w:before="20" w:after="20" w:line="240" w:lineRule="auto"/>
              <w:ind w:firstLine="0"/>
              <w:jc w:val="right"/>
            </w:pPr>
            <w:r>
              <w:rPr>
                <w:sz w:val="15"/>
              </w:rPr>
              <w:t>0.946</w:t>
            </w:r>
          </w:p>
        </w:tc>
        <w:tc>
          <w:tcPr>
            <w:tcW w:type="dxa" w:w="1531"/>
          </w:tcPr>
          <w:p>
            <w:pPr>
              <w:pStyle w:val="Normal"/>
              <w:spacing w:before="20" w:after="20" w:line="240" w:lineRule="auto"/>
              <w:ind w:firstLine="0"/>
              <w:jc w:val="right"/>
            </w:pPr>
            <w:r>
              <w:rPr>
                <w:sz w:val="15"/>
              </w:rPr>
              <w:t>0.941–0.951</w:t>
            </w:r>
          </w:p>
        </w:tc>
      </w:tr>
      <w:tr>
        <w:tc>
          <w:tcPr>
            <w:tcW w:type="dxa" w:w="1474"/>
          </w:tcPr>
          <w:p>
            <w:pPr>
              <w:pStyle w:val="Normal"/>
              <w:spacing w:before="20" w:after="20" w:line="240" w:lineRule="auto"/>
              <w:ind w:firstLine="0"/>
              <w:jc w:val="left"/>
            </w:pPr>
            <w:r>
              <w:rPr>
                <w:sz w:val="15"/>
              </w:rPr>
              <w:t>0.7</w:t>
            </w:r>
          </w:p>
        </w:tc>
        <w:tc>
          <w:tcPr>
            <w:tcW w:type="dxa" w:w="1361"/>
          </w:tcPr>
          <w:p>
            <w:pPr>
              <w:pStyle w:val="Normal"/>
              <w:spacing w:before="20" w:after="20" w:line="240" w:lineRule="auto"/>
              <w:ind w:firstLine="0"/>
              <w:jc w:val="right"/>
            </w:pPr>
            <w:r>
              <w:rPr>
                <w:sz w:val="15"/>
              </w:rPr>
              <w:t>0.499</w:t>
            </w:r>
          </w:p>
        </w:tc>
        <w:tc>
          <w:tcPr>
            <w:tcW w:type="dxa" w:w="1247"/>
          </w:tcPr>
          <w:p>
            <w:pPr>
              <w:pStyle w:val="Normal"/>
              <w:spacing w:before="20" w:after="20" w:line="240" w:lineRule="auto"/>
              <w:ind w:firstLine="0"/>
              <w:jc w:val="right"/>
            </w:pPr>
            <w:r>
              <w:rPr>
                <w:sz w:val="15"/>
              </w:rPr>
              <w:t>0.234</w:t>
            </w:r>
          </w:p>
        </w:tc>
        <w:tc>
          <w:tcPr>
            <w:tcW w:type="dxa" w:w="1304"/>
          </w:tcPr>
          <w:p>
            <w:pPr>
              <w:pStyle w:val="Normal"/>
              <w:spacing w:before="20" w:after="20" w:line="240" w:lineRule="auto"/>
              <w:ind w:firstLine="0"/>
              <w:jc w:val="right"/>
            </w:pPr>
            <w:r>
              <w:rPr>
                <w:sz w:val="15"/>
              </w:rPr>
              <w:t>0.946</w:t>
            </w:r>
          </w:p>
        </w:tc>
        <w:tc>
          <w:tcPr>
            <w:tcW w:type="dxa" w:w="1531"/>
          </w:tcPr>
          <w:p>
            <w:pPr>
              <w:pStyle w:val="Normal"/>
              <w:spacing w:before="20" w:after="20" w:line="240" w:lineRule="auto"/>
              <w:ind w:firstLine="0"/>
              <w:jc w:val="right"/>
            </w:pPr>
            <w:r>
              <w:rPr>
                <w:sz w:val="15"/>
              </w:rPr>
              <w:t>0.941–0.951</w:t>
            </w:r>
          </w:p>
        </w:tc>
      </w:tr>
      <w:tr>
        <w:tc>
          <w:tcPr>
            <w:tcW w:type="dxa" w:w="1474"/>
          </w:tcPr>
          <w:p>
            <w:pPr>
              <w:pStyle w:val="Normal"/>
              <w:spacing w:before="20" w:after="20" w:line="240" w:lineRule="auto"/>
              <w:ind w:firstLine="0"/>
              <w:jc w:val="left"/>
            </w:pPr>
            <w:r>
              <w:rPr>
                <w:sz w:val="15"/>
              </w:rPr>
              <w:t>0.8</w:t>
            </w:r>
          </w:p>
        </w:tc>
        <w:tc>
          <w:tcPr>
            <w:tcW w:type="dxa" w:w="1361"/>
          </w:tcPr>
          <w:p>
            <w:pPr>
              <w:pStyle w:val="Normal"/>
              <w:spacing w:before="20" w:after="20" w:line="240" w:lineRule="auto"/>
              <w:ind w:firstLine="0"/>
              <w:jc w:val="right"/>
            </w:pPr>
            <w:r>
              <w:rPr>
                <w:sz w:val="15"/>
              </w:rPr>
              <w:t>0.504</w:t>
            </w:r>
          </w:p>
        </w:tc>
        <w:tc>
          <w:tcPr>
            <w:tcW w:type="dxa" w:w="1247"/>
          </w:tcPr>
          <w:p>
            <w:pPr>
              <w:pStyle w:val="Normal"/>
              <w:spacing w:before="20" w:after="20" w:line="240" w:lineRule="auto"/>
              <w:ind w:firstLine="0"/>
              <w:jc w:val="right"/>
            </w:pPr>
            <w:r>
              <w:rPr>
                <w:sz w:val="15"/>
              </w:rPr>
              <w:t>0.237</w:t>
            </w:r>
          </w:p>
        </w:tc>
        <w:tc>
          <w:tcPr>
            <w:tcW w:type="dxa" w:w="1304"/>
          </w:tcPr>
          <w:p>
            <w:pPr>
              <w:pStyle w:val="Normal"/>
              <w:spacing w:before="20" w:after="20" w:line="240" w:lineRule="auto"/>
              <w:ind w:firstLine="0"/>
              <w:jc w:val="right"/>
            </w:pPr>
            <w:r>
              <w:rPr>
                <w:sz w:val="15"/>
              </w:rPr>
              <w:t>0.947</w:t>
            </w:r>
          </w:p>
        </w:tc>
        <w:tc>
          <w:tcPr>
            <w:tcW w:type="dxa" w:w="1531"/>
          </w:tcPr>
          <w:p>
            <w:pPr>
              <w:pStyle w:val="Normal"/>
              <w:spacing w:before="20" w:after="20" w:line="240" w:lineRule="auto"/>
              <w:ind w:firstLine="0"/>
              <w:jc w:val="right"/>
            </w:pPr>
            <w:r>
              <w:rPr>
                <w:sz w:val="15"/>
              </w:rPr>
              <w:t>0.941–0.952</w:t>
            </w:r>
          </w:p>
        </w:tc>
      </w:tr>
      <w:tr>
        <w:tc>
          <w:tcPr>
            <w:tcW w:type="dxa" w:w="1474"/>
          </w:tcPr>
          <w:p>
            <w:pPr>
              <w:pStyle w:val="Normal"/>
              <w:spacing w:before="20" w:after="20" w:line="240" w:lineRule="auto"/>
              <w:ind w:firstLine="0"/>
              <w:jc w:val="left"/>
            </w:pPr>
            <w:r>
              <w:rPr>
                <w:sz w:val="15"/>
              </w:rPr>
              <w:t>0.9</w:t>
            </w:r>
          </w:p>
        </w:tc>
        <w:tc>
          <w:tcPr>
            <w:tcW w:type="dxa" w:w="1361"/>
          </w:tcPr>
          <w:p>
            <w:pPr>
              <w:pStyle w:val="Normal"/>
              <w:spacing w:before="20" w:after="20" w:line="240" w:lineRule="auto"/>
              <w:ind w:firstLine="0"/>
              <w:jc w:val="right"/>
            </w:pPr>
            <w:r>
              <w:rPr>
                <w:sz w:val="15"/>
              </w:rPr>
              <w:t>0.503</w:t>
            </w:r>
          </w:p>
        </w:tc>
        <w:tc>
          <w:tcPr>
            <w:tcW w:type="dxa" w:w="1247"/>
          </w:tcPr>
          <w:p>
            <w:pPr>
              <w:pStyle w:val="Normal"/>
              <w:spacing w:before="20" w:after="20" w:line="240" w:lineRule="auto"/>
              <w:ind w:firstLine="0"/>
              <w:jc w:val="right"/>
            </w:pPr>
            <w:r>
              <w:rPr>
                <w:sz w:val="15"/>
              </w:rPr>
              <w:t>0.238</w:t>
            </w:r>
          </w:p>
        </w:tc>
        <w:tc>
          <w:tcPr>
            <w:tcW w:type="dxa" w:w="1304"/>
          </w:tcPr>
          <w:p>
            <w:pPr>
              <w:pStyle w:val="Normal"/>
              <w:spacing w:before="20" w:after="20" w:line="240" w:lineRule="auto"/>
              <w:ind w:firstLine="0"/>
              <w:jc w:val="right"/>
            </w:pPr>
            <w:r>
              <w:rPr>
                <w:sz w:val="15"/>
              </w:rPr>
              <w:t>0.947</w:t>
            </w:r>
          </w:p>
        </w:tc>
        <w:tc>
          <w:tcPr>
            <w:tcW w:type="dxa" w:w="1531"/>
          </w:tcPr>
          <w:p>
            <w:pPr>
              <w:pStyle w:val="Normal"/>
              <w:spacing w:before="20" w:after="20" w:line="240" w:lineRule="auto"/>
              <w:ind w:firstLine="0"/>
              <w:jc w:val="right"/>
            </w:pPr>
            <w:r>
              <w:rPr>
                <w:sz w:val="15"/>
              </w:rPr>
              <w:t>0.942–0.952</w:t>
            </w:r>
          </w:p>
        </w:tc>
      </w:tr>
      <w:tr>
        <w:tc>
          <w:tcPr>
            <w:tcW w:type="dxa" w:w="1474"/>
            <w:tcBorders>
              <w:bottom w:val="single" w:sz="8" w:color="000000"/>
            </w:tcBorders>
          </w:tcPr>
          <w:p>
            <w:pPr>
              <w:pStyle w:val="Normal"/>
              <w:spacing w:before="20" w:after="20" w:line="240" w:lineRule="auto"/>
              <w:ind w:firstLine="0"/>
              <w:jc w:val="left"/>
            </w:pPr>
            <w:r>
              <w:rPr>
                <w:sz w:val="15"/>
              </w:rPr>
              <w:t>1</w:t>
            </w:r>
          </w:p>
        </w:tc>
        <w:tc>
          <w:tcPr>
            <w:tcW w:type="dxa" w:w="1361"/>
            <w:tcBorders>
              <w:bottom w:val="single" w:sz="8" w:color="000000"/>
            </w:tcBorders>
          </w:tcPr>
          <w:p>
            <w:pPr>
              <w:pStyle w:val="Normal"/>
              <w:spacing w:before="20" w:after="20" w:line="240" w:lineRule="auto"/>
              <w:ind w:firstLine="0"/>
              <w:jc w:val="right"/>
            </w:pPr>
            <w:r>
              <w:rPr>
                <w:sz w:val="15"/>
              </w:rPr>
              <w:t>0.504</w:t>
            </w:r>
          </w:p>
        </w:tc>
        <w:tc>
          <w:tcPr>
            <w:tcW w:type="dxa" w:w="1247"/>
            <w:tcBorders>
              <w:bottom w:val="single" w:sz="8" w:color="000000"/>
            </w:tcBorders>
          </w:tcPr>
          <w:p>
            <w:pPr>
              <w:pStyle w:val="Normal"/>
              <w:spacing w:before="20" w:after="20" w:line="240" w:lineRule="auto"/>
              <w:ind w:firstLine="0"/>
              <w:jc w:val="right"/>
            </w:pPr>
            <w:r>
              <w:rPr>
                <w:sz w:val="15"/>
              </w:rPr>
              <w:t>0.235</w:t>
            </w:r>
          </w:p>
        </w:tc>
        <w:tc>
          <w:tcPr>
            <w:tcW w:type="dxa" w:w="1304"/>
            <w:tcBorders>
              <w:bottom w:val="single" w:sz="8" w:color="000000"/>
            </w:tcBorders>
          </w:tcPr>
          <w:p>
            <w:pPr>
              <w:pStyle w:val="Normal"/>
              <w:spacing w:before="20" w:after="20" w:line="240" w:lineRule="auto"/>
              <w:ind w:firstLine="0"/>
              <w:jc w:val="right"/>
            </w:pPr>
            <w:r>
              <w:rPr>
                <w:sz w:val="15"/>
              </w:rPr>
              <w:t>0.944</w:t>
            </w:r>
          </w:p>
        </w:tc>
        <w:tc>
          <w:tcPr>
            <w:tcW w:type="dxa" w:w="1531"/>
            <w:tcBorders>
              <w:bottom w:val="single" w:sz="8" w:color="000000"/>
            </w:tcBorders>
          </w:tcPr>
          <w:p>
            <w:pPr>
              <w:pStyle w:val="Normal"/>
              <w:spacing w:before="20" w:after="20" w:line="240" w:lineRule="auto"/>
              <w:ind w:firstLine="0"/>
              <w:jc w:val="right"/>
            </w:pPr>
            <w:r>
              <w:rPr>
                <w:sz w:val="15"/>
              </w:rPr>
              <w:t>0.939–0.949</w:t>
            </w:r>
          </w:p>
        </w:tc>
      </w:tr>
    </w:tbl>
    <w:p>
      <w:pPr>
        <w:pStyle w:val="Normal"/>
        <w:spacing w:after="0"/>
      </w:pPr>
    </w:p>
    <w:p>
      <w:pPr>
        <w:pStyle w:val="heading31"/>
      </w:pPr>
      <w:r>
        <w:rPr>
          <w:b/>
        </w:rPr>
        <w:t xml:space="preserve">Product Quality. </w:t>
      </w:r>
      <w:r>
        <w:rPr>
          <w:b w:val="0"/>
        </w:rPr>
        <w:t xml:space="preserve">With </w:t>
      </w:r>
      <w:r>
        <w:rPr>
          <w:rFonts w:ascii="Courier New" w:hAnsi="Courier New"/>
          <w:b w:val="0"/>
          <w:sz w:val="17"/>
        </w:rPr>
        <w:t>quality_orange</w:t>
      </w:r>
      <w:r>
        <w:rPr>
          <w:b w:val="0"/>
        </w:rPr>
        <w:t xml:space="preserve"> fixed at 0.5, a small difference in quality determines the market. With </w:t>
      </w:r>
      <w:r>
        <w:rPr>
          <w:rFonts w:ascii="Courier New" w:hAnsi="Courier New"/>
          <w:b w:val="0"/>
          <w:sz w:val="17"/>
        </w:rPr>
        <w:t>quality_blue</w:t>
      </w:r>
      <w:r>
        <w:rPr>
          <w:b w:val="0"/>
        </w:rPr>
        <w:t xml:space="preserve"> = 0.45, the mean orange share is 0.95; with 0.55, it is 0.07, which gives blue a mean share of 0.93. With a difference of 0.1 or more, the better product holds at least 98.8% of the market in the mean. Mean clustering is higher when qualities differ (0.98 at 0.3 and 0.99 at 0.7) than when they are equal (0.94), because most consumers then use the same product. The dispersion of the outcome is largest when the products are equal (SD 0.25) and falls to 0.014 or less when the difference is 0.1 or more.</w:t>
      </w:r>
    </w:p>
    <w:p>
      <w:pPr>
        <w:pStyle w:val="Normal"/>
        <w:keepNext/>
        <w:ind w:firstLine="0"/>
        <w:jc w:val="center"/>
      </w:pPr>
      <w:r>
        <w:drawing>
          <wp:inline xmlns:a="http://schemas.openxmlformats.org/drawingml/2006/main" xmlns:pic="http://schemas.openxmlformats.org/drawingml/2006/picture">
            <wp:extent cx="4392000" cy="1566409"/>
            <wp:docPr id="4" name="Picture 4"/>
            <wp:cNvGraphicFramePr>
              <a:graphicFrameLocks noChangeAspect="1"/>
            </wp:cNvGraphicFramePr>
            <a:graphic>
              <a:graphicData uri="http://schemas.openxmlformats.org/drawingml/2006/picture">
                <pic:pic>
                  <pic:nvPicPr>
                    <pic:cNvPr id="0" name="fig4_sensitivity_quality_blue.png"/>
                    <pic:cNvPicPr/>
                  </pic:nvPicPr>
                  <pic:blipFill>
                    <a:blip r:embed="rId16"/>
                    <a:stretch>
                      <a:fillRect/>
                    </a:stretch>
                  </pic:blipFill>
                  <pic:spPr>
                    <a:xfrm>
                      <a:off x="0" y="0"/>
                      <a:ext cx="4392000" cy="1566409"/>
                    </a:xfrm>
                    <a:prstGeom prst="rect"/>
                  </pic:spPr>
                </pic:pic>
              </a:graphicData>
            </a:graphic>
          </wp:inline>
        </w:drawing>
      </w:r>
    </w:p>
    <w:p>
      <w:pPr>
        <w:pStyle w:val="figurelegend"/>
        <w:keepNext w:val="0"/>
      </w:pPr>
      <w:r>
        <w:rPr>
          <w:b/>
        </w:rPr>
        <w:t xml:space="preserve">Fig. 4. </w:t>
      </w:r>
      <w:r>
        <w:t xml:space="preserve">Effect of </w:t>
      </w:r>
      <w:r>
        <w:rPr>
          <w:rFonts w:ascii="Courier New" w:hAnsi="Courier New"/>
          <w:sz w:val="17"/>
        </w:rPr>
        <w:t>quality_blue</w:t>
      </w:r>
      <w:r>
        <w:t xml:space="preserve">, with </w:t>
      </w:r>
      <w:r>
        <w:rPr>
          <w:rFonts w:ascii="Courier New" w:hAnsi="Courier New"/>
          <w:sz w:val="17"/>
        </w:rPr>
        <w:t>quality_orange</w:t>
      </w:r>
      <w:r>
        <w:t xml:space="preserve"> = 0.5 (100 runs per value). (a) Distribution of the orange share at tick 1000. (b) Mean clustering at tick 1000 with 95% confidence interval.</w:t>
      </w:r>
    </w:p>
    <w:p>
      <w:pPr>
        <w:pStyle w:val="tabletitle"/>
        <w:keepNext/>
      </w:pPr>
      <w:r>
        <w:rPr>
          <w:b/>
        </w:rPr>
        <w:t xml:space="preserve">Table 10. </w:t>
      </w:r>
      <w:r>
        <w:t xml:space="preserve">Outputs at tick 1000 as a function of </w:t>
      </w:r>
      <w:r>
        <w:rPr>
          <w:rFonts w:ascii="Courier New" w:hAnsi="Courier New"/>
          <w:sz w:val="17"/>
        </w:rPr>
        <w:t>quality_blue</w:t>
      </w:r>
      <w:r>
        <w:t xml:space="preserve"> (</w:t>
      </w:r>
      <w:r>
        <w:rPr>
          <w:rFonts w:ascii="Courier New" w:hAnsi="Courier New"/>
          <w:sz w:val="17"/>
        </w:rPr>
        <w:t>quality_orange</w:t>
      </w:r>
      <w:r>
        <w:t xml:space="preserve"> = 0.5; 100 runs per value).</w:t>
      </w:r>
    </w:p>
    <w:tbl>
      <w:tblPr>
        <w:tblW w:w="6917" w:type="dxa"/>
        <w:jc w:val="center"/>
        <w:tblLayout w:type="fixed"/>
        <w:tblLook w:firstColumn="1" w:firstRow="1" w:lastColumn="0" w:lastRow="0" w:noHBand="0" w:noVBand="1" w:val="04A0"/>
      </w:tblPr>
      <w:tblGrid>
        <w:gridCol w:w="1474"/>
        <w:gridCol w:w="1361"/>
        <w:gridCol w:w="1247"/>
        <w:gridCol w:w="1304"/>
        <w:gridCol w:w="1531"/>
      </w:tblGrid>
      <w:tr>
        <w:tc>
          <w:tcPr>
            <w:tcW w:type="dxa" w:w="1474"/>
            <w:tcBorders>
              <w:top w:val="single" w:sz="8" w:color="000000"/>
              <w:bottom w:val="single" w:sz="4" w:color="000000"/>
            </w:tcBorders>
          </w:tcPr>
          <w:p>
            <w:pPr>
              <w:pStyle w:val="Normal"/>
              <w:spacing w:before="20" w:after="20" w:line="240" w:lineRule="auto"/>
              <w:ind w:firstLine="0"/>
              <w:jc w:val="left"/>
            </w:pPr>
            <w:r>
              <w:rPr>
                <w:rFonts w:ascii="Courier New" w:hAnsi="Courier New"/>
                <w:b/>
                <w:sz w:val="13"/>
              </w:rPr>
              <w:t>quality_blue</w:t>
            </w:r>
          </w:p>
        </w:tc>
        <w:tc>
          <w:tcPr>
            <w:tcW w:type="dxa" w:w="1361"/>
            <w:tcBorders>
              <w:top w:val="single" w:sz="8" w:color="000000"/>
              <w:bottom w:val="single" w:sz="4" w:color="000000"/>
            </w:tcBorders>
          </w:tcPr>
          <w:p>
            <w:pPr>
              <w:pStyle w:val="Normal"/>
              <w:spacing w:before="20" w:after="20" w:line="240" w:lineRule="auto"/>
              <w:ind w:firstLine="0"/>
              <w:jc w:val="right"/>
            </w:pPr>
            <w:r>
              <w:rPr>
                <w:b/>
                <w:sz w:val="15"/>
              </w:rPr>
              <w:t>Orange share (mean)</w:t>
            </w:r>
          </w:p>
        </w:tc>
        <w:tc>
          <w:tcPr>
            <w:tcW w:type="dxa" w:w="1247"/>
            <w:tcBorders>
              <w:top w:val="single" w:sz="8" w:color="000000"/>
              <w:bottom w:val="single" w:sz="4" w:color="000000"/>
            </w:tcBorders>
          </w:tcPr>
          <w:p>
            <w:pPr>
              <w:pStyle w:val="Normal"/>
              <w:spacing w:before="20" w:after="20" w:line="240" w:lineRule="auto"/>
              <w:ind w:firstLine="0"/>
              <w:jc w:val="right"/>
            </w:pPr>
            <w:r>
              <w:rPr>
                <w:b/>
                <w:sz w:val="15"/>
              </w:rPr>
              <w:t>Orange share (SD)</w:t>
            </w:r>
          </w:p>
        </w:tc>
        <w:tc>
          <w:tcPr>
            <w:tcW w:type="dxa" w:w="1304"/>
            <w:tcBorders>
              <w:top w:val="single" w:sz="8" w:color="000000"/>
              <w:bottom w:val="single" w:sz="4" w:color="000000"/>
            </w:tcBorders>
          </w:tcPr>
          <w:p>
            <w:pPr>
              <w:pStyle w:val="Normal"/>
              <w:spacing w:before="20" w:after="20" w:line="240" w:lineRule="auto"/>
              <w:ind w:firstLine="0"/>
              <w:jc w:val="right"/>
            </w:pPr>
            <w:r>
              <w:rPr>
                <w:b/>
                <w:sz w:val="15"/>
              </w:rPr>
              <w:t>Clustering (mean)</w:t>
            </w:r>
          </w:p>
        </w:tc>
        <w:tc>
          <w:tcPr>
            <w:tcW w:type="dxa" w:w="1531"/>
            <w:tcBorders>
              <w:top w:val="single" w:sz="8" w:color="000000"/>
              <w:bottom w:val="single" w:sz="4" w:color="000000"/>
            </w:tcBorders>
          </w:tcPr>
          <w:p>
            <w:pPr>
              <w:pStyle w:val="Normal"/>
              <w:spacing w:before="20" w:after="20" w:line="240" w:lineRule="auto"/>
              <w:ind w:firstLine="0"/>
              <w:jc w:val="right"/>
            </w:pPr>
            <w:r>
              <w:rPr>
                <w:b/>
                <w:sz w:val="15"/>
              </w:rPr>
              <w:t>Clustering 95% CI</w:t>
            </w:r>
          </w:p>
        </w:tc>
      </w:tr>
      <w:tr>
        <w:tc>
          <w:tcPr>
            <w:tcW w:type="dxa" w:w="1474"/>
          </w:tcPr>
          <w:p>
            <w:pPr>
              <w:pStyle w:val="Normal"/>
              <w:spacing w:before="20" w:after="20" w:line="240" w:lineRule="auto"/>
              <w:ind w:firstLine="0"/>
              <w:jc w:val="left"/>
            </w:pPr>
            <w:r>
              <w:rPr>
                <w:sz w:val="15"/>
              </w:rPr>
              <w:t>0.3</w:t>
            </w:r>
          </w:p>
        </w:tc>
        <w:tc>
          <w:tcPr>
            <w:tcW w:type="dxa" w:w="1361"/>
          </w:tcPr>
          <w:p>
            <w:pPr>
              <w:pStyle w:val="Normal"/>
              <w:spacing w:before="20" w:after="20" w:line="240" w:lineRule="auto"/>
              <w:ind w:firstLine="0"/>
              <w:jc w:val="right"/>
            </w:pPr>
            <w:r>
              <w:rPr>
                <w:sz w:val="15"/>
              </w:rPr>
              <w:t>0.992</w:t>
            </w:r>
          </w:p>
        </w:tc>
        <w:tc>
          <w:tcPr>
            <w:tcW w:type="dxa" w:w="1247"/>
          </w:tcPr>
          <w:p>
            <w:pPr>
              <w:pStyle w:val="Normal"/>
              <w:spacing w:before="20" w:after="20" w:line="240" w:lineRule="auto"/>
              <w:ind w:firstLine="0"/>
              <w:jc w:val="right"/>
            </w:pPr>
            <w:r>
              <w:rPr>
                <w:sz w:val="15"/>
              </w:rPr>
              <w:t>0.008</w:t>
            </w:r>
          </w:p>
        </w:tc>
        <w:tc>
          <w:tcPr>
            <w:tcW w:type="dxa" w:w="1304"/>
          </w:tcPr>
          <w:p>
            <w:pPr>
              <w:pStyle w:val="Normal"/>
              <w:spacing w:before="20" w:after="20" w:line="240" w:lineRule="auto"/>
              <w:ind w:firstLine="0"/>
              <w:jc w:val="right"/>
            </w:pPr>
            <w:r>
              <w:rPr>
                <w:sz w:val="15"/>
              </w:rPr>
              <w:t>0.982</w:t>
            </w:r>
          </w:p>
        </w:tc>
        <w:tc>
          <w:tcPr>
            <w:tcW w:type="dxa" w:w="1531"/>
          </w:tcPr>
          <w:p>
            <w:pPr>
              <w:pStyle w:val="Normal"/>
              <w:spacing w:before="20" w:after="20" w:line="240" w:lineRule="auto"/>
              <w:ind w:firstLine="0"/>
              <w:jc w:val="right"/>
            </w:pPr>
            <w:r>
              <w:rPr>
                <w:sz w:val="15"/>
              </w:rPr>
              <w:t>0.979–0.985</w:t>
            </w:r>
          </w:p>
        </w:tc>
      </w:tr>
      <w:tr>
        <w:tc>
          <w:tcPr>
            <w:tcW w:type="dxa" w:w="1474"/>
          </w:tcPr>
          <w:p>
            <w:pPr>
              <w:pStyle w:val="Normal"/>
              <w:spacing w:before="20" w:after="20" w:line="240" w:lineRule="auto"/>
              <w:ind w:firstLine="0"/>
              <w:jc w:val="left"/>
            </w:pPr>
            <w:r>
              <w:rPr>
                <w:sz w:val="15"/>
              </w:rPr>
              <w:t>0.4</w:t>
            </w:r>
          </w:p>
        </w:tc>
        <w:tc>
          <w:tcPr>
            <w:tcW w:type="dxa" w:w="1361"/>
          </w:tcPr>
          <w:p>
            <w:pPr>
              <w:pStyle w:val="Normal"/>
              <w:spacing w:before="20" w:after="20" w:line="240" w:lineRule="auto"/>
              <w:ind w:firstLine="0"/>
              <w:jc w:val="right"/>
            </w:pPr>
            <w:r>
              <w:rPr>
                <w:sz w:val="15"/>
              </w:rPr>
              <w:t>0.988</w:t>
            </w:r>
          </w:p>
        </w:tc>
        <w:tc>
          <w:tcPr>
            <w:tcW w:type="dxa" w:w="1247"/>
          </w:tcPr>
          <w:p>
            <w:pPr>
              <w:pStyle w:val="Normal"/>
              <w:spacing w:before="20" w:after="20" w:line="240" w:lineRule="auto"/>
              <w:ind w:firstLine="0"/>
              <w:jc w:val="right"/>
            </w:pPr>
            <w:r>
              <w:rPr>
                <w:sz w:val="15"/>
              </w:rPr>
              <w:t>0.013</w:t>
            </w:r>
          </w:p>
        </w:tc>
        <w:tc>
          <w:tcPr>
            <w:tcW w:type="dxa" w:w="1304"/>
          </w:tcPr>
          <w:p>
            <w:pPr>
              <w:pStyle w:val="Normal"/>
              <w:spacing w:before="20" w:after="20" w:line="240" w:lineRule="auto"/>
              <w:ind w:firstLine="0"/>
              <w:jc w:val="right"/>
            </w:pPr>
            <w:r>
              <w:rPr>
                <w:sz w:val="15"/>
              </w:rPr>
              <w:t>0.975</w:t>
            </w:r>
          </w:p>
        </w:tc>
        <w:tc>
          <w:tcPr>
            <w:tcW w:type="dxa" w:w="1531"/>
          </w:tcPr>
          <w:p>
            <w:pPr>
              <w:pStyle w:val="Normal"/>
              <w:spacing w:before="20" w:after="20" w:line="240" w:lineRule="auto"/>
              <w:ind w:firstLine="0"/>
              <w:jc w:val="right"/>
            </w:pPr>
            <w:r>
              <w:rPr>
                <w:sz w:val="15"/>
              </w:rPr>
              <w:t>0.971–0.980</w:t>
            </w:r>
          </w:p>
        </w:tc>
      </w:tr>
      <w:tr>
        <w:tc>
          <w:tcPr>
            <w:tcW w:type="dxa" w:w="1474"/>
          </w:tcPr>
          <w:p>
            <w:pPr>
              <w:pStyle w:val="Normal"/>
              <w:spacing w:before="20" w:after="20" w:line="240" w:lineRule="auto"/>
              <w:ind w:firstLine="0"/>
              <w:jc w:val="left"/>
            </w:pPr>
            <w:r>
              <w:rPr>
                <w:sz w:val="15"/>
              </w:rPr>
              <w:t>0.45</w:t>
            </w:r>
          </w:p>
        </w:tc>
        <w:tc>
          <w:tcPr>
            <w:tcW w:type="dxa" w:w="1361"/>
          </w:tcPr>
          <w:p>
            <w:pPr>
              <w:pStyle w:val="Normal"/>
              <w:spacing w:before="20" w:after="20" w:line="240" w:lineRule="auto"/>
              <w:ind w:firstLine="0"/>
              <w:jc w:val="right"/>
            </w:pPr>
            <w:r>
              <w:rPr>
                <w:sz w:val="15"/>
              </w:rPr>
              <w:t>0.951</w:t>
            </w:r>
          </w:p>
        </w:tc>
        <w:tc>
          <w:tcPr>
            <w:tcW w:type="dxa" w:w="1247"/>
          </w:tcPr>
          <w:p>
            <w:pPr>
              <w:pStyle w:val="Normal"/>
              <w:spacing w:before="20" w:after="20" w:line="240" w:lineRule="auto"/>
              <w:ind w:firstLine="0"/>
              <w:jc w:val="right"/>
            </w:pPr>
            <w:r>
              <w:rPr>
                <w:sz w:val="15"/>
              </w:rPr>
              <w:t>0.074</w:t>
            </w:r>
          </w:p>
        </w:tc>
        <w:tc>
          <w:tcPr>
            <w:tcW w:type="dxa" w:w="1304"/>
          </w:tcPr>
          <w:p>
            <w:pPr>
              <w:pStyle w:val="Normal"/>
              <w:spacing w:before="20" w:after="20" w:line="240" w:lineRule="auto"/>
              <w:ind w:firstLine="0"/>
              <w:jc w:val="right"/>
            </w:pPr>
            <w:r>
              <w:rPr>
                <w:sz w:val="15"/>
              </w:rPr>
              <w:t>0.964</w:t>
            </w:r>
          </w:p>
        </w:tc>
        <w:tc>
          <w:tcPr>
            <w:tcW w:type="dxa" w:w="1531"/>
          </w:tcPr>
          <w:p>
            <w:pPr>
              <w:pStyle w:val="Normal"/>
              <w:spacing w:before="20" w:after="20" w:line="240" w:lineRule="auto"/>
              <w:ind w:firstLine="0"/>
              <w:jc w:val="right"/>
            </w:pPr>
            <w:r>
              <w:rPr>
                <w:sz w:val="15"/>
              </w:rPr>
              <w:t>0.958–0.970</w:t>
            </w:r>
          </w:p>
        </w:tc>
      </w:tr>
      <w:tr>
        <w:tc>
          <w:tcPr>
            <w:tcW w:type="dxa" w:w="1474"/>
          </w:tcPr>
          <w:p>
            <w:pPr>
              <w:pStyle w:val="Normal"/>
              <w:spacing w:before="20" w:after="20" w:line="240" w:lineRule="auto"/>
              <w:ind w:firstLine="0"/>
              <w:jc w:val="left"/>
            </w:pPr>
            <w:r>
              <w:rPr>
                <w:sz w:val="15"/>
              </w:rPr>
              <w:t>0.5</w:t>
            </w:r>
          </w:p>
        </w:tc>
        <w:tc>
          <w:tcPr>
            <w:tcW w:type="dxa" w:w="1361"/>
          </w:tcPr>
          <w:p>
            <w:pPr>
              <w:pStyle w:val="Normal"/>
              <w:spacing w:before="20" w:after="20" w:line="240" w:lineRule="auto"/>
              <w:ind w:firstLine="0"/>
              <w:jc w:val="right"/>
            </w:pPr>
            <w:r>
              <w:rPr>
                <w:sz w:val="15"/>
              </w:rPr>
              <w:t>0.508</w:t>
            </w:r>
          </w:p>
        </w:tc>
        <w:tc>
          <w:tcPr>
            <w:tcW w:type="dxa" w:w="1247"/>
          </w:tcPr>
          <w:p>
            <w:pPr>
              <w:pStyle w:val="Normal"/>
              <w:spacing w:before="20" w:after="20" w:line="240" w:lineRule="auto"/>
              <w:ind w:firstLine="0"/>
              <w:jc w:val="right"/>
            </w:pPr>
            <w:r>
              <w:rPr>
                <w:sz w:val="15"/>
              </w:rPr>
              <w:t>0.251</w:t>
            </w:r>
          </w:p>
        </w:tc>
        <w:tc>
          <w:tcPr>
            <w:tcW w:type="dxa" w:w="1304"/>
          </w:tcPr>
          <w:p>
            <w:pPr>
              <w:pStyle w:val="Normal"/>
              <w:spacing w:before="20" w:after="20" w:line="240" w:lineRule="auto"/>
              <w:ind w:firstLine="0"/>
              <w:jc w:val="right"/>
            </w:pPr>
            <w:r>
              <w:rPr>
                <w:sz w:val="15"/>
              </w:rPr>
              <w:t>0.937</w:t>
            </w:r>
          </w:p>
        </w:tc>
        <w:tc>
          <w:tcPr>
            <w:tcW w:type="dxa" w:w="1531"/>
          </w:tcPr>
          <w:p>
            <w:pPr>
              <w:pStyle w:val="Normal"/>
              <w:spacing w:before="20" w:after="20" w:line="240" w:lineRule="auto"/>
              <w:ind w:firstLine="0"/>
              <w:jc w:val="right"/>
            </w:pPr>
            <w:r>
              <w:rPr>
                <w:sz w:val="15"/>
              </w:rPr>
              <w:t>0.930–0.943</w:t>
            </w:r>
          </w:p>
        </w:tc>
      </w:tr>
      <w:tr>
        <w:tc>
          <w:tcPr>
            <w:tcW w:type="dxa" w:w="1474"/>
          </w:tcPr>
          <w:p>
            <w:pPr>
              <w:pStyle w:val="Normal"/>
              <w:spacing w:before="20" w:after="20" w:line="240" w:lineRule="auto"/>
              <w:ind w:firstLine="0"/>
              <w:jc w:val="left"/>
            </w:pPr>
            <w:r>
              <w:rPr>
                <w:sz w:val="15"/>
              </w:rPr>
              <w:t>0.55</w:t>
            </w:r>
          </w:p>
        </w:tc>
        <w:tc>
          <w:tcPr>
            <w:tcW w:type="dxa" w:w="1361"/>
          </w:tcPr>
          <w:p>
            <w:pPr>
              <w:pStyle w:val="Normal"/>
              <w:spacing w:before="20" w:after="20" w:line="240" w:lineRule="auto"/>
              <w:ind w:firstLine="0"/>
              <w:jc w:val="right"/>
            </w:pPr>
            <w:r>
              <w:rPr>
                <w:sz w:val="15"/>
              </w:rPr>
              <w:t>0.071</w:t>
            </w:r>
          </w:p>
        </w:tc>
        <w:tc>
          <w:tcPr>
            <w:tcW w:type="dxa" w:w="1247"/>
          </w:tcPr>
          <w:p>
            <w:pPr>
              <w:pStyle w:val="Normal"/>
              <w:spacing w:before="20" w:after="20" w:line="240" w:lineRule="auto"/>
              <w:ind w:firstLine="0"/>
              <w:jc w:val="right"/>
            </w:pPr>
            <w:r>
              <w:rPr>
                <w:sz w:val="15"/>
              </w:rPr>
              <w:t>0.107</w:t>
            </w:r>
          </w:p>
        </w:tc>
        <w:tc>
          <w:tcPr>
            <w:tcW w:type="dxa" w:w="1304"/>
          </w:tcPr>
          <w:p>
            <w:pPr>
              <w:pStyle w:val="Normal"/>
              <w:spacing w:before="20" w:after="20" w:line="240" w:lineRule="auto"/>
              <w:ind w:firstLine="0"/>
              <w:jc w:val="right"/>
            </w:pPr>
            <w:r>
              <w:rPr>
                <w:sz w:val="15"/>
              </w:rPr>
              <w:t>0.965</w:t>
            </w:r>
          </w:p>
        </w:tc>
        <w:tc>
          <w:tcPr>
            <w:tcW w:type="dxa" w:w="1531"/>
          </w:tcPr>
          <w:p>
            <w:pPr>
              <w:pStyle w:val="Normal"/>
              <w:spacing w:before="20" w:after="20" w:line="240" w:lineRule="auto"/>
              <w:ind w:firstLine="0"/>
              <w:jc w:val="right"/>
            </w:pPr>
            <w:r>
              <w:rPr>
                <w:sz w:val="15"/>
              </w:rPr>
              <w:t>0.960–0.971</w:t>
            </w:r>
          </w:p>
        </w:tc>
      </w:tr>
      <w:tr>
        <w:tc>
          <w:tcPr>
            <w:tcW w:type="dxa" w:w="1474"/>
          </w:tcPr>
          <w:p>
            <w:pPr>
              <w:pStyle w:val="Normal"/>
              <w:spacing w:before="20" w:after="20" w:line="240" w:lineRule="auto"/>
              <w:ind w:firstLine="0"/>
              <w:jc w:val="left"/>
            </w:pPr>
            <w:r>
              <w:rPr>
                <w:sz w:val="15"/>
              </w:rPr>
              <w:t>0.6</w:t>
            </w:r>
          </w:p>
        </w:tc>
        <w:tc>
          <w:tcPr>
            <w:tcW w:type="dxa" w:w="1361"/>
          </w:tcPr>
          <w:p>
            <w:pPr>
              <w:pStyle w:val="Normal"/>
              <w:spacing w:before="20" w:after="20" w:line="240" w:lineRule="auto"/>
              <w:ind w:firstLine="0"/>
              <w:jc w:val="right"/>
            </w:pPr>
            <w:r>
              <w:rPr>
                <w:sz w:val="15"/>
              </w:rPr>
              <w:t>0.010</w:t>
            </w:r>
          </w:p>
        </w:tc>
        <w:tc>
          <w:tcPr>
            <w:tcW w:type="dxa" w:w="1247"/>
          </w:tcPr>
          <w:p>
            <w:pPr>
              <w:pStyle w:val="Normal"/>
              <w:spacing w:before="20" w:after="20" w:line="240" w:lineRule="auto"/>
              <w:ind w:firstLine="0"/>
              <w:jc w:val="right"/>
            </w:pPr>
            <w:r>
              <w:rPr>
                <w:sz w:val="15"/>
              </w:rPr>
              <w:t>0.014</w:t>
            </w:r>
          </w:p>
        </w:tc>
        <w:tc>
          <w:tcPr>
            <w:tcW w:type="dxa" w:w="1304"/>
          </w:tcPr>
          <w:p>
            <w:pPr>
              <w:pStyle w:val="Normal"/>
              <w:spacing w:before="20" w:after="20" w:line="240" w:lineRule="auto"/>
              <w:ind w:firstLine="0"/>
              <w:jc w:val="right"/>
            </w:pPr>
            <w:r>
              <w:rPr>
                <w:sz w:val="15"/>
              </w:rPr>
              <w:t>0.984</w:t>
            </w:r>
          </w:p>
        </w:tc>
        <w:tc>
          <w:tcPr>
            <w:tcW w:type="dxa" w:w="1531"/>
          </w:tcPr>
          <w:p>
            <w:pPr>
              <w:pStyle w:val="Normal"/>
              <w:spacing w:before="20" w:after="20" w:line="240" w:lineRule="auto"/>
              <w:ind w:firstLine="0"/>
              <w:jc w:val="right"/>
            </w:pPr>
            <w:r>
              <w:rPr>
                <w:sz w:val="15"/>
              </w:rPr>
              <w:t>0.980–0.987</w:t>
            </w:r>
          </w:p>
        </w:tc>
      </w:tr>
      <w:tr>
        <w:tc>
          <w:tcPr>
            <w:tcW w:type="dxa" w:w="1474"/>
            <w:tcBorders>
              <w:bottom w:val="single" w:sz="8" w:color="000000"/>
            </w:tcBorders>
          </w:tcPr>
          <w:p>
            <w:pPr>
              <w:pStyle w:val="Normal"/>
              <w:spacing w:before="20" w:after="20" w:line="240" w:lineRule="auto"/>
              <w:ind w:firstLine="0"/>
              <w:jc w:val="left"/>
            </w:pPr>
            <w:r>
              <w:rPr>
                <w:sz w:val="15"/>
              </w:rPr>
              <w:t>0.7</w:t>
            </w:r>
          </w:p>
        </w:tc>
        <w:tc>
          <w:tcPr>
            <w:tcW w:type="dxa" w:w="1361"/>
            <w:tcBorders>
              <w:bottom w:val="single" w:sz="8" w:color="000000"/>
            </w:tcBorders>
          </w:tcPr>
          <w:p>
            <w:pPr>
              <w:pStyle w:val="Normal"/>
              <w:spacing w:before="20" w:after="20" w:line="240" w:lineRule="auto"/>
              <w:ind w:firstLine="0"/>
              <w:jc w:val="right"/>
            </w:pPr>
            <w:r>
              <w:rPr>
                <w:sz w:val="15"/>
              </w:rPr>
              <w:t>0.006</w:t>
            </w:r>
          </w:p>
        </w:tc>
        <w:tc>
          <w:tcPr>
            <w:tcW w:type="dxa" w:w="1247"/>
            <w:tcBorders>
              <w:bottom w:val="single" w:sz="8" w:color="000000"/>
            </w:tcBorders>
          </w:tcPr>
          <w:p>
            <w:pPr>
              <w:pStyle w:val="Normal"/>
              <w:spacing w:before="20" w:after="20" w:line="240" w:lineRule="auto"/>
              <w:ind w:firstLine="0"/>
              <w:jc w:val="right"/>
            </w:pPr>
            <w:r>
              <w:rPr>
                <w:sz w:val="15"/>
              </w:rPr>
              <w:t>0.009</w:t>
            </w:r>
          </w:p>
        </w:tc>
        <w:tc>
          <w:tcPr>
            <w:tcW w:type="dxa" w:w="1304"/>
            <w:tcBorders>
              <w:bottom w:val="single" w:sz="8" w:color="000000"/>
            </w:tcBorders>
          </w:tcPr>
          <w:p>
            <w:pPr>
              <w:pStyle w:val="Normal"/>
              <w:spacing w:before="20" w:after="20" w:line="240" w:lineRule="auto"/>
              <w:ind w:firstLine="0"/>
              <w:jc w:val="right"/>
            </w:pPr>
            <w:r>
              <w:rPr>
                <w:sz w:val="15"/>
              </w:rPr>
              <w:t>0.986</w:t>
            </w:r>
          </w:p>
        </w:tc>
        <w:tc>
          <w:tcPr>
            <w:tcW w:type="dxa" w:w="1531"/>
            <w:tcBorders>
              <w:bottom w:val="single" w:sz="8" w:color="000000"/>
            </w:tcBorders>
          </w:tcPr>
          <w:p>
            <w:pPr>
              <w:pStyle w:val="Normal"/>
              <w:spacing w:before="20" w:after="20" w:line="240" w:lineRule="auto"/>
              <w:ind w:firstLine="0"/>
              <w:jc w:val="right"/>
            </w:pPr>
            <w:r>
              <w:rPr>
                <w:sz w:val="15"/>
              </w:rPr>
              <w:t>0.983–0.989</w:t>
            </w:r>
          </w:p>
        </w:tc>
      </w:tr>
    </w:tbl>
    <w:p>
      <w:pPr>
        <w:pStyle w:val="Normal"/>
        <w:spacing w:after="0"/>
      </w:pPr>
    </w:p>
    <w:p>
      <w:pPr>
        <w:pStyle w:val="heading31"/>
      </w:pPr>
      <w:r>
        <w:rPr>
          <w:b/>
        </w:rPr>
        <w:t xml:space="preserve">Exploration. </w:t>
      </w:r>
      <w:r>
        <w:rPr>
          <w:b w:val="0"/>
        </w:rPr>
        <w:t>Mean clustering decreases as exploration increases, from 0.94 at 0.01 to 0.86 at 0.05 and 0.67 at 0.2, because random switches break the agreement between friends. The dispersion of the orange share is not monotonic: its SD is 0.18 without exploration, 0.26 at 0.05 and 0.12 at 0.2. A possible interpretation is that, without exploration, few consumers change product and the shares move slowly; moderate exploration increases the number of changes and lets clusters grow; high exploration randomises choices and keeps the shares close to 0.5.</w:t>
      </w:r>
    </w:p>
    <w:p>
      <w:pPr>
        <w:pStyle w:val="Normal"/>
        <w:keepNext/>
        <w:ind w:firstLine="0"/>
        <w:jc w:val="center"/>
      </w:pPr>
      <w:r>
        <w:drawing>
          <wp:inline xmlns:a="http://schemas.openxmlformats.org/drawingml/2006/main" xmlns:pic="http://schemas.openxmlformats.org/drawingml/2006/picture">
            <wp:extent cx="4392000" cy="1566409"/>
            <wp:docPr id="5" name="Picture 5"/>
            <wp:cNvGraphicFramePr>
              <a:graphicFrameLocks noChangeAspect="1"/>
            </wp:cNvGraphicFramePr>
            <a:graphic>
              <a:graphicData uri="http://schemas.openxmlformats.org/drawingml/2006/picture">
                <pic:pic>
                  <pic:nvPicPr>
                    <pic:cNvPr id="0" name="fig5_sensitivity_exploration.png"/>
                    <pic:cNvPicPr/>
                  </pic:nvPicPr>
                  <pic:blipFill>
                    <a:blip r:embed="rId17"/>
                    <a:stretch>
                      <a:fillRect/>
                    </a:stretch>
                  </pic:blipFill>
                  <pic:spPr>
                    <a:xfrm>
                      <a:off x="0" y="0"/>
                      <a:ext cx="4392000" cy="1566409"/>
                    </a:xfrm>
                    <a:prstGeom prst="rect"/>
                  </pic:spPr>
                </pic:pic>
              </a:graphicData>
            </a:graphic>
          </wp:inline>
        </w:drawing>
      </w:r>
    </w:p>
    <w:p>
      <w:pPr>
        <w:pStyle w:val="figurelegend"/>
        <w:keepNext w:val="0"/>
      </w:pPr>
      <w:r>
        <w:rPr>
          <w:b/>
        </w:rPr>
        <w:t xml:space="preserve">Fig. 5. </w:t>
      </w:r>
      <w:r>
        <w:t xml:space="preserve">Effect of </w:t>
      </w:r>
      <w:r>
        <w:rPr>
          <w:rFonts w:ascii="Courier New" w:hAnsi="Courier New"/>
          <w:sz w:val="17"/>
        </w:rPr>
        <w:t>exploration</w:t>
      </w:r>
      <w:r>
        <w:t xml:space="preserve"> (100 runs per value). (a) Distribution of the orange share at tick 1000. (b) Mean clustering at tick 1000 with 95% confidence interval.</w:t>
      </w:r>
    </w:p>
    <w:p>
      <w:pPr>
        <w:pStyle w:val="tabletitle"/>
        <w:keepNext/>
      </w:pPr>
      <w:r>
        <w:rPr>
          <w:b/>
        </w:rPr>
        <w:t xml:space="preserve">Table 11. </w:t>
      </w:r>
      <w:r>
        <w:t xml:space="preserve">Outputs at tick 1000 as a function of </w:t>
      </w:r>
      <w:r>
        <w:rPr>
          <w:rFonts w:ascii="Courier New" w:hAnsi="Courier New"/>
          <w:sz w:val="17"/>
        </w:rPr>
        <w:t>exploration</w:t>
      </w:r>
      <w:r>
        <w:t xml:space="preserve"> (100 runs per value).</w:t>
      </w:r>
    </w:p>
    <w:tbl>
      <w:tblPr>
        <w:tblW w:w="6917" w:type="dxa"/>
        <w:jc w:val="center"/>
        <w:tblLayout w:type="fixed"/>
        <w:tblLook w:firstColumn="1" w:firstRow="1" w:lastColumn="0" w:lastRow="0" w:noHBand="0" w:noVBand="1" w:val="04A0"/>
      </w:tblPr>
      <w:tblGrid>
        <w:gridCol w:w="1474"/>
        <w:gridCol w:w="1361"/>
        <w:gridCol w:w="1247"/>
        <w:gridCol w:w="1304"/>
        <w:gridCol w:w="1531"/>
      </w:tblGrid>
      <w:tr>
        <w:tc>
          <w:tcPr>
            <w:tcW w:type="dxa" w:w="1474"/>
            <w:tcBorders>
              <w:top w:val="single" w:sz="8" w:color="000000"/>
              <w:bottom w:val="single" w:sz="4" w:color="000000"/>
            </w:tcBorders>
          </w:tcPr>
          <w:p>
            <w:pPr>
              <w:pStyle w:val="Normal"/>
              <w:spacing w:before="20" w:after="20" w:line="240" w:lineRule="auto"/>
              <w:ind w:firstLine="0"/>
              <w:jc w:val="left"/>
            </w:pPr>
            <w:r>
              <w:rPr>
                <w:rFonts w:ascii="Courier New" w:hAnsi="Courier New"/>
                <w:b/>
                <w:sz w:val="13"/>
              </w:rPr>
              <w:t>exploration</w:t>
            </w:r>
          </w:p>
        </w:tc>
        <w:tc>
          <w:tcPr>
            <w:tcW w:type="dxa" w:w="1361"/>
            <w:tcBorders>
              <w:top w:val="single" w:sz="8" w:color="000000"/>
              <w:bottom w:val="single" w:sz="4" w:color="000000"/>
            </w:tcBorders>
          </w:tcPr>
          <w:p>
            <w:pPr>
              <w:pStyle w:val="Normal"/>
              <w:spacing w:before="20" w:after="20" w:line="240" w:lineRule="auto"/>
              <w:ind w:firstLine="0"/>
              <w:jc w:val="right"/>
            </w:pPr>
            <w:r>
              <w:rPr>
                <w:b/>
                <w:sz w:val="15"/>
              </w:rPr>
              <w:t>Orange share (mean)</w:t>
            </w:r>
          </w:p>
        </w:tc>
        <w:tc>
          <w:tcPr>
            <w:tcW w:type="dxa" w:w="1247"/>
            <w:tcBorders>
              <w:top w:val="single" w:sz="8" w:color="000000"/>
              <w:bottom w:val="single" w:sz="4" w:color="000000"/>
            </w:tcBorders>
          </w:tcPr>
          <w:p>
            <w:pPr>
              <w:pStyle w:val="Normal"/>
              <w:spacing w:before="20" w:after="20" w:line="240" w:lineRule="auto"/>
              <w:ind w:firstLine="0"/>
              <w:jc w:val="right"/>
            </w:pPr>
            <w:r>
              <w:rPr>
                <w:b/>
                <w:sz w:val="15"/>
              </w:rPr>
              <w:t>Orange share (SD)</w:t>
            </w:r>
          </w:p>
        </w:tc>
        <w:tc>
          <w:tcPr>
            <w:tcW w:type="dxa" w:w="1304"/>
            <w:tcBorders>
              <w:top w:val="single" w:sz="8" w:color="000000"/>
              <w:bottom w:val="single" w:sz="4" w:color="000000"/>
            </w:tcBorders>
          </w:tcPr>
          <w:p>
            <w:pPr>
              <w:pStyle w:val="Normal"/>
              <w:spacing w:before="20" w:after="20" w:line="240" w:lineRule="auto"/>
              <w:ind w:firstLine="0"/>
              <w:jc w:val="right"/>
            </w:pPr>
            <w:r>
              <w:rPr>
                <w:b/>
                <w:sz w:val="15"/>
              </w:rPr>
              <w:t>Clustering (mean)</w:t>
            </w:r>
          </w:p>
        </w:tc>
        <w:tc>
          <w:tcPr>
            <w:tcW w:type="dxa" w:w="1531"/>
            <w:tcBorders>
              <w:top w:val="single" w:sz="8" w:color="000000"/>
              <w:bottom w:val="single" w:sz="4" w:color="000000"/>
            </w:tcBorders>
          </w:tcPr>
          <w:p>
            <w:pPr>
              <w:pStyle w:val="Normal"/>
              <w:spacing w:before="20" w:after="20" w:line="240" w:lineRule="auto"/>
              <w:ind w:firstLine="0"/>
              <w:jc w:val="right"/>
            </w:pPr>
            <w:r>
              <w:rPr>
                <w:b/>
                <w:sz w:val="15"/>
              </w:rPr>
              <w:t>Clustering 95% CI</w:t>
            </w:r>
          </w:p>
        </w:tc>
      </w:tr>
      <w:tr>
        <w:tc>
          <w:tcPr>
            <w:tcW w:type="dxa" w:w="1474"/>
          </w:tcPr>
          <w:p>
            <w:pPr>
              <w:pStyle w:val="Normal"/>
              <w:spacing w:before="20" w:after="20" w:line="240" w:lineRule="auto"/>
              <w:ind w:firstLine="0"/>
              <w:jc w:val="left"/>
            </w:pPr>
            <w:r>
              <w:rPr>
                <w:sz w:val="15"/>
              </w:rPr>
              <w:t>0</w:t>
            </w:r>
          </w:p>
        </w:tc>
        <w:tc>
          <w:tcPr>
            <w:tcW w:type="dxa" w:w="1361"/>
          </w:tcPr>
          <w:p>
            <w:pPr>
              <w:pStyle w:val="Normal"/>
              <w:spacing w:before="20" w:after="20" w:line="240" w:lineRule="auto"/>
              <w:ind w:firstLine="0"/>
              <w:jc w:val="right"/>
            </w:pPr>
            <w:r>
              <w:rPr>
                <w:sz w:val="15"/>
              </w:rPr>
              <w:t>0.468</w:t>
            </w:r>
          </w:p>
        </w:tc>
        <w:tc>
          <w:tcPr>
            <w:tcW w:type="dxa" w:w="1247"/>
          </w:tcPr>
          <w:p>
            <w:pPr>
              <w:pStyle w:val="Normal"/>
              <w:spacing w:before="20" w:after="20" w:line="240" w:lineRule="auto"/>
              <w:ind w:firstLine="0"/>
              <w:jc w:val="right"/>
            </w:pPr>
            <w:r>
              <w:rPr>
                <w:sz w:val="15"/>
              </w:rPr>
              <w:t>0.177</w:t>
            </w:r>
          </w:p>
        </w:tc>
        <w:tc>
          <w:tcPr>
            <w:tcW w:type="dxa" w:w="1304"/>
          </w:tcPr>
          <w:p>
            <w:pPr>
              <w:pStyle w:val="Normal"/>
              <w:spacing w:before="20" w:after="20" w:line="240" w:lineRule="auto"/>
              <w:ind w:firstLine="0"/>
              <w:jc w:val="right"/>
            </w:pPr>
            <w:r>
              <w:rPr>
                <w:sz w:val="15"/>
              </w:rPr>
              <w:t>0.920</w:t>
            </w:r>
          </w:p>
        </w:tc>
        <w:tc>
          <w:tcPr>
            <w:tcW w:type="dxa" w:w="1531"/>
          </w:tcPr>
          <w:p>
            <w:pPr>
              <w:pStyle w:val="Normal"/>
              <w:spacing w:before="20" w:after="20" w:line="240" w:lineRule="auto"/>
              <w:ind w:firstLine="0"/>
              <w:jc w:val="right"/>
            </w:pPr>
            <w:r>
              <w:rPr>
                <w:sz w:val="15"/>
              </w:rPr>
              <w:t>0.914–0.926</w:t>
            </w:r>
          </w:p>
        </w:tc>
      </w:tr>
      <w:tr>
        <w:tc>
          <w:tcPr>
            <w:tcW w:type="dxa" w:w="1474"/>
          </w:tcPr>
          <w:p>
            <w:pPr>
              <w:pStyle w:val="Normal"/>
              <w:spacing w:before="20" w:after="20" w:line="240" w:lineRule="auto"/>
              <w:ind w:firstLine="0"/>
              <w:jc w:val="left"/>
            </w:pPr>
            <w:r>
              <w:rPr>
                <w:sz w:val="15"/>
              </w:rPr>
              <w:t>0.01</w:t>
            </w:r>
          </w:p>
        </w:tc>
        <w:tc>
          <w:tcPr>
            <w:tcW w:type="dxa" w:w="1361"/>
          </w:tcPr>
          <w:p>
            <w:pPr>
              <w:pStyle w:val="Normal"/>
              <w:spacing w:before="20" w:after="20" w:line="240" w:lineRule="auto"/>
              <w:ind w:firstLine="0"/>
              <w:jc w:val="right"/>
            </w:pPr>
            <w:r>
              <w:rPr>
                <w:sz w:val="15"/>
              </w:rPr>
              <w:t>0.493</w:t>
            </w:r>
          </w:p>
        </w:tc>
        <w:tc>
          <w:tcPr>
            <w:tcW w:type="dxa" w:w="1247"/>
          </w:tcPr>
          <w:p>
            <w:pPr>
              <w:pStyle w:val="Normal"/>
              <w:spacing w:before="20" w:after="20" w:line="240" w:lineRule="auto"/>
              <w:ind w:firstLine="0"/>
              <w:jc w:val="right"/>
            </w:pPr>
            <w:r>
              <w:rPr>
                <w:sz w:val="15"/>
              </w:rPr>
              <w:t>0.229</w:t>
            </w:r>
          </w:p>
        </w:tc>
        <w:tc>
          <w:tcPr>
            <w:tcW w:type="dxa" w:w="1304"/>
          </w:tcPr>
          <w:p>
            <w:pPr>
              <w:pStyle w:val="Normal"/>
              <w:spacing w:before="20" w:after="20" w:line="240" w:lineRule="auto"/>
              <w:ind w:firstLine="0"/>
              <w:jc w:val="right"/>
            </w:pPr>
            <w:r>
              <w:rPr>
                <w:sz w:val="15"/>
              </w:rPr>
              <w:t>0.935</w:t>
            </w:r>
          </w:p>
        </w:tc>
        <w:tc>
          <w:tcPr>
            <w:tcW w:type="dxa" w:w="1531"/>
          </w:tcPr>
          <w:p>
            <w:pPr>
              <w:pStyle w:val="Normal"/>
              <w:spacing w:before="20" w:after="20" w:line="240" w:lineRule="auto"/>
              <w:ind w:firstLine="0"/>
              <w:jc w:val="right"/>
            </w:pPr>
            <w:r>
              <w:rPr>
                <w:sz w:val="15"/>
              </w:rPr>
              <w:t>0.929–0.941</w:t>
            </w:r>
          </w:p>
        </w:tc>
      </w:tr>
      <w:tr>
        <w:tc>
          <w:tcPr>
            <w:tcW w:type="dxa" w:w="1474"/>
          </w:tcPr>
          <w:p>
            <w:pPr>
              <w:pStyle w:val="Normal"/>
              <w:spacing w:before="20" w:after="20" w:line="240" w:lineRule="auto"/>
              <w:ind w:firstLine="0"/>
              <w:jc w:val="left"/>
            </w:pPr>
            <w:r>
              <w:rPr>
                <w:sz w:val="15"/>
              </w:rPr>
              <w:t>0.05</w:t>
            </w:r>
          </w:p>
        </w:tc>
        <w:tc>
          <w:tcPr>
            <w:tcW w:type="dxa" w:w="1361"/>
          </w:tcPr>
          <w:p>
            <w:pPr>
              <w:pStyle w:val="Normal"/>
              <w:spacing w:before="20" w:after="20" w:line="240" w:lineRule="auto"/>
              <w:ind w:firstLine="0"/>
              <w:jc w:val="right"/>
            </w:pPr>
            <w:r>
              <w:rPr>
                <w:sz w:val="15"/>
              </w:rPr>
              <w:t>0.499</w:t>
            </w:r>
          </w:p>
        </w:tc>
        <w:tc>
          <w:tcPr>
            <w:tcW w:type="dxa" w:w="1247"/>
          </w:tcPr>
          <w:p>
            <w:pPr>
              <w:pStyle w:val="Normal"/>
              <w:spacing w:before="20" w:after="20" w:line="240" w:lineRule="auto"/>
              <w:ind w:firstLine="0"/>
              <w:jc w:val="right"/>
            </w:pPr>
            <w:r>
              <w:rPr>
                <w:sz w:val="15"/>
              </w:rPr>
              <w:t>0.259</w:t>
            </w:r>
          </w:p>
        </w:tc>
        <w:tc>
          <w:tcPr>
            <w:tcW w:type="dxa" w:w="1304"/>
          </w:tcPr>
          <w:p>
            <w:pPr>
              <w:pStyle w:val="Normal"/>
              <w:spacing w:before="20" w:after="20" w:line="240" w:lineRule="auto"/>
              <w:ind w:firstLine="0"/>
              <w:jc w:val="right"/>
            </w:pPr>
            <w:r>
              <w:rPr>
                <w:sz w:val="15"/>
              </w:rPr>
              <w:t>0.858</w:t>
            </w:r>
          </w:p>
        </w:tc>
        <w:tc>
          <w:tcPr>
            <w:tcW w:type="dxa" w:w="1531"/>
          </w:tcPr>
          <w:p>
            <w:pPr>
              <w:pStyle w:val="Normal"/>
              <w:spacing w:before="20" w:after="20" w:line="240" w:lineRule="auto"/>
              <w:ind w:firstLine="0"/>
              <w:jc w:val="right"/>
            </w:pPr>
            <w:r>
              <w:rPr>
                <w:sz w:val="15"/>
              </w:rPr>
              <w:t>0.849–0.868</w:t>
            </w:r>
          </w:p>
        </w:tc>
      </w:tr>
      <w:tr>
        <w:tc>
          <w:tcPr>
            <w:tcW w:type="dxa" w:w="1474"/>
          </w:tcPr>
          <w:p>
            <w:pPr>
              <w:pStyle w:val="Normal"/>
              <w:spacing w:before="20" w:after="20" w:line="240" w:lineRule="auto"/>
              <w:ind w:firstLine="0"/>
              <w:jc w:val="left"/>
            </w:pPr>
            <w:r>
              <w:rPr>
                <w:sz w:val="15"/>
              </w:rPr>
              <w:t>0.1</w:t>
            </w:r>
          </w:p>
        </w:tc>
        <w:tc>
          <w:tcPr>
            <w:tcW w:type="dxa" w:w="1361"/>
          </w:tcPr>
          <w:p>
            <w:pPr>
              <w:pStyle w:val="Normal"/>
              <w:spacing w:before="20" w:after="20" w:line="240" w:lineRule="auto"/>
              <w:ind w:firstLine="0"/>
              <w:jc w:val="right"/>
            </w:pPr>
            <w:r>
              <w:rPr>
                <w:sz w:val="15"/>
              </w:rPr>
              <w:t>0.483</w:t>
            </w:r>
          </w:p>
        </w:tc>
        <w:tc>
          <w:tcPr>
            <w:tcW w:type="dxa" w:w="1247"/>
          </w:tcPr>
          <w:p>
            <w:pPr>
              <w:pStyle w:val="Normal"/>
              <w:spacing w:before="20" w:after="20" w:line="240" w:lineRule="auto"/>
              <w:ind w:firstLine="0"/>
              <w:jc w:val="right"/>
            </w:pPr>
            <w:r>
              <w:rPr>
                <w:sz w:val="15"/>
              </w:rPr>
              <w:t>0.181</w:t>
            </w:r>
          </w:p>
        </w:tc>
        <w:tc>
          <w:tcPr>
            <w:tcW w:type="dxa" w:w="1304"/>
          </w:tcPr>
          <w:p>
            <w:pPr>
              <w:pStyle w:val="Normal"/>
              <w:spacing w:before="20" w:after="20" w:line="240" w:lineRule="auto"/>
              <w:ind w:firstLine="0"/>
              <w:jc w:val="right"/>
            </w:pPr>
            <w:r>
              <w:rPr>
                <w:sz w:val="15"/>
              </w:rPr>
              <w:t>0.771</w:t>
            </w:r>
          </w:p>
        </w:tc>
        <w:tc>
          <w:tcPr>
            <w:tcW w:type="dxa" w:w="1531"/>
          </w:tcPr>
          <w:p>
            <w:pPr>
              <w:pStyle w:val="Normal"/>
              <w:spacing w:before="20" w:after="20" w:line="240" w:lineRule="auto"/>
              <w:ind w:firstLine="0"/>
              <w:jc w:val="right"/>
            </w:pPr>
            <w:r>
              <w:rPr>
                <w:sz w:val="15"/>
              </w:rPr>
              <w:t>0.761–0.781</w:t>
            </w:r>
          </w:p>
        </w:tc>
      </w:tr>
      <w:tr>
        <w:tc>
          <w:tcPr>
            <w:tcW w:type="dxa" w:w="1474"/>
            <w:tcBorders>
              <w:bottom w:val="single" w:sz="8" w:color="000000"/>
            </w:tcBorders>
          </w:tcPr>
          <w:p>
            <w:pPr>
              <w:pStyle w:val="Normal"/>
              <w:spacing w:before="20" w:after="20" w:line="240" w:lineRule="auto"/>
              <w:ind w:firstLine="0"/>
              <w:jc w:val="left"/>
            </w:pPr>
            <w:r>
              <w:rPr>
                <w:sz w:val="15"/>
              </w:rPr>
              <w:t>0.2</w:t>
            </w:r>
          </w:p>
        </w:tc>
        <w:tc>
          <w:tcPr>
            <w:tcW w:type="dxa" w:w="1361"/>
            <w:tcBorders>
              <w:bottom w:val="single" w:sz="8" w:color="000000"/>
            </w:tcBorders>
          </w:tcPr>
          <w:p>
            <w:pPr>
              <w:pStyle w:val="Normal"/>
              <w:spacing w:before="20" w:after="20" w:line="240" w:lineRule="auto"/>
              <w:ind w:firstLine="0"/>
              <w:jc w:val="right"/>
            </w:pPr>
            <w:r>
              <w:rPr>
                <w:sz w:val="15"/>
              </w:rPr>
              <w:t>0.488</w:t>
            </w:r>
          </w:p>
        </w:tc>
        <w:tc>
          <w:tcPr>
            <w:tcW w:type="dxa" w:w="1247"/>
            <w:tcBorders>
              <w:bottom w:val="single" w:sz="8" w:color="000000"/>
            </w:tcBorders>
          </w:tcPr>
          <w:p>
            <w:pPr>
              <w:pStyle w:val="Normal"/>
              <w:spacing w:before="20" w:after="20" w:line="240" w:lineRule="auto"/>
              <w:ind w:firstLine="0"/>
              <w:jc w:val="right"/>
            </w:pPr>
            <w:r>
              <w:rPr>
                <w:sz w:val="15"/>
              </w:rPr>
              <w:t>0.121</w:t>
            </w:r>
          </w:p>
        </w:tc>
        <w:tc>
          <w:tcPr>
            <w:tcW w:type="dxa" w:w="1304"/>
            <w:tcBorders>
              <w:bottom w:val="single" w:sz="8" w:color="000000"/>
            </w:tcBorders>
          </w:tcPr>
          <w:p>
            <w:pPr>
              <w:pStyle w:val="Normal"/>
              <w:spacing w:before="20" w:after="20" w:line="240" w:lineRule="auto"/>
              <w:ind w:firstLine="0"/>
              <w:jc w:val="right"/>
            </w:pPr>
            <w:r>
              <w:rPr>
                <w:sz w:val="15"/>
              </w:rPr>
              <w:t>0.673</w:t>
            </w:r>
          </w:p>
        </w:tc>
        <w:tc>
          <w:tcPr>
            <w:tcW w:type="dxa" w:w="1531"/>
            <w:tcBorders>
              <w:bottom w:val="single" w:sz="8" w:color="000000"/>
            </w:tcBorders>
          </w:tcPr>
          <w:p>
            <w:pPr>
              <w:pStyle w:val="Normal"/>
              <w:spacing w:before="20" w:after="20" w:line="240" w:lineRule="auto"/>
              <w:ind w:firstLine="0"/>
              <w:jc w:val="right"/>
            </w:pPr>
            <w:r>
              <w:rPr>
                <w:sz w:val="15"/>
              </w:rPr>
              <w:t>0.664–0.682</w:t>
            </w:r>
          </w:p>
        </w:tc>
      </w:tr>
    </w:tbl>
    <w:p>
      <w:pPr>
        <w:pStyle w:val="Normal"/>
        <w:spacing w:after="0"/>
      </w:pPr>
    </w:p>
    <w:p>
      <w:pPr>
        <w:pStyle w:val="heading21"/>
      </w:pPr>
      <w:r>
        <w:t>3.4   Summary of Findings</w:t>
      </w:r>
    </w:p>
    <w:p>
      <w:pPr>
        <w:pStyle w:val="p1a"/>
      </w:pPr>
      <w:r>
        <w:t>The baseline and the sensitivity analysis lead to four conclusions that will serve as reference for the extended model:</w:t>
      </w:r>
    </w:p>
    <w:p>
      <w:pPr>
        <w:pStyle w:val="Normal"/>
        <w:ind w:left="283" w:hanging="198"/>
      </w:pPr>
      <w:r>
        <w:t xml:space="preserve">– Social influence segments the market. All tested positive values of </w:t>
      </w:r>
      <w:r>
        <w:rPr>
          <w:rFonts w:ascii="Courier New" w:hAnsi="Courier New"/>
          <w:sz w:val="17"/>
        </w:rPr>
        <w:t>norm_influence</w:t>
      </w:r>
      <w:r>
        <w:t xml:space="preserve"> (0.1 to 1.0) lead to a mean clustering of about 0.94; without norm, clustering stays at 0.54.</w:t>
      </w:r>
    </w:p>
    <w:p>
      <w:pPr>
        <w:pStyle w:val="Normal"/>
        <w:ind w:left="283" w:hanging="198"/>
      </w:pPr>
      <w:r>
        <w:t>– With equal products, the outcome of a market is path dependent: the same rules produce markets dominated by either product (SD of the share 0.25). The baseline must be described by the distribution of outcomes, not by the mean.</w:t>
      </w:r>
    </w:p>
    <w:p>
      <w:pPr>
        <w:pStyle w:val="Normal"/>
        <w:ind w:left="283" w:hanging="198"/>
      </w:pPr>
      <w:r>
        <w:t>– Small differences in quality are amplified: a difference of 0.05 gives the better product about 93–95% of the market.</w:t>
      </w:r>
    </w:p>
    <w:p>
      <w:pPr>
        <w:pStyle w:val="Normal"/>
        <w:ind w:left="283" w:hanging="198"/>
      </w:pPr>
      <w:r>
        <w:t>– Exploration is the only mechanism that brings new information into a cluster; it reduces clustering but also determines how fast markets can change.</w:t>
      </w:r>
    </w:p>
    <w:p>
      <w:pPr>
        <w:pStyle w:val="heading11"/>
      </w:pPr>
      <w:r>
        <w:t>4   Next Step: Fitting the Model to a Real Market</w:t>
      </w:r>
    </w:p>
    <w:p>
      <w:pPr>
        <w:pStyle w:val="p1a"/>
      </w:pPr>
      <w:r>
        <w:t>In the next phase, the model will be fitted to the entry of a new operator in the Portuguese mobile telecommunications market. DIGI entered the market at the end of 2024 with prices below those of MEO, NOS and Vodafone. According to data from the national regulator ANACOM, it held 2.8% of bundled-service customers in the first half of 2025 [8].</w:t>
      </w:r>
    </w:p>
    <w:p>
      <w:pPr>
        <w:pStyle w:val="Normal"/>
      </w:pPr>
      <w:r>
        <w:rPr>
          <w:i/>
        </w:rPr>
        <w:t>Problem.</w:t>
      </w:r>
      <w:r>
        <w:t xml:space="preserve"> Which combination of price, network quality and trial campaigns allows a new operator to cross the tipping point, and how long does it take? The same question can be asked from the point of view of the incumbents: which response limits the loss of market share?</w:t>
      </w:r>
    </w:p>
    <w:p>
      <w:pPr>
        <w:pStyle w:val="tabletitle"/>
        <w:keepNext/>
      </w:pPr>
      <w:r>
        <w:rPr>
          <w:b/>
        </w:rPr>
        <w:t xml:space="preserve">Table 12. </w:t>
      </w:r>
      <w:r>
        <w:t>Correspondence between the original model and the proposed model.</w:t>
      </w:r>
    </w:p>
    <w:tbl>
      <w:tblPr>
        <w:tblW w:w="6917" w:type="dxa"/>
        <w:jc w:val="center"/>
        <w:tblLayout w:type="fixed"/>
        <w:tblLook w:firstColumn="1" w:firstRow="1" w:lastColumn="0" w:lastRow="0" w:noHBand="0" w:noVBand="1" w:val="04A0"/>
      </w:tblPr>
      <w:tblGrid>
        <w:gridCol w:w="2268"/>
        <w:gridCol w:w="4649"/>
      </w:tblGrid>
      <w:tr>
        <w:tc>
          <w:tcPr>
            <w:tcW w:type="dxa" w:w="2268"/>
            <w:tcBorders>
              <w:top w:val="single" w:sz="8" w:color="000000"/>
              <w:bottom w:val="single" w:sz="4" w:color="000000"/>
            </w:tcBorders>
          </w:tcPr>
          <w:p>
            <w:pPr>
              <w:pStyle w:val="Normal"/>
              <w:spacing w:before="20" w:after="20" w:line="240" w:lineRule="auto"/>
              <w:ind w:firstLine="0"/>
              <w:jc w:val="left"/>
            </w:pPr>
            <w:r>
              <w:rPr>
                <w:b/>
                <w:sz w:val="15"/>
              </w:rPr>
              <w:t>Original model</w:t>
            </w:r>
          </w:p>
        </w:tc>
        <w:tc>
          <w:tcPr>
            <w:tcW w:type="dxa" w:w="4649"/>
            <w:tcBorders>
              <w:top w:val="single" w:sz="8" w:color="000000"/>
              <w:bottom w:val="single" w:sz="4" w:color="000000"/>
            </w:tcBorders>
          </w:tcPr>
          <w:p>
            <w:pPr>
              <w:pStyle w:val="Normal"/>
              <w:spacing w:before="20" w:after="20" w:line="240" w:lineRule="auto"/>
              <w:ind w:firstLine="0"/>
              <w:jc w:val="left"/>
            </w:pPr>
            <w:r>
              <w:rPr>
                <w:b/>
                <w:sz w:val="15"/>
              </w:rPr>
              <w:t>Proposed model</w:t>
            </w:r>
          </w:p>
        </w:tc>
      </w:tr>
      <w:tr>
        <w:tc>
          <w:tcPr>
            <w:tcW w:type="dxa" w:w="2268"/>
          </w:tcPr>
          <w:p>
            <w:pPr>
              <w:pStyle w:val="Normal"/>
              <w:spacing w:before="20" w:after="20" w:line="240" w:lineRule="auto"/>
              <w:ind w:firstLine="0"/>
              <w:jc w:val="left"/>
            </w:pPr>
            <w:r>
              <w:rPr>
                <w:sz w:val="15"/>
              </w:rPr>
              <w:t>2 products</w:t>
            </w:r>
          </w:p>
        </w:tc>
        <w:tc>
          <w:tcPr>
            <w:tcW w:type="dxa" w:w="4649"/>
          </w:tcPr>
          <w:p>
            <w:pPr>
              <w:pStyle w:val="Normal"/>
              <w:spacing w:before="20" w:after="20" w:line="240" w:lineRule="auto"/>
              <w:ind w:firstLine="0"/>
              <w:jc w:val="left"/>
            </w:pPr>
            <w:r>
              <w:rPr>
                <w:sz w:val="15"/>
              </w:rPr>
              <w:t>4 operators (MEO, NOS, Vodafone, DIGI); DIGI enters at tick T</w:t>
            </w:r>
          </w:p>
        </w:tc>
      </w:tr>
      <w:tr>
        <w:tc>
          <w:tcPr>
            <w:tcW w:type="dxa" w:w="2268"/>
          </w:tcPr>
          <w:p>
            <w:pPr>
              <w:pStyle w:val="Normal"/>
              <w:spacing w:before="20" w:after="20" w:line="240" w:lineRule="auto"/>
              <w:ind w:firstLine="0"/>
              <w:jc w:val="left"/>
            </w:pPr>
            <w:r>
              <w:rPr>
                <w:sz w:val="15"/>
              </w:rPr>
              <w:t>Quality</w:t>
            </w:r>
          </w:p>
        </w:tc>
        <w:tc>
          <w:tcPr>
            <w:tcW w:type="dxa" w:w="4649"/>
          </w:tcPr>
          <w:p>
            <w:pPr>
              <w:pStyle w:val="Normal"/>
              <w:spacing w:before="20" w:after="20" w:line="240" w:lineRule="auto"/>
              <w:ind w:firstLine="0"/>
              <w:jc w:val="left"/>
            </w:pPr>
            <w:r>
              <w:rPr>
                <w:sz w:val="15"/>
              </w:rPr>
              <w:t>Network and service quality (ANACOM indicators or network tests)</w:t>
            </w:r>
          </w:p>
        </w:tc>
      </w:tr>
      <w:tr>
        <w:tc>
          <w:tcPr>
            <w:tcW w:type="dxa" w:w="2268"/>
          </w:tcPr>
          <w:p>
            <w:pPr>
              <w:pStyle w:val="Normal"/>
              <w:spacing w:before="20" w:after="20" w:line="240" w:lineRule="auto"/>
              <w:ind w:firstLine="0"/>
              <w:jc w:val="left"/>
            </w:pPr>
            <w:r>
              <w:rPr>
                <w:sz w:val="15"/>
              </w:rPr>
              <w:t>—</w:t>
            </w:r>
          </w:p>
        </w:tc>
        <w:tc>
          <w:tcPr>
            <w:tcW w:type="dxa" w:w="4649"/>
          </w:tcPr>
          <w:p>
            <w:pPr>
              <w:pStyle w:val="Normal"/>
              <w:spacing w:before="20" w:after="20" w:line="240" w:lineRule="auto"/>
              <w:ind w:firstLine="0"/>
              <w:jc w:val="left"/>
            </w:pPr>
            <w:r>
              <w:rPr>
                <w:sz w:val="15"/>
              </w:rPr>
              <w:t>Price, as a new attribute of utility</w:t>
            </w:r>
          </w:p>
        </w:tc>
      </w:tr>
      <w:tr>
        <w:tc>
          <w:tcPr>
            <w:tcW w:type="dxa" w:w="2268"/>
          </w:tcPr>
          <w:p>
            <w:pPr>
              <w:pStyle w:val="Normal"/>
              <w:spacing w:before="20" w:after="20" w:line="240" w:lineRule="auto"/>
              <w:ind w:firstLine="0"/>
              <w:jc w:val="left"/>
            </w:pPr>
            <w:r>
              <w:rPr>
                <w:sz w:val="15"/>
              </w:rPr>
              <w:t>Habit (satisfaction)</w:t>
            </w:r>
          </w:p>
        </w:tc>
        <w:tc>
          <w:tcPr>
            <w:tcW w:type="dxa" w:w="4649"/>
          </w:tcPr>
          <w:p>
            <w:pPr>
              <w:pStyle w:val="Normal"/>
              <w:spacing w:before="20" w:after="20" w:line="240" w:lineRule="auto"/>
              <w:ind w:firstLine="0"/>
              <w:jc w:val="left"/>
            </w:pPr>
            <w:r>
              <w:rPr>
                <w:sz w:val="15"/>
              </w:rPr>
              <w:t>Habit and contract lock-in (24-month contracts: a consumer can switch only when the contract ends)</w:t>
            </w:r>
          </w:p>
        </w:tc>
      </w:tr>
      <w:tr>
        <w:tc>
          <w:tcPr>
            <w:tcW w:type="dxa" w:w="2268"/>
          </w:tcPr>
          <w:p>
            <w:pPr>
              <w:pStyle w:val="Normal"/>
              <w:spacing w:before="20" w:after="20" w:line="240" w:lineRule="auto"/>
              <w:ind w:firstLine="0"/>
              <w:jc w:val="left"/>
            </w:pPr>
            <w:r>
              <w:rPr>
                <w:sz w:val="15"/>
              </w:rPr>
              <w:t>Social norm</w:t>
            </w:r>
          </w:p>
        </w:tc>
        <w:tc>
          <w:tcPr>
            <w:tcW w:type="dxa" w:w="4649"/>
          </w:tcPr>
          <w:p>
            <w:pPr>
              <w:pStyle w:val="Normal"/>
              <w:spacing w:before="20" w:after="20" w:line="240" w:lineRule="auto"/>
              <w:ind w:firstLine="0"/>
              <w:jc w:val="left"/>
            </w:pPr>
            <w:r>
              <w:rPr>
                <w:sz w:val="15"/>
              </w:rPr>
              <w:t>Family plans and recommendations of friends</w:t>
            </w:r>
          </w:p>
        </w:tc>
      </w:tr>
      <w:tr>
        <w:tc>
          <w:tcPr>
            <w:tcW w:type="dxa" w:w="2268"/>
            <w:tcBorders>
              <w:bottom w:val="single" w:sz="8" w:color="000000"/>
            </w:tcBorders>
          </w:tcPr>
          <w:p>
            <w:pPr>
              <w:pStyle w:val="Normal"/>
              <w:spacing w:before="20" w:after="20" w:line="240" w:lineRule="auto"/>
              <w:ind w:firstLine="0"/>
              <w:jc w:val="left"/>
            </w:pPr>
            <w:r>
              <w:rPr>
                <w:sz w:val="15"/>
              </w:rPr>
              <w:t>Exploration</w:t>
            </w:r>
          </w:p>
        </w:tc>
        <w:tc>
          <w:tcPr>
            <w:tcW w:type="dxa" w:w="4649"/>
            <w:tcBorders>
              <w:bottom w:val="single" w:sz="8" w:color="000000"/>
            </w:tcBorders>
          </w:tcPr>
          <w:p>
            <w:pPr>
              <w:pStyle w:val="Normal"/>
              <w:spacing w:before="20" w:after="20" w:line="240" w:lineRule="auto"/>
              <w:ind w:firstLine="0"/>
              <w:jc w:val="left"/>
            </w:pPr>
            <w:r>
              <w:rPr>
                <w:sz w:val="15"/>
              </w:rPr>
              <w:t>Trial periods, number portability, promotions</w:t>
            </w:r>
          </w:p>
        </w:tc>
      </w:tr>
    </w:tbl>
    <w:p>
      <w:pPr>
        <w:pStyle w:val="Normal"/>
        <w:spacing w:after="0"/>
      </w:pPr>
    </w:p>
    <w:p>
      <w:pPr>
        <w:pStyle w:val="Normal"/>
      </w:pPr>
      <w:r>
        <w:rPr>
          <w:i/>
        </w:rPr>
        <w:t>Steps.</w:t>
      </w:r>
    </w:p>
    <w:p>
      <w:pPr>
        <w:pStyle w:val="Normal"/>
        <w:ind w:left="283" w:hanging="198"/>
      </w:pPr>
      <w:r>
        <w:t xml:space="preserve">– Generalise the code from two to </w:t>
      </w:r>
      <w:r>
        <w:rPr>
          <w:i/>
        </w:rPr>
        <w:t>N</w:t>
      </w:r>
      <w:r>
        <w:t xml:space="preserve"> products (lists instead of </w:t>
      </w:r>
      <w:r>
        <w:rPr>
          <w:rFonts w:ascii="Courier New" w:hAnsi="Courier New"/>
          <w:sz w:val="17"/>
        </w:rPr>
        <w:t>1 − choice</w:t>
      </w:r>
      <w:r>
        <w:t>).</w:t>
      </w:r>
    </w:p>
    <w:p>
      <w:pPr>
        <w:pStyle w:val="Normal"/>
        <w:ind w:left="283" w:hanging="198"/>
      </w:pPr>
      <w:r>
        <w:t xml:space="preserve">– Add price and a heterogeneous sensitivity to price, for example </w:t>
      </w:r>
      <w:r>
        <w:rPr>
          <w:i/>
        </w:rPr>
        <w:t>U</w:t>
      </w:r>
      <w:r>
        <w:t xml:space="preserve"> = </w:t>
      </w:r>
      <w:r>
        <w:rPr>
          <w:i/>
        </w:rPr>
        <w:t>a</w:t>
      </w:r>
      <w:r>
        <w:t xml:space="preserve"> · quality − </w:t>
      </w:r>
      <w:r>
        <w:rPr>
          <w:i/>
        </w:rPr>
        <w:t>b</w:t>
      </w:r>
      <w:r>
        <w:t xml:space="preserve"> · price + norm, with </w:t>
      </w:r>
      <w:r>
        <w:rPr>
          <w:i/>
        </w:rPr>
        <w:t>b</w:t>
      </w:r>
      <w:r>
        <w:t xml:space="preserve"> specific to each consumer.</w:t>
      </w:r>
    </w:p>
    <w:p>
      <w:pPr>
        <w:pStyle w:val="Normal"/>
        <w:ind w:left="283" w:hanging="198"/>
      </w:pPr>
      <w:r>
        <w:t>– Add the contract (a counter per agent) and the entry of new operators during a run.</w:t>
      </w:r>
    </w:p>
    <w:p>
      <w:pPr>
        <w:pStyle w:val="Normal"/>
        <w:ind w:left="283" w:hanging="198"/>
      </w:pPr>
      <w:r>
        <w:t>– Calibrate the weights with the ANACOM market shares before the entry of DIGI.</w:t>
      </w:r>
    </w:p>
    <w:p>
      <w:pPr>
        <w:pStyle w:val="Normal"/>
        <w:ind w:left="283" w:hanging="198"/>
      </w:pPr>
      <w:r>
        <w:t>– Validate by comparing the simulated adoption curve of DIGI with the quarterly data.</w:t>
      </w:r>
    </w:p>
    <w:p>
      <w:pPr>
        <w:pStyle w:val="Normal"/>
        <w:ind w:left="283" w:hanging="198"/>
      </w:pPr>
      <w:r>
        <w:t>– Experiments: grid of DIGI price × quality investment × intensity of trial campaigns; measure the DIGI share after two years and the time to reach 10%.</w:t>
      </w:r>
    </w:p>
    <w:p>
      <w:pPr>
        <w:pStyle w:val="Normal"/>
        <w:ind w:left="283" w:hanging="198"/>
      </w:pPr>
      <w:r>
        <w:t>– Learning agents (task 5): replace the fixed exploration rate by consumers that learn as in a multi-armed bandit (ε-greedy or UCB) [9], or let operators learn prices with Q-learning.</w:t>
      </w:r>
    </w:p>
    <w:p>
      <w:pPr>
        <w:pStyle w:val="Normal"/>
        <w:ind w:left="283" w:hanging="198"/>
      </w:pPr>
      <w:r>
        <w:t xml:space="preserve">– Compare the new model with the baseline of this report (task 6), in particular the clustering and the dependence on early random events observed for </w:t>
      </w:r>
      <w:r>
        <w:rPr>
          <w:rFonts w:ascii="Courier New" w:hAnsi="Courier New"/>
          <w:sz w:val="17"/>
        </w:rPr>
        <w:t>norm_influence</w:t>
      </w:r>
      <w:r>
        <w:t xml:space="preserve"> &gt; 0.</w:t>
      </w:r>
    </w:p>
    <w:p>
      <w:pPr>
        <w:pStyle w:val="Normal"/>
      </w:pPr>
      <w:r>
        <w:t>This case fits the mechanisms of the model: switching between operators is infrequent (habit and contracts), family plans and recommendations act as a norm, and trial offers and portability correspond to exploration. Public market-share data allow calibration and validation.</w:t>
      </w:r>
    </w:p>
    <w:p>
      <w:pPr>
        <w:pStyle w:val="heading11"/>
      </w:pPr>
      <w:r>
        <w:t>References</w:t>
      </w:r>
    </w:p>
    <w:p>
      <w:pPr>
        <w:pStyle w:val="reference"/>
      </w:pPr>
      <w:r>
        <w:t>1.</w:t>
        <w:tab/>
        <w:t>Jager, W., Wang, S.: NetLogo Consumer Choice model. Center for Connected Learning and Computer-Based Modeling, Northwestern University, Evanston, IL (2024). http://ccl.northwestern.edu/netlogo/models/ConsumerChoice</w:t>
      </w:r>
    </w:p>
    <w:p>
      <w:pPr>
        <w:pStyle w:val="reference"/>
      </w:pPr>
      <w:r>
        <w:t>2.</w:t>
        <w:tab/>
        <w:t>Wilensky, U.: NetLogo. Center for Connected Learning and Computer-Based Modeling, Northwestern University, Evanston, IL (1999). http://ccl.northwestern.edu/netlogo/</w:t>
      </w:r>
    </w:p>
    <w:p>
      <w:pPr>
        <w:pStyle w:val="reference"/>
      </w:pPr>
      <w:r>
        <w:t>3.</w:t>
        <w:tab/>
        <w:t>Janssen, M.A., Jager, W.: Fashions, Habits and Changing Preferences: Simulation of Psychological Factors Affecting Market Dynamics. Journal of Economic Psychology 22(6), 745–772 (2001)</w:t>
      </w:r>
    </w:p>
    <w:p>
      <w:pPr>
        <w:pStyle w:val="reference"/>
      </w:pPr>
      <w:r>
        <w:t>4.</w:t>
        <w:tab/>
        <w:t>Cialdini, R.B., Goldstein, N.J.: Social Influence: Compliance and Conformity. Annual Review of Psychology 55, 591–621 (2004)</w:t>
      </w:r>
    </w:p>
    <w:p>
      <w:pPr>
        <w:pStyle w:val="reference"/>
      </w:pPr>
      <w:r>
        <w:t>5.</w:t>
        <w:tab/>
        <w:t>Nyborg, K., et al.: Social Norms as Solutions. Science 354(6308), 42–43 (2016)</w:t>
      </w:r>
    </w:p>
    <w:p>
      <w:pPr>
        <w:pStyle w:val="reference"/>
      </w:pPr>
      <w:r>
        <w:t>6.</w:t>
        <w:tab/>
        <w:t>ter Hoeven, E., Kwakkel, J., Hess, V., Pike, T., Wang, B., Rht, Kazil, J.: Mesa 3: Agent-Based Modeling with Python in 2025. Journal of Open Source Software 10(107), 7668 (2025). https://doi.org/10.21105/joss.07668</w:t>
      </w:r>
    </w:p>
    <w:p>
      <w:pPr>
        <w:pStyle w:val="reference"/>
      </w:pPr>
      <w:r>
        <w:t>7.</w:t>
        <w:tab/>
        <w:t>Grimm, V., et al.: The ODD Protocol for Describing Agent-Based and Other Simulation Models: A Second Update to Improve Clarity, Replication, and Structural Realism. Journal of Artificial Societies and Social Simulation 23(2), 7 (2020)</w:t>
      </w:r>
    </w:p>
    <w:p>
      <w:pPr>
        <w:pStyle w:val="reference"/>
      </w:pPr>
      <w:r>
        <w:t>8.</w:t>
        <w:tab/>
        <w:t>4gnews: DIGI começa 2026 a mostrar à MEO, NOS e Vodafone como se faz (ANACOM data, first half of 2025). https://4gnews.pt/digi-comeca-2026-a-mostrar-a-meo-nos-e-vodafone-como-se-faz/</w:t>
      </w:r>
    </w:p>
    <w:p>
      <w:pPr>
        <w:pStyle w:val="reference"/>
      </w:pPr>
      <w:r>
        <w:t>9.</w:t>
        <w:tab/>
        <w:t>Sutton, R.S., Barto, A.G.: Reinforcement Learning: An Introduction, 2nd edn. MIT Press, Cambridge, MA (2018)</w:t>
      </w:r>
    </w:p>
    <w:sectPr>
      <w:footnotePr>
        <w:numFmt w:val="decimal"/>
      </w:footnotePr>
      <w:type w:val="nextPage"/>
      <w:pgSz w:w="11906" w:h="16838"/>
      <w:pgMar w:left="2495" w:right="2495" w:gutter="0" w:header="0" w:top="2948" w:footer="0" w:bottom="2948"/>
      <w:pgNumType w:fmt="decimal"/>
      <w:formProt w:val="false"/>
      <w:titlePg/>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Times">
    <w:altName w:val="Times New Roman"/>
    <w:charset w:val="00" w:characterSet="windows-1252"/>
    <w:family w:val="roman"/>
    <w:pitch w:val="variable"/>
  </w:font>
  <w:font w:name="Tms Rmn">
    <w:altName w:val="Times New Roman"/>
    <w:charset w:val="00" w:characterSet="windows-1252"/>
    <w:family w:val="roman"/>
    <w:pitch w:val="variable"/>
  </w:font>
  <w:font w:name="Liberation Sans">
    <w:altName w:val="Arial"/>
    <w:charset w:val="00" w:characterSet="iso-8859-1"/>
    <w:family w:val="swiss"/>
    <w:pitch w:val="variable"/>
  </w:font>
  <w:font w:name="Courier">
    <w:altName w:val="Courier New"/>
    <w:charset w:val="00" w:characterSet="windows-1252"/>
    <w:family w:val="modern"/>
    <w:pitch w:val="default"/>
  </w:font>
  <w:font w:name="Tahoma">
    <w:charset w:val="00" w:characterSet="windows-1252"/>
    <w:family w:val="swiss"/>
    <w:pitch w:val="variable"/>
  </w:font>
  <w:font w:name="Symbol">
    <w:charset w:val="02"/>
    <w:family w:val="roman"/>
    <w:pitch w:val="default"/>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none"/>
      <w:suff w:val="nothing"/>
      <w:lvlText w:val=""/>
      <w:lvlJc w:val="start"/>
      <w:pPr>
        <w:tabs>
          <w:tab w:val="num" w:pos="0"/>
        </w:tabs>
        <w:ind w:start="0" w:hanging="0"/>
      </w:pPr>
    </w:lvl>
    <w:lvl w:ilvl="1">
      <w:start w:val="0"/>
      <w:numFmt w:val="none"/>
      <w:suff w:val="nothing"/>
      <w:lvlText w:val=""/>
      <w:lvlJc w:val="start"/>
      <w:pPr>
        <w:tabs>
          <w:tab w:val="num" w:pos="0"/>
        </w:tabs>
        <w:ind w:start="0" w:hanging="0"/>
      </w:pPr>
    </w:lvl>
    <w:lvl w:ilvl="2">
      <w:start w:val="0"/>
      <w:numFmt w:val="none"/>
      <w:suff w:val="nothing"/>
      <w:lvlText w:val=""/>
      <w:lvlJc w:val="start"/>
      <w:pPr>
        <w:tabs>
          <w:tab w:val="num" w:pos="0"/>
        </w:tabs>
        <w:ind w:start="0" w:hanging="0"/>
      </w:pPr>
    </w:lvl>
    <w:lvl w:ilvl="3">
      <w:start w:val="0"/>
      <w:numFmt w:val="decimal"/>
      <w:pStyle w:val="Heading4"/>
      <w:lvlText w:val="%4"/>
      <w:lvlJc w:val="start"/>
      <w:pPr>
        <w:tabs>
          <w:tab w:val="num" w:pos="0"/>
        </w:tabs>
        <w:ind w:start="0" w:hanging="0"/>
      </w:pPr>
      <w:rPr>
        <w:rFonts w:ascii="Tms Rmn;Times New Roman" w:hAnsi="Tms Rmn;Times New Roman" w:cs="Tms Rmn;Times New Roman"/>
      </w:rPr>
    </w:lvl>
    <w:lvl w:ilvl="4">
      <w:start w:val="0"/>
      <w:numFmt w:val="decimal"/>
      <w:pStyle w:val="Heading5"/>
      <w:lvlText w:val="%5"/>
      <w:lvlJc w:val="start"/>
      <w:pPr>
        <w:tabs>
          <w:tab w:val="num" w:pos="0"/>
        </w:tabs>
        <w:ind w:start="0" w:hanging="0"/>
      </w:pPr>
      <w:rPr>
        <w:rFonts w:ascii="Tms Rmn;Times New Roman" w:hAnsi="Tms Rmn;Times New Roman" w:cs="Tms Rmn;Times New Roman"/>
      </w:rPr>
    </w:lvl>
    <w:lvl w:ilvl="5">
      <w:start w:val="0"/>
      <w:numFmt w:val="decimal"/>
      <w:pStyle w:val="Heading6"/>
      <w:lvlText w:val="%6"/>
      <w:lvlJc w:val="start"/>
      <w:pPr>
        <w:tabs>
          <w:tab w:val="num" w:pos="0"/>
        </w:tabs>
        <w:ind w:start="0" w:hanging="0"/>
      </w:pPr>
      <w:rPr>
        <w:rFonts w:ascii="Tms Rmn;Times New Roman" w:hAnsi="Tms Rmn;Times New Roman" w:cs="Tms Rmn;Times New Roman"/>
      </w:rPr>
    </w:lvl>
    <w:lvl w:ilvl="6">
      <w:start w:val="0"/>
      <w:numFmt w:val="decimal"/>
      <w:pStyle w:val="Heading7"/>
      <w:lvlText w:val="%7"/>
      <w:lvlJc w:val="start"/>
      <w:pPr>
        <w:tabs>
          <w:tab w:val="num" w:pos="0"/>
        </w:tabs>
        <w:ind w:start="0" w:hanging="0"/>
      </w:pPr>
      <w:rPr>
        <w:rFonts w:ascii="Tms Rmn;Times New Roman" w:hAnsi="Tms Rmn;Times New Roman" w:cs="Tms Rmn;Times New Roman"/>
      </w:rPr>
    </w:lvl>
    <w:lvl w:ilvl="7">
      <w:start w:val="0"/>
      <w:numFmt w:val="decimal"/>
      <w:pStyle w:val="Heading8"/>
      <w:lvlText w:val="%8"/>
      <w:lvlJc w:val="start"/>
      <w:pPr>
        <w:tabs>
          <w:tab w:val="num" w:pos="0"/>
        </w:tabs>
        <w:ind w:start="0" w:hanging="0"/>
      </w:pPr>
      <w:rPr>
        <w:rFonts w:ascii="Tms Rmn;Times New Roman" w:hAnsi="Tms Rmn;Times New Roman" w:cs="Tms Rmn;Times New Roman"/>
      </w:rPr>
    </w:lvl>
    <w:lvl w:ilvl="8">
      <w:start w:val="0"/>
      <w:numFmt w:val="decimal"/>
      <w:pStyle w:val="Heading9"/>
      <w:lvlText w:val="%9"/>
      <w:lvlJc w:val="start"/>
      <w:pPr>
        <w:tabs>
          <w:tab w:val="num" w:pos="0"/>
        </w:tabs>
        <w:ind w:start="0" w:hanging="0"/>
      </w:pPr>
      <w:rPr>
        <w:rFonts w:ascii="Tms Rmn;Times New Roman" w:hAnsi="Tms Rmn;Times New Roman" w:cs="Tms Rmn;Times New Roman"/>
      </w:rPr>
    </w:lvl>
  </w:abstractNum>
  <w:abstractNum w:abstractNumId="2">
    <w:lvl w:ilvl="0">
      <w:start w:val="1"/>
      <w:numFmt w:val="decimal"/>
      <w:lvlText w:val="%1."/>
      <w:lvlJc w:val="start"/>
      <w:pPr>
        <w:tabs>
          <w:tab w:val="num" w:pos="227"/>
        </w:tabs>
        <w:ind w:start="227" w:hanging="227"/>
      </w:pPr>
    </w:lvl>
  </w:abstractNum>
  <w:abstractNum w:abstractNumId="3">
    <w:lvl w:ilvl="0">
      <w:start w:val="1"/>
      <w:numFmt w:val="bullet"/>
      <w:lvlText w:val=""/>
      <w:lvlJc w:val="start"/>
      <w:pPr>
        <w:tabs>
          <w:tab w:val="num" w:pos="227"/>
        </w:tabs>
        <w:ind w:start="227" w:hanging="227"/>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bullet"/>
      <w:lvlText w:val=""/>
      <w:lvlJc w:val="start"/>
      <w:pPr>
        <w:tabs>
          <w:tab w:val="num" w:pos="227"/>
        </w:tabs>
        <w:ind w:start="227" w:hanging="227"/>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227"/>
        </w:tabs>
        <w:ind w:start="227" w:hanging="227"/>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mirrorMargins/>
  <w:defaultTabStop w:val="709"/>
  <w:autoHyphenation w:val="true"/>
  <w:footnotePr>
    <w:numFmt w:val="decimal"/>
    <w:footnote w:id="0"/>
    <w:footnote w:id="1"/>
  </w:footnotePr>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bidi w:val="0"/>
      <w:ind w:firstLine="227" w:start="0" w:end="0"/>
      <w:jc w:val="both"/>
    </w:pPr>
    <w:rPr>
      <w:rFonts w:ascii="Times" w:hAnsi="Times" w:eastAsia="Times New Roman" w:cs="Times"/>
      <w:color w:val="auto"/>
      <w:sz w:val="20"/>
      <w:szCs w:val="20"/>
      <w:lang w:val="en-US" w:bidi="ar-SA" w:eastAsia="zh-CN"/>
    </w:rPr>
  </w:style>
  <w:style w:type="paragraph" w:styleId="Heading1">
    <w:name w:val="Heading 1"/>
    <w:basedOn w:val="Normal"/>
    <w:next w:val="Normal"/>
    <w:qFormat/>
    <w:pPr>
      <w:keepNext w:val="true"/>
      <w:keepLines/>
      <w:pageBreakBefore/>
      <w:tabs>
        <w:tab w:val="clear" w:pos="709"/>
        <w:tab w:val="left" w:pos="284" w:leader="none"/>
      </w:tabs>
      <w:suppressAutoHyphens w:val="true"/>
      <w:spacing w:lineRule="exact" w:line="320" w:before="0" w:after="1600"/>
      <w:ind w:hanging="0" w:start="0" w:end="0"/>
      <w:outlineLvl w:val="0"/>
    </w:pPr>
    <w:rPr>
      <w:b/>
      <w:sz w:val="28"/>
    </w:rPr>
  </w:style>
  <w:style w:type="paragraph" w:styleId="Heading2">
    <w:name w:val="Heading 2"/>
    <w:basedOn w:val="Normal"/>
    <w:next w:val="Normal"/>
    <w:qFormat/>
    <w:pPr>
      <w:keepNext w:val="true"/>
      <w:keepLines/>
      <w:tabs>
        <w:tab w:val="clear" w:pos="709"/>
        <w:tab w:val="left" w:pos="454" w:leader="none"/>
      </w:tabs>
      <w:suppressAutoHyphens w:val="true"/>
      <w:spacing w:lineRule="exact" w:line="280" w:before="520" w:after="280"/>
      <w:ind w:hanging="0" w:start="0" w:end="0"/>
      <w:outlineLvl w:val="1"/>
    </w:pPr>
    <w:rPr>
      <w:b/>
    </w:rPr>
  </w:style>
  <w:style w:type="paragraph" w:styleId="Heading3">
    <w:name w:val="Heading 3"/>
    <w:basedOn w:val="Normal"/>
    <w:next w:val="Normal"/>
    <w:qFormat/>
    <w:pPr>
      <w:keepNext w:val="true"/>
      <w:keepLines/>
      <w:tabs>
        <w:tab w:val="clear" w:pos="709"/>
        <w:tab w:val="left" w:pos="510" w:leader="none"/>
      </w:tabs>
      <w:suppressAutoHyphens w:val="true"/>
      <w:spacing w:lineRule="exact" w:line="240" w:before="440" w:after="220"/>
      <w:ind w:hanging="0" w:start="0" w:end="0"/>
      <w:outlineLvl w:val="2"/>
    </w:pPr>
    <w:rPr>
      <w:b/>
    </w:rPr>
  </w:style>
  <w:style w:type="paragraph" w:styleId="Heading4">
    <w:name w:val="Heading 4"/>
    <w:basedOn w:val="Normal"/>
    <w:next w:val="Normal"/>
    <w:qFormat/>
    <w:pPr>
      <w:keepNext w:val="true"/>
      <w:numPr>
        <w:ilvl w:val="3"/>
        <w:numId w:val="1"/>
      </w:numPr>
      <w:spacing w:before="240" w:after="60"/>
      <w:ind w:hanging="0" w:start="0" w:end="0"/>
      <w:outlineLvl w:val="3"/>
    </w:pPr>
    <w:rPr>
      <w:rFonts w:ascii="Arial" w:hAnsi="Arial" w:cs="Arial"/>
      <w:b/>
      <w:sz w:val="24"/>
    </w:rPr>
  </w:style>
  <w:style w:type="paragraph" w:styleId="Heading5">
    <w:name w:val="Heading 5"/>
    <w:basedOn w:val="Normal"/>
    <w:next w:val="Normal"/>
    <w:qFormat/>
    <w:pPr>
      <w:numPr>
        <w:ilvl w:val="4"/>
        <w:numId w:val="1"/>
      </w:numPr>
      <w:spacing w:before="240" w:after="60"/>
      <w:ind w:hanging="0" w:start="0" w:end="0"/>
      <w:outlineLvl w:val="4"/>
    </w:pPr>
    <w:rPr>
      <w:rFonts w:ascii="Arial" w:hAnsi="Arial" w:cs="Arial"/>
      <w:sz w:val="22"/>
    </w:rPr>
  </w:style>
  <w:style w:type="paragraph" w:styleId="Heading6">
    <w:name w:val="Heading 6"/>
    <w:basedOn w:val="Normal"/>
    <w:next w:val="Normal"/>
    <w:qFormat/>
    <w:pPr>
      <w:numPr>
        <w:ilvl w:val="5"/>
        <w:numId w:val="1"/>
      </w:numPr>
      <w:spacing w:before="240" w:after="60"/>
      <w:ind w:hanging="0" w:start="0" w:end="0"/>
      <w:outlineLvl w:val="5"/>
    </w:pPr>
    <w:rPr>
      <w:rFonts w:ascii="Times New Roman" w:hAnsi="Times New Roman" w:cs="Times New Roman"/>
      <w:i/>
      <w:sz w:val="22"/>
    </w:rPr>
  </w:style>
  <w:style w:type="paragraph" w:styleId="Heading7">
    <w:name w:val="Heading 7"/>
    <w:basedOn w:val="Normal"/>
    <w:next w:val="Normal"/>
    <w:qFormat/>
    <w:pPr>
      <w:numPr>
        <w:ilvl w:val="6"/>
        <w:numId w:val="1"/>
      </w:numPr>
      <w:spacing w:before="240" w:after="60"/>
      <w:ind w:hanging="0" w:start="0" w:end="0"/>
      <w:outlineLvl w:val="6"/>
    </w:pPr>
    <w:rPr>
      <w:rFonts w:ascii="Arial" w:hAnsi="Arial" w:cs="Arial"/>
    </w:rPr>
  </w:style>
  <w:style w:type="paragraph" w:styleId="Heading8">
    <w:name w:val="Heading 8"/>
    <w:basedOn w:val="Normal"/>
    <w:next w:val="Normal"/>
    <w:qFormat/>
    <w:pPr>
      <w:numPr>
        <w:ilvl w:val="7"/>
        <w:numId w:val="1"/>
      </w:numPr>
      <w:spacing w:before="240" w:after="60"/>
      <w:ind w:hanging="0" w:start="0" w:end="0"/>
      <w:outlineLvl w:val="7"/>
    </w:pPr>
    <w:rPr>
      <w:rFonts w:ascii="Arial" w:hAnsi="Arial" w:cs="Arial"/>
      <w:i/>
    </w:rPr>
  </w:style>
  <w:style w:type="paragraph" w:styleId="Heading9">
    <w:name w:val="Heading 9"/>
    <w:basedOn w:val="Normal"/>
    <w:next w:val="Normal"/>
    <w:qFormat/>
    <w:pPr>
      <w:numPr>
        <w:ilvl w:val="8"/>
        <w:numId w:val="1"/>
      </w:numPr>
      <w:spacing w:before="240" w:after="60"/>
      <w:ind w:hanging="0" w:start="0" w:end="0"/>
      <w:outlineLvl w:val="8"/>
    </w:pPr>
    <w:rPr>
      <w:rFonts w:ascii="Arial" w:hAnsi="Arial" w:cs="Arial"/>
      <w:b/>
      <w:i/>
      <w:sz w:val="18"/>
    </w:rPr>
  </w:style>
  <w:style w:type="character" w:styleId="WW8Num1z3">
    <w:name w:val="WW8Num1z3"/>
    <w:qFormat/>
    <w:rPr>
      <w:rFonts w:ascii="Tms Rmn;Times New Roman" w:hAnsi="Tms Rmn;Times New Roman" w:cs="Tms Rmn;Times New Roman"/>
    </w:rPr>
  </w:style>
  <w:style w:type="character" w:styleId="WW8Num3z0">
    <w:name w:val="WW8Num3z0"/>
    <w:qFormat/>
    <w:rPr/>
  </w:style>
  <w:style w:type="character" w:styleId="DefaultParagraphFont">
    <w:name w:val="Default Paragraph Font"/>
    <w:qFormat/>
    <w:rPr/>
  </w:style>
  <w:style w:type="character" w:styleId="PageNumber">
    <w:name w:val="Page Number"/>
    <w:basedOn w:val="DefaultParagraphFont"/>
    <w:rPr/>
  </w:style>
  <w:style w:type="character" w:styleId="FootnoteCharacters">
    <w:name w:val="Footnote Characters"/>
    <w:qFormat/>
    <w:rPr>
      <w:position w:val="0"/>
      <w:sz w:val="12"/>
      <w:sz w:val="12"/>
      <w:vertAlign w:val="baseline"/>
    </w:rPr>
  </w:style>
  <w:style w:type="character" w:styleId="Hyperlink">
    <w:name w:val="Hyperlink"/>
    <w:rPr>
      <w:color w:val="0000FF"/>
      <w:u w:val="single"/>
    </w:rPr>
  </w:style>
  <w:style w:type="character" w:styleId="heading3Zchn">
    <w:name w:val="heading3 Zchn"/>
    <w:qFormat/>
    <w:rPr>
      <w:rFonts w:ascii="Times" w:hAnsi="Times" w:cs="Times"/>
      <w:b/>
      <w:lang w:val="en-US" w:bidi="ar-SA"/>
    </w:rPr>
  </w:style>
  <w:style w:type="character" w:styleId="p1aZchn">
    <w:name w:val="p1a Zchn"/>
    <w:qFormat/>
    <w:rPr>
      <w:rFonts w:ascii="Times" w:hAnsi="Times" w:cs="Times"/>
      <w:lang w:val="en-US" w:bidi="ar-SA"/>
    </w:rPr>
  </w:style>
  <w:style w:type="character" w:styleId="CommentReference">
    <w:name w:val="Comment Reference"/>
    <w:qFormat/>
    <w:rPr>
      <w:sz w:val="16"/>
      <w:szCs w:val="16"/>
    </w:rPr>
  </w:style>
  <w:style w:type="character" w:styleId="FollowedHyperlink">
    <w:name w:val="FollowedHyperlink"/>
    <w:rPr>
      <w:color w:val="800080"/>
      <w:u w:val="single"/>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next w:val="Normal"/>
    <w:qFormat/>
    <w:pPr>
      <w:spacing w:before="120" w:after="120"/>
    </w:pPr>
    <w:rPr>
      <w:b/>
    </w:rPr>
  </w:style>
  <w:style w:type="paragraph" w:styleId="Index">
    <w:name w:val="Index"/>
    <w:basedOn w:val="Normal"/>
    <w:qFormat/>
    <w:pPr>
      <w:suppressLineNumbers/>
    </w:pPr>
    <w:rPr>
      <w:rFonts w:cs="FreeSans"/>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Header">
    <w:name w:val="Header"/>
    <w:basedOn w:val="Normal"/>
    <w:pPr>
      <w:tabs>
        <w:tab w:val="clear" w:pos="709"/>
        <w:tab w:val="center" w:pos="4536" w:leader="none"/>
        <w:tab w:val="right" w:pos="9072" w:leader="none"/>
      </w:tabs>
    </w:pPr>
    <w:rPr/>
  </w:style>
  <w:style w:type="paragraph" w:styleId="Footer">
    <w:name w:val="Footer"/>
    <w:basedOn w:val="Normal"/>
    <w:pPr>
      <w:tabs>
        <w:tab w:val="clear" w:pos="709"/>
        <w:tab w:val="center" w:pos="4536" w:leader="none"/>
        <w:tab w:val="right" w:pos="9072" w:leader="none"/>
      </w:tabs>
    </w:pPr>
    <w:rPr/>
  </w:style>
  <w:style w:type="paragraph" w:styleId="title">
    <w:name w:val="title"/>
    <w:basedOn w:val="Normal"/>
    <w:next w:val="author"/>
    <w:qFormat/>
    <w:pPr>
      <w:keepNext w:val="true"/>
      <w:keepLines/>
      <w:pageBreakBefore/>
      <w:tabs>
        <w:tab w:val="clear" w:pos="709"/>
        <w:tab w:val="left" w:pos="284" w:leader="none"/>
      </w:tabs>
      <w:suppressAutoHyphens w:val="true"/>
      <w:spacing w:lineRule="exact" w:line="348" w:before="0" w:after="460"/>
      <w:jc w:val="center"/>
    </w:pPr>
    <w:rPr>
      <w:b/>
      <w:sz w:val="28"/>
    </w:rPr>
  </w:style>
  <w:style w:type="paragraph" w:styleId="author">
    <w:name w:val="author"/>
    <w:basedOn w:val="Normal"/>
    <w:next w:val="authorinfo"/>
    <w:qFormat/>
    <w:pPr>
      <w:spacing w:before="0" w:after="220"/>
      <w:jc w:val="center"/>
    </w:pPr>
    <w:rPr/>
  </w:style>
  <w:style w:type="paragraph" w:styleId="authorinfo">
    <w:name w:val="authorinfo"/>
    <w:basedOn w:val="Normal"/>
    <w:next w:val="email"/>
    <w:qFormat/>
    <w:pPr>
      <w:jc w:val="center"/>
    </w:pPr>
    <w:rPr>
      <w:sz w:val="18"/>
    </w:rPr>
  </w:style>
  <w:style w:type="paragraph" w:styleId="email">
    <w:name w:val="email"/>
    <w:basedOn w:val="Normal"/>
    <w:next w:val="abstract"/>
    <w:qFormat/>
    <w:pPr>
      <w:jc w:val="center"/>
    </w:pPr>
    <w:rPr>
      <w:sz w:val="18"/>
    </w:rPr>
  </w:style>
  <w:style w:type="paragraph" w:styleId="heading11">
    <w:name w:val="heading1"/>
    <w:basedOn w:val="Normal"/>
    <w:next w:val="p1a"/>
    <w:qFormat/>
    <w:pPr>
      <w:keepNext w:val="true"/>
      <w:keepLines/>
      <w:tabs>
        <w:tab w:val="clear" w:pos="709"/>
        <w:tab w:val="left" w:pos="454" w:leader="none"/>
      </w:tabs>
      <w:suppressAutoHyphens w:val="true"/>
      <w:spacing w:before="520" w:after="280"/>
      <w:ind w:hanging="0" w:start="0" w:end="0"/>
    </w:pPr>
    <w:rPr>
      <w:b/>
      <w:sz w:val="24"/>
    </w:rPr>
  </w:style>
  <w:style w:type="paragraph" w:styleId="heading21">
    <w:name w:val="heading2"/>
    <w:basedOn w:val="Normal"/>
    <w:next w:val="p1a"/>
    <w:qFormat/>
    <w:pPr>
      <w:keepNext w:val="true"/>
      <w:keepLines/>
      <w:tabs>
        <w:tab w:val="clear" w:pos="709"/>
        <w:tab w:val="left" w:pos="510" w:leader="none"/>
      </w:tabs>
      <w:suppressAutoHyphens w:val="true"/>
      <w:spacing w:before="440" w:after="220"/>
      <w:ind w:hanging="0" w:start="0" w:end="0"/>
    </w:pPr>
    <w:rPr>
      <w:b/>
    </w:rPr>
  </w:style>
  <w:style w:type="paragraph" w:styleId="heading31">
    <w:name w:val="heading3"/>
    <w:basedOn w:val="Normal"/>
    <w:next w:val="p1a"/>
    <w:qFormat/>
    <w:pPr>
      <w:keepNext w:val="true"/>
      <w:keepLines/>
      <w:tabs>
        <w:tab w:val="clear" w:pos="709"/>
        <w:tab w:val="left" w:pos="284" w:leader="none"/>
      </w:tabs>
      <w:suppressAutoHyphens w:val="true"/>
      <w:spacing w:before="320" w:after="0"/>
      <w:ind w:hanging="0" w:start="0" w:end="0"/>
    </w:pPr>
    <w:rPr>
      <w:b/>
    </w:rPr>
  </w:style>
  <w:style w:type="paragraph" w:styleId="equation">
    <w:name w:val="equation"/>
    <w:basedOn w:val="Normal"/>
    <w:next w:val="Normal"/>
    <w:qFormat/>
    <w:pPr>
      <w:tabs>
        <w:tab w:val="clear" w:pos="709"/>
        <w:tab w:val="left" w:pos="6237" w:leader="none"/>
      </w:tabs>
      <w:spacing w:before="120" w:after="120"/>
      <w:ind w:firstLine="227" w:start="227" w:end="0"/>
      <w:jc w:val="center"/>
    </w:pPr>
    <w:rPr/>
  </w:style>
  <w:style w:type="paragraph" w:styleId="figlegend">
    <w:name w:val="figlegend"/>
    <w:basedOn w:val="Normal"/>
    <w:next w:val="Normal"/>
    <w:qFormat/>
    <w:pPr>
      <w:keepNext w:val="true"/>
      <w:keepLines/>
      <w:spacing w:before="120" w:after="240"/>
      <w:ind w:hanging="0" w:start="0" w:end="0"/>
    </w:pPr>
    <w:rPr>
      <w:sz w:val="18"/>
    </w:rPr>
  </w:style>
  <w:style w:type="paragraph" w:styleId="tablelegend">
    <w:name w:val="tablelegend"/>
    <w:basedOn w:val="Normal"/>
    <w:next w:val="Normal"/>
    <w:qFormat/>
    <w:pPr>
      <w:keepNext w:val="true"/>
      <w:keepLines/>
      <w:spacing w:before="240" w:after="120"/>
      <w:ind w:hanging="0" w:start="0" w:end="0"/>
    </w:pPr>
    <w:rPr>
      <w:sz w:val="18"/>
      <w:lang w:val="de-DE"/>
    </w:rPr>
  </w:style>
  <w:style w:type="paragraph" w:styleId="p1a">
    <w:name w:val="p1a"/>
    <w:basedOn w:val="Normal"/>
    <w:next w:val="Normal"/>
    <w:qFormat/>
    <w:pPr>
      <w:ind w:hanging="0" w:start="0" w:end="0"/>
    </w:pPr>
    <w:rPr/>
  </w:style>
  <w:style w:type="paragraph" w:styleId="abstract">
    <w:name w:val="abstract"/>
    <w:basedOn w:val="p1a"/>
    <w:next w:val="heading11"/>
    <w:qFormat/>
    <w:pPr>
      <w:spacing w:before="600" w:after="120"/>
      <w:ind w:hanging="0" w:start="567" w:end="567"/>
    </w:pPr>
    <w:rPr>
      <w:sz w:val="18"/>
    </w:rPr>
  </w:style>
  <w:style w:type="paragraph" w:styleId="reference">
    <w:name w:val="reference"/>
    <w:basedOn w:val="Normal"/>
    <w:qFormat/>
    <w:pPr>
      <w:ind w:hanging="227" w:start="227" w:end="0"/>
    </w:pPr>
    <w:rPr>
      <w:sz w:val="18"/>
    </w:rPr>
  </w:style>
  <w:style w:type="paragraph" w:styleId="Runninghead-left">
    <w:name w:val="Running head - left"/>
    <w:basedOn w:val="Normal"/>
    <w:qFormat/>
    <w:pPr>
      <w:tabs>
        <w:tab w:val="clear" w:pos="709"/>
        <w:tab w:val="left" w:pos="680" w:leader="none"/>
        <w:tab w:val="right" w:pos="6237" w:leader="none"/>
        <w:tab w:val="right" w:pos="6917" w:leader="none"/>
      </w:tabs>
      <w:spacing w:lineRule="exact" w:line="240" w:before="0" w:after="240"/>
      <w:ind w:hanging="0" w:start="0" w:end="0"/>
      <w:jc w:val="start"/>
    </w:pPr>
    <w:rPr>
      <w:sz w:val="18"/>
    </w:rPr>
  </w:style>
  <w:style w:type="paragraph" w:styleId="Runninghead-right">
    <w:name w:val="Running head - right"/>
    <w:basedOn w:val="Runninghead-left"/>
    <w:qFormat/>
    <w:pPr>
      <w:jc w:val="end"/>
    </w:pPr>
    <w:rPr/>
  </w:style>
  <w:style w:type="paragraph" w:styleId="Item">
    <w:name w:val="Item"/>
    <w:basedOn w:val="Normal"/>
    <w:next w:val="Normal"/>
    <w:qFormat/>
    <w:pPr>
      <w:numPr>
        <w:ilvl w:val="0"/>
        <w:numId w:val="3"/>
      </w:numPr>
      <w:tabs>
        <w:tab w:val="clear" w:pos="709"/>
        <w:tab w:val="left" w:pos="227" w:leader="none"/>
        <w:tab w:val="left" w:pos="454" w:leader="none"/>
      </w:tabs>
      <w:ind w:hanging="227" w:start="227" w:end="0"/>
    </w:pPr>
    <w:rPr/>
  </w:style>
  <w:style w:type="paragraph" w:styleId="BulletItem">
    <w:name w:val="Bullet Item"/>
    <w:basedOn w:val="Item"/>
    <w:qFormat/>
    <w:pPr>
      <w:numPr>
        <w:ilvl w:val="0"/>
        <w:numId w:val="4"/>
      </w:numPr>
    </w:pPr>
    <w:rPr/>
  </w:style>
  <w:style w:type="paragraph" w:styleId="NumberedItem">
    <w:name w:val="Numbered Item"/>
    <w:basedOn w:val="Item"/>
    <w:qFormat/>
    <w:pPr>
      <w:numPr>
        <w:ilvl w:val="0"/>
        <w:numId w:val="5"/>
      </w:numPr>
    </w:pPr>
    <w:rPr/>
  </w:style>
  <w:style w:type="paragraph" w:styleId="FootnoteText">
    <w:name w:val="Footnote Text"/>
    <w:basedOn w:val="Normal"/>
    <w:pPr>
      <w:tabs>
        <w:tab w:val="clear" w:pos="709"/>
        <w:tab w:val="left" w:pos="170" w:leader="none"/>
      </w:tabs>
      <w:ind w:hanging="170" w:start="170" w:end="0"/>
    </w:pPr>
    <w:rPr>
      <w:sz w:val="18"/>
    </w:rPr>
  </w:style>
  <w:style w:type="paragraph" w:styleId="programcode">
    <w:name w:val="programcode"/>
    <w:basedOn w:val="Normal"/>
    <w:qFormat/>
    <w:pPr>
      <w:tabs>
        <w:tab w:val="clear" w:pos="709"/>
        <w:tab w:val="left" w:pos="1361" w:leader="none"/>
        <w:tab w:val="left" w:pos="1531" w:leader="none"/>
        <w:tab w:val="left" w:pos="1701" w:leader="none"/>
        <w:tab w:val="left" w:pos="1871" w:leader="none"/>
        <w:tab w:val="left" w:pos="2041" w:leader="none"/>
        <w:tab w:val="left" w:pos="2211" w:leader="none"/>
        <w:tab w:val="left" w:pos="2381" w:leader="none"/>
        <w:tab w:val="left" w:pos="2552" w:leader="none"/>
      </w:tabs>
      <w:spacing w:before="120" w:after="120"/>
      <w:ind w:hanging="0" w:start="227" w:end="0"/>
      <w:jc w:val="start"/>
    </w:pPr>
    <w:rPr>
      <w:rFonts w:ascii="Courier;Courier New" w:hAnsi="Courier;Courier New" w:cs="Courier;Courier New"/>
    </w:rPr>
  </w:style>
  <w:style w:type="paragraph" w:styleId="FunotentextFootnote">
    <w:name w:val="Fußnotentext.Footnote"/>
    <w:basedOn w:val="Normal"/>
    <w:qFormat/>
    <w:pPr>
      <w:tabs>
        <w:tab w:val="clear" w:pos="709"/>
        <w:tab w:val="left" w:pos="170" w:leader="none"/>
      </w:tabs>
      <w:ind w:hanging="170" w:start="170" w:end="0"/>
    </w:pPr>
    <w:rPr>
      <w:sz w:val="18"/>
    </w:rPr>
  </w:style>
  <w:style w:type="paragraph" w:styleId="heading41">
    <w:name w:val="heading4"/>
    <w:basedOn w:val="Normal"/>
    <w:next w:val="p1a"/>
    <w:qFormat/>
    <w:pPr>
      <w:spacing w:before="320" w:after="0"/>
      <w:ind w:hanging="0" w:start="0" w:end="0"/>
    </w:pPr>
    <w:rPr>
      <w:i/>
    </w:rPr>
  </w:style>
  <w:style w:type="paragraph" w:styleId="address">
    <w:name w:val="address"/>
    <w:basedOn w:val="Normal"/>
    <w:next w:val="email"/>
    <w:qFormat/>
    <w:pPr>
      <w:jc w:val="center"/>
    </w:pPr>
    <w:rPr>
      <w:sz w:val="18"/>
    </w:rPr>
  </w:style>
  <w:style w:type="paragraph" w:styleId="figurelegend">
    <w:name w:val="figure legend"/>
    <w:basedOn w:val="Normal"/>
    <w:next w:val="Normal"/>
    <w:qFormat/>
    <w:pPr>
      <w:keepNext w:val="true"/>
      <w:keepLines/>
      <w:spacing w:before="120" w:after="240"/>
      <w:ind w:hanging="0" w:start="0" w:end="0"/>
    </w:pPr>
    <w:rPr>
      <w:sz w:val="18"/>
    </w:rPr>
  </w:style>
  <w:style w:type="paragraph" w:styleId="tabletitle">
    <w:name w:val="table title"/>
    <w:basedOn w:val="Normal"/>
    <w:next w:val="Normal"/>
    <w:qFormat/>
    <w:pPr>
      <w:keepNext w:val="true"/>
      <w:keepLines/>
      <w:spacing w:before="240" w:after="120"/>
      <w:ind w:hanging="0" w:start="0" w:end="0"/>
    </w:pPr>
    <w:rPr>
      <w:sz w:val="18"/>
      <w:lang w:val="de-DE"/>
    </w:rPr>
  </w:style>
  <w:style w:type="paragraph" w:styleId="referenceitem">
    <w:name w:val="referenceitem"/>
    <w:basedOn w:val="Normal"/>
    <w:qFormat/>
    <w:pPr>
      <w:ind w:hanging="227" w:start="227" w:end="0"/>
    </w:pPr>
    <w:rPr>
      <w:sz w:val="18"/>
    </w:rPr>
  </w:style>
  <w:style w:type="paragraph" w:styleId="BodyText21">
    <w:name w:val="Body Text 21"/>
    <w:basedOn w:val="Normal"/>
    <w:qFormat/>
    <w:pPr/>
    <w:rPr/>
  </w:style>
  <w:style w:type="paragraph" w:styleId="CommentText">
    <w:name w:val="Comment Text"/>
    <w:basedOn w:val="Normal"/>
    <w:qFormat/>
    <w:pPr/>
    <w:rPr/>
  </w:style>
  <w:style w:type="paragraph" w:styleId="CommentSubject">
    <w:name w:val="Comment Subject"/>
    <w:basedOn w:val="CommentText"/>
    <w:next w:val="CommentText"/>
    <w:qFormat/>
    <w:pPr/>
    <w:rPr>
      <w:b/>
      <w:bCs/>
    </w:rPr>
  </w:style>
  <w:style w:type="paragraph" w:styleId="BalloonText">
    <w:name w:val="Balloon Text"/>
    <w:basedOn w:val="Normal"/>
    <w:qFormat/>
    <w:pPr/>
    <w:rPr>
      <w:rFonts w:ascii="Tahoma" w:hAnsi="Tahoma" w:cs="Tahoma"/>
      <w:sz w:val="16"/>
      <w:szCs w:val="16"/>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StyleNum">
    <w:name w:val="WW8StyleNum"/>
    <w:qFormat/>
  </w:style>
  <w:style w:type="numbering" w:styleId="WW8StyleNum1">
    <w:name w:val="WW8StyleNum1"/>
    <w:qFormat/>
  </w:style>
  <w:style w:type="numbering" w:styleId="WW8StyleNum2">
    <w:name w:val="WW8StyleNum2"/>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LNCS@Springer.com" TargetMode="External"/><Relationship Id="rId3" Type="http://schemas.openxmlformats.org/officeDocument/2006/relationships/hyperlink" Target="http://www.springer.com/lncs" TargetMode="External"/><Relationship Id="rId4" Type="http://schemas.openxmlformats.org/officeDocument/2006/relationships/image" Target="media/image1.png"/><Relationship Id="rId5" Type="http://schemas.openxmlformats.org/officeDocument/2006/relationships/hyperlink" Target="http://www.informatik.uni-trier.de/~ley/db/journals/lncs.html" TargetMode="External"/><Relationship Id="rId6" Type="http://schemas.openxmlformats.org/officeDocument/2006/relationships/hyperlink" Target="mailto:orders-HD-individuals@springer.com" TargetMode="Externa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trial.dot</Template>
  <TotalTime>2</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2026-10-16T21:46:00Z</dcterms:created>
  <dc:creator>Springer-SBM</dc:creator>
  <dc:description>Copyright Springer-Verlag Heidelberg Berlin 2002</dc:description>
  <cp:keywords/>
  <dc:language>en-US</dc:language>
  <cp:lastModifiedBy>Pedro Campos</cp:lastModifiedBy>
  <cp:lastPrinted>2006-05-07T18:03:00Z</cp:lastPrinted>
  <dcterms:modified xsi:type="dcterms:W3CDTF">2026-10-16T21:46:00Z</dcterms:modified>
  <cp:revision>2</cp:revision>
  <dc:subject/>
  <dc:title>sv-lncs</dc:title>
</cp:coreProperties>
</file>