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0E6B7E"/>
          <w:spacing w:val="40"/>
          <w:sz w:val="22"/>
          <w:szCs w:val="22"/>
        </w:rPr>
        <w:t xml:space="preserve">REDES COMPLEXAS</w:t>
      </w:r>
    </w:p>
    <w:p>
      <w:pPr>
        <w:spacing w:after="240"/>
        <w:jc w:val="center"/>
      </w:pPr>
      <w:r>
        <w:rPr>
          <w:b/>
          <w:bCs/>
          <w:color w:val="15323E"/>
          <w:sz w:val="40"/>
          <w:szCs w:val="40"/>
        </w:rPr>
        <w:t xml:space="preserve">Detecção de domínios funcionais em proteínas por redes de contato e detecção de comunidades</w:t>
      </w:r>
    </w:p>
    <w:p>
      <w:pPr>
        <w:spacing w:after="80"/>
        <w:jc w:val="center"/>
      </w:pPr>
      <w:r>
        <w:rPr>
          <w:i/>
          <w:iCs/>
          <w:color w:val="5B7480"/>
          <w:sz w:val="24"/>
          <w:szCs w:val="24"/>
        </w:rPr>
        <w:t xml:space="preserve">Da rede de contatos residuais ao capsídeo do adenovírus humano 5 (6B1T)</w:t>
      </w:r>
    </w:p>
    <w:p>
      <w:pPr>
        <w:spacing w:after="40" w:before="600"/>
        <w:jc w:val="center"/>
      </w:pPr>
      <w:r>
        <w:rPr>
          <w:sz w:val="22"/>
          <w:szCs w:val="22"/>
        </w:rPr>
        <w:t xml:space="preserve">Programa de Pós-Graduação em Ciência da Computação (PPGCO)</w:t>
      </w:r>
    </w:p>
    <w:p>
      <w:pPr>
        <w:spacing w:after="40"/>
        <w:jc w:val="center"/>
      </w:pPr>
      <w:r>
        <w:rPr>
          <w:sz w:val="22"/>
          <w:szCs w:val="22"/>
        </w:rPr>
        <w:t xml:space="preserve">FACOM · Universidade Federal de Uberlândia</w:t>
      </w:r>
    </w:p>
    <w:p>
      <w:pPr>
        <w:spacing w:after="40"/>
        <w:jc w:val="center"/>
      </w:pPr>
      <w:r>
        <w:rPr>
          <w:sz w:val="22"/>
          <w:szCs w:val="22"/>
        </w:rPr>
        <w:t xml:space="preserve">Disciplina de Redes Complexas · Prof. Gilberto Nakamura</w:t>
      </w:r>
    </w:p>
    <w:p>
      <w:pPr>
        <w:spacing w:before="600"/>
        <w:jc w:val="center"/>
      </w:pPr>
      <w:r>
        <w:rPr>
          <w:i/>
          <w:iCs/>
          <w:color w:val="5B7480"/>
          <w:sz w:val="20"/>
          <w:szCs w:val="20"/>
        </w:rPr>
        <w:t xml:space="preserve">Versão revisada (parâmetros fixados nos testes, ablação de arestas e verificação contra o RCSB)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Resumo</w:t>
      </w:r>
    </w:p>
    <w:p>
      <w:pPr>
        <w:spacing w:after="160" w:line="276"/>
        <w:jc w:val="both"/>
      </w:pPr>
      <w:r>
        <w:t xml:space="preserve">Este trabalho modela proteínas como redes de contato entre resíduos e investiga se a detecção de comunidades recupera domínios e unidades estruturais conhecidos. Cada resíduo é um nó e cada par de resíduos em contato físico no espaço tridimensional define uma aresta. Sobre essa rede aplicamos o método de Louvain e validamos as comunidades contra anotações estruturais por meio do índice de Rand ajustado (ARI) e da informação mútua normalizada (NMI). O pipeline foi calibrado em um benchmark sintético com quatro domínios plantados (ARI 0,923) e em um multímero real, a hemoglobina humana (2HHB), cujas quatro cadeias montadas são recuperadas em resolução gamma igual a 0,2 (ARI 0,839). Esse valor de resolução foi fixado nas moléculas de teste e aplicado ao alvo sem reajuste. O alvo é o capsídeo do adenovírus humano 5 (PDB 6B1T), com 12.544 resíduos e 73.276 contatos. Na escala de capsômero, as comunidades reproduzem os quatro trímeros de héxon, a base do pénton e as proteínas menores, com ARI igual a 0,812. Uma ablação dos critérios de aresta mostra que a definição geométrica importa de forma decisiva (átomos pesados a 5 angstroms recuperam capsômeros com ARI entre 0,81 e 0,86, contra 0,56 do critério Cα a 8 angstroms), enquanto a ponderação físico-química altera a partição sem melhorar a recuperação. A identificação do pénton foi verificada de forma independente contra o RCSB.</w:t>
      </w:r>
    </w:p>
    <w:p>
      <w:pPr>
        <w:pStyle w:val="Heading1"/>
        <w:spacing w:after="160" w:before="280"/>
      </w:pPr>
      <w:r>
        <w:t xml:space="preserve">1. Introdução</w:t>
      </w:r>
    </w:p>
    <w:p>
      <w:pPr>
        <w:spacing w:after="160" w:line="276"/>
        <w:jc w:val="both"/>
      </w:pPr>
      <w:r>
        <w:t xml:space="preserve">Proteínas dobram-se em arranjos tridimensionais nos quais resíduos espacialmente próximos formam módulos coesos, frequentemente associados a domínios e a unidades de montagem. Uma forma natural de capturar essa organização é tratar a estrutura como um grafo: os resíduos são nós e a proximidade espacial define as conexões. Nessa representação, um domínio funcional aparece como uma região densamente conectada por dentro e fracamente conectada com o resto, isto é, como uma comunidade de rede. Detectar domínios passa, então, a ser um problema de detecção de comunidades.</w:t>
      </w:r>
    </w:p>
    <w:p>
      <w:pPr>
        <w:spacing w:after="160" w:line="276"/>
        <w:jc w:val="both"/>
      </w:pPr>
      <w:r>
        <w:t xml:space="preserve">O objetivo deste trabalho é avaliar, de ponta a ponta, se esse mapeamento funciona em estruturas reais. Construímos um pipeline reprodutível que parte de um arquivo de coordenadas, monta a rede de contatos por resíduo, calcula métricas topológicas e de centralidade, detecta comunidades com o método de Louvain e valida o resultado contra anotações estruturais. O caso de aplicação principal é o capsídeo do adenovírus humano 5 (PDB 6B1T), uma montagem de grande porte cuja arquitetura em capsômeros oferece uma anotação de referência rica.</w:t>
      </w:r>
    </w:p>
    <w:p>
      <w:pPr>
        <w:pStyle w:val="Heading1"/>
        <w:spacing w:after="160" w:before="280"/>
      </w:pPr>
      <w:r>
        <w:t xml:space="preserve">2. Materiais e Métodos</w:t>
      </w:r>
    </w:p>
    <w:p>
      <w:pPr>
        <w:pStyle w:val="Heading2"/>
        <w:spacing w:after="120" w:before="220"/>
      </w:pPr>
      <w:r>
        <w:t xml:space="preserve">2.1 Modelagem da rede de contatos</w:t>
      </w:r>
    </w:p>
    <w:p>
      <w:pPr>
        <w:spacing w:after="160" w:line="276"/>
        <w:jc w:val="both"/>
      </w:pPr>
      <w:r>
        <w:t xml:space="preserve">A rede é construída no nível do resíduo, e não do átomo. Cada nó corresponde a um resíduo, identificado por cadeia e número. Dois resíduos são ligados por uma aresta quando estão em contato físico, segundo um de dois critérios: no modo heavy, quando existe ao menos um par de átomos pesados a no máximo 5 angstroms; no modo ca, quando os carbonos alfa estão a no máximo 8 angstroms. No modo heavy o peso da aresta é o número de pares de átomos em contato; no modo ca o peso é o inverso da distância. A busca de vizinhos é feita com uma árvore KD, o que torna a construção viável mesmo para estruturas grandes.</w:t>
      </w:r>
    </w:p>
    <w:p>
      <w:pPr>
        <w:spacing w:after="160" w:line="276"/>
        <w:jc w:val="both"/>
      </w:pPr>
      <w:r>
        <w:t xml:space="preserve">A escolha por resíduo, em vez de átomo, reduz a escala de cerca de um milhão de átomos para dezenas de milhares de resíduos, preservando a topologia de domínios. A distância como critério reflete o substrato físico do enovelamento: resíduos do mesmo domínio empacotam-se juntos no espaço.</w:t>
      </w:r>
    </w:p>
    <w:p>
      <w:pPr>
        <w:pStyle w:val="Heading2"/>
        <w:spacing w:after="120" w:before="220"/>
      </w:pPr>
      <w:r>
        <w:t xml:space="preserve">2.2 Métricas topológicas e centralidade</w:t>
      </w:r>
    </w:p>
    <w:p>
      <w:pPr>
        <w:spacing w:after="160" w:line="276"/>
        <w:jc w:val="both"/>
      </w:pPr>
      <w:r>
        <w:t xml:space="preserve">Para cada rede reportamos número de nós e de arestas, densidade, grau médio e máximo, coeficiente de agrupamento médio e número de componentes. A intermediação (betweenness) é usada para identificar resíduos de articulação entre módulos. Como a intermediação exata é custosa em redes grandes, ela é estimada por amostragem de fontes no caso do capsídeo, o que produz valores aproximados, adequados para ranquear articuladores, mas não para comparações numéricas finas. Importante notar que a intermediação usa a distância como custo de aresta, enquanto a detecção de comunidades usa o número de contatos como peso de afinidade: são semânticas opostas e intencionais.</w:t>
      </w:r>
    </w:p>
    <w:p>
      <w:pPr>
        <w:pStyle w:val="Heading2"/>
        <w:spacing w:after="120" w:before="220"/>
      </w:pPr>
      <w:r>
        <w:t xml:space="preserve">2.3 Detecção de comunidades (Louvain)</w:t>
      </w:r>
    </w:p>
    <w:p>
      <w:pPr>
        <w:spacing w:after="160" w:line="276"/>
        <w:jc w:val="both"/>
      </w:pPr>
      <w:r>
        <w:t xml:space="preserve">As comunidades são detectadas pelo método de Louvain, que otimiza a modularidade de forma gulosa e hierárquica. A modularidade Q mede o excesso de arestas internas às comunidades em relação ao esperado por acaso. O parâmetro de resolução gamma controla a escala das comunidades: valores menores produzem comunidades maiores e em menor número; valores maiores fragmentam a partição. A estabilidade da partição é avaliada repetindo a detecção com sementes distintas e reportando a média e o desvio do número de comunidades e da modularidade.</w:t>
      </w:r>
    </w:p>
    <w:p>
      <w:pPr>
        <w:pStyle w:val="Heading2"/>
        <w:spacing w:after="120" w:before="220"/>
      </w:pPr>
      <w:r>
        <w:t xml:space="preserve">2.4 Validação contra anotações</w:t>
      </w:r>
    </w:p>
    <w:p>
      <w:pPr>
        <w:spacing w:after="160" w:line="276"/>
        <w:jc w:val="both"/>
      </w:pPr>
      <w:r>
        <w:t xml:space="preserve">A qualidade das comunidades é medida comparando a partição detectada com uma anotação de referência, por meio do índice de Rand ajustado (ARI), da informação mútua normalizada (NMI), da homogeneidade e da completude. Esses índices independem de rótulos e de permutações, o que permite comparar partições com números diferentes de grupos. Reportamos também a matriz de confusão entre comunidades detectadas e classes anotadas.</w:t>
      </w:r>
    </w:p>
    <w:p>
      <w:pPr>
        <w:pStyle w:val="Heading2"/>
        <w:spacing w:after="120" w:before="220"/>
      </w:pPr>
      <w:r>
        <w:t xml:space="preserve">2.5 Estruturas analisadas</w:t>
      </w:r>
    </w:p>
    <w:p>
      <w:pPr>
        <w:spacing w:after="160" w:line="276"/>
        <w:jc w:val="both"/>
      </w:pPr>
      <w:r>
        <w:t xml:space="preserve">O conjunto inclui um benchmark sintético com quatro domínios plantados; um domínio único de referência (1A8O, domínio C-terminal do capsídeo do HIV); um multímero de teste com anotação de cadeias conhecida (2HHB, hemoglobina humana desoxigenada); uma fibrila amiloide (2BEG); e o alvo, o capsídeo do adenovírus humano 5 (6B1T). O sintético e a hemoglobina servem de calibração; o alvo é avaliado sem reajuste de parâmetros.</w:t>
      </w:r>
    </w:p>
    <w:p>
      <w:pPr>
        <w:pStyle w:val="Heading2"/>
        <w:spacing w:after="120" w:before="220"/>
      </w:pPr>
      <w:r>
        <w:t xml:space="preserve">2.6 Fixação de parâmetros e escolha da resolução</w:t>
      </w:r>
    </w:p>
    <w:p>
      <w:pPr>
        <w:spacing w:after="160" w:line="276"/>
        <w:jc w:val="both"/>
      </w:pPr>
      <w:r>
        <w:t xml:space="preserve">Todos os parâmetros do pipeline foram fixados nas moléculas de teste e aplicados ao alvo sem reajuste, evitando ajuste sobre o próprio alvo. O critério de aresta (contato entre átomos pesados a no máximo 5 angstroms) e o esquema de ponderação (peso igual ao número de pares de átomos em contato) são idênticos em todas as estruturas; a ablação da Seção 3.6 sustenta empiricamente essa escolha.</w:t>
      </w:r>
    </w:p>
    <w:p>
      <w:pPr>
        <w:spacing w:after="160" w:line="276"/>
        <w:jc w:val="both"/>
      </w:pPr>
      <w:r>
        <w:t xml:space="preserve">A resolução gamma exige uma regra de seleção definida a priori, pois controla a escala das comunidades. Essa regra foi calibrada na hemoglobina, o multímero de teste com anotação de cadeias conhecida: a varredura de gamma mostra que as quatro subunidades montadas são recuperadas com correspondência máxima em gamma igual a 0,2 (ARI 0,839). Adotou-se, portanto, gamma igual a 0,2 como a resolução da escala de subunidade montada, e esse valor foi transferido diretamente ao alvo, sem consultar a anotação do 6B1T. No capsídeo, a unidade montada análoga à cadeia da hemoglobina é o capsômero (o trímero de héxon e a base do pénton); logo, gamma igual a 0,2 corresponde, no alvo, à escala de capsômero. A varredura de gamma no 6B1T é reportada apenas como análise de sensibilidade, e não como fonte do valor adotado.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3. Resultados</w:t>
      </w:r>
    </w:p>
    <w:p>
      <w:pPr>
        <w:pStyle w:val="Heading2"/>
        <w:spacing w:after="120" w:before="220"/>
      </w:pPr>
      <w:r>
        <w:t xml:space="preserve">3.1 Benchmark sintético</w:t>
      </w:r>
    </w:p>
    <w:p>
      <w:pPr>
        <w:spacing w:after="160" w:line="276"/>
        <w:jc w:val="both"/>
      </w:pPr>
      <w:r>
        <w:t xml:space="preserve">No benchmark sintético, com quatro domínios plantados e modo ca a 10 angstroms, a rede tem 255 nós e 2.658 arestas. O Louvain recupera cinco comunidades com modularidade 0,743, e a validação contra os domínios plantados dá ARI 0,923 e NMI 0,913 (homogeneidade 0,936; completude 0,891). A partição é estável (número de comunidades 4,9 em média, desvio 0,3). O resultado confirma que o pipeline recupera domínios conhecidos quando eles existem por construção.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924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Comunidades sobre a estrutura sintética.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Confusão comunidade x domínio plantado.</w:t>
            </w:r>
          </w:p>
        </w:tc>
      </w:tr>
    </w:tbl>
    <w:p>
      <w:pPr>
        <w:spacing w:after="60" w:line="276"/>
        <w:jc w:val="both"/>
      </w:pPr>
      <w:r>
        <w:t xml:space="preserve"/>
      </w:r>
    </w:p>
    <w:p>
      <w:pPr>
        <w:pStyle w:val="Heading2"/>
        <w:spacing w:after="120" w:before="220"/>
      </w:pPr>
      <w:r>
        <w:t xml:space="preserve">3.2 Domínio único de referência (1A8O)</w:t>
      </w:r>
    </w:p>
    <w:p>
      <w:pPr>
        <w:spacing w:after="160" w:line="276"/>
        <w:jc w:val="both"/>
      </w:pPr>
      <w:r>
        <w:t xml:space="preserve">Em uma proteína de cadeia única (1A8O, 70 resíduos, modo heavy a 5 angstroms), a rede tem 335 arestas e agrupamento 0,563. O Louvain encontra seis comunidades (modularidade 0,599), que correspondem a sub-regiões compactas do enovelamento. Sem múltiplas cadeias, o interesse aqui é a centralidade: a intermediação destaca resíduos de articulação entre as sub-regiões, coerentes com voltas e alças que conectam elementos de estrutura secundária.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7480"/>
          <w:sz w:val="18"/>
          <w:szCs w:val="18"/>
        </w:rPr>
        <w:t xml:space="preserve">Distribuições de centralidade em 1A8O; a intermediação ressalta articuladores.</w:t>
      </w:r>
    </w:p>
    <w:p>
      <w:pPr>
        <w:pStyle w:val="Heading2"/>
        <w:spacing w:after="120" w:before="220"/>
      </w:pPr>
      <w:r>
        <w:t xml:space="preserve">3.3 Multímero de teste: hemoglobina (2HHB)</w:t>
      </w:r>
    </w:p>
    <w:p>
      <w:pPr>
        <w:spacing w:after="160" w:line="276"/>
        <w:jc w:val="both"/>
      </w:pPr>
      <w:r>
        <w:t xml:space="preserve">A hemoglobina é o caso de calibração de resolução. A rede (574 resíduos, 3.144 arestas, modo heavy) tem modularidade 0,782 em gamma igual a 1, mas nessa escala fragmenta-se em 14 comunidades, com ARI baixo (0,359) contra a anotação de cadeias: a resolução fina separa subdomínios dentro de cada cadeia. A varredura de gamma mostra que a escala de cadeia montada surge em gamma igual a 0,2, onde a partição tem quatro comunidades (modularidade 0,689) e recupera as quatro cadeias com ARI 0,839 e NMI 0,874. A interface alfa-beta aparece na pequena mistura entre comunidades. Esse é o ponto que define a resolução de subunidade montada usada no alvo.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rPr>
          <w:tblHeader/>
        </w:trP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gamma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ARI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NMI</w:t>
            </w:r>
          </w:p>
        </w:tc>
      </w:tr>
      <w:t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0,2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0,689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0,839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0,874</w:t>
            </w:r>
          </w:p>
        </w:tc>
      </w:tr>
      <w:t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0,3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0,682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0,762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0,810</w:t>
            </w:r>
          </w:p>
        </w:tc>
      </w:tr>
      <w:t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0,753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0,719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0,811</w:t>
            </w:r>
          </w:p>
        </w:tc>
      </w:tr>
      <w:t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0,777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0,483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0,717</w:t>
            </w:r>
          </w:p>
        </w:tc>
      </w:tr>
      <w:tr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0,782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0,359</w:t>
            </w:r>
          </w:p>
        </w:tc>
        <w:tc>
          <w:tcPr>
            <w:tcW w:type="dxa" w:w="2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0,642</w:t>
            </w:r>
          </w:p>
        </w:tc>
      </w:tr>
    </w:tbl>
    <w:p>
      <w:pPr>
        <w:spacing w:after="60" w:line="276"/>
        <w:jc w:val="both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905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Quatro cadeias recuperadas em gamma 0,2.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81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Confusão comunidade x cadeia.</w:t>
            </w:r>
          </w:p>
        </w:tc>
      </w:tr>
    </w:tbl>
    <w:p>
      <w:pPr>
        <w:spacing w:after="60" w:line="276"/>
        <w:jc w:val="both"/>
      </w:pPr>
      <w:r>
        <w:t xml:space="preserve"/>
      </w:r>
    </w:p>
    <w:p>
      <w:pPr>
        <w:pStyle w:val="Heading2"/>
        <w:spacing w:after="120" w:before="220"/>
      </w:pPr>
      <w:r>
        <w:t xml:space="preserve">3.4 Fibrila amiloide (2BEG)</w:t>
      </w:r>
    </w:p>
    <w:p>
      <w:pPr>
        <w:spacing w:after="160" w:line="276"/>
        <w:jc w:val="both"/>
      </w:pPr>
      <w:r>
        <w:t xml:space="preserve">A fibrila amiloide 2BEG (130 resíduos, cinco cadeias empilhadas, modo heavy) tem modularidade 0,660. A geometria de empilhamento produz comunidades que tendem a seguir as camadas da fibrila, ilustrando como a topologia de contato reflete a arquitetura de montagem mesmo em um arranjo repetitivo.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7480"/>
          <w:sz w:val="18"/>
          <w:szCs w:val="18"/>
        </w:rPr>
        <w:t xml:space="preserve">Comunidades na fibrila amiloide 2BEG.</w:t>
      </w:r>
    </w:p>
    <w:p>
      <w:pPr>
        <w:pStyle w:val="Heading2"/>
        <w:spacing w:after="120" w:before="220"/>
      </w:pPr>
      <w:r>
        <w:t xml:space="preserve">3.5 Alvo: capsídeo do adenovírus humano 5 (6B1T)</w:t>
      </w:r>
    </w:p>
    <w:p>
      <w:pPr>
        <w:spacing w:after="160" w:line="276"/>
        <w:jc w:val="both"/>
      </w:pPr>
      <w:r>
        <w:t xml:space="preserve">O alvo tem 12.544 resíduos e 73.276 contatos, formando um único componente. A densidade é baixa (0,0009) e o grau máximo é 23: a rede é um grafo geométrico de grau limitado, como esperado de uma estrutura física empacotada. O coeficiente de agrupamento é 0,453. Em gamma igual a 1, o Louvain encontra 30 comunidades com modularidade 0,899, refletindo a forte organização modular do capsídeo na escala fina.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Nós (resíduos)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12.544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Arestas (contatos)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73.276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Densidade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0,0009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Grau médio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11,683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Grau máximo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Agrupamento médio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0,4534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Modularidade (gamma 1)</w:t>
            </w:r>
          </w:p>
        </w:tc>
        <w:tc>
          <w:tcPr>
            <w:tcW w:type="dxa" w:w="46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0,8993 (30 comunidades)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143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7480"/>
          <w:sz w:val="18"/>
          <w:szCs w:val="18"/>
        </w:rPr>
        <w:t xml:space="preserve">Distribuição de grau do capsídeo: grau limitado, típico de grafo geométrico.</w:t>
      </w:r>
    </w:p>
    <w:p>
      <w:pPr>
        <w:spacing w:after="160" w:line="276"/>
        <w:jc w:val="both"/>
      </w:pPr>
      <w:r>
        <w:t xml:space="preserve">Aplicando ao alvo a resolução gamma igual a 0,2, fixada na calibração da hemoglobina e sem consultar a anotação do 6B1T, a partição reproduz os quatro trímeros de héxon, a base do pénton e as proteínas menores, com ARI igual a 0,812 e NMI igual a 0,826 (homogeneidade 0,837; completude 0,815; sete comunidades). Como referência de sensibilidade, em gamma igual a 0,1 obtem-se ARI igual a 0,890 e NMI igual a 0,864. As duas resoluções produzem sete comunidades e recuperam os mesmos quatro trímeros, de modo que o resultado no nível de capsômero é estável em relação à escolha de gamma nessa faixa. O número-manchete adotado é o de gamma fixado (0,812).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886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Comunidades em gamma 0,2 sobre a estrutura.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i/>
                <w:iCs/>
                <w:color w:val="5B7480"/>
                <w:sz w:val="16"/>
                <w:szCs w:val="16"/>
              </w:rPr>
              <w:t xml:space="preserve">Confusão comunidade x trímero/pénton/menores.</w:t>
            </w:r>
          </w:p>
        </w:tc>
      </w:tr>
    </w:tbl>
    <w:p>
      <w:pPr>
        <w:spacing w:after="60" w:line="276"/>
        <w:jc w:val="both"/>
      </w:pPr>
      <w:r>
        <w:t xml:space="preserve"/>
      </w:r>
    </w:p>
    <w:p>
      <w:pPr>
        <w:pStyle w:val="Heading2"/>
        <w:spacing w:after="120" w:before="220"/>
      </w:pPr>
      <w:r>
        <w:t xml:space="preserve">3.6 Ablação dos critérios de aresta</w:t>
      </w:r>
    </w:p>
    <w:p>
      <w:pPr>
        <w:spacing w:after="160" w:line="276"/>
        <w:jc w:val="both"/>
      </w:pPr>
      <w:r>
        <w:t xml:space="preserve">Para sustentar empiricamente a escolha da distância como critério de aresta, comparamos quatro esquemas sobre o alvo, com gamma fixo em 0,2 e validação contra a anotação por trímero. Mantendo o mesmo conjunto de nós, variamos o peso (aresta unitária, número de contatos e ponderação físico-química por hidrofobicidade de Kyte-Doolittle e complementaridade de carga) e, em seguida, o próprio conjunto de arestas (carbono alfa a 8 angstroms). Os resultados aparecem na tabela a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560"/>
        <w:gridCol w:w="1860"/>
        <w:gridCol w:w="1860"/>
      </w:tblGrid>
      <w:tr>
        <w:trPr>
          <w:tblHeader/>
        </w:trPr>
        <w:tc>
          <w:tcPr>
            <w:tcW w:type="dxa" w:w="4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Esquema de aresta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shd w:fill="E6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ARI</w:t>
            </w:r>
          </w:p>
        </w:tc>
      </w:tr>
      <w:tr>
        <w:tc>
          <w:tcPr>
            <w:tcW w:type="dxa" w:w="4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topo (presença de contato)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0,760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0,861</w:t>
            </w:r>
          </w:p>
        </w:tc>
      </w:tr>
      <w:tr>
        <w:tc>
          <w:tcPr>
            <w:tcW w:type="dxa" w:w="4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contacts (nº de contatos)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0,785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0,812</w:t>
            </w:r>
          </w:p>
        </w:tc>
      </w:tr>
      <w:tr>
        <w:tc>
          <w:tcPr>
            <w:tcW w:type="dxa" w:w="4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physchem (físico-química)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0,807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0,770</w:t>
            </w:r>
          </w:p>
        </w:tc>
      </w:tr>
      <w:tr>
        <w:tc>
          <w:tcPr>
            <w:tcW w:type="dxa" w:w="408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 (Cα a 8 angstroms)</w:t>
            </w:r>
          </w:p>
        </w:tc>
        <w:tc>
          <w:tcPr>
            <w:tcW w:type="dxa" w:w="15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0,835</w:t>
            </w:r>
          </w:p>
        </w:tc>
        <w:tc>
          <w:tcPr>
            <w:tcW w:type="dxa" w:w="1860"/>
            <w:tcBorders>
              <w:top w:val="single" w:color="C9D6DA" w:sz="1"/>
              <w:left w:val="single" w:color="C9D6DA" w:sz="1"/>
              <w:bottom w:val="single" w:color="C9D6DA" w:sz="1"/>
              <w:right w:val="single" w:color="C9D6D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0,558</w:t>
            </w:r>
          </w:p>
        </w:tc>
      </w:tr>
    </w:tbl>
    <w:p>
      <w:pPr>
        <w:spacing w:after="160" w:line="276"/>
        <w:jc w:val="both"/>
      </w:pPr>
      <w:r>
        <w:t xml:space="preserve">Duas leituras emergem. Primeiro, a definição de aresta importa de forma decisiva: o critério de átomos pesados a 5 angstroms recupera os capsômeros com ARI entre 0,81 e 0,86, enquanto o critério de carbono alfa a 8 angstroms cai para 0,56. Isso justifica empiricamente a escolha de modelagem principal, antes apenas argumentada. Segundo, a ponderação importa pouco e a química não ajuda: o índice de Rand ajustado entre as partições com e sem ponderação físico-química é 0,730, ou seja, a ponderação altera a partição, mas a recuperação não melhora (o ARI cai de 0,812 para 0,770). De forma notável, o grafo sem peso recupera marginalmente melhor que o ponderado por contatos. Conclui-se que a geometria da distância domina e que a distância sozinha já fixa a topologia de domínios.</w:t>
      </w:r>
    </w:p>
    <w:p>
      <w:pPr>
        <w:pStyle w:val="Heading2"/>
        <w:spacing w:after="120" w:before="220"/>
      </w:pPr>
      <w:r>
        <w:t xml:space="preserve">3.7 Verificação da anotação contra o RCSB</w:t>
      </w:r>
    </w:p>
    <w:p>
      <w:pPr>
        <w:spacing w:after="160" w:line="276"/>
        <w:jc w:val="both"/>
      </w:pPr>
      <w:r>
        <w:t xml:space="preserve">A identificação das famílias proteicas usadas como anotação foi verificada de forma independente contra o RCSB. Em particular, o pénton corresponde à cadeia M (proteína de base do pénton, UniProt P12538, 571 resíduos), os héxons às cadeias A a L e as proteínas menores às cadeias N a Y, conforme o depósito. A comunidade que isola o pénton na partição coincide com essa cadeia, o que confirma a leitura biológica do resultado.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7480"/>
          <w:sz w:val="18"/>
          <w:szCs w:val="18"/>
        </w:rPr>
        <w:t xml:space="preserve">Confusão comunidade x anotação oficial do RCSB para o 6B1T.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4. Discussão</w:t>
      </w:r>
    </w:p>
    <w:p>
      <w:pPr>
        <w:spacing w:after="160" w:line="276"/>
        <w:jc w:val="both"/>
      </w:pPr>
      <w:r>
        <w:t xml:space="preserve">Os resultados sustentam a hipótese central: na escala de resolução adequada, comunidades de rede correspondem a unidades estruturais montadas. A calibração no sintético e na hemoglobina fixa essa escala de forma independente do alvo, e a transferência para o capsídeo recupera capsômeros sem qualquer ajuste sobre a anotação do 6B1T. Esse cuidado metodológico responde a uma fragilidade da versão anterior, em que a resolução era escolhida otimizando a métrica no próprio alvo.</w:t>
      </w:r>
    </w:p>
    <w:p>
      <w:pPr>
        <w:spacing w:after="160" w:line="276"/>
        <w:jc w:val="both"/>
      </w:pPr>
      <w:r>
        <w:t xml:space="preserve">A ablação acrescenta evidência empírica ao que antes era um argumento. A distância por átomos pesados a 5 angstroms é claramente superior ao critério de carbono alfa a 8 angstroms para recuperar capsômeros, e a adição de informação físico-química não melhora a recuperação, embora altere a partição. A interpretação é que a geometria de empacotamento carrega quase toda a informação de domínio relevante nessa tarefa, e que esquemas de peso mais ricos introduzem variação sem ganho contra a anotação estrutural.</w:t>
      </w:r>
    </w:p>
    <w:p>
      <w:pPr>
        <w:spacing w:after="160" w:line="276"/>
        <w:jc w:val="both"/>
      </w:pPr>
      <w:r>
        <w:t xml:space="preserve">Duas ressalvas merecem registro. A primeira é de circularidade controlada: a anotação por trímero usada como referência é derivada de contatos entre cadeias de héxon, um rótulo grosseiro e essencialmente determinístico; ela é independente da partição de resíduos validada, mas convém explicitar sua origem. A segunda é de precisão numérica: a intermediação no capsídeo é estimada por amostragem, adequada para ranquear articuladores, porém não para comparações finas. Por fim, a abordagem captura organização geométrica de montagem, e não necessariamente função bioquímica fina; comunidade e domínio coincidem na escala certa, mas a leitura funcional exige a anotação externa.</w:t>
      </w:r>
    </w:p>
    <w:p>
      <w:pPr>
        <w:pStyle w:val="Heading1"/>
        <w:spacing w:after="160" w:before="280"/>
      </w:pPr>
      <w:r>
        <w:t xml:space="preserve">5. Conclusão</w:t>
      </w:r>
    </w:p>
    <w:p>
      <w:pPr>
        <w:spacing w:after="160" w:line="276"/>
        <w:jc w:val="both"/>
      </w:pPr>
      <w:r>
        <w:t xml:space="preserve">Modelar proteínas como redes de contato entre resíduos e aplicar detecção de comunidades recupera, na escala certa de resolução, as unidades estruturais montadas. O pipeline foi calibrado no sintético (ARI 0,923) e validado em um multímero real (hemoglobina, ARI 0,839), com a resolução gamma fixada nesses testes e aplicada ao alvo sem reajuste. No capsídeo do adenovírus humano 5, as comunidades reproduzem os quatro trímeros de héxon, a base do pénton e as proteínas menores, com ARI igual a 0,812 na escala de capsômero. A ablação de arestas mostra que a definição geométrica é o fator decisivo e que a distância por átomos pesados a 5 angstroms é a escolha adequada. Todo o procedimento é reprodutível pelos scripts do repositório, incluindo a re-derivação em gamma fixo e a ablação de critérios de aresta.</w:t>
      </w:r>
    </w:p>
    <w:p>
      <w:pPr>
        <w:pStyle w:val="Heading1"/>
        <w:spacing w:after="160" w:before="280"/>
      </w:pPr>
      <w:r>
        <w:t xml:space="preserve">Colaboração e agradecimentos</w:t>
      </w:r>
    </w:p>
    <w:p>
      <w:pPr>
        <w:spacing w:after="160" w:line="276"/>
        <w:jc w:val="both"/>
      </w:pPr>
      <w:r>
        <w:t xml:space="preserve">Este trabalho beneficiou-se de discussões com a colega de turma Vanessa Machado Silva, cuja contribuição incidiu sobre a metodologia, com acréscimos e sugestões incorporados à formulação dos procedimentos descritos na Seção 2. As decisões finais, a implementação dos experimentos e a redação são de responsabilidade do autor.</w:t>
      </w:r>
    </w:p>
    <w:p>
      <w:pPr>
        <w:pStyle w:val="Heading1"/>
        <w:spacing w:after="160" w:before="280"/>
      </w:pPr>
      <w:r>
        <w:t xml:space="preserve">Declaração de uso de Inteligência Artificial</w:t>
      </w:r>
    </w:p>
    <w:p>
      <w:pPr>
        <w:spacing w:after="160" w:line="276"/>
        <w:jc w:val="both"/>
      </w:pPr>
      <w:r>
        <w:t xml:space="preserve">Ferramentas de inteligência artificial foram utilizadas como apoio à programação, à organização do texto e à verificação de consistência dos resultados. Todas as decisões metodológicas, a execução dos experimentos e a interpretação dos resultados foram conduzidas e revisadas pelo autor. Os números reportados foram obtidos pela execução dos scripts sobre as estruturas indicadas.</w:t>
      </w:r>
    </w:p>
    <w:p>
      <w:pPr>
        <w:pStyle w:val="Heading1"/>
        <w:spacing w:after="160" w:before="280"/>
      </w:pPr>
      <w:r>
        <w:t xml:space="preserve">Referências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BLONDEL, V. D. et al. Fast unfolding of communities in large networks. Journal of Statistical Mechanics, 2008.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NEWMAN, M. E. J. Modularity and community structure in networks. PNAS, v. 103, n. 23, 2006.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HAGBERG, A.; SCHULT, D.; SWART, P. Exploring network structure, dynamics, and function using NetworkX. Proc. SciPy, 2008.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COCK, P. J. A. et al. Biopython: freely available Python tools for computational molecular biology. Bioinformatics, v. 25, 2009.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KYTE, J.; DOOLITTLE, R. F. A simple method for displaying the hydropathic character of a protein. Journal of Molecular Biology, v. 157, 1982.</w:t>
      </w:r>
    </w:p>
    <w:p>
      <w:pPr>
        <w:spacing w:after="100" w:line="264"/>
        <w:jc w:val="both"/>
      </w:pPr>
      <w:r>
        <w:rPr>
          <w:sz w:val="19"/>
          <w:szCs w:val="19"/>
        </w:rPr>
        <w:t xml:space="preserve">PROTEIN DATA BANK. Entrada 6B1T: capsídeo do adenovírus humano 5. RCSB PDB. Disponível em rcsb.org.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A0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532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6B7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4dd857fb2342b554a171db8d522444b83135d3.png"/><Relationship Id="rId9" Type="http://schemas.openxmlformats.org/officeDocument/2006/relationships/image" Target="media/3d5d504f295918178d755c924c646fe299bbcc00.png"/><Relationship Id="rId10" Type="http://schemas.openxmlformats.org/officeDocument/2006/relationships/image" Target="media/a42512895bc9ae17e9c5e6f7217a8590dad75e5d.png"/><Relationship Id="rId11" Type="http://schemas.openxmlformats.org/officeDocument/2006/relationships/image" Target="media/c5b1aa312face948a65fb03df6a334b7f41357ad.png"/><Relationship Id="rId12" Type="http://schemas.openxmlformats.org/officeDocument/2006/relationships/image" Target="media/47ee6e550bf285879fd767ca70ce72a7ed0ec837.png"/><Relationship Id="rId13" Type="http://schemas.openxmlformats.org/officeDocument/2006/relationships/image" Target="media/b3bf0d5547e67715965cc1ae69ddd5be979d6174.png"/><Relationship Id="rId14" Type="http://schemas.openxmlformats.org/officeDocument/2006/relationships/image" Target="media/894c8a28a159cb72c01361f0cccdaad936153f87.png"/><Relationship Id="rId15" Type="http://schemas.openxmlformats.org/officeDocument/2006/relationships/image" Target="media/de6b82a5d364f066e117aeb9c657be3ed750d7bb.png"/><Relationship Id="rId16" Type="http://schemas.openxmlformats.org/officeDocument/2006/relationships/image" Target="media/b9197e2e93f2efdd110297cb8eaa0a4723c6a8cf.png"/><Relationship Id="rId17" Type="http://schemas.openxmlformats.org/officeDocument/2006/relationships/image" Target="media/83b2703d5c6489459ba0207e7b98bd4378ee85e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2026-06-26T13:18:56.813Z</dcterms:created>
  <dcterms:modified xsi:type="dcterms:W3CDTF">2026-06-26T13:18:56.825Z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