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259C" w14:textId="77777777" w:rsidR="0020033F" w:rsidRPr="009C7F96" w:rsidRDefault="0020033F" w:rsidP="00366C9E">
      <w:pPr>
        <w:spacing w:after="120"/>
        <w:ind w:firstLine="0"/>
        <w:jc w:val="center"/>
        <w:rPr>
          <w:rFonts w:cs="Times New Roman"/>
          <w:b/>
          <w:szCs w:val="24"/>
          <w:lang w:val="pt-BR"/>
        </w:rPr>
      </w:pPr>
      <w:r w:rsidRPr="009C7F96">
        <w:rPr>
          <w:rFonts w:cs="Times New Roman"/>
          <w:b/>
          <w:szCs w:val="24"/>
          <w:lang w:val="pt-BR"/>
        </w:rPr>
        <w:t>PEDRO FRANCK MINELLA</w:t>
      </w:r>
    </w:p>
    <w:p w14:paraId="32C0C67C" w14:textId="77777777" w:rsidR="0020033F" w:rsidRPr="009C7F96" w:rsidRDefault="0020033F" w:rsidP="0020033F">
      <w:pPr>
        <w:jc w:val="center"/>
        <w:rPr>
          <w:rFonts w:cs="Times New Roman"/>
          <w:b/>
          <w:szCs w:val="24"/>
          <w:lang w:val="pt-BR"/>
        </w:rPr>
      </w:pPr>
    </w:p>
    <w:p w14:paraId="288B63C8" w14:textId="77777777" w:rsidR="0020033F" w:rsidRPr="009C7F96" w:rsidRDefault="0020033F" w:rsidP="0020033F">
      <w:pPr>
        <w:rPr>
          <w:rFonts w:cs="Times New Roman"/>
          <w:b/>
          <w:szCs w:val="24"/>
          <w:lang w:val="pt-BR"/>
        </w:rPr>
      </w:pPr>
    </w:p>
    <w:p w14:paraId="067FB63E" w14:textId="77777777" w:rsidR="0020033F" w:rsidRPr="009C7F96" w:rsidRDefault="0020033F" w:rsidP="0020033F">
      <w:pPr>
        <w:rPr>
          <w:rFonts w:cs="Times New Roman"/>
          <w:b/>
          <w:szCs w:val="24"/>
          <w:lang w:val="pt-BR"/>
        </w:rPr>
      </w:pPr>
    </w:p>
    <w:p w14:paraId="6C7F200B" w14:textId="77777777" w:rsidR="0020033F" w:rsidRPr="009C7F96" w:rsidRDefault="0020033F" w:rsidP="0020033F">
      <w:pPr>
        <w:rPr>
          <w:rFonts w:cs="Times New Roman"/>
          <w:b/>
          <w:szCs w:val="24"/>
          <w:lang w:val="pt-BR"/>
        </w:rPr>
      </w:pPr>
    </w:p>
    <w:p w14:paraId="63FD36B0" w14:textId="77777777" w:rsidR="0020033F" w:rsidRPr="009C7F96" w:rsidRDefault="0020033F" w:rsidP="0020033F">
      <w:pPr>
        <w:rPr>
          <w:rFonts w:cs="Times New Roman"/>
          <w:b/>
          <w:szCs w:val="24"/>
          <w:lang w:val="pt-BR"/>
        </w:rPr>
      </w:pPr>
    </w:p>
    <w:p w14:paraId="0427DEF9" w14:textId="77777777" w:rsidR="0020033F" w:rsidRPr="009C7F96" w:rsidRDefault="0020033F" w:rsidP="0020033F">
      <w:pPr>
        <w:rPr>
          <w:rFonts w:cs="Times New Roman"/>
          <w:b/>
          <w:szCs w:val="24"/>
          <w:lang w:val="pt-BR"/>
        </w:rPr>
      </w:pPr>
    </w:p>
    <w:p w14:paraId="08A1B28E" w14:textId="77777777" w:rsidR="0020033F" w:rsidRPr="009C7F96" w:rsidRDefault="0020033F" w:rsidP="0020033F">
      <w:pPr>
        <w:rPr>
          <w:rFonts w:cs="Times New Roman"/>
          <w:b/>
          <w:szCs w:val="24"/>
          <w:lang w:val="pt-BR"/>
        </w:rPr>
      </w:pPr>
    </w:p>
    <w:p w14:paraId="3E4B98A0" w14:textId="77777777" w:rsidR="0020033F" w:rsidRPr="009C7F96" w:rsidRDefault="0020033F" w:rsidP="0020033F">
      <w:pPr>
        <w:rPr>
          <w:rFonts w:cs="Times New Roman"/>
          <w:b/>
          <w:szCs w:val="24"/>
          <w:lang w:val="pt-BR"/>
        </w:rPr>
      </w:pPr>
    </w:p>
    <w:p w14:paraId="752AFDF3" w14:textId="77777777" w:rsidR="0020033F" w:rsidRPr="009C7F96" w:rsidRDefault="0020033F" w:rsidP="0020033F">
      <w:pPr>
        <w:rPr>
          <w:rFonts w:cs="Times New Roman"/>
          <w:b/>
          <w:szCs w:val="24"/>
          <w:lang w:val="pt-BR"/>
        </w:rPr>
      </w:pPr>
    </w:p>
    <w:p w14:paraId="0D5D4C97" w14:textId="77777777" w:rsidR="0020033F" w:rsidRPr="009C7F96" w:rsidRDefault="0020033F" w:rsidP="0020033F">
      <w:pPr>
        <w:rPr>
          <w:rFonts w:cs="Times New Roman"/>
          <w:b/>
          <w:szCs w:val="24"/>
          <w:lang w:val="pt-BR"/>
        </w:rPr>
      </w:pPr>
    </w:p>
    <w:p w14:paraId="4F4FF354" w14:textId="77777777" w:rsidR="0020033F" w:rsidRPr="009C7F96" w:rsidRDefault="0020033F" w:rsidP="0020033F">
      <w:pPr>
        <w:rPr>
          <w:rFonts w:cs="Times New Roman"/>
          <w:b/>
          <w:szCs w:val="24"/>
          <w:lang w:val="pt-BR"/>
        </w:rPr>
      </w:pPr>
    </w:p>
    <w:p w14:paraId="4936B961" w14:textId="77777777" w:rsidR="0020033F" w:rsidRPr="009C7F96" w:rsidRDefault="0020033F" w:rsidP="00CA3657">
      <w:pPr>
        <w:jc w:val="center"/>
        <w:rPr>
          <w:rFonts w:cs="Times New Roman"/>
          <w:b/>
          <w:szCs w:val="24"/>
          <w:lang w:val="pt-BR"/>
        </w:rPr>
      </w:pPr>
    </w:p>
    <w:p w14:paraId="53728C3D" w14:textId="77777777" w:rsidR="0020033F" w:rsidRPr="00C2440A" w:rsidRDefault="00C2440A" w:rsidP="00CA3657">
      <w:pPr>
        <w:spacing w:after="120"/>
        <w:jc w:val="center"/>
        <w:rPr>
          <w:rFonts w:cs="Times New Roman"/>
          <w:b/>
          <w:sz w:val="28"/>
          <w:szCs w:val="28"/>
          <w:lang w:val="pt-BR"/>
        </w:rPr>
      </w:pPr>
      <w:r w:rsidRPr="00C2440A">
        <w:rPr>
          <w:rFonts w:cs="Times New Roman"/>
          <w:b/>
          <w:bCs/>
          <w:szCs w:val="28"/>
          <w:lang w:val="pt-BR"/>
        </w:rPr>
        <w:t xml:space="preserve">Efeitos dos Choques do Preço do Petróleo sobre a Inflação no Brasil: Evidências via Combustíveis, Petrobras, VAR e Local </w:t>
      </w:r>
      <w:proofErr w:type="spellStart"/>
      <w:r w:rsidRPr="00C2440A">
        <w:rPr>
          <w:rFonts w:cs="Times New Roman"/>
          <w:b/>
          <w:bCs/>
          <w:szCs w:val="28"/>
          <w:lang w:val="pt-BR"/>
        </w:rPr>
        <w:t>Projections</w:t>
      </w:r>
      <w:proofErr w:type="spellEnd"/>
      <w:r w:rsidRPr="00C2440A">
        <w:rPr>
          <w:rFonts w:cs="Times New Roman"/>
          <w:b/>
          <w:bCs/>
          <w:szCs w:val="28"/>
          <w:lang w:val="pt-BR"/>
        </w:rPr>
        <w:t xml:space="preserve"> entre 2003 e 2026</w:t>
      </w:r>
    </w:p>
    <w:p w14:paraId="6C7ADD5E" w14:textId="77777777" w:rsidR="0020033F" w:rsidRPr="009C7F96" w:rsidRDefault="0020033F" w:rsidP="0020033F">
      <w:pPr>
        <w:spacing w:after="120"/>
        <w:ind w:left="5040"/>
        <w:rPr>
          <w:rFonts w:cs="Times New Roman"/>
          <w:b/>
          <w:szCs w:val="24"/>
          <w:lang w:val="pt-BR"/>
        </w:rPr>
      </w:pPr>
      <w:r w:rsidRPr="009C7F96">
        <w:rPr>
          <w:rFonts w:cs="Times New Roman"/>
          <w:b/>
          <w:szCs w:val="24"/>
          <w:lang w:val="pt-BR"/>
        </w:rPr>
        <w:t xml:space="preserve">Trabalho de Conclusão de Curso apresentado como requisito para obtenção do título de Bacharel em Ciências Econômicas pelo Ibmec-DF </w:t>
      </w:r>
    </w:p>
    <w:p w14:paraId="408B5DDA" w14:textId="77777777" w:rsidR="0020033F" w:rsidRPr="009C7F96" w:rsidRDefault="0020033F" w:rsidP="0020033F">
      <w:pPr>
        <w:spacing w:after="120"/>
        <w:ind w:left="4320"/>
        <w:rPr>
          <w:rFonts w:cs="Times New Roman"/>
          <w:b/>
          <w:szCs w:val="24"/>
          <w:lang w:val="pt-BR"/>
        </w:rPr>
      </w:pPr>
      <w:r w:rsidRPr="009C7F96">
        <w:rPr>
          <w:rFonts w:cs="Times New Roman"/>
          <w:b/>
          <w:szCs w:val="24"/>
          <w:lang w:val="pt-BR"/>
        </w:rPr>
        <w:t>Orientador: Silvio Costa</w:t>
      </w:r>
    </w:p>
    <w:p w14:paraId="3D9C5407" w14:textId="77777777" w:rsidR="0020033F" w:rsidRPr="009C7F96" w:rsidRDefault="0020033F" w:rsidP="0020033F">
      <w:pPr>
        <w:spacing w:after="120"/>
        <w:ind w:left="4320"/>
        <w:rPr>
          <w:rFonts w:cs="Times New Roman"/>
          <w:b/>
          <w:szCs w:val="24"/>
          <w:lang w:val="pt-BR"/>
        </w:rPr>
      </w:pPr>
      <w:r w:rsidRPr="009C7F96">
        <w:rPr>
          <w:rFonts w:cs="Times New Roman"/>
          <w:b/>
          <w:szCs w:val="24"/>
          <w:lang w:val="pt-BR"/>
        </w:rPr>
        <w:t>Coordenador: Frederico Dias</w:t>
      </w:r>
    </w:p>
    <w:p w14:paraId="31507699" w14:textId="77777777" w:rsidR="0020033F" w:rsidRPr="009C7F96" w:rsidRDefault="0020033F" w:rsidP="0020033F">
      <w:pPr>
        <w:ind w:left="4320"/>
        <w:rPr>
          <w:rFonts w:cs="Times New Roman"/>
          <w:b/>
          <w:szCs w:val="24"/>
          <w:lang w:val="pt-BR"/>
        </w:rPr>
      </w:pPr>
    </w:p>
    <w:p w14:paraId="76E28E31" w14:textId="77777777" w:rsidR="0020033F" w:rsidRPr="009C7F96" w:rsidRDefault="0020033F" w:rsidP="0020033F">
      <w:pPr>
        <w:jc w:val="center"/>
        <w:rPr>
          <w:rFonts w:cs="Times New Roman"/>
          <w:b/>
          <w:szCs w:val="24"/>
          <w:lang w:val="pt-BR"/>
        </w:rPr>
      </w:pPr>
    </w:p>
    <w:p w14:paraId="6C75D9FF" w14:textId="77777777" w:rsidR="0020033F" w:rsidRPr="009C7F96" w:rsidRDefault="0020033F" w:rsidP="0020033F">
      <w:pPr>
        <w:jc w:val="center"/>
        <w:rPr>
          <w:rFonts w:cs="Times New Roman"/>
          <w:b/>
          <w:szCs w:val="24"/>
          <w:lang w:val="pt-BR"/>
        </w:rPr>
      </w:pPr>
    </w:p>
    <w:p w14:paraId="0038F092" w14:textId="77777777" w:rsidR="0020033F" w:rsidRPr="009C7F96" w:rsidRDefault="0020033F" w:rsidP="0020033F">
      <w:pPr>
        <w:jc w:val="center"/>
        <w:rPr>
          <w:rFonts w:cs="Times New Roman"/>
          <w:b/>
          <w:szCs w:val="24"/>
          <w:lang w:val="pt-BR"/>
        </w:rPr>
      </w:pPr>
    </w:p>
    <w:p w14:paraId="2371B7EE" w14:textId="77777777" w:rsidR="0020033F" w:rsidRPr="009C7F96" w:rsidRDefault="0020033F" w:rsidP="0020033F">
      <w:pPr>
        <w:jc w:val="center"/>
        <w:rPr>
          <w:rFonts w:cs="Times New Roman"/>
          <w:b/>
          <w:szCs w:val="24"/>
          <w:lang w:val="pt-BR"/>
        </w:rPr>
      </w:pPr>
    </w:p>
    <w:p w14:paraId="5CA9E35A" w14:textId="77777777" w:rsidR="0020033F" w:rsidRPr="009C7F96" w:rsidRDefault="0020033F" w:rsidP="0020033F">
      <w:pPr>
        <w:ind w:firstLine="0"/>
        <w:rPr>
          <w:rFonts w:cs="Times New Roman"/>
          <w:b/>
          <w:szCs w:val="24"/>
          <w:lang w:val="pt-BR"/>
        </w:rPr>
      </w:pPr>
    </w:p>
    <w:p w14:paraId="7C83DD44" w14:textId="77777777" w:rsidR="0020033F" w:rsidRPr="009C7F96" w:rsidRDefault="0020033F" w:rsidP="005C3052">
      <w:pPr>
        <w:spacing w:after="120"/>
        <w:ind w:firstLine="0"/>
        <w:jc w:val="center"/>
        <w:rPr>
          <w:rFonts w:cs="Times New Roman"/>
          <w:b/>
          <w:szCs w:val="24"/>
          <w:lang w:val="pt-BR"/>
        </w:rPr>
      </w:pPr>
      <w:r w:rsidRPr="009C7F96">
        <w:rPr>
          <w:rFonts w:cs="Times New Roman"/>
          <w:b/>
          <w:szCs w:val="24"/>
          <w:lang w:val="pt-BR"/>
        </w:rPr>
        <w:t>Brasília/DF</w:t>
      </w:r>
    </w:p>
    <w:p w14:paraId="69CC7748" w14:textId="77777777" w:rsidR="0020033F" w:rsidRPr="009C7F96" w:rsidRDefault="0020033F" w:rsidP="005C3052">
      <w:pPr>
        <w:spacing w:after="120"/>
        <w:ind w:firstLine="0"/>
        <w:jc w:val="center"/>
        <w:rPr>
          <w:rFonts w:cs="Times New Roman"/>
          <w:szCs w:val="24"/>
          <w:lang w:val="pt-BR"/>
        </w:rPr>
      </w:pPr>
      <w:r w:rsidRPr="009C7F96">
        <w:rPr>
          <w:rFonts w:cs="Times New Roman"/>
          <w:b/>
          <w:szCs w:val="24"/>
          <w:lang w:val="pt-BR"/>
        </w:rPr>
        <w:t>2026</w:t>
      </w:r>
      <w:r w:rsidRPr="009C7F96">
        <w:rPr>
          <w:rFonts w:cs="Times New Roman"/>
          <w:szCs w:val="24"/>
          <w:lang w:val="pt-BR"/>
        </w:rPr>
        <w:br w:type="page"/>
      </w:r>
    </w:p>
    <w:p w14:paraId="6408EF7A" w14:textId="77777777" w:rsidR="0020033F" w:rsidRPr="009C7F96" w:rsidRDefault="0020033F" w:rsidP="0020033F">
      <w:pPr>
        <w:spacing w:after="120"/>
        <w:rPr>
          <w:rFonts w:cs="Times New Roman"/>
          <w:szCs w:val="24"/>
          <w:lang w:val="pt-BR"/>
        </w:rPr>
      </w:pPr>
      <w:r w:rsidRPr="00366C9E">
        <w:rPr>
          <w:lang w:val="pt-BR"/>
        </w:rPr>
        <w:lastRenderedPageBreak/>
        <w:t xml:space="preserve">MINELLA, Pedro Franck. Efeitos dos Choques do Preço do Petróleo sobre a Inflação no Brasil: evidências via combustíveis, Petrobras, VAR, Local </w:t>
      </w:r>
      <w:proofErr w:type="spellStart"/>
      <w:r w:rsidRPr="00366C9E">
        <w:rPr>
          <w:lang w:val="pt-BR"/>
        </w:rPr>
        <w:t>Projections</w:t>
      </w:r>
      <w:proofErr w:type="spellEnd"/>
      <w:r w:rsidRPr="00366C9E">
        <w:rPr>
          <w:lang w:val="pt-BR"/>
        </w:rPr>
        <w:t xml:space="preserve"> e choques externos de oferta entre 2003 e 2026. 2026. Trabalho de Conclusão de Curso (Graduação em Ciências Econômicas) - Instituto Brasileiro de Mercado de Capitais, Brasília, DF, 2026.</w:t>
      </w:r>
      <w:r w:rsidRPr="00366C9E">
        <w:rPr>
          <w:lang w:val="pt-BR"/>
        </w:rPr>
        <w:br w:type="page"/>
      </w:r>
    </w:p>
    <w:p w14:paraId="45D811DB" w14:textId="77777777" w:rsidR="0020033F" w:rsidRPr="009C7F96" w:rsidRDefault="0020033F" w:rsidP="0020033F">
      <w:pPr>
        <w:pStyle w:val="Heading1"/>
        <w:rPr>
          <w:rFonts w:ascii="Times New Roman" w:hAnsi="Times New Roman" w:cs="Times New Roman"/>
          <w:szCs w:val="24"/>
        </w:rPr>
      </w:pPr>
      <w:bookmarkStart w:id="0" w:name="_heading=h.x9m7462j4c2f" w:colFirst="0" w:colLast="0"/>
      <w:bookmarkEnd w:id="0"/>
    </w:p>
    <w:p w14:paraId="0D31E60A" w14:textId="77777777" w:rsidR="0020033F" w:rsidRPr="009C7F96" w:rsidRDefault="0020033F" w:rsidP="0020033F">
      <w:pPr>
        <w:rPr>
          <w:rFonts w:cs="Times New Roman"/>
          <w:szCs w:val="24"/>
          <w:lang w:val="pt-BR"/>
        </w:rPr>
      </w:pPr>
    </w:p>
    <w:p w14:paraId="4E52BB30" w14:textId="77777777" w:rsidR="0020033F" w:rsidRPr="009C7F96" w:rsidRDefault="0020033F" w:rsidP="0020033F">
      <w:pPr>
        <w:pStyle w:val="Heading1"/>
        <w:jc w:val="center"/>
        <w:rPr>
          <w:rFonts w:ascii="Times New Roman" w:hAnsi="Times New Roman" w:cs="Times New Roman"/>
          <w:szCs w:val="24"/>
        </w:rPr>
      </w:pPr>
      <w:bookmarkStart w:id="1" w:name="_Toc226412161"/>
      <w:bookmarkStart w:id="2" w:name="_Toc229695929"/>
      <w:r w:rsidRPr="009C7F96">
        <w:rPr>
          <w:rFonts w:ascii="Times New Roman" w:eastAsia="Times New Roman" w:hAnsi="Times New Roman" w:cs="Times New Roman"/>
          <w:szCs w:val="24"/>
        </w:rPr>
        <w:t>RESUMO</w:t>
      </w:r>
      <w:bookmarkEnd w:id="1"/>
      <w:bookmarkEnd w:id="2"/>
    </w:p>
    <w:p w14:paraId="56E40B0F" w14:textId="77777777" w:rsidR="0020033F" w:rsidRPr="009C7F96" w:rsidRDefault="0020033F" w:rsidP="0020033F">
      <w:pPr>
        <w:tabs>
          <w:tab w:val="left" w:pos="3402"/>
        </w:tabs>
        <w:spacing w:after="120"/>
        <w:rPr>
          <w:rFonts w:cs="Times New Roman"/>
          <w:szCs w:val="24"/>
          <w:lang w:val="pt-BR"/>
        </w:rPr>
      </w:pPr>
      <w:r w:rsidRPr="00366C9E">
        <w:rPr>
          <w:lang w:val="pt-BR"/>
        </w:rPr>
        <w:t xml:space="preserve">Este trabalho analisa em que medida choques no preço internacional do petróleo são transmitidos aos preços domésticos dos combustíveis e à inflação brasileira entre 2003 e 2026. A hipótese central é que o repasse ocorre principalmente por meio dos combustíveis, com maior intensidade no IPCA Transportes do que no IPCA Geral, e que a política de preços da Petrobras altera o timing e a magnitude dessa transmissão. A estratégia empírica principal utiliza Local </w:t>
      </w:r>
      <w:proofErr w:type="spellStart"/>
      <w:r w:rsidRPr="00366C9E">
        <w:rPr>
          <w:lang w:val="pt-BR"/>
        </w:rPr>
        <w:t>Projections</w:t>
      </w:r>
      <w:proofErr w:type="spellEnd"/>
      <w:r w:rsidRPr="00366C9E">
        <w:rPr>
          <w:lang w:val="pt-BR"/>
        </w:rPr>
        <w:t xml:space="preserve"> com respostas acumuladas, controles macroeconômicos, defasagens e inferência HAC/Newey-West. O trabalho também estima especificações com Brent em reais, modelos por regimes associados à Petrobras, testes de Wald para diferenças entre períodos e um exercício LP-IV que utiliza a série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como instrumento externo para o petróleo em reais. Como robustez adicional, são utilizados modelos VAR com funções impulso-resposta, respostas acumuladas, FEVD e diagnósticos de resíduos. Os resultados indicam que os choques de petróleo são transmitidos de forma mais clara aos combustíveis, especialmente ao diesel e à gasolina de refinaria. O efeito sobre o IPCA Geral é limitado, enquanto o IPCA Transportes apresenta resposta mais forte e consistente. As evidências por regime indicam heterogeneidade no repasse, e o instrumento externo confirma que os efeitos inflacionários são mais visíveis no curto prazo e nos componentes ligados a transporte.</w:t>
      </w:r>
    </w:p>
    <w:p w14:paraId="05892A80" w14:textId="77777777" w:rsidR="0020033F" w:rsidRPr="009C7F96" w:rsidRDefault="0020033F" w:rsidP="0020033F">
      <w:pPr>
        <w:tabs>
          <w:tab w:val="left" w:pos="3402"/>
        </w:tabs>
        <w:rPr>
          <w:rFonts w:cs="Times New Roman"/>
          <w:szCs w:val="24"/>
          <w:lang w:val="pt-BR"/>
        </w:rPr>
      </w:pPr>
    </w:p>
    <w:p w14:paraId="7A302120" w14:textId="77777777" w:rsidR="0020033F" w:rsidRPr="009C7F96" w:rsidRDefault="0020033F" w:rsidP="0020033F">
      <w:pPr>
        <w:tabs>
          <w:tab w:val="left" w:pos="3402"/>
        </w:tabs>
        <w:spacing w:after="120"/>
        <w:rPr>
          <w:rFonts w:cs="Times New Roman"/>
          <w:szCs w:val="24"/>
          <w:lang w:val="pt-BR"/>
        </w:rPr>
      </w:pPr>
      <w:r w:rsidRPr="00366C9E">
        <w:rPr>
          <w:lang w:val="pt-BR"/>
        </w:rPr>
        <w:t xml:space="preserve">Palavras-chave: petróleo; combustíveis; inflação; Petrobras; Local </w:t>
      </w:r>
      <w:proofErr w:type="spellStart"/>
      <w:r w:rsidRPr="00366C9E">
        <w:rPr>
          <w:lang w:val="pt-BR"/>
        </w:rPr>
        <w:t>Projections</w:t>
      </w:r>
      <w:proofErr w:type="spellEnd"/>
      <w:r w:rsidRPr="00366C9E">
        <w:rPr>
          <w:lang w:val="pt-BR"/>
        </w:rPr>
        <w:t>.</w:t>
      </w:r>
      <w:r w:rsidRPr="00366C9E">
        <w:rPr>
          <w:lang w:val="pt-BR"/>
        </w:rPr>
        <w:br w:type="page"/>
      </w:r>
    </w:p>
    <w:p w14:paraId="2373C469" w14:textId="77777777" w:rsidR="005F0DB9" w:rsidRDefault="00000000">
      <w:pPr>
        <w:pStyle w:val="Heading1"/>
        <w:jc w:val="center"/>
      </w:pPr>
      <w:bookmarkStart w:id="3" w:name="_Toc229695930"/>
      <w:r>
        <w:rPr>
          <w:rFonts w:ascii="Times New Roman" w:eastAsia="Times New Roman" w:hAnsi="Times New Roman"/>
        </w:rPr>
        <w:lastRenderedPageBreak/>
        <w:t>SUMÁRIO</w:t>
      </w:r>
      <w:bookmarkEnd w:id="3"/>
    </w:p>
    <w:sdt>
      <w:sdtPr>
        <w:rPr>
          <w:rFonts w:ascii="Times New Roman" w:eastAsia="Times New Roman" w:hAnsi="Times New Roman" w:cstheme="minorBidi"/>
          <w:color w:val="auto"/>
          <w:sz w:val="20"/>
          <w:szCs w:val="20"/>
        </w:rPr>
        <w:id w:val="-813870202"/>
        <w:docPartObj>
          <w:docPartGallery w:val="Table of Contents"/>
          <w:docPartUnique/>
        </w:docPartObj>
      </w:sdtPr>
      <w:sdtEndPr>
        <w:rPr>
          <w:b/>
          <w:bCs/>
          <w:noProof/>
          <w:sz w:val="24"/>
          <w:szCs w:val="22"/>
        </w:rPr>
      </w:sdtEndPr>
      <w:sdtContent>
        <w:p w14:paraId="165AD4C8" w14:textId="6E9C8574" w:rsidR="00D810CD" w:rsidRPr="002A26FC" w:rsidRDefault="00D810CD">
          <w:pPr>
            <w:pStyle w:val="TOCHeading"/>
            <w:rPr>
              <w:rFonts w:ascii="Times New Roman" w:hAnsi="Times New Roman" w:cs="Times New Roman"/>
              <w:sz w:val="20"/>
              <w:szCs w:val="20"/>
            </w:rPr>
          </w:pPr>
          <w:r w:rsidRPr="002A26FC">
            <w:rPr>
              <w:rFonts w:ascii="Times New Roman" w:hAnsi="Times New Roman" w:cs="Times New Roman"/>
              <w:sz w:val="20"/>
              <w:szCs w:val="20"/>
            </w:rPr>
            <w:t>Contents</w:t>
          </w:r>
        </w:p>
        <w:p w14:paraId="3D135E49" w14:textId="7484FF49" w:rsidR="002A26FC" w:rsidRPr="002A26FC" w:rsidRDefault="00D810CD">
          <w:pPr>
            <w:pStyle w:val="TOC1"/>
            <w:tabs>
              <w:tab w:val="right" w:leader="dot" w:pos="9395"/>
            </w:tabs>
            <w:rPr>
              <w:rFonts w:eastAsiaTheme="minorEastAsia" w:cs="Times New Roman"/>
              <w:noProof/>
              <w:kern w:val="2"/>
              <w:sz w:val="20"/>
              <w:szCs w:val="20"/>
              <w:lang w:val="pt-BR" w:eastAsia="pt-BR"/>
              <w14:ligatures w14:val="standardContextual"/>
            </w:rPr>
          </w:pPr>
          <w:r w:rsidRPr="002A26FC">
            <w:rPr>
              <w:rFonts w:cs="Times New Roman"/>
              <w:sz w:val="20"/>
              <w:szCs w:val="20"/>
            </w:rPr>
            <w:fldChar w:fldCharType="begin"/>
          </w:r>
          <w:r w:rsidRPr="002A26FC">
            <w:rPr>
              <w:rFonts w:cs="Times New Roman"/>
              <w:sz w:val="20"/>
              <w:szCs w:val="20"/>
            </w:rPr>
            <w:instrText xml:space="preserve"> TOC \o "1-3" \h \z \u </w:instrText>
          </w:r>
          <w:r w:rsidRPr="002A26FC">
            <w:rPr>
              <w:rFonts w:cs="Times New Roman"/>
              <w:sz w:val="20"/>
              <w:szCs w:val="20"/>
            </w:rPr>
            <w:fldChar w:fldCharType="separate"/>
          </w:r>
          <w:hyperlink w:anchor="_Toc229695929" w:history="1">
            <w:r w:rsidR="002A26FC" w:rsidRPr="002A26FC">
              <w:rPr>
                <w:rStyle w:val="Hyperlink"/>
                <w:rFonts w:cs="Times New Roman"/>
                <w:noProof/>
                <w:sz w:val="20"/>
                <w:szCs w:val="20"/>
              </w:rPr>
              <w:t>RESUMO</w:t>
            </w:r>
            <w:r w:rsidR="002A26FC" w:rsidRPr="002A26FC">
              <w:rPr>
                <w:rFonts w:cs="Times New Roman"/>
                <w:noProof/>
                <w:webHidden/>
                <w:sz w:val="20"/>
                <w:szCs w:val="20"/>
              </w:rPr>
              <w:tab/>
            </w:r>
            <w:r w:rsidR="002A26FC" w:rsidRPr="002A26FC">
              <w:rPr>
                <w:rFonts w:cs="Times New Roman"/>
                <w:noProof/>
                <w:webHidden/>
                <w:sz w:val="20"/>
                <w:szCs w:val="20"/>
              </w:rPr>
              <w:fldChar w:fldCharType="begin"/>
            </w:r>
            <w:r w:rsidR="002A26FC" w:rsidRPr="002A26FC">
              <w:rPr>
                <w:rFonts w:cs="Times New Roman"/>
                <w:noProof/>
                <w:webHidden/>
                <w:sz w:val="20"/>
                <w:szCs w:val="20"/>
              </w:rPr>
              <w:instrText xml:space="preserve"> PAGEREF _Toc229695929 \h </w:instrText>
            </w:r>
            <w:r w:rsidR="002A26FC" w:rsidRPr="002A26FC">
              <w:rPr>
                <w:rFonts w:cs="Times New Roman"/>
                <w:noProof/>
                <w:webHidden/>
                <w:sz w:val="20"/>
                <w:szCs w:val="20"/>
              </w:rPr>
            </w:r>
            <w:r w:rsidR="002A26FC" w:rsidRPr="002A26FC">
              <w:rPr>
                <w:rFonts w:cs="Times New Roman"/>
                <w:noProof/>
                <w:webHidden/>
                <w:sz w:val="20"/>
                <w:szCs w:val="20"/>
              </w:rPr>
              <w:fldChar w:fldCharType="separate"/>
            </w:r>
            <w:r w:rsidR="002A26FC" w:rsidRPr="002A26FC">
              <w:rPr>
                <w:rFonts w:cs="Times New Roman"/>
                <w:noProof/>
                <w:webHidden/>
                <w:sz w:val="20"/>
                <w:szCs w:val="20"/>
              </w:rPr>
              <w:t>3</w:t>
            </w:r>
            <w:r w:rsidR="002A26FC" w:rsidRPr="002A26FC">
              <w:rPr>
                <w:rFonts w:cs="Times New Roman"/>
                <w:noProof/>
                <w:webHidden/>
                <w:sz w:val="20"/>
                <w:szCs w:val="20"/>
              </w:rPr>
              <w:fldChar w:fldCharType="end"/>
            </w:r>
          </w:hyperlink>
        </w:p>
        <w:p w14:paraId="2B14D8FC" w14:textId="6C35C874"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30" w:history="1">
            <w:r w:rsidRPr="002A26FC">
              <w:rPr>
                <w:rStyle w:val="Hyperlink"/>
                <w:rFonts w:cs="Times New Roman"/>
                <w:noProof/>
                <w:sz w:val="20"/>
                <w:szCs w:val="20"/>
              </w:rPr>
              <w:t>SUMÁRIO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w:t>
            </w:r>
            <w:r w:rsidRPr="002A26FC">
              <w:rPr>
                <w:rFonts w:cs="Times New Roman"/>
                <w:noProof/>
                <w:webHidden/>
                <w:sz w:val="20"/>
                <w:szCs w:val="20"/>
              </w:rPr>
              <w:fldChar w:fldCharType="end"/>
            </w:r>
          </w:hyperlink>
        </w:p>
        <w:p w14:paraId="59D4F371" w14:textId="59C58CD2"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31" w:history="1">
            <w:r w:rsidRPr="002A26FC">
              <w:rPr>
                <w:rStyle w:val="Hyperlink"/>
                <w:rFonts w:cs="Times New Roman"/>
                <w:noProof/>
                <w:sz w:val="20"/>
                <w:szCs w:val="20"/>
              </w:rPr>
              <w:t>1 INTRODUÇÃO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_Toc229695931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7</w:t>
            </w:r>
            <w:r w:rsidRPr="002A26FC">
              <w:rPr>
                <w:rFonts w:cs="Times New Roman"/>
                <w:noProof/>
                <w:webHidden/>
                <w:sz w:val="20"/>
                <w:szCs w:val="20"/>
              </w:rPr>
              <w:fldChar w:fldCharType="end"/>
            </w:r>
          </w:hyperlink>
        </w:p>
        <w:p w14:paraId="598C2338" w14:textId="5A57F0EC"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32" w:history="1">
            <w:r w:rsidRPr="002A26FC">
              <w:rPr>
                <w:rStyle w:val="Hyperlink"/>
                <w:rFonts w:cs="Times New Roman"/>
                <w:noProof/>
                <w:sz w:val="20"/>
                <w:szCs w:val="20"/>
              </w:rPr>
              <w:t>2 REVISÃO BIBLIOGRÁFICA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_Toc229695932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10</w:t>
            </w:r>
            <w:r w:rsidRPr="002A26FC">
              <w:rPr>
                <w:rFonts w:cs="Times New Roman"/>
                <w:noProof/>
                <w:webHidden/>
                <w:sz w:val="20"/>
                <w:szCs w:val="20"/>
              </w:rPr>
              <w:fldChar w:fldCharType="end"/>
            </w:r>
          </w:hyperlink>
        </w:p>
        <w:p w14:paraId="70300E22" w14:textId="0FE99A1F"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3" w:history="1">
            <w:r w:rsidRPr="002A26FC">
              <w:rPr>
                <w:rStyle w:val="Hyperlink"/>
                <w:rFonts w:cs="Times New Roman"/>
                <w:noProof/>
                <w:sz w:val="20"/>
                <w:szCs w:val="20"/>
              </w:rPr>
              <w:t>2.1 Choques do petróleo, inflação e atividade econômica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_Toc229695933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11</w:t>
            </w:r>
            <w:r w:rsidRPr="002A26FC">
              <w:rPr>
                <w:rFonts w:cs="Times New Roman"/>
                <w:noProof/>
                <w:webHidden/>
                <w:sz w:val="20"/>
                <w:szCs w:val="20"/>
              </w:rPr>
              <w:fldChar w:fldCharType="end"/>
            </w:r>
          </w:hyperlink>
        </w:p>
        <w:p w14:paraId="7E9B12AD" w14:textId="5D0418F4"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4" w:history="1">
            <w:r w:rsidRPr="002A26FC">
              <w:rPr>
                <w:rStyle w:val="Hyperlink"/>
                <w:rFonts w:cs="Times New Roman"/>
                <w:noProof/>
                <w:sz w:val="20"/>
                <w:szCs w:val="20"/>
              </w:rPr>
              <w:t>2.2 Petróleo em moeda doméstica, câmbio e pass-through inflacionário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_Toc229695934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13</w:t>
            </w:r>
            <w:r w:rsidRPr="002A26FC">
              <w:rPr>
                <w:rFonts w:cs="Times New Roman"/>
                <w:noProof/>
                <w:webHidden/>
                <w:sz w:val="20"/>
                <w:szCs w:val="20"/>
              </w:rPr>
              <w:fldChar w:fldCharType="end"/>
            </w:r>
          </w:hyperlink>
        </w:p>
        <w:p w14:paraId="1E287F72" w14:textId="4A5E3C18"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5" w:history="1">
            <w:r w:rsidRPr="002A26FC">
              <w:rPr>
                <w:rStyle w:val="Hyperlink"/>
                <w:rFonts w:cs="Times New Roman"/>
                <w:noProof/>
                <w:sz w:val="20"/>
                <w:szCs w:val="20"/>
              </w:rPr>
              <w:t>2.3 Formação dos preços de combustíveis e especificidades brasileiras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_Toc229695935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14</w:t>
            </w:r>
            <w:r w:rsidRPr="002A26FC">
              <w:rPr>
                <w:rFonts w:cs="Times New Roman"/>
                <w:noProof/>
                <w:webHidden/>
                <w:sz w:val="20"/>
                <w:szCs w:val="20"/>
              </w:rPr>
              <w:fldChar w:fldCharType="end"/>
            </w:r>
          </w:hyperlink>
        </w:p>
        <w:p w14:paraId="12ADF0FD" w14:textId="1A765AEB"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6" w:history="1">
            <w:r w:rsidRPr="002A26FC">
              <w:rPr>
                <w:rStyle w:val="Hyperlink"/>
                <w:rFonts w:cs="Times New Roman"/>
                <w:noProof/>
                <w:sz w:val="20"/>
                <w:szCs w:val="20"/>
              </w:rPr>
              <w:t>2.4 Evidências empíricas internacionais sobre petróleo e inflação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_Toc229695936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15</w:t>
            </w:r>
            <w:r w:rsidRPr="002A26FC">
              <w:rPr>
                <w:rFonts w:cs="Times New Roman"/>
                <w:noProof/>
                <w:webHidden/>
                <w:sz w:val="20"/>
                <w:szCs w:val="20"/>
              </w:rPr>
              <w:fldChar w:fldCharType="end"/>
            </w:r>
          </w:hyperlink>
        </w:p>
        <w:p w14:paraId="3602D2B5" w14:textId="655CA641"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7" w:history="1">
            <w:r w:rsidRPr="002A26FC">
              <w:rPr>
                <w:rStyle w:val="Hyperlink"/>
                <w:rFonts w:cs="Times New Roman"/>
                <w:noProof/>
                <w:sz w:val="20"/>
                <w:szCs w:val="20"/>
              </w:rPr>
              <w:t>2.5 Modelos VAR e funções impulso-resposta como referência de robustez</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_Toc229695937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17</w:t>
            </w:r>
            <w:r w:rsidRPr="002A26FC">
              <w:rPr>
                <w:rFonts w:cs="Times New Roman"/>
                <w:noProof/>
                <w:webHidden/>
                <w:sz w:val="20"/>
                <w:szCs w:val="20"/>
              </w:rPr>
              <w:fldChar w:fldCharType="end"/>
            </w:r>
          </w:hyperlink>
        </w:p>
        <w:p w14:paraId="255A3775" w14:textId="23A1BDF6"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8" w:history="1">
            <w:r w:rsidRPr="002A26FC">
              <w:rPr>
                <w:rStyle w:val="Hyperlink"/>
                <w:rFonts w:cs="Times New Roman"/>
                <w:noProof/>
                <w:sz w:val="20"/>
                <w:szCs w:val="20"/>
              </w:rPr>
              <w:t>2.6 Local projections: fundamentos metodológicos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_Toc229695938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19</w:t>
            </w:r>
            <w:r w:rsidRPr="002A26FC">
              <w:rPr>
                <w:rFonts w:cs="Times New Roman"/>
                <w:noProof/>
                <w:webHidden/>
                <w:sz w:val="20"/>
                <w:szCs w:val="20"/>
              </w:rPr>
              <w:fldChar w:fldCharType="end"/>
            </w:r>
          </w:hyperlink>
        </w:p>
        <w:p w14:paraId="110E44D8" w14:textId="3EC6F19D"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39" w:history="1">
            <w:r w:rsidRPr="002A26FC">
              <w:rPr>
                <w:rStyle w:val="Hyperlink"/>
                <w:rFonts w:cs="Times New Roman"/>
                <w:noProof/>
                <w:sz w:val="20"/>
                <w:szCs w:val="20"/>
              </w:rPr>
              <w:t>2.7 Extensões de local projections relevantes para o tema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_Toc229695939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20</w:t>
            </w:r>
            <w:r w:rsidRPr="002A26FC">
              <w:rPr>
                <w:rFonts w:cs="Times New Roman"/>
                <w:noProof/>
                <w:webHidden/>
                <w:sz w:val="20"/>
                <w:szCs w:val="20"/>
              </w:rPr>
              <w:fldChar w:fldCharType="end"/>
            </w:r>
          </w:hyperlink>
        </w:p>
        <w:p w14:paraId="6B73D4EE" w14:textId="556F6B70"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0" w:history="1">
            <w:r w:rsidRPr="002A26FC">
              <w:rPr>
                <w:rStyle w:val="Hyperlink"/>
                <w:rFonts w:cs="Times New Roman"/>
                <w:noProof/>
                <w:sz w:val="20"/>
                <w:szCs w:val="20"/>
              </w:rPr>
              <w:t>2.8 Aplicação ao canal Petrobras, combustíveis e IPCA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23</w:t>
            </w:r>
            <w:r w:rsidRPr="002A26FC">
              <w:rPr>
                <w:rFonts w:cs="Times New Roman"/>
                <w:noProof/>
                <w:webHidden/>
                <w:sz w:val="20"/>
                <w:szCs w:val="20"/>
              </w:rPr>
              <w:fldChar w:fldCharType="end"/>
            </w:r>
          </w:hyperlink>
        </w:p>
        <w:p w14:paraId="55BC8CB8" w14:textId="051D78B8"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1" w:history="1">
            <w:r w:rsidRPr="002A26FC">
              <w:rPr>
                <w:rStyle w:val="Hyperlink"/>
                <w:rFonts w:cs="Times New Roman"/>
                <w:noProof/>
                <w:sz w:val="20"/>
                <w:szCs w:val="20"/>
              </w:rPr>
              <w:t>2.9 Síntese crítica da literatura e contribuição da pesquisa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_Toc229695941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25</w:t>
            </w:r>
            <w:r w:rsidRPr="002A26FC">
              <w:rPr>
                <w:rFonts w:cs="Times New Roman"/>
                <w:noProof/>
                <w:webHidden/>
                <w:sz w:val="20"/>
                <w:szCs w:val="20"/>
              </w:rPr>
              <w:fldChar w:fldCharType="end"/>
            </w:r>
          </w:hyperlink>
        </w:p>
        <w:p w14:paraId="3D6F5C2A" w14:textId="436EE3B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2" w:history="1">
            <w:r w:rsidRPr="002A26FC">
              <w:rPr>
                <w:rStyle w:val="Hyperlink"/>
                <w:rFonts w:cs="Times New Roman"/>
                <w:noProof/>
                <w:sz w:val="20"/>
                <w:szCs w:val="20"/>
              </w:rPr>
              <w:t>2.10 Síntese dos principais modelos incorporados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_Toc229695942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26</w:t>
            </w:r>
            <w:r w:rsidRPr="002A26FC">
              <w:rPr>
                <w:rFonts w:cs="Times New Roman"/>
                <w:noProof/>
                <w:webHidden/>
                <w:sz w:val="20"/>
                <w:szCs w:val="20"/>
              </w:rPr>
              <w:fldChar w:fldCharType="end"/>
            </w:r>
          </w:hyperlink>
        </w:p>
        <w:p w14:paraId="742F919E" w14:textId="2163B1D7"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43" w:history="1">
            <w:r w:rsidRPr="002A26FC">
              <w:rPr>
                <w:rStyle w:val="Hyperlink"/>
                <w:rFonts w:cs="Times New Roman"/>
                <w:noProof/>
                <w:sz w:val="20"/>
                <w:szCs w:val="20"/>
              </w:rPr>
              <w:t>3 METODOLOGIA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_Toc229695943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27</w:t>
            </w:r>
            <w:r w:rsidRPr="002A26FC">
              <w:rPr>
                <w:rFonts w:cs="Times New Roman"/>
                <w:noProof/>
                <w:webHidden/>
                <w:sz w:val="20"/>
                <w:szCs w:val="20"/>
              </w:rPr>
              <w:fldChar w:fldCharType="end"/>
            </w:r>
          </w:hyperlink>
        </w:p>
        <w:p w14:paraId="5FF25CD9" w14:textId="08461B6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4" w:history="1">
            <w:r w:rsidRPr="002A26FC">
              <w:rPr>
                <w:rStyle w:val="Hyperlink"/>
                <w:rFonts w:cs="Times New Roman"/>
                <w:noProof/>
                <w:sz w:val="20"/>
                <w:szCs w:val="20"/>
              </w:rPr>
              <w:t>3.1 Base de dados, frequência e amostra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_Toc229695944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27</w:t>
            </w:r>
            <w:r w:rsidRPr="002A26FC">
              <w:rPr>
                <w:rFonts w:cs="Times New Roman"/>
                <w:noProof/>
                <w:webHidden/>
                <w:sz w:val="20"/>
                <w:szCs w:val="20"/>
              </w:rPr>
              <w:fldChar w:fldCharType="end"/>
            </w:r>
          </w:hyperlink>
        </w:p>
        <w:p w14:paraId="6FE0D3CF" w14:textId="09CF1473"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5" w:history="1">
            <w:r w:rsidRPr="002A26FC">
              <w:rPr>
                <w:rStyle w:val="Hyperlink"/>
                <w:rFonts w:cs="Times New Roman"/>
                <w:noProof/>
                <w:sz w:val="20"/>
                <w:szCs w:val="20"/>
              </w:rPr>
              <w:t>3.2 Transformação das séries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_Toc229695945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28</w:t>
            </w:r>
            <w:r w:rsidRPr="002A26FC">
              <w:rPr>
                <w:rFonts w:cs="Times New Roman"/>
                <w:noProof/>
                <w:webHidden/>
                <w:sz w:val="20"/>
                <w:szCs w:val="20"/>
              </w:rPr>
              <w:fldChar w:fldCharType="end"/>
            </w:r>
          </w:hyperlink>
        </w:p>
        <w:p w14:paraId="1F2AAA61" w14:textId="6907480F"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6" w:history="1">
            <w:r w:rsidRPr="002A26FC">
              <w:rPr>
                <w:rStyle w:val="Hyperlink"/>
                <w:rFonts w:cs="Times New Roman"/>
                <w:noProof/>
                <w:sz w:val="20"/>
                <w:szCs w:val="20"/>
              </w:rPr>
              <w:t>3.3 Testes preliminares das séries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_Toc229695946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29</w:t>
            </w:r>
            <w:r w:rsidRPr="002A26FC">
              <w:rPr>
                <w:rFonts w:cs="Times New Roman"/>
                <w:noProof/>
                <w:webHidden/>
                <w:sz w:val="20"/>
                <w:szCs w:val="20"/>
              </w:rPr>
              <w:fldChar w:fldCharType="end"/>
            </w:r>
          </w:hyperlink>
        </w:p>
        <w:p w14:paraId="42D72095" w14:textId="3D267A2D"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7" w:history="1">
            <w:r w:rsidRPr="002A26FC">
              <w:rPr>
                <w:rStyle w:val="Hyperlink"/>
                <w:rFonts w:cs="Times New Roman"/>
                <w:noProof/>
                <w:sz w:val="20"/>
                <w:szCs w:val="20"/>
              </w:rPr>
              <w:t>3.4 Modelo principal: Local Projections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_Toc229695947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30</w:t>
            </w:r>
            <w:r w:rsidRPr="002A26FC">
              <w:rPr>
                <w:rFonts w:cs="Times New Roman"/>
                <w:noProof/>
                <w:webHidden/>
                <w:sz w:val="20"/>
                <w:szCs w:val="20"/>
              </w:rPr>
              <w:fldChar w:fldCharType="end"/>
            </w:r>
          </w:hyperlink>
        </w:p>
        <w:p w14:paraId="5209C9B2" w14:textId="485DE3E4"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8" w:history="1">
            <w:r w:rsidRPr="002A26FC">
              <w:rPr>
                <w:rStyle w:val="Hyperlink"/>
                <w:rFonts w:cs="Times New Roman"/>
                <w:noProof/>
                <w:sz w:val="20"/>
                <w:szCs w:val="20"/>
              </w:rPr>
              <w:t>3.5 Controles, defasagens e inferência nas Local Projections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_Toc229695948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31</w:t>
            </w:r>
            <w:r w:rsidRPr="002A26FC">
              <w:rPr>
                <w:rFonts w:cs="Times New Roman"/>
                <w:noProof/>
                <w:webHidden/>
                <w:sz w:val="20"/>
                <w:szCs w:val="20"/>
              </w:rPr>
              <w:fldChar w:fldCharType="end"/>
            </w:r>
          </w:hyperlink>
        </w:p>
        <w:p w14:paraId="5C8B9C23" w14:textId="7291BE4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49" w:history="1">
            <w:r w:rsidRPr="002A26FC">
              <w:rPr>
                <w:rStyle w:val="Hyperlink"/>
                <w:rFonts w:cs="Times New Roman"/>
                <w:noProof/>
                <w:sz w:val="20"/>
                <w:szCs w:val="20"/>
              </w:rPr>
              <w:t>3.6 Blocos de transmissão nas Local Projections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_Toc229695949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32</w:t>
            </w:r>
            <w:r w:rsidRPr="002A26FC">
              <w:rPr>
                <w:rFonts w:cs="Times New Roman"/>
                <w:noProof/>
                <w:webHidden/>
                <w:sz w:val="20"/>
                <w:szCs w:val="20"/>
              </w:rPr>
              <w:fldChar w:fldCharType="end"/>
            </w:r>
          </w:hyperlink>
        </w:p>
        <w:p w14:paraId="72F1C8D2" w14:textId="41B2CFC9"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0" w:history="1">
            <w:r w:rsidRPr="002A26FC">
              <w:rPr>
                <w:rStyle w:val="Hyperlink"/>
                <w:rFonts w:cs="Times New Roman"/>
                <w:noProof/>
                <w:sz w:val="20"/>
                <w:szCs w:val="20"/>
              </w:rPr>
              <w:t>3.7 Modelo VAR como exercício de robustez</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33</w:t>
            </w:r>
            <w:r w:rsidRPr="002A26FC">
              <w:rPr>
                <w:rFonts w:cs="Times New Roman"/>
                <w:noProof/>
                <w:webHidden/>
                <w:sz w:val="20"/>
                <w:szCs w:val="20"/>
              </w:rPr>
              <w:fldChar w:fldCharType="end"/>
            </w:r>
          </w:hyperlink>
        </w:p>
        <w:p w14:paraId="40B225E3" w14:textId="6258D989"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1" w:history="1">
            <w:r w:rsidRPr="002A26FC">
              <w:rPr>
                <w:rStyle w:val="Hyperlink"/>
                <w:rFonts w:cs="Times New Roman"/>
                <w:noProof/>
                <w:sz w:val="20"/>
                <w:szCs w:val="20"/>
              </w:rPr>
              <w:t>3.8 Identificação, Cholesky e funções impulso-resposta no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_Toc229695951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34</w:t>
            </w:r>
            <w:r w:rsidRPr="002A26FC">
              <w:rPr>
                <w:rFonts w:cs="Times New Roman"/>
                <w:noProof/>
                <w:webHidden/>
                <w:sz w:val="20"/>
                <w:szCs w:val="20"/>
              </w:rPr>
              <w:fldChar w:fldCharType="end"/>
            </w:r>
          </w:hyperlink>
        </w:p>
        <w:p w14:paraId="0D644A36" w14:textId="21FAEC56"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2" w:history="1">
            <w:r w:rsidRPr="002A26FC">
              <w:rPr>
                <w:rStyle w:val="Hyperlink"/>
                <w:rFonts w:cs="Times New Roman"/>
                <w:noProof/>
                <w:sz w:val="20"/>
                <w:szCs w:val="20"/>
              </w:rPr>
              <w:t>3.9 Decomposição da variância do erro de previsão: FEVD</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_Toc229695952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35</w:t>
            </w:r>
            <w:r w:rsidRPr="002A26FC">
              <w:rPr>
                <w:rFonts w:cs="Times New Roman"/>
                <w:noProof/>
                <w:webHidden/>
                <w:sz w:val="20"/>
                <w:szCs w:val="20"/>
              </w:rPr>
              <w:fldChar w:fldCharType="end"/>
            </w:r>
          </w:hyperlink>
        </w:p>
        <w:p w14:paraId="5B7FBDCD" w14:textId="45BFE2EF"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3" w:history="1">
            <w:r w:rsidRPr="002A26FC">
              <w:rPr>
                <w:rStyle w:val="Hyperlink"/>
                <w:rFonts w:cs="Times New Roman"/>
                <w:noProof/>
                <w:sz w:val="20"/>
                <w:szCs w:val="20"/>
              </w:rPr>
              <w:t>3.10 Diagnósticos estatísticos do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_Toc229695953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36</w:t>
            </w:r>
            <w:r w:rsidRPr="002A26FC">
              <w:rPr>
                <w:rFonts w:cs="Times New Roman"/>
                <w:noProof/>
                <w:webHidden/>
                <w:sz w:val="20"/>
                <w:szCs w:val="20"/>
              </w:rPr>
              <w:fldChar w:fldCharType="end"/>
            </w:r>
          </w:hyperlink>
        </w:p>
        <w:p w14:paraId="4EA1468D" w14:textId="3F592D8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4" w:history="1">
            <w:r w:rsidRPr="002A26FC">
              <w:rPr>
                <w:rStyle w:val="Hyperlink"/>
                <w:rFonts w:cs="Times New Roman"/>
                <w:noProof/>
                <w:sz w:val="20"/>
                <w:szCs w:val="20"/>
              </w:rPr>
              <w:t>3.11 Critérios de comparação entre Local Projections e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_Toc229695954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37</w:t>
            </w:r>
            <w:r w:rsidRPr="002A26FC">
              <w:rPr>
                <w:rFonts w:cs="Times New Roman"/>
                <w:noProof/>
                <w:webHidden/>
                <w:sz w:val="20"/>
                <w:szCs w:val="20"/>
              </w:rPr>
              <w:fldChar w:fldCharType="end"/>
            </w:r>
          </w:hyperlink>
        </w:p>
        <w:p w14:paraId="1C1C6A57" w14:textId="03AD9CB2"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55" w:history="1">
            <w:r w:rsidRPr="002A26FC">
              <w:rPr>
                <w:rStyle w:val="Hyperlink"/>
                <w:rFonts w:cs="Times New Roman"/>
                <w:noProof/>
                <w:sz w:val="20"/>
                <w:szCs w:val="20"/>
              </w:rPr>
              <w:t>4 RESULTADOS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_Toc229695955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38</w:t>
            </w:r>
            <w:r w:rsidRPr="002A26FC">
              <w:rPr>
                <w:rFonts w:cs="Times New Roman"/>
                <w:noProof/>
                <w:webHidden/>
                <w:sz w:val="20"/>
                <w:szCs w:val="20"/>
              </w:rPr>
              <w:fldChar w:fldCharType="end"/>
            </w:r>
          </w:hyperlink>
        </w:p>
        <w:p w14:paraId="09283A4A" w14:textId="4169B1CA"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6" w:history="1">
            <w:r w:rsidRPr="002A26FC">
              <w:rPr>
                <w:rStyle w:val="Hyperlink"/>
                <w:rFonts w:cs="Times New Roman"/>
                <w:noProof/>
                <w:sz w:val="20"/>
                <w:szCs w:val="20"/>
              </w:rPr>
              <w:t>4.1 Comparação entre as especificações estimadas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_Toc229695956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39</w:t>
            </w:r>
            <w:r w:rsidRPr="002A26FC">
              <w:rPr>
                <w:rFonts w:cs="Times New Roman"/>
                <w:noProof/>
                <w:webHidden/>
                <w:sz w:val="20"/>
                <w:szCs w:val="20"/>
              </w:rPr>
              <w:fldChar w:fldCharType="end"/>
            </w:r>
          </w:hyperlink>
        </w:p>
        <w:p w14:paraId="6750E293" w14:textId="51AF67A3"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7" w:history="1">
            <w:r w:rsidRPr="002A26FC">
              <w:rPr>
                <w:rStyle w:val="Hyperlink"/>
                <w:rFonts w:cs="Times New Roman"/>
                <w:noProof/>
                <w:sz w:val="20"/>
                <w:szCs w:val="20"/>
              </w:rPr>
              <w:t>4.2 Choques do petróleo e preços dos combustíveis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_Toc229695957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39</w:t>
            </w:r>
            <w:r w:rsidRPr="002A26FC">
              <w:rPr>
                <w:rFonts w:cs="Times New Roman"/>
                <w:noProof/>
                <w:webHidden/>
                <w:sz w:val="20"/>
                <w:szCs w:val="20"/>
              </w:rPr>
              <w:fldChar w:fldCharType="end"/>
            </w:r>
          </w:hyperlink>
        </w:p>
        <w:p w14:paraId="25111C5D" w14:textId="7EB7E8C9"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8" w:history="1">
            <w:r w:rsidRPr="002A26FC">
              <w:rPr>
                <w:rStyle w:val="Hyperlink"/>
                <w:rFonts w:cs="Times New Roman"/>
                <w:noProof/>
                <w:sz w:val="20"/>
                <w:szCs w:val="20"/>
              </w:rPr>
              <w:t>4.3 Combustíveis e IPCA Geral</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_Toc229695958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42</w:t>
            </w:r>
            <w:r w:rsidRPr="002A26FC">
              <w:rPr>
                <w:rFonts w:cs="Times New Roman"/>
                <w:noProof/>
                <w:webHidden/>
                <w:sz w:val="20"/>
                <w:szCs w:val="20"/>
              </w:rPr>
              <w:fldChar w:fldCharType="end"/>
            </w:r>
          </w:hyperlink>
        </w:p>
        <w:p w14:paraId="1C79D209" w14:textId="39F32AE4"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59" w:history="1">
            <w:r w:rsidRPr="002A26FC">
              <w:rPr>
                <w:rStyle w:val="Hyperlink"/>
                <w:rFonts w:cs="Times New Roman"/>
                <w:noProof/>
                <w:sz w:val="20"/>
                <w:szCs w:val="20"/>
              </w:rPr>
              <w:t>4.4 Combustíveis e IPCA Transporte</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_Toc229695959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43</w:t>
            </w:r>
            <w:r w:rsidRPr="002A26FC">
              <w:rPr>
                <w:rFonts w:cs="Times New Roman"/>
                <w:noProof/>
                <w:webHidden/>
                <w:sz w:val="20"/>
                <w:szCs w:val="20"/>
              </w:rPr>
              <w:fldChar w:fldCharType="end"/>
            </w:r>
          </w:hyperlink>
        </w:p>
        <w:p w14:paraId="087B6A3B" w14:textId="4F7C39EB"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60" w:history="1">
            <w:r w:rsidRPr="002A26FC">
              <w:rPr>
                <w:rStyle w:val="Hyperlink"/>
                <w:rFonts w:cs="Times New Roman"/>
                <w:noProof/>
                <w:sz w:val="20"/>
                <w:szCs w:val="20"/>
              </w:rPr>
              <w:t>4.5 Efeito direto do petróleo sobre a inflação e papel do canal dos combustíveis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47</w:t>
            </w:r>
            <w:r w:rsidRPr="002A26FC">
              <w:rPr>
                <w:rFonts w:cs="Times New Roman"/>
                <w:noProof/>
                <w:webHidden/>
                <w:sz w:val="20"/>
                <w:szCs w:val="20"/>
              </w:rPr>
              <w:fldChar w:fldCharType="end"/>
            </w:r>
          </w:hyperlink>
        </w:p>
        <w:p w14:paraId="01A70D70" w14:textId="41E2EBFB"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61" w:history="1">
            <w:r w:rsidRPr="002A26FC">
              <w:rPr>
                <w:rStyle w:val="Hyperlink"/>
                <w:rFonts w:cs="Times New Roman"/>
                <w:noProof/>
                <w:sz w:val="20"/>
                <w:szCs w:val="20"/>
              </w:rPr>
              <w:t>4.6 Robustez com Brent em reais, regimes Petrobras e choque externo de oferta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_Toc229695961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47</w:t>
            </w:r>
            <w:r w:rsidRPr="002A26FC">
              <w:rPr>
                <w:rFonts w:cs="Times New Roman"/>
                <w:noProof/>
                <w:webHidden/>
                <w:sz w:val="20"/>
                <w:szCs w:val="20"/>
              </w:rPr>
              <w:fldChar w:fldCharType="end"/>
            </w:r>
          </w:hyperlink>
        </w:p>
        <w:p w14:paraId="00BB376A" w14:textId="12BEE9F5" w:rsidR="002A26FC" w:rsidRPr="002A26FC" w:rsidRDefault="002A26FC">
          <w:pPr>
            <w:pStyle w:val="TOC3"/>
            <w:tabs>
              <w:tab w:val="right" w:leader="dot" w:pos="9395"/>
            </w:tabs>
            <w:rPr>
              <w:rFonts w:eastAsiaTheme="minorEastAsia" w:cs="Times New Roman"/>
              <w:noProof/>
              <w:kern w:val="2"/>
              <w:sz w:val="20"/>
              <w:szCs w:val="20"/>
              <w:lang w:val="pt-BR" w:eastAsia="pt-BR"/>
              <w14:ligatures w14:val="standardContextual"/>
            </w:rPr>
          </w:pPr>
          <w:hyperlink w:anchor="_Toc229695962" w:history="1">
            <w:r w:rsidRPr="002A26FC">
              <w:rPr>
                <w:rStyle w:val="Hyperlink"/>
                <w:rFonts w:cs="Times New Roman"/>
                <w:noProof/>
                <w:sz w:val="20"/>
                <w:szCs w:val="20"/>
              </w:rPr>
              <w:t>4.6.1 Brent em reais e comparação com petróleo em dólares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_Toc229695962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47</w:t>
            </w:r>
            <w:r w:rsidRPr="002A26FC">
              <w:rPr>
                <w:rFonts w:cs="Times New Roman"/>
                <w:noProof/>
                <w:webHidden/>
                <w:sz w:val="20"/>
                <w:szCs w:val="20"/>
              </w:rPr>
              <w:fldChar w:fldCharType="end"/>
            </w:r>
          </w:hyperlink>
        </w:p>
        <w:p w14:paraId="29499A0E" w14:textId="5353EC5F" w:rsidR="002A26FC" w:rsidRPr="002A26FC" w:rsidRDefault="002A26FC">
          <w:pPr>
            <w:pStyle w:val="TOC3"/>
            <w:tabs>
              <w:tab w:val="right" w:leader="dot" w:pos="9395"/>
            </w:tabs>
            <w:rPr>
              <w:rFonts w:eastAsiaTheme="minorEastAsia" w:cs="Times New Roman"/>
              <w:noProof/>
              <w:kern w:val="2"/>
              <w:sz w:val="20"/>
              <w:szCs w:val="20"/>
              <w:lang w:val="pt-BR" w:eastAsia="pt-BR"/>
              <w14:ligatures w14:val="standardContextual"/>
            </w:rPr>
          </w:pPr>
          <w:hyperlink w:anchor="_Toc229695963" w:history="1">
            <w:r w:rsidRPr="002A26FC">
              <w:rPr>
                <w:rStyle w:val="Hyperlink"/>
                <w:rFonts w:cs="Times New Roman"/>
                <w:noProof/>
                <w:sz w:val="20"/>
                <w:szCs w:val="20"/>
              </w:rPr>
              <w:t>4.6.2 Regimes Petrobras e teste de diferença entre períodos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_Toc229695963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48</w:t>
            </w:r>
            <w:r w:rsidRPr="002A26FC">
              <w:rPr>
                <w:rFonts w:cs="Times New Roman"/>
                <w:noProof/>
                <w:webHidden/>
                <w:sz w:val="20"/>
                <w:szCs w:val="20"/>
              </w:rPr>
              <w:fldChar w:fldCharType="end"/>
            </w:r>
          </w:hyperlink>
        </w:p>
        <w:p w14:paraId="07A7C113" w14:textId="70698BF3" w:rsidR="002A26FC" w:rsidRPr="002A26FC" w:rsidRDefault="002A26FC">
          <w:pPr>
            <w:pStyle w:val="TOC3"/>
            <w:tabs>
              <w:tab w:val="right" w:leader="dot" w:pos="9395"/>
            </w:tabs>
            <w:rPr>
              <w:rFonts w:eastAsiaTheme="minorEastAsia" w:cs="Times New Roman"/>
              <w:noProof/>
              <w:kern w:val="2"/>
              <w:sz w:val="20"/>
              <w:szCs w:val="20"/>
              <w:lang w:val="pt-BR" w:eastAsia="pt-BR"/>
              <w14:ligatures w14:val="standardContextual"/>
            </w:rPr>
          </w:pPr>
          <w:hyperlink w:anchor="_Toc229695964" w:history="1">
            <w:r w:rsidRPr="002A26FC">
              <w:rPr>
                <w:rStyle w:val="Hyperlink"/>
                <w:rFonts w:cs="Times New Roman"/>
                <w:noProof/>
                <w:sz w:val="20"/>
                <w:szCs w:val="20"/>
              </w:rPr>
              <w:t>4.6.3 Choque externo de oferta e LP-IV</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_Toc229695964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49</w:t>
            </w:r>
            <w:r w:rsidRPr="002A26FC">
              <w:rPr>
                <w:rFonts w:cs="Times New Roman"/>
                <w:noProof/>
                <w:webHidden/>
                <w:sz w:val="20"/>
                <w:szCs w:val="20"/>
              </w:rPr>
              <w:fldChar w:fldCharType="end"/>
            </w:r>
          </w:hyperlink>
        </w:p>
        <w:p w14:paraId="49A6A0A6" w14:textId="336EBAE6"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65" w:history="1">
            <w:r w:rsidRPr="002A26FC">
              <w:rPr>
                <w:rStyle w:val="Hyperlink"/>
                <w:rFonts w:cs="Times New Roman"/>
                <w:noProof/>
                <w:sz w:val="20"/>
                <w:szCs w:val="20"/>
              </w:rPr>
              <w:t>4.7 Robustez com o modelo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_Toc229695965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50</w:t>
            </w:r>
            <w:r w:rsidRPr="002A26FC">
              <w:rPr>
                <w:rFonts w:cs="Times New Roman"/>
                <w:noProof/>
                <w:webHidden/>
                <w:sz w:val="20"/>
                <w:szCs w:val="20"/>
              </w:rPr>
              <w:fldChar w:fldCharType="end"/>
            </w:r>
          </w:hyperlink>
        </w:p>
        <w:p w14:paraId="186DDEFB" w14:textId="68974B3B"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66" w:history="1">
            <w:r w:rsidRPr="002A26FC">
              <w:rPr>
                <w:rStyle w:val="Hyperlink"/>
                <w:rFonts w:cs="Times New Roman"/>
                <w:noProof/>
                <w:sz w:val="20"/>
                <w:szCs w:val="20"/>
              </w:rPr>
              <w:t>4.8 Síntese dos resultados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_Toc229695966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51</w:t>
            </w:r>
            <w:r w:rsidRPr="002A26FC">
              <w:rPr>
                <w:rFonts w:cs="Times New Roman"/>
                <w:noProof/>
                <w:webHidden/>
                <w:sz w:val="20"/>
                <w:szCs w:val="20"/>
              </w:rPr>
              <w:fldChar w:fldCharType="end"/>
            </w:r>
          </w:hyperlink>
        </w:p>
        <w:p w14:paraId="4A0FF6BC" w14:textId="7577E4C6"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67" w:history="1">
            <w:r w:rsidRPr="002A26FC">
              <w:rPr>
                <w:rStyle w:val="Hyperlink"/>
                <w:rFonts w:cs="Times New Roman"/>
                <w:noProof/>
                <w:sz w:val="20"/>
                <w:szCs w:val="20"/>
              </w:rPr>
              <w:t>5 CONCLUSÃO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_Toc229695967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52</w:t>
            </w:r>
            <w:r w:rsidRPr="002A26FC">
              <w:rPr>
                <w:rFonts w:cs="Times New Roman"/>
                <w:noProof/>
                <w:webHidden/>
                <w:sz w:val="20"/>
                <w:szCs w:val="20"/>
              </w:rPr>
              <w:fldChar w:fldCharType="end"/>
            </w:r>
          </w:hyperlink>
        </w:p>
        <w:p w14:paraId="617962EF" w14:textId="26ECE86B"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68" w:history="1">
            <w:r w:rsidRPr="002A26FC">
              <w:rPr>
                <w:rStyle w:val="Hyperlink"/>
                <w:rFonts w:cs="Times New Roman"/>
                <w:noProof/>
                <w:sz w:val="20"/>
                <w:szCs w:val="20"/>
              </w:rPr>
              <w:t>REFERÊNCIAS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_Toc229695968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53</w:t>
            </w:r>
            <w:r w:rsidRPr="002A26FC">
              <w:rPr>
                <w:rFonts w:cs="Times New Roman"/>
                <w:noProof/>
                <w:webHidden/>
                <w:sz w:val="20"/>
                <w:szCs w:val="20"/>
              </w:rPr>
              <w:fldChar w:fldCharType="end"/>
            </w:r>
          </w:hyperlink>
        </w:p>
        <w:p w14:paraId="08D56676" w14:textId="4912AC9D"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69" w:history="1">
            <w:r w:rsidRPr="002A26FC">
              <w:rPr>
                <w:rStyle w:val="Hyperlink"/>
                <w:rFonts w:cs="Times New Roman"/>
                <w:noProof/>
                <w:sz w:val="20"/>
                <w:szCs w:val="20"/>
              </w:rPr>
              <w:t>APÊNDICE B - RESULTADOS ATUALIZADOS COM BRENT EM REAIS, REGIMES PETROBRAS E CHOQUE EXTERNO DE OFERTA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_Toc229695969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56</w:t>
            </w:r>
            <w:r w:rsidRPr="002A26FC">
              <w:rPr>
                <w:rFonts w:cs="Times New Roman"/>
                <w:noProof/>
                <w:webHidden/>
                <w:sz w:val="20"/>
                <w:szCs w:val="20"/>
              </w:rPr>
              <w:fldChar w:fldCharType="end"/>
            </w:r>
          </w:hyperlink>
        </w:p>
        <w:p w14:paraId="7DC8651A" w14:textId="5B78217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0" w:history="1">
            <w:r w:rsidRPr="002A26FC">
              <w:rPr>
                <w:rStyle w:val="Hyperlink"/>
                <w:rFonts w:cs="Times New Roman"/>
                <w:noProof/>
                <w:sz w:val="20"/>
                <w:szCs w:val="20"/>
              </w:rPr>
              <w:t>B.1 Petróleo em reais e canal dos combustíveis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56</w:t>
            </w:r>
            <w:r w:rsidRPr="002A26FC">
              <w:rPr>
                <w:rFonts w:cs="Times New Roman"/>
                <w:noProof/>
                <w:webHidden/>
                <w:sz w:val="20"/>
                <w:szCs w:val="20"/>
              </w:rPr>
              <w:fldChar w:fldCharType="end"/>
            </w:r>
          </w:hyperlink>
        </w:p>
        <w:p w14:paraId="0BDB850B" w14:textId="27F45123"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1" w:history="1">
            <w:r w:rsidRPr="002A26FC">
              <w:rPr>
                <w:rStyle w:val="Hyperlink"/>
                <w:rFonts w:cs="Times New Roman"/>
                <w:noProof/>
                <w:sz w:val="20"/>
                <w:szCs w:val="20"/>
              </w:rPr>
              <w:t>B.2 Regimes Petrobras e teste de Wald</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_Toc229695971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57</w:t>
            </w:r>
            <w:r w:rsidRPr="002A26FC">
              <w:rPr>
                <w:rFonts w:cs="Times New Roman"/>
                <w:noProof/>
                <w:webHidden/>
                <w:sz w:val="20"/>
                <w:szCs w:val="20"/>
              </w:rPr>
              <w:fldChar w:fldCharType="end"/>
            </w:r>
          </w:hyperlink>
        </w:p>
        <w:p w14:paraId="7F8BAE5D" w14:textId="4D3EB1C2"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2" w:history="1">
            <w:r w:rsidRPr="002A26FC">
              <w:rPr>
                <w:rStyle w:val="Hyperlink"/>
                <w:rFonts w:cs="Times New Roman"/>
                <w:noProof/>
                <w:sz w:val="20"/>
                <w:szCs w:val="20"/>
              </w:rPr>
              <w:t>B.3 Identificação externa com Oil Supply News Shock</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_Toc229695972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59</w:t>
            </w:r>
            <w:r w:rsidRPr="002A26FC">
              <w:rPr>
                <w:rFonts w:cs="Times New Roman"/>
                <w:noProof/>
                <w:webHidden/>
                <w:sz w:val="20"/>
                <w:szCs w:val="20"/>
              </w:rPr>
              <w:fldChar w:fldCharType="end"/>
            </w:r>
          </w:hyperlink>
        </w:p>
        <w:p w14:paraId="2CAD2EE8" w14:textId="31839B9D"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3" w:history="1">
            <w:r w:rsidRPr="002A26FC">
              <w:rPr>
                <w:rStyle w:val="Hyperlink"/>
                <w:rFonts w:cs="Times New Roman"/>
                <w:noProof/>
                <w:sz w:val="20"/>
                <w:szCs w:val="20"/>
              </w:rPr>
              <w:t>B.4 Síntese da atualização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_Toc229695973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61</w:t>
            </w:r>
            <w:r w:rsidRPr="002A26FC">
              <w:rPr>
                <w:rFonts w:cs="Times New Roman"/>
                <w:noProof/>
                <w:webHidden/>
                <w:sz w:val="20"/>
                <w:szCs w:val="20"/>
              </w:rPr>
              <w:fldChar w:fldCharType="end"/>
            </w:r>
          </w:hyperlink>
        </w:p>
        <w:p w14:paraId="0AED3D58" w14:textId="0C2F78A3" w:rsidR="002A26FC" w:rsidRPr="002A26FC" w:rsidRDefault="002A26FC">
          <w:pPr>
            <w:pStyle w:val="TOC1"/>
            <w:tabs>
              <w:tab w:val="right" w:leader="dot" w:pos="9395"/>
            </w:tabs>
            <w:rPr>
              <w:rFonts w:eastAsiaTheme="minorEastAsia" w:cs="Times New Roman"/>
              <w:noProof/>
              <w:kern w:val="2"/>
              <w:sz w:val="20"/>
              <w:szCs w:val="20"/>
              <w:lang w:val="pt-BR" w:eastAsia="pt-BR"/>
              <w14:ligatures w14:val="standardContextual"/>
            </w:rPr>
          </w:pPr>
          <w:hyperlink w:anchor="_Toc229695974" w:history="1">
            <w:r w:rsidRPr="002A26FC">
              <w:rPr>
                <w:rStyle w:val="Hyperlink"/>
                <w:rFonts w:cs="Times New Roman"/>
                <w:noProof/>
                <w:sz w:val="20"/>
                <w:szCs w:val="20"/>
              </w:rPr>
              <w:t>APÊNDICE C — ROBUSTEZ COM MODELOS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_Toc229695974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63</w:t>
            </w:r>
            <w:r w:rsidRPr="002A26FC">
              <w:rPr>
                <w:rFonts w:cs="Times New Roman"/>
                <w:noProof/>
                <w:webHidden/>
                <w:sz w:val="20"/>
                <w:szCs w:val="20"/>
              </w:rPr>
              <w:fldChar w:fldCharType="end"/>
            </w:r>
          </w:hyperlink>
        </w:p>
        <w:p w14:paraId="4A572240" w14:textId="200A66EC"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5" w:history="1">
            <w:r w:rsidRPr="002A26FC">
              <w:rPr>
                <w:rStyle w:val="Hyperlink"/>
                <w:rFonts w:cs="Times New Roman"/>
                <w:noProof/>
                <w:sz w:val="20"/>
                <w:szCs w:val="20"/>
              </w:rPr>
              <w:t>C.1 Especificação geral do VAR</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_Toc229695975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63</w:t>
            </w:r>
            <w:r w:rsidRPr="002A26FC">
              <w:rPr>
                <w:rFonts w:cs="Times New Roman"/>
                <w:noProof/>
                <w:webHidden/>
                <w:sz w:val="20"/>
                <w:szCs w:val="20"/>
              </w:rPr>
              <w:fldChar w:fldCharType="end"/>
            </w:r>
          </w:hyperlink>
        </w:p>
        <w:p w14:paraId="0BC9BD75" w14:textId="103B0D41"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6" w:history="1">
            <w:r w:rsidRPr="002A26FC">
              <w:rPr>
                <w:rStyle w:val="Hyperlink"/>
                <w:rFonts w:cs="Times New Roman"/>
                <w:noProof/>
                <w:sz w:val="20"/>
                <w:szCs w:val="20"/>
              </w:rPr>
              <w:t>C.2 Funções impulso-resposta acumuladas</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_Toc229695976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64</w:t>
            </w:r>
            <w:r w:rsidRPr="002A26FC">
              <w:rPr>
                <w:rFonts w:cs="Times New Roman"/>
                <w:noProof/>
                <w:webHidden/>
                <w:sz w:val="20"/>
                <w:szCs w:val="20"/>
              </w:rPr>
              <w:fldChar w:fldCharType="end"/>
            </w:r>
          </w:hyperlink>
        </w:p>
        <w:p w14:paraId="5575DA90" w14:textId="52243851"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7" w:history="1">
            <w:r w:rsidRPr="002A26FC">
              <w:rPr>
                <w:rStyle w:val="Hyperlink"/>
                <w:rFonts w:cs="Times New Roman"/>
                <w:noProof/>
                <w:sz w:val="20"/>
                <w:szCs w:val="20"/>
              </w:rPr>
              <w:t>C.3 Decomposição da variância dos erros de previsão</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_Toc229695977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67</w:t>
            </w:r>
            <w:r w:rsidRPr="002A26FC">
              <w:rPr>
                <w:rFonts w:cs="Times New Roman"/>
                <w:noProof/>
                <w:webHidden/>
                <w:sz w:val="20"/>
                <w:szCs w:val="20"/>
              </w:rPr>
              <w:fldChar w:fldCharType="end"/>
            </w:r>
          </w:hyperlink>
        </w:p>
        <w:p w14:paraId="254EB4D5" w14:textId="2FF63B8B"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8" w:history="1">
            <w:r w:rsidRPr="002A26FC">
              <w:rPr>
                <w:rStyle w:val="Hyperlink"/>
                <w:rFonts w:cs="Times New Roman"/>
                <w:noProof/>
                <w:sz w:val="20"/>
                <w:szCs w:val="20"/>
              </w:rPr>
              <w:t>C.4 Robustez à ordenação de Cholesky</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_Toc229695978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68</w:t>
            </w:r>
            <w:r w:rsidRPr="002A26FC">
              <w:rPr>
                <w:rFonts w:cs="Times New Roman"/>
                <w:noProof/>
                <w:webHidden/>
                <w:sz w:val="20"/>
                <w:szCs w:val="20"/>
              </w:rPr>
              <w:fldChar w:fldCharType="end"/>
            </w:r>
          </w:hyperlink>
        </w:p>
        <w:p w14:paraId="577C2625" w14:textId="6C7D8461"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79" w:history="1">
            <w:r w:rsidRPr="002A26FC">
              <w:rPr>
                <w:rStyle w:val="Hyperlink"/>
                <w:rFonts w:cs="Times New Roman"/>
                <w:noProof/>
                <w:sz w:val="20"/>
                <w:szCs w:val="20"/>
              </w:rPr>
              <w:t>C.5 Estabilidade do sistema</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_Toc229695979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69</w:t>
            </w:r>
            <w:r w:rsidRPr="002A26FC">
              <w:rPr>
                <w:rFonts w:cs="Times New Roman"/>
                <w:noProof/>
                <w:webHidden/>
                <w:sz w:val="20"/>
                <w:szCs w:val="20"/>
              </w:rPr>
              <w:fldChar w:fldCharType="end"/>
            </w:r>
          </w:hyperlink>
        </w:p>
        <w:p w14:paraId="50D04051" w14:textId="5BC65437" w:rsidR="002A26FC" w:rsidRPr="002A26FC" w:rsidRDefault="002A26FC">
          <w:pPr>
            <w:pStyle w:val="TOC2"/>
            <w:tabs>
              <w:tab w:val="right" w:leader="dot" w:pos="9395"/>
            </w:tabs>
            <w:rPr>
              <w:rFonts w:eastAsiaTheme="minorEastAsia" w:cs="Times New Roman"/>
              <w:noProof/>
              <w:kern w:val="2"/>
              <w:sz w:val="20"/>
              <w:szCs w:val="20"/>
              <w:lang w:val="pt-BR" w:eastAsia="pt-BR"/>
              <w14:ligatures w14:val="standardContextual"/>
            </w:rPr>
          </w:pPr>
          <w:hyperlink w:anchor="_Toc229695980" w:history="1">
            <w:r w:rsidRPr="002A26FC">
              <w:rPr>
                <w:rStyle w:val="Hyperlink"/>
                <w:rFonts w:cs="Times New Roman"/>
                <w:noProof/>
                <w:sz w:val="20"/>
                <w:szCs w:val="20"/>
              </w:rPr>
              <w:t>C.6 Síntese do papel do VAR no TCC</w:t>
            </w:r>
            <w:r w:rsidRPr="002A26FC">
              <w:rPr>
                <w:rFonts w:cs="Times New Roman"/>
                <w:noProof/>
                <w:webHidden/>
                <w:sz w:val="20"/>
                <w:szCs w:val="20"/>
              </w:rPr>
              <w:tab/>
            </w:r>
            <w:r w:rsidRPr="002A26FC">
              <w:rPr>
                <w:rFonts w:cs="Times New Roman"/>
                <w:noProof/>
                <w:webHidden/>
                <w:sz w:val="20"/>
                <w:szCs w:val="20"/>
              </w:rPr>
              <w:fldChar w:fldCharType="begin"/>
            </w:r>
            <w:r w:rsidRPr="002A26FC">
              <w:rPr>
                <w:rFonts w:cs="Times New Roman"/>
                <w:noProof/>
                <w:webHidden/>
                <w:sz w:val="20"/>
                <w:szCs w:val="20"/>
              </w:rPr>
              <w:instrText xml:space="preserve"> PAGEREF _Toc229695980 \h </w:instrText>
            </w:r>
            <w:r w:rsidRPr="002A26FC">
              <w:rPr>
                <w:rFonts w:cs="Times New Roman"/>
                <w:noProof/>
                <w:webHidden/>
                <w:sz w:val="20"/>
                <w:szCs w:val="20"/>
              </w:rPr>
            </w:r>
            <w:r w:rsidRPr="002A26FC">
              <w:rPr>
                <w:rFonts w:cs="Times New Roman"/>
                <w:noProof/>
                <w:webHidden/>
                <w:sz w:val="20"/>
                <w:szCs w:val="20"/>
              </w:rPr>
              <w:fldChar w:fldCharType="separate"/>
            </w:r>
            <w:r w:rsidRPr="002A26FC">
              <w:rPr>
                <w:rFonts w:cs="Times New Roman"/>
                <w:noProof/>
                <w:webHidden/>
                <w:sz w:val="20"/>
                <w:szCs w:val="20"/>
              </w:rPr>
              <w:t>70</w:t>
            </w:r>
            <w:r w:rsidRPr="002A26FC">
              <w:rPr>
                <w:rFonts w:cs="Times New Roman"/>
                <w:noProof/>
                <w:webHidden/>
                <w:sz w:val="20"/>
                <w:szCs w:val="20"/>
              </w:rPr>
              <w:fldChar w:fldCharType="end"/>
            </w:r>
          </w:hyperlink>
        </w:p>
        <w:p w14:paraId="35A1B621" w14:textId="60404C53" w:rsidR="00D810CD" w:rsidRDefault="00D810CD">
          <w:r w:rsidRPr="002A26FC">
            <w:rPr>
              <w:rFonts w:cs="Times New Roman"/>
              <w:b/>
              <w:bCs/>
              <w:noProof/>
              <w:sz w:val="20"/>
              <w:szCs w:val="20"/>
            </w:rPr>
            <w:fldChar w:fldCharType="end"/>
          </w:r>
        </w:p>
      </w:sdtContent>
    </w:sdt>
    <w:p w14:paraId="52D9FC1E" w14:textId="77777777" w:rsidR="005F0DB9" w:rsidRDefault="00000000">
      <w:r>
        <w:br w:type="page"/>
      </w:r>
    </w:p>
    <w:p w14:paraId="0FA9F959" w14:textId="77777777" w:rsidR="008E44CC" w:rsidRPr="009C7F96" w:rsidRDefault="008E44CC" w:rsidP="008E44CC">
      <w:pPr>
        <w:pStyle w:val="Heading1"/>
        <w:rPr>
          <w:rFonts w:cs="Times New Roman"/>
          <w:szCs w:val="24"/>
        </w:rPr>
      </w:pPr>
      <w:bookmarkStart w:id="4" w:name="_Toc229695931"/>
      <w:r w:rsidRPr="009C7F96">
        <w:rPr>
          <w:rFonts w:ascii="Times New Roman" w:hAnsi="Times New Roman" w:cs="Times New Roman"/>
          <w:szCs w:val="24"/>
        </w:rPr>
        <w:lastRenderedPageBreak/>
        <w:t>1 INTRODUÇÃO</w:t>
      </w:r>
      <w:bookmarkEnd w:id="4"/>
    </w:p>
    <w:p w14:paraId="06CF74C5"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dinâmica dos preços de energia ocupa posição central na análise macroeconômica, especialmente em economias emergentes abertas e sujeitas a choques externos. O petróleo, além de ser uma commodity estratégica para produção, transporte e formação de custos, funciona como um importante canal de transmissão de pressões internacionais para os preços domésticos. Variações no preço internacional do barril podem se propagar por diferentes mecanismos, como taxa de câmbio, custos de refino, preços dos combustíveis ao consumidor, expectativas de inflação, fretes e índices agregados de preços. No caso brasileiro, esse processo ganha complexidade adicional porque a transmissão dos preços internacionais para os combustíveis domésticos não depende apenas das condições de mercado, mas também da política de preços praticada pela Petrobras.</w:t>
      </w:r>
    </w:p>
    <w:p w14:paraId="5FBF6E33"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A experiência brasileira mostra que o repasse de choques internacionais do petróleo para os preços internos não é mecânico nem constante ao longo do tempo. Em alguns períodos, os preços domésticos dos combustíveis se aproximaram mais rapidamente das cotações internacionais, refletindo movimentos do petróleo e da taxa de câmbio. Em outros momentos, a política de preços da Petrobras suavizou ou retardou parte desse repasse, reduzindo temporariamente a sensibilidade dos preços domésticos às oscilações externas. Essa característica torna o Brasil um caso relevante para o estudo do </w:t>
      </w:r>
      <w:proofErr w:type="spellStart"/>
      <w:r w:rsidRPr="009C7F96">
        <w:rPr>
          <w:rFonts w:eastAsiaTheme="majorEastAsia" w:cs="Times New Roman"/>
          <w:szCs w:val="24"/>
          <w:lang w:val="pt-BR"/>
        </w:rPr>
        <w:t>pass-through</w:t>
      </w:r>
      <w:proofErr w:type="spellEnd"/>
      <w:r w:rsidRPr="009C7F96">
        <w:rPr>
          <w:rFonts w:eastAsiaTheme="majorEastAsia" w:cs="Times New Roman"/>
          <w:szCs w:val="24"/>
          <w:lang w:val="pt-BR"/>
        </w:rPr>
        <w:t xml:space="preserve"> energético, pois o efeito final sobre a inflação depende tanto da magnitude do choque externo quanto da forma como ele é absorvido pela estrutura doméstica de preços.</w:t>
      </w:r>
    </w:p>
    <w:p w14:paraId="4DF3830D"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A literatura macroeconômica reconhece há décadas que choques no preço do petróleo podem produzir efeitos relevantes sobre atividade econômica e inflação. Trabalhos como Hamilton (1983) associaram choques petrolíferos a flutuações macroeconômicas, enquanto contribuições posteriores, como </w:t>
      </w:r>
      <w:proofErr w:type="spellStart"/>
      <w:r w:rsidRPr="009C7F96">
        <w:rPr>
          <w:rFonts w:eastAsiaTheme="majorEastAsia" w:cs="Times New Roman"/>
          <w:szCs w:val="24"/>
          <w:lang w:val="pt-BR"/>
        </w:rPr>
        <w:t>Kilian</w:t>
      </w:r>
      <w:proofErr w:type="spellEnd"/>
      <w:r w:rsidRPr="009C7F96">
        <w:rPr>
          <w:rFonts w:eastAsiaTheme="majorEastAsia" w:cs="Times New Roman"/>
          <w:szCs w:val="24"/>
          <w:lang w:val="pt-BR"/>
        </w:rPr>
        <w:t xml:space="preserve"> (2009), destacaram a importância de distinguir choques de oferta, choques de demanda global e choques de demanda específica por petróleo. Essa distinção é fundamental porque nem toda elevação do petróleo possui a mesma interpretação econômica. Um aumento provocado por maior demanda global pode estar associado à expansão da atividade mundial, enquanto uma elevação causada por restrição de oferta tende a representar pressão de custos. Assim, analisar o efeito do petróleo sobre a inflação exige cuidado na identificação do choque e na interpretação de seus canais de transmissão.</w:t>
      </w:r>
    </w:p>
    <w:p w14:paraId="11F7727A"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lastRenderedPageBreak/>
        <w:t>No Brasil, a relação entre petróleo, combustíveis e inflação assume importância especial por causa da composição do IPCA e do peso dos combustíveis no grupo de transportes. Gasolina, etanol e óleo diesel possuem efeitos diretos e indiretos sobre os preços ao consumidor. O efeito direto ocorre quando a variação do combustível aparece no próprio índice de preços. O efeito indireto ocorre quando o aumento dos combustíveis encarece transporte, frete, distribuição e outros custos de produção, podendo pressionar outros bens e serviços. Ainda assim, a magnitude desse repasse para o IPCA Geral tende a ser menor do que para o IPCA Transportes, pois o índice agregado dilui o choque entre diversos grupos de consumo.</w:t>
      </w:r>
    </w:p>
    <w:p w14:paraId="5CEF633F"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Diante desse contexto, este trabalho busca responder à seguinte pergunta: em que medida choques no preço internacional do petróleo são transmitidos aos preços domésticos de combustíveis e à inflação brasileira entre 2003 e 2026? A pergunta envolve três dimensões principais. A primeira é a transmissão do petróleo para os combustíveis domésticos, especialmente gasolina, etanol, óleo diesel e preço da gasolina na refinaria. A segunda é o efeito dos combustíveis sobre o IPCA Transportes, que representa o canal mais diretamente exposto ao choque. A terceira é o impacto sobre o IPCA Geral, que permite avaliar se a pressão setorial se transforma em inflação agregada.</w:t>
      </w:r>
    </w:p>
    <w:p w14:paraId="66BF592D"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A hipótese central do trabalho é que o repasse dos choques de petróleo para a inflação brasileira ocorre principalmente por meio dos combustíveis, com efeito mais evidente sobre o IPCA Transportes do que sobre o IPCA Geral. Espera-se que choques positivos no petróleo afetem os combustíveis domésticos, mas que a intensidade desse repasse varie ao longo do tempo em função de mudanças na política de preços da Petrobras, da taxa de câmbio, do ciclo econômico e das condições do regime inflacionário. Também se espera que o impacto sobre o IPCA Geral seja mais limitado e menos persistente, uma vez que a inflação agregada depende de um conjunto mais amplo de componentes.</w:t>
      </w:r>
    </w:p>
    <w:p w14:paraId="55CD05C3"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A contribuição deste estudo está em combinar a análise do canal energético com uma estratégia empírica voltada à dinâmica temporal do repasse. Em vez de observar apenas correlações contemporâneas, o trabalho estima como os efeitos se acumulam ao longo dos meses após o choque. Para isso, a estratégia empírica principal é baseada em modelos de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propostos por </w:t>
      </w:r>
      <w:proofErr w:type="spellStart"/>
      <w:r w:rsidRPr="009C7F96">
        <w:rPr>
          <w:rFonts w:eastAsiaTheme="majorEastAsia" w:cs="Times New Roman"/>
          <w:szCs w:val="24"/>
          <w:lang w:val="pt-BR"/>
        </w:rPr>
        <w:t>Jordà</w:t>
      </w:r>
      <w:proofErr w:type="spellEnd"/>
      <w:r w:rsidRPr="009C7F96">
        <w:rPr>
          <w:rFonts w:eastAsiaTheme="majorEastAsia" w:cs="Times New Roman"/>
          <w:szCs w:val="24"/>
          <w:lang w:val="pt-BR"/>
        </w:rPr>
        <w:t xml:space="preserve"> (2005), que permitem estimar diretamente a resposta acumulada dos combustíveis e da inflação em diferentes horizontes. Essa abordagem é especialmente adequada para o objetivo do trabalho porque permite organizar o mecanismo de transmissão em etapas: </w:t>
      </w:r>
      <w:r w:rsidRPr="009C7F96">
        <w:rPr>
          <w:rFonts w:eastAsiaTheme="majorEastAsia" w:cs="Times New Roman"/>
          <w:szCs w:val="24"/>
          <w:lang w:val="pt-BR"/>
        </w:rPr>
        <w:lastRenderedPageBreak/>
        <w:t>petróleo para combustíveis, combustíveis para IPCA Transportes e IPCA Geral, petróleo para inflação com controle pelos combustíveis e comparação entre regimes de política de preços.</w:t>
      </w:r>
    </w:p>
    <w:p w14:paraId="3562F1B1" w14:textId="644399AC"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Além das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o trabalho utiliza um modelo de Vetores Autorregressivos, denominado VAR, como exercício de robustez. O VAR não é tratado como especificação principal, mas como uma forma complementar de verificar se os principais sinais encontrados pelas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permanecem consistentes em uma estrutura dinâmica multivariada tradicional. Enquanto as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oferecem maior flexibilidade para estimar respostas acumuladas horizonte a horizonte e separar canais específicos de transmissão, o VAR permite analisar a interação conjunta entre as variáveis, recuperar funções impulso-resposta e comparar a direção, a persistência e a coerência dos choques em um sistema dinâmico. Dessa forma, o uso do VAR fortalece a análise ao verificar se a evidência central do repasse petróleo-combustíveis-inflação também aparece sob uma abordagem econométrica alternativa.</w:t>
      </w:r>
    </w:p>
    <w:p w14:paraId="2FDEE3B3"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 xml:space="preserve">No modelo de Local </w:t>
      </w:r>
      <w:proofErr w:type="spellStart"/>
      <w:r w:rsidRPr="009C7F96">
        <w:rPr>
          <w:rFonts w:eastAsiaTheme="majorEastAsia" w:cs="Times New Roman"/>
          <w:szCs w:val="24"/>
          <w:lang w:val="pt-BR"/>
        </w:rPr>
        <w:t>Projections</w:t>
      </w:r>
      <w:proofErr w:type="spellEnd"/>
      <w:r w:rsidRPr="009C7F96">
        <w:rPr>
          <w:rFonts w:eastAsiaTheme="majorEastAsia" w:cs="Times New Roman"/>
          <w:szCs w:val="24"/>
          <w:lang w:val="pt-BR"/>
        </w:rPr>
        <w:t xml:space="preserve">, a variável dependente é construída como a resposta acumulada da variável de interesse entre o mês do choque e o horizonte futuro. Essa escolha é adequada para a análise da inflação, pois permite interpretar o coeficiente estimado como o efeito acumulado de um choque ao longo de determinado período. O modelo inclui defasagens da variável dependente, defasagens do choque, controles macroeconômicos, </w:t>
      </w:r>
      <w:proofErr w:type="spellStart"/>
      <w:r w:rsidRPr="009C7F96">
        <w:rPr>
          <w:rFonts w:eastAsiaTheme="majorEastAsia" w:cs="Times New Roman"/>
          <w:szCs w:val="24"/>
          <w:lang w:val="pt-BR"/>
        </w:rPr>
        <w:t>dummies</w:t>
      </w:r>
      <w:proofErr w:type="spellEnd"/>
      <w:r w:rsidRPr="009C7F96">
        <w:rPr>
          <w:rFonts w:eastAsiaTheme="majorEastAsia" w:cs="Times New Roman"/>
          <w:szCs w:val="24"/>
          <w:lang w:val="pt-BR"/>
        </w:rPr>
        <w:t xml:space="preserve"> sazonais e erros-padrão robustos do tipo HAC/Newey-West. Os choques são padronizados, de modo que os coeficientes possam ser interpretados como a resposta da variável dependente a um choque de um desvio-padrão na variável de impulso.</w:t>
      </w:r>
    </w:p>
    <w:p w14:paraId="14D2200C" w14:textId="77777777" w:rsidR="008E44CC" w:rsidRPr="009C7F96" w:rsidRDefault="008E44CC" w:rsidP="008E44CC">
      <w:pPr>
        <w:spacing w:after="120"/>
        <w:rPr>
          <w:rFonts w:eastAsiaTheme="majorEastAsia" w:cs="Times New Roman"/>
          <w:szCs w:val="24"/>
          <w:lang w:val="pt-BR"/>
        </w:rPr>
      </w:pPr>
      <w:r w:rsidRPr="009C7F96">
        <w:rPr>
          <w:rFonts w:eastAsiaTheme="majorEastAsia" w:cs="Times New Roman"/>
          <w:szCs w:val="24"/>
          <w:lang w:val="pt-BR"/>
        </w:rPr>
        <w:t>Uma preocupação importante do trabalho é distinguir o efeito total do petróleo sobre a inflação do efeito que ocorre por meio dos combustíveis. O efeito total mede a resposta da inflação ao choque do petróleo considerando todos os canais possíveis de transmissão. Já a especificação com controle pelos combustíveis permite verificar se o petróleo ainda possui impacto sobre a inflação depois que os preços domésticos dos combustíveis são incluídos no modelo. Caso o efeito do petróleo diminua após a inclusão desses controles, há evidência de que os combustíveis funcionam como canal de mediação entre o choque externo e a inflação doméstica.</w:t>
      </w:r>
    </w:p>
    <w:p w14:paraId="5C2433EA" w14:textId="50C6B85D" w:rsidR="008E44CC" w:rsidRPr="00CC258E" w:rsidRDefault="008E44CC" w:rsidP="00CC258E">
      <w:pPr>
        <w:spacing w:after="120"/>
        <w:rPr>
          <w:rFonts w:eastAsiaTheme="majorEastAsia" w:cs="Times New Roman"/>
          <w:szCs w:val="24"/>
          <w:lang w:val="pt-BR"/>
        </w:rPr>
      </w:pPr>
      <w:r w:rsidRPr="005C3052">
        <w:rPr>
          <w:lang w:val="pt-BR"/>
        </w:rPr>
        <w:t>Por fim, a amostra de 2003 a 2026 compreende períodos distintos da política de preços da Petrobras e diferentes contextos macroeconômicos. Por isso, o trabalho considera divisões de amostra associadas a regimes de precificação. Na versão atual dos resultados, a comparação Petrobras utiliza como corte setembro de 2016, mês associado à consolidação de uma política de maior aderência à paridade internacional. A escolha não implica que todos os meses posteriores formem um regime homogêneo, pois o período posterior inclui a fase de paridade de importação, choques tributários, a pandemia, alterações de política econômica e a nova estratégia comercial anunciada em 2023. Assim, os resultados por regime são interpretados como evidência de heterogeneidade institucional, e não como prova de uma quebra única e definitiva no comportamento dos preços domésticos. A estrutura do estudo está organizada em revisão da literatura, descrição da base de dados, metodologia econométrica, apresentação dos resultados e conclusão. Com isso, busca-se avaliar não apenas se o petróleo afeta a inflação brasileira, mas por quais canais esse efeito ocorre, com que intensidade aparece no IPCA Transportes, em que medida se transmite para o IPCA Geral e se os resultados permanecem consistentes quando comparados com a evidência de robustez obtida pelo VAR.</w:t>
      </w:r>
      <w:r w:rsidRPr="005C3052">
        <w:rPr>
          <w:lang w:val="pt-BR"/>
        </w:rPr>
      </w:r>
    </w:p>
    <w:p w14:paraId="73E883C0" w14:textId="77777777" w:rsidR="008E44CC" w:rsidRPr="009C7F96" w:rsidRDefault="008E44CC" w:rsidP="00CC258E">
      <w:pPr>
        <w:pStyle w:val="Heading1"/>
        <w:spacing w:before="240" w:after="120"/>
        <w:rPr>
          <w:rFonts w:cs="Times New Roman"/>
          <w:szCs w:val="24"/>
        </w:rPr>
      </w:pPr>
      <w:bookmarkStart w:id="5" w:name="_Toc229695932"/>
      <w:r w:rsidRPr="009C7F96">
        <w:rPr>
          <w:rFonts w:ascii="Times New Roman" w:eastAsia="Times New Roman" w:hAnsi="Times New Roman" w:cs="Times New Roman"/>
          <w:szCs w:val="24"/>
        </w:rPr>
        <w:t>2 REVISÃO BIBLIOGRÁFICA</w:t>
      </w:r>
      <w:bookmarkEnd w:id="5"/>
    </w:p>
    <w:p w14:paraId="3A13649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Esta revisão bibliográfica sistematiza os fundamentos teóricos e empíricos necessários à análise da transmissão de choques no preço internacional do petróleo para os preços domésticos de combustíveis e, posteriormente, para a inflação brasileira. A discussão parte da literatura clássica sobre choques de petróleo e inflação, incorpora a literatura recente de local </w:t>
      </w:r>
      <w:proofErr w:type="spellStart"/>
      <w:r w:rsidRPr="009C7F96">
        <w:rPr>
          <w:rFonts w:cs="Times New Roman"/>
          <w:szCs w:val="24"/>
          <w:lang w:val="pt-BR"/>
        </w:rPr>
        <w:t>projections</w:t>
      </w:r>
      <w:proofErr w:type="spellEnd"/>
      <w:r w:rsidRPr="009C7F96">
        <w:rPr>
          <w:rFonts w:cs="Times New Roman"/>
          <w:szCs w:val="24"/>
          <w:lang w:val="pt-BR"/>
        </w:rPr>
        <w:t xml:space="preserve"> e reposiciona o problema para o caso brasileiro, no qual a estrutura de refino, a política comercial da Petrobras, a formação dos preços de gasolina e diesel e a composição do IPCA modificam a intensidade e a velocidade do repasse.</w:t>
      </w:r>
    </w:p>
    <w:p w14:paraId="15070133" w14:textId="77777777" w:rsidR="008E44CC" w:rsidRPr="009C7F96" w:rsidRDefault="008E44CC" w:rsidP="008E44CC">
      <w:pPr>
        <w:spacing w:after="120"/>
        <w:rPr>
          <w:rFonts w:cs="Times New Roman"/>
          <w:szCs w:val="24"/>
          <w:lang w:val="pt-BR"/>
        </w:rPr>
      </w:pPr>
      <w:r w:rsidRPr="009C7F96">
        <w:rPr>
          <w:rFonts w:cs="Times New Roman"/>
          <w:szCs w:val="24"/>
          <w:lang w:val="pt-BR"/>
        </w:rPr>
        <w:t>O eixo central da revisão é que a transmissão do petróleo à inflação não deve ser tratada como uma relação mecânica e homogênea. A variação do barril em dólares precisa ser convertida em preço relevante para a economia doméstica por meio da taxa de câmbio; em seguida, esse choque passa pela etapa de formação de preços no refino, pela distribuição, pela revenda e pela estrutura tributária; por fim, atinge os subitens do IPCA, especialmente os ligados a combustíveis, transportes e custos logísticos. Portanto, a análise adequada do caso brasileiro requer separar, sempre que possível, três níveis de transmissão: preço internacional do petróleo, preço doméstico na refinaria e preço final ao consumidor.</w:t>
      </w:r>
    </w:p>
    <w:p w14:paraId="48C5BD2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escolha metodológica parte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como estratégia empírica principal, mas mantém os modelos VAR como referência de robustez. Enquanto modelos VAR tradicionais estimam um sistema dinâmico conjunto e recuperam funções impulso-resposta a partir da estrutura </w:t>
      </w:r>
      <w:r w:rsidRPr="009C7F96">
        <w:rPr>
          <w:rFonts w:cs="Times New Roman"/>
          <w:szCs w:val="24"/>
          <w:lang w:val="pt-BR"/>
        </w:rPr>
        <w:lastRenderedPageBreak/>
        <w:t xml:space="preserve">estimada,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estimam diretamente a resposta de uma variável em cada horizonte temporal. Essa diferença permite maior flexibilidade na inclusão de controles, variáveis institucionais, regimes e respostas heterogêneas. Ao mesmo tempo, o VAR permanece útil como comparação porque verifica se os sinais centrais encontrados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também aparecem em uma estrutura multivariada tradicional. Essa combinação é particularmente relevante para o presente tema, porque o repasse do petróleo para a inflação brasileira pode variar conforme o regime de preços da Petrobras, a fase do ciclo econômico, a taxa de câmbio, a política monetária e a composição dos combustíveis no índice de preços.</w:t>
      </w:r>
    </w:p>
    <w:p w14:paraId="64F70AF0" w14:textId="77777777" w:rsidR="008E44CC" w:rsidRPr="009C7F96" w:rsidRDefault="008E44CC" w:rsidP="008E44CC">
      <w:pPr>
        <w:pStyle w:val="Heading2"/>
        <w:spacing w:before="240" w:after="120"/>
        <w:jc w:val="both"/>
        <w:rPr>
          <w:rFonts w:cs="Times New Roman"/>
          <w:szCs w:val="24"/>
        </w:rPr>
      </w:pPr>
      <w:bookmarkStart w:id="6" w:name="_Toc229695933"/>
      <w:r w:rsidRPr="009C7F96">
        <w:rPr>
          <w:rFonts w:ascii="Times New Roman" w:eastAsia="Times New Roman" w:hAnsi="Times New Roman" w:cs="Times New Roman"/>
          <w:szCs w:val="24"/>
        </w:rPr>
        <w:t>2.1 Choques do petróleo, inflação e atividade econômica</w:t>
      </w:r>
      <w:bookmarkEnd w:id="6"/>
    </w:p>
    <w:p w14:paraId="746B7DBD" w14:textId="77777777" w:rsidR="008E44CC" w:rsidRPr="009C7F96" w:rsidRDefault="008E44CC" w:rsidP="008E44CC">
      <w:pPr>
        <w:spacing w:after="120"/>
        <w:rPr>
          <w:rFonts w:cs="Times New Roman"/>
          <w:szCs w:val="24"/>
          <w:lang w:val="pt-BR"/>
        </w:rPr>
      </w:pPr>
      <w:r w:rsidRPr="009C7F96">
        <w:rPr>
          <w:rFonts w:cs="Times New Roman"/>
          <w:szCs w:val="24"/>
          <w:lang w:val="pt-BR"/>
        </w:rPr>
        <w:t>A literatura sobre petróleo e macroeconomia se desenvolveu, inicialmente, a partir da interpretação de que elevações expressivas no preço do barril funcionariam como choques adversos de oferta. Nesse tipo de choque, a energia mais cara eleva os custos de produção, reduz a renda real disponível, pressiona preços finais e pode desacelerar a atividade econômica. Hamilton (2003) é uma referência central nesse debate ao mostrar que aumentos relevantes no preço do petróleo precederam diversos episódios recessivos nos Estados Unidos no período pós-guerra. A contribuição do autor não se restringe à associação histórica entre petróleo e recessões; ela também reforça a ideia de que choques de energia podem afetar simultaneamente inflação e produto.</w:t>
      </w:r>
    </w:p>
    <w:p w14:paraId="5AC3B2B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Uma das formas clássicas de representar o choque de petróleo na literatura de Hamilton é o net </w:t>
      </w:r>
      <w:proofErr w:type="spellStart"/>
      <w:r w:rsidRPr="009C7F96">
        <w:rPr>
          <w:rFonts w:cs="Times New Roman"/>
          <w:szCs w:val="24"/>
          <w:lang w:val="pt-BR"/>
        </w:rPr>
        <w:t>oil</w:t>
      </w:r>
      <w:proofErr w:type="spellEnd"/>
      <w:r w:rsidRPr="009C7F96">
        <w:rPr>
          <w:rFonts w:cs="Times New Roman"/>
          <w:szCs w:val="24"/>
          <w:lang w:val="pt-BR"/>
        </w:rPr>
        <w:t xml:space="preserve"> </w:t>
      </w:r>
      <w:proofErr w:type="spellStart"/>
      <w:r w:rsidRPr="009C7F96">
        <w:rPr>
          <w:rFonts w:cs="Times New Roman"/>
          <w:szCs w:val="24"/>
          <w:lang w:val="pt-BR"/>
        </w:rPr>
        <w:t>price</w:t>
      </w:r>
      <w:proofErr w:type="spellEnd"/>
      <w:r w:rsidRPr="009C7F96">
        <w:rPr>
          <w:rFonts w:cs="Times New Roman"/>
          <w:szCs w:val="24"/>
          <w:lang w:val="pt-BR"/>
        </w:rPr>
        <w:t xml:space="preserve"> </w:t>
      </w:r>
      <w:proofErr w:type="spellStart"/>
      <w:r w:rsidRPr="009C7F96">
        <w:rPr>
          <w:rFonts w:cs="Times New Roman"/>
          <w:szCs w:val="24"/>
          <w:lang w:val="pt-BR"/>
        </w:rPr>
        <w:t>increase</w:t>
      </w:r>
      <w:proofErr w:type="spellEnd"/>
      <w:r w:rsidRPr="009C7F96">
        <w:rPr>
          <w:rFonts w:cs="Times New Roman"/>
          <w:szCs w:val="24"/>
          <w:lang w:val="pt-BR"/>
        </w:rPr>
        <w:t>, isto é, uma medida que considera apenas aumentos do preço do petróleo acima do maior valor observado em determinado período anterior. De forma simplificada, essa medida pode ser escrita como:</w:t>
      </w:r>
    </w:p>
    <w:p w14:paraId="20AC2ED0" w14:textId="77777777" w:rsidR="008E44CC" w:rsidRPr="009C7F96" w:rsidRDefault="008E44CC" w:rsidP="008E44CC">
      <w:pPr>
        <w:rPr>
          <w:rFonts w:cs="Times New Roman"/>
          <w:szCs w:val="24"/>
          <w:lang w:val="pt-BR"/>
        </w:rPr>
      </w:pPr>
    </w:p>
    <w:p w14:paraId="088C9F9B"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NOPIₜ = </w:t>
      </w:r>
      <w:proofErr w:type="spellStart"/>
      <w:proofErr w:type="gramStart"/>
      <w:r w:rsidRPr="009C7F96">
        <w:rPr>
          <w:rFonts w:cs="Times New Roman"/>
          <w:szCs w:val="24"/>
          <w:lang w:val="pt-BR"/>
        </w:rPr>
        <w:t>max</w:t>
      </w:r>
      <w:proofErr w:type="spellEnd"/>
      <w:r w:rsidRPr="009C7F96">
        <w:rPr>
          <w:rFonts w:cs="Times New Roman"/>
          <w:szCs w:val="24"/>
          <w:lang w:val="pt-BR"/>
        </w:rPr>
        <w:t>{</w:t>
      </w:r>
      <w:proofErr w:type="gramEnd"/>
      <w:r w:rsidRPr="009C7F96">
        <w:rPr>
          <w:rFonts w:cs="Times New Roman"/>
          <w:szCs w:val="24"/>
          <w:lang w:val="pt-BR"/>
        </w:rPr>
        <w:t xml:space="preserve">0, </w:t>
      </w:r>
      <w:proofErr w:type="spellStart"/>
      <w:r w:rsidRPr="009C7F96">
        <w:rPr>
          <w:rFonts w:cs="Times New Roman"/>
          <w:szCs w:val="24"/>
          <w:lang w:val="pt-BR"/>
        </w:rPr>
        <w:t>ln</w:t>
      </w:r>
      <w:proofErr w:type="spellEnd"/>
      <w:r w:rsidRPr="009C7F96">
        <w:rPr>
          <w:rFonts w:cs="Times New Roman"/>
          <w:szCs w:val="24"/>
          <w:lang w:val="pt-BR"/>
        </w:rPr>
        <w:t>(Pₜ</w:t>
      </w:r>
      <w:r w:rsidRPr="009C7F96">
        <w:rPr>
          <w:rFonts w:cs="Times New Roman"/>
          <w:szCs w:val="24"/>
        </w:rPr>
        <w:t>ᵒ</w:t>
      </w:r>
      <w:r w:rsidRPr="009C7F96">
        <w:rPr>
          <w:rFonts w:cs="Times New Roman"/>
          <w:szCs w:val="24"/>
          <w:lang w:val="pt-BR"/>
        </w:rPr>
        <w:t xml:space="preserve">ⁱˡ) - </w:t>
      </w:r>
      <w:proofErr w:type="spellStart"/>
      <w:r w:rsidRPr="009C7F96">
        <w:rPr>
          <w:rFonts w:cs="Times New Roman"/>
          <w:szCs w:val="24"/>
          <w:lang w:val="pt-BR"/>
        </w:rPr>
        <w:t>max</w:t>
      </w:r>
      <w:proofErr w:type="spellEnd"/>
      <w:r w:rsidRPr="009C7F96">
        <w:rPr>
          <w:rFonts w:cs="Times New Roman"/>
          <w:szCs w:val="24"/>
          <w:lang w:val="pt-BR"/>
        </w:rPr>
        <w:t>[</w:t>
      </w:r>
      <w:proofErr w:type="spellStart"/>
      <w:r w:rsidRPr="009C7F96">
        <w:rPr>
          <w:rFonts w:cs="Times New Roman"/>
          <w:szCs w:val="24"/>
          <w:lang w:val="pt-BR"/>
        </w:rPr>
        <w:t>ln</w:t>
      </w:r>
      <w:proofErr w:type="spellEnd"/>
      <w:r w:rsidRPr="009C7F96">
        <w:rPr>
          <w:rFonts w:cs="Times New Roman"/>
          <w:szCs w:val="24"/>
          <w:lang w:val="pt-BR"/>
        </w:rPr>
        <w:t>(Pₜ₋₁</w:t>
      </w:r>
      <w:r w:rsidRPr="009C7F96">
        <w:rPr>
          <w:rFonts w:cs="Times New Roman"/>
          <w:szCs w:val="24"/>
        </w:rPr>
        <w:t>ᵒ</w:t>
      </w:r>
      <w:r w:rsidRPr="009C7F96">
        <w:rPr>
          <w:rFonts w:cs="Times New Roman"/>
          <w:szCs w:val="24"/>
          <w:lang w:val="pt-BR"/>
        </w:rPr>
        <w:t xml:space="preserve">ⁱˡ), ..., </w:t>
      </w:r>
      <w:proofErr w:type="spellStart"/>
      <w:r w:rsidRPr="009C7F96">
        <w:rPr>
          <w:rFonts w:cs="Times New Roman"/>
          <w:szCs w:val="24"/>
          <w:lang w:val="pt-BR"/>
        </w:rPr>
        <w:t>ln</w:t>
      </w:r>
      <w:proofErr w:type="spellEnd"/>
      <w:r w:rsidRPr="009C7F96">
        <w:rPr>
          <w:rFonts w:cs="Times New Roman"/>
          <w:szCs w:val="24"/>
          <w:lang w:val="pt-BR"/>
        </w:rPr>
        <w:t>(Pₜ₋₁₂</w:t>
      </w:r>
      <w:r w:rsidRPr="009C7F96">
        <w:rPr>
          <w:rFonts w:cs="Times New Roman"/>
          <w:szCs w:val="24"/>
        </w:rPr>
        <w:t>ᵒ</w:t>
      </w:r>
      <w:r w:rsidRPr="009C7F96">
        <w:rPr>
          <w:rFonts w:cs="Times New Roman"/>
          <w:szCs w:val="24"/>
          <w:lang w:val="pt-BR"/>
        </w:rPr>
        <w:t>ⁱˡ)</w:t>
      </w:r>
      <w:proofErr w:type="gramStart"/>
      <w:r w:rsidRPr="009C7F96">
        <w:rPr>
          <w:rFonts w:cs="Times New Roman"/>
          <w:szCs w:val="24"/>
          <w:lang w:val="pt-BR"/>
        </w:rPr>
        <w:t>]}      (</w:t>
      </w:r>
      <w:proofErr w:type="gramEnd"/>
      <w:r w:rsidRPr="009C7F96">
        <w:rPr>
          <w:rFonts w:cs="Times New Roman"/>
          <w:szCs w:val="24"/>
          <w:lang w:val="pt-BR"/>
        </w:rPr>
        <w:t>1)</w:t>
      </w:r>
    </w:p>
    <w:p w14:paraId="15D3C013" w14:textId="77777777" w:rsidR="008E44CC" w:rsidRPr="009C7F96" w:rsidRDefault="008E44CC" w:rsidP="008E44CC">
      <w:pPr>
        <w:rPr>
          <w:rFonts w:cs="Times New Roman"/>
          <w:szCs w:val="24"/>
          <w:lang w:val="pt-BR"/>
        </w:rPr>
      </w:pPr>
    </w:p>
    <w:p w14:paraId="777C464E" w14:textId="77777777" w:rsidR="008E44CC" w:rsidRPr="009C7F96" w:rsidRDefault="008E44CC" w:rsidP="008E44CC">
      <w:pPr>
        <w:spacing w:after="120"/>
        <w:rPr>
          <w:rFonts w:cs="Times New Roman"/>
          <w:szCs w:val="24"/>
          <w:lang w:val="pt-BR"/>
        </w:rPr>
      </w:pPr>
      <w:r w:rsidRPr="009C7F96">
        <w:rPr>
          <w:rFonts w:cs="Times New Roman"/>
          <w:szCs w:val="24"/>
          <w:lang w:val="pt-BR"/>
        </w:rPr>
        <w:t>Em que NOPIₜ representa o aumento líquido do preço do petróleo no período t e Pₜ</w:t>
      </w:r>
      <w:r w:rsidRPr="009C7F96">
        <w:rPr>
          <w:rFonts w:cs="Times New Roman"/>
          <w:szCs w:val="24"/>
        </w:rPr>
        <w:t>ᵒ</w:t>
      </w:r>
      <w:r w:rsidRPr="009C7F96">
        <w:rPr>
          <w:rFonts w:cs="Times New Roman"/>
          <w:szCs w:val="24"/>
          <w:lang w:val="pt-BR"/>
        </w:rPr>
        <w:t xml:space="preserve">ⁱˡ representa o preço do petróleo. A intuição dessa medida é que pequenas variações ou movimentos que apenas recuperam quedas anteriores podem não ter o mesmo efeito macroeconômico que uma alta capaz de superar o pico recente. Para o presente trabalho, essa formulação é útil porque mostra </w:t>
      </w:r>
      <w:r w:rsidRPr="009C7F96">
        <w:rPr>
          <w:rFonts w:cs="Times New Roman"/>
          <w:szCs w:val="24"/>
          <w:lang w:val="pt-BR"/>
        </w:rPr>
        <w:lastRenderedPageBreak/>
        <w:t>que o impacto inflacionário do petróleo pode depender da intensidade e da novidade do choque, e não apenas da variação mensal do barril.</w:t>
      </w:r>
    </w:p>
    <w:p w14:paraId="75A2216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Com o avanço da literatura, tornou-se claro que nem toda elevação do preço do petróleo possui a mesma origem. </w:t>
      </w:r>
      <w:proofErr w:type="spellStart"/>
      <w:r w:rsidRPr="009C7F96">
        <w:rPr>
          <w:rFonts w:cs="Times New Roman"/>
          <w:szCs w:val="24"/>
          <w:lang w:val="pt-BR"/>
        </w:rPr>
        <w:t>Kilian</w:t>
      </w:r>
      <w:proofErr w:type="spellEnd"/>
      <w:r w:rsidRPr="009C7F96">
        <w:rPr>
          <w:rFonts w:cs="Times New Roman"/>
          <w:szCs w:val="24"/>
          <w:lang w:val="pt-BR"/>
        </w:rPr>
        <w:t xml:space="preserve"> (2009) argumenta que movimentos do preço do petróleo podem refletir choques de oferta, choques de demanda agregada global ou choques de demanda específica por petróleo, como aqueles associados à demanda precaucional. Essa distinção é essencial porque um aumento do petróleo causado por forte demanda global pode vir acompanhado de maior atividade econômica, enquanto um aumento causado por restrição de oferta pode ter efeitos mais diretamente contracionistas e inflacionários.</w:t>
      </w:r>
    </w:p>
    <w:p w14:paraId="67E7A0F7"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decomposição proposta por </w:t>
      </w:r>
      <w:proofErr w:type="spellStart"/>
      <w:r w:rsidRPr="009C7F96">
        <w:rPr>
          <w:rFonts w:cs="Times New Roman"/>
          <w:szCs w:val="24"/>
          <w:lang w:val="pt-BR"/>
        </w:rPr>
        <w:t>Kilian</w:t>
      </w:r>
      <w:proofErr w:type="spellEnd"/>
      <w:r w:rsidRPr="009C7F96">
        <w:rPr>
          <w:rFonts w:cs="Times New Roman"/>
          <w:szCs w:val="24"/>
          <w:lang w:val="pt-BR"/>
        </w:rPr>
        <w:t xml:space="preserve"> pode ser representada por um sistema estrutural que relaciona produção mundial de petróleo, atividade econômica global e preço real do petróleo:</w:t>
      </w:r>
    </w:p>
    <w:p w14:paraId="3C170104" w14:textId="77777777" w:rsidR="008E44CC" w:rsidRPr="009C7F96" w:rsidRDefault="008E44CC" w:rsidP="008E44CC">
      <w:pPr>
        <w:rPr>
          <w:rFonts w:cs="Times New Roman"/>
          <w:szCs w:val="24"/>
          <w:lang w:val="pt-BR"/>
        </w:rPr>
      </w:pPr>
    </w:p>
    <w:p w14:paraId="598ED5C3"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A₀ yₜ = </w:t>
      </w:r>
      <w:r w:rsidRPr="009C7F96">
        <w:rPr>
          <w:rFonts w:cs="Times New Roman"/>
          <w:szCs w:val="24"/>
        </w:rPr>
        <w:t>α</w:t>
      </w:r>
      <w:r w:rsidRPr="009C7F96">
        <w:rPr>
          <w:rFonts w:cs="Times New Roman"/>
          <w:szCs w:val="24"/>
          <w:lang w:val="pt-BR"/>
        </w:rPr>
        <w:t xml:space="preserve"> + </w:t>
      </w:r>
      <w:r w:rsidRPr="009C7F96">
        <w:rPr>
          <w:rFonts w:cs="Times New Roman"/>
          <w:szCs w:val="24"/>
        </w:rPr>
        <w:t>Σ</w:t>
      </w:r>
      <w:r w:rsidRPr="009C7F96">
        <w:rPr>
          <w:rFonts w:cs="Times New Roman"/>
          <w:szCs w:val="24"/>
          <w:lang w:val="pt-BR"/>
        </w:rPr>
        <w:t>_{i=</w:t>
      </w:r>
      <w:proofErr w:type="gramStart"/>
      <w:r w:rsidRPr="009C7F96">
        <w:rPr>
          <w:rFonts w:cs="Times New Roman"/>
          <w:szCs w:val="24"/>
          <w:lang w:val="pt-BR"/>
        </w:rPr>
        <w:t>1}^</w:t>
      </w:r>
      <w:proofErr w:type="gramEnd"/>
      <w:r w:rsidRPr="009C7F96">
        <w:rPr>
          <w:rFonts w:cs="Times New Roman"/>
          <w:szCs w:val="24"/>
          <w:lang w:val="pt-BR"/>
        </w:rPr>
        <w:t>{p} A</w:t>
      </w:r>
      <w:r w:rsidRPr="009C7F96">
        <w:rPr>
          <w:rFonts w:cs="Times New Roman"/>
          <w:szCs w:val="24"/>
        </w:rPr>
        <w:t>ᵢ</w:t>
      </w:r>
      <w:r w:rsidRPr="009C7F96">
        <w:rPr>
          <w:rFonts w:cs="Times New Roman"/>
          <w:szCs w:val="24"/>
          <w:lang w:val="pt-BR"/>
        </w:rPr>
        <w:t xml:space="preserve"> yₜ₋</w:t>
      </w:r>
      <w:r w:rsidRPr="009C7F96">
        <w:rPr>
          <w:rFonts w:cs="Times New Roman"/>
          <w:szCs w:val="24"/>
        </w:rPr>
        <w:t>ᵢ</w:t>
      </w:r>
      <w:r w:rsidRPr="009C7F96">
        <w:rPr>
          <w:rFonts w:cs="Times New Roman"/>
          <w:szCs w:val="24"/>
          <w:lang w:val="pt-BR"/>
        </w:rPr>
        <w:t xml:space="preserve"> + </w:t>
      </w:r>
      <w:proofErr w:type="gramStart"/>
      <w:r w:rsidRPr="009C7F96">
        <w:rPr>
          <w:rFonts w:cs="Times New Roman"/>
          <w:szCs w:val="24"/>
        </w:rPr>
        <w:t>ε</w:t>
      </w:r>
      <w:r w:rsidRPr="009C7F96">
        <w:rPr>
          <w:rFonts w:cs="Times New Roman"/>
          <w:szCs w:val="24"/>
          <w:lang w:val="pt-BR"/>
        </w:rPr>
        <w:t xml:space="preserve">ₜ,   </w:t>
      </w:r>
      <w:proofErr w:type="gramEnd"/>
      <w:r w:rsidRPr="009C7F96">
        <w:rPr>
          <w:rFonts w:cs="Times New Roman"/>
          <w:szCs w:val="24"/>
          <w:lang w:val="pt-BR"/>
        </w:rPr>
        <w:t xml:space="preserve"> yₜ = [</w:t>
      </w:r>
      <w:r w:rsidRPr="009C7F96">
        <w:rPr>
          <w:rFonts w:cs="Times New Roman"/>
          <w:szCs w:val="24"/>
        </w:rPr>
        <w:t>Δ</w:t>
      </w:r>
      <w:proofErr w:type="spellStart"/>
      <w:r w:rsidRPr="009C7F96">
        <w:rPr>
          <w:rFonts w:cs="Times New Roman"/>
          <w:szCs w:val="24"/>
          <w:lang w:val="pt-BR"/>
        </w:rPr>
        <w:t>prod</w:t>
      </w:r>
      <w:proofErr w:type="spellEnd"/>
      <w:r w:rsidRPr="009C7F96">
        <w:rPr>
          <w:rFonts w:cs="Times New Roman"/>
          <w:szCs w:val="24"/>
          <w:lang w:val="pt-BR"/>
        </w:rPr>
        <w:t>ₜ</w:t>
      </w:r>
      <w:r w:rsidRPr="009C7F96">
        <w:rPr>
          <w:rFonts w:cs="Times New Roman"/>
          <w:szCs w:val="24"/>
        </w:rPr>
        <w:t>ᵒ</w:t>
      </w:r>
      <w:r w:rsidRPr="009C7F96">
        <w:rPr>
          <w:rFonts w:cs="Times New Roman"/>
          <w:szCs w:val="24"/>
          <w:lang w:val="pt-BR"/>
        </w:rPr>
        <w:t xml:space="preserve">ⁱˡ, </w:t>
      </w:r>
      <w:proofErr w:type="spellStart"/>
      <w:r w:rsidRPr="009C7F96">
        <w:rPr>
          <w:rFonts w:cs="Times New Roman"/>
          <w:szCs w:val="24"/>
          <w:lang w:val="pt-BR"/>
        </w:rPr>
        <w:t>rea</w:t>
      </w:r>
      <w:proofErr w:type="spellEnd"/>
      <w:r w:rsidRPr="009C7F96">
        <w:rPr>
          <w:rFonts w:cs="Times New Roman"/>
          <w:szCs w:val="24"/>
          <w:lang w:val="pt-BR"/>
        </w:rPr>
        <w:t xml:space="preserve">ₜ, </w:t>
      </w:r>
      <w:proofErr w:type="spellStart"/>
      <w:proofErr w:type="gramStart"/>
      <w:r w:rsidRPr="009C7F96">
        <w:rPr>
          <w:rFonts w:cs="Times New Roman"/>
          <w:szCs w:val="24"/>
          <w:lang w:val="pt-BR"/>
        </w:rPr>
        <w:t>rpo</w:t>
      </w:r>
      <w:proofErr w:type="spellEnd"/>
      <w:r w:rsidRPr="009C7F96">
        <w:rPr>
          <w:rFonts w:cs="Times New Roman"/>
          <w:szCs w:val="24"/>
          <w:lang w:val="pt-BR"/>
        </w:rPr>
        <w:t>ₜ]′</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w:t>
      </w:r>
    </w:p>
    <w:p w14:paraId="57AB757A" w14:textId="77777777" w:rsidR="008E44CC" w:rsidRPr="009C7F96" w:rsidRDefault="008E44CC" w:rsidP="008E44CC">
      <w:pPr>
        <w:rPr>
          <w:rFonts w:cs="Times New Roman"/>
          <w:szCs w:val="24"/>
          <w:lang w:val="pt-BR"/>
        </w:rPr>
      </w:pPr>
    </w:p>
    <w:p w14:paraId="67C6A8C7"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formulação, </w:t>
      </w:r>
      <w:r w:rsidRPr="009C7F96">
        <w:rPr>
          <w:rFonts w:cs="Times New Roman"/>
          <w:szCs w:val="24"/>
        </w:rPr>
        <w:t>Δ</w:t>
      </w:r>
      <w:proofErr w:type="spellStart"/>
      <w:r w:rsidRPr="009C7F96">
        <w:rPr>
          <w:rFonts w:cs="Times New Roman"/>
          <w:szCs w:val="24"/>
          <w:lang w:val="pt-BR"/>
        </w:rPr>
        <w:t>prod</w:t>
      </w:r>
      <w:proofErr w:type="spellEnd"/>
      <w:r w:rsidRPr="009C7F96">
        <w:rPr>
          <w:rFonts w:cs="Times New Roman"/>
          <w:szCs w:val="24"/>
          <w:lang w:val="pt-BR"/>
        </w:rPr>
        <w:t>ₜ</w:t>
      </w:r>
      <w:r w:rsidRPr="009C7F96">
        <w:rPr>
          <w:rFonts w:cs="Times New Roman"/>
          <w:szCs w:val="24"/>
        </w:rPr>
        <w:t>ᵒ</w:t>
      </w:r>
      <w:r w:rsidRPr="009C7F96">
        <w:rPr>
          <w:rFonts w:cs="Times New Roman"/>
          <w:szCs w:val="24"/>
          <w:lang w:val="pt-BR"/>
        </w:rPr>
        <w:t xml:space="preserve">ⁱˡ representa a variação da produção mundial de petróleo, </w:t>
      </w:r>
      <w:proofErr w:type="spellStart"/>
      <w:r w:rsidRPr="009C7F96">
        <w:rPr>
          <w:rFonts w:cs="Times New Roman"/>
          <w:szCs w:val="24"/>
          <w:lang w:val="pt-BR"/>
        </w:rPr>
        <w:t>rea</w:t>
      </w:r>
      <w:proofErr w:type="spellEnd"/>
      <w:r w:rsidRPr="009C7F96">
        <w:rPr>
          <w:rFonts w:cs="Times New Roman"/>
          <w:szCs w:val="24"/>
          <w:lang w:val="pt-BR"/>
        </w:rPr>
        <w:t xml:space="preserve">ₜ é uma medida de atividade econômica global, </w:t>
      </w:r>
      <w:proofErr w:type="spellStart"/>
      <w:r w:rsidRPr="009C7F96">
        <w:rPr>
          <w:rFonts w:cs="Times New Roman"/>
          <w:szCs w:val="24"/>
          <w:lang w:val="pt-BR"/>
        </w:rPr>
        <w:t>rpo</w:t>
      </w:r>
      <w:proofErr w:type="spellEnd"/>
      <w:r w:rsidRPr="009C7F96">
        <w:rPr>
          <w:rFonts w:cs="Times New Roman"/>
          <w:szCs w:val="24"/>
          <w:lang w:val="pt-BR"/>
        </w:rPr>
        <w:t xml:space="preserve">ₜ é o preço real do petróleo e </w:t>
      </w:r>
      <w:r w:rsidRPr="009C7F96">
        <w:rPr>
          <w:rFonts w:cs="Times New Roman"/>
          <w:szCs w:val="24"/>
        </w:rPr>
        <w:t>ε</w:t>
      </w:r>
      <w:r w:rsidRPr="009C7F96">
        <w:rPr>
          <w:rFonts w:cs="Times New Roman"/>
          <w:szCs w:val="24"/>
          <w:lang w:val="pt-BR"/>
        </w:rPr>
        <w:t>ₜ reúne os choques estruturais. A principal implicação dessa equação para a presente pesquisa é que o preço do barril não deve ser analisado apenas como variável exógena única. A origem do choque importa para a magnitude, a duração e o canal de transmissão para a inflação brasileira.</w:t>
      </w:r>
    </w:p>
    <w:p w14:paraId="4B45C3DE"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literatura também mostra que o efeito do petróleo sobre a inflação não é uniforme entre todos os componentes dos índices de preços. </w:t>
      </w:r>
      <w:proofErr w:type="spellStart"/>
      <w:r w:rsidRPr="009C7F96">
        <w:rPr>
          <w:rFonts w:cs="Times New Roman"/>
          <w:szCs w:val="24"/>
          <w:lang w:val="pt-BR"/>
        </w:rPr>
        <w:t>Hooker</w:t>
      </w:r>
      <w:proofErr w:type="spellEnd"/>
      <w:r w:rsidRPr="009C7F96">
        <w:rPr>
          <w:rFonts w:cs="Times New Roman"/>
          <w:szCs w:val="24"/>
          <w:lang w:val="pt-BR"/>
        </w:rPr>
        <w:t xml:space="preserve"> (2002) observa que, a partir dos anos 1980, o impacto do petróleo sobre a inflação norte-americana tornou-se mais concentrado nos componentes diretamente ligados à energia, com menor disseminação para medidas de núcleo. Esse resultado é relevante para o caso brasileiro porque sugere que o IPCA cheio pode esconder mecanismos importantes quando analisado de forma agregada. Por isso, torna-se necessário separar o IPCA geral, o IPCA de transportes e os subitens diretamente ligados a combustíveis.</w:t>
      </w:r>
    </w:p>
    <w:p w14:paraId="4E77F2DD"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Blanchard e </w:t>
      </w:r>
      <w:proofErr w:type="spellStart"/>
      <w:r w:rsidRPr="009C7F96">
        <w:rPr>
          <w:rFonts w:cs="Times New Roman"/>
          <w:szCs w:val="24"/>
          <w:lang w:val="pt-BR"/>
        </w:rPr>
        <w:t>Galí</w:t>
      </w:r>
      <w:proofErr w:type="spellEnd"/>
      <w:r w:rsidRPr="009C7F96">
        <w:rPr>
          <w:rFonts w:cs="Times New Roman"/>
          <w:szCs w:val="24"/>
          <w:lang w:val="pt-BR"/>
        </w:rPr>
        <w:t xml:space="preserve"> (2007) reforçam essa leitura ao comparar os choques dos anos 1970 com choques posteriores. Os autores mostram que os efeitos macroeconômicos do petróleo se tornaram menos severos em economias avançadas, resultado associado a menor intensidade energética, </w:t>
      </w:r>
      <w:r w:rsidRPr="009C7F96">
        <w:rPr>
          <w:rFonts w:cs="Times New Roman"/>
          <w:szCs w:val="24"/>
          <w:lang w:val="pt-BR"/>
        </w:rPr>
        <w:lastRenderedPageBreak/>
        <w:t>maior flexibilidade dos mercados e maior credibilidade da política monetária. A contribuição desse estudo está em mostrar que o repasse do petróleo à inflação depende do regime macroeconômico e institucional. Assim, não se deve presumir um coeficiente fixo de transmissão ao longo do tempo.</w:t>
      </w:r>
    </w:p>
    <w:p w14:paraId="6AACF29B" w14:textId="77777777" w:rsidR="008E44CC" w:rsidRPr="009C7F96" w:rsidRDefault="008E44CC" w:rsidP="008E44CC">
      <w:pPr>
        <w:pStyle w:val="Heading2"/>
        <w:spacing w:before="240" w:after="120"/>
        <w:jc w:val="both"/>
        <w:rPr>
          <w:rFonts w:cs="Times New Roman"/>
          <w:szCs w:val="24"/>
        </w:rPr>
      </w:pPr>
      <w:bookmarkStart w:id="7" w:name="_Toc229695934"/>
      <w:r w:rsidRPr="009C7F96">
        <w:rPr>
          <w:rFonts w:ascii="Times New Roman" w:eastAsia="Times New Roman" w:hAnsi="Times New Roman" w:cs="Times New Roman"/>
          <w:szCs w:val="24"/>
        </w:rPr>
        <w:t xml:space="preserve">2.2 Petróleo em moeda doméstica, câmbio e </w:t>
      </w:r>
      <w:proofErr w:type="spellStart"/>
      <w:r w:rsidRPr="009C7F96">
        <w:rPr>
          <w:rFonts w:ascii="Times New Roman" w:eastAsia="Times New Roman" w:hAnsi="Times New Roman" w:cs="Times New Roman"/>
          <w:szCs w:val="24"/>
        </w:rPr>
        <w:t>pass-through</w:t>
      </w:r>
      <w:proofErr w:type="spellEnd"/>
      <w:r w:rsidRPr="009C7F96">
        <w:rPr>
          <w:rFonts w:ascii="Times New Roman" w:eastAsia="Times New Roman" w:hAnsi="Times New Roman" w:cs="Times New Roman"/>
          <w:szCs w:val="24"/>
        </w:rPr>
        <w:t xml:space="preserve"> inflacionário</w:t>
      </w:r>
      <w:bookmarkEnd w:id="7"/>
    </w:p>
    <w:p w14:paraId="07E41AD9" w14:textId="77777777" w:rsidR="008E44CC" w:rsidRPr="009C7F96" w:rsidRDefault="008E44CC" w:rsidP="008E44CC">
      <w:pPr>
        <w:spacing w:after="120"/>
        <w:rPr>
          <w:rFonts w:cs="Times New Roman"/>
          <w:szCs w:val="24"/>
          <w:lang w:val="pt-BR"/>
        </w:rPr>
      </w:pPr>
      <w:r w:rsidRPr="009C7F96">
        <w:rPr>
          <w:rFonts w:cs="Times New Roman"/>
          <w:szCs w:val="24"/>
          <w:lang w:val="pt-BR"/>
        </w:rPr>
        <w:t>Em economias abertas, a transmissão do petróleo para a inflação depende não apenas do preço internacional em dólares, mas também da taxa de câmbio. Para países como o Brasil, o choque relevante para empresas, refinarias, importadores e consumidores é o preço do petróleo em reais. Esse mecanismo pode ser representado por:</w:t>
      </w:r>
    </w:p>
    <w:p w14:paraId="54E6B7F2" w14:textId="77777777" w:rsidR="008E44CC" w:rsidRPr="009C7F96" w:rsidRDefault="008E44CC" w:rsidP="008E44CC">
      <w:pPr>
        <w:rPr>
          <w:rFonts w:cs="Times New Roman"/>
          <w:szCs w:val="24"/>
          <w:lang w:val="pt-BR"/>
        </w:rPr>
      </w:pPr>
    </w:p>
    <w:p w14:paraId="322B92D6"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 Eₜ ·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ᵁ</w:t>
      </w:r>
      <w:r w:rsidRPr="009C7F96">
        <w:rPr>
          <w:rFonts w:cs="Times New Roman"/>
          <w:szCs w:val="24"/>
          <w:lang w:val="pt-BR"/>
        </w:rPr>
        <w:t>ˢ</w:t>
      </w:r>
      <w:r w:rsidRPr="009C7F96">
        <w:rPr>
          <w:rFonts w:cs="Times New Roman"/>
          <w:szCs w:val="24"/>
        </w:rPr>
        <w:t>ᴰ</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3)</w:t>
      </w:r>
    </w:p>
    <w:p w14:paraId="4CACE000" w14:textId="77777777" w:rsidR="008E44CC" w:rsidRPr="009C7F96" w:rsidRDefault="008E44CC" w:rsidP="008E44CC">
      <w:pPr>
        <w:rPr>
          <w:rFonts w:cs="Times New Roman"/>
          <w:szCs w:val="24"/>
          <w:lang w:val="pt-BR"/>
        </w:rPr>
      </w:pPr>
    </w:p>
    <w:p w14:paraId="1F1A4C0D" w14:textId="77777777" w:rsidR="008E44CC" w:rsidRPr="009C7F96" w:rsidRDefault="008E44CC" w:rsidP="008E44CC">
      <w:pPr>
        <w:spacing w:after="120"/>
        <w:rPr>
          <w:rFonts w:cs="Times New Roman"/>
          <w:szCs w:val="24"/>
          <w:lang w:val="pt-BR"/>
        </w:rPr>
      </w:pPr>
      <w:r w:rsidRPr="009C7F96">
        <w:rPr>
          <w:rFonts w:cs="Times New Roman"/>
          <w:szCs w:val="24"/>
          <w:lang w:val="pt-BR"/>
        </w:rPr>
        <w:t>Em que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representa o preço do petróleo em moeda doméstica, Eₜ é a taxa de câmbio nominal, medida em reais por dólar, e 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ᵁ</w:t>
      </w:r>
      <w:r w:rsidRPr="009C7F96">
        <w:rPr>
          <w:rFonts w:cs="Times New Roman"/>
          <w:szCs w:val="24"/>
          <w:lang w:val="pt-BR"/>
        </w:rPr>
        <w:t>ˢ</w:t>
      </w:r>
      <w:r w:rsidRPr="009C7F96">
        <w:rPr>
          <w:rFonts w:cs="Times New Roman"/>
          <w:szCs w:val="24"/>
        </w:rPr>
        <w:t>ᴰ</w:t>
      </w:r>
      <w:proofErr w:type="gramEnd"/>
      <w:r w:rsidRPr="009C7F96">
        <w:rPr>
          <w:rFonts w:cs="Times New Roman"/>
          <w:szCs w:val="24"/>
          <w:lang w:val="pt-BR"/>
        </w:rPr>
        <w:t xml:space="preserve"> é o preço internacional do petróleo em dólares. A equação mostra que a inflação doméstica pode ser pressionada tanto por alta do barril em dólar quanto por depreciação cambial. No caso brasileiro, essa distinção é decisiva, pois choques externos frequentemente chegam ao mercado doméstico combinados com movimentos relevantes da taxa de câmbio.</w:t>
      </w:r>
    </w:p>
    <w:p w14:paraId="4EE43F5A" w14:textId="77777777" w:rsidR="008E44CC" w:rsidRPr="009C7F96" w:rsidRDefault="008E44CC" w:rsidP="008E44CC">
      <w:pPr>
        <w:spacing w:after="120"/>
        <w:rPr>
          <w:rFonts w:cs="Times New Roman"/>
          <w:szCs w:val="24"/>
          <w:lang w:val="pt-BR"/>
        </w:rPr>
      </w:pPr>
      <w:r w:rsidRPr="009C7F96">
        <w:rPr>
          <w:rFonts w:cs="Times New Roman"/>
          <w:szCs w:val="24"/>
          <w:lang w:val="pt-BR"/>
        </w:rPr>
        <w:t>A relação entre petróleo, câmbio e inflação pode ser incorporada a uma curva de Phillips aberta. Em uma forma reduzida, a inflação depende de expectativas, inércia, hiato do produto e fatores externos, como câmbio e commodities:</w:t>
      </w:r>
    </w:p>
    <w:p w14:paraId="255F351E" w14:textId="77777777" w:rsidR="008E44CC" w:rsidRPr="009C7F96" w:rsidRDefault="008E44CC" w:rsidP="008E44CC">
      <w:pPr>
        <w:rPr>
          <w:rFonts w:cs="Times New Roman"/>
          <w:szCs w:val="24"/>
          <w:lang w:val="pt-BR"/>
        </w:rPr>
      </w:pPr>
    </w:p>
    <w:p w14:paraId="50857612" w14:textId="77777777" w:rsidR="008E44CC" w:rsidRPr="009C7F96" w:rsidRDefault="008E44CC" w:rsidP="008E44CC">
      <w:pPr>
        <w:spacing w:before="120" w:after="120"/>
        <w:rPr>
          <w:rFonts w:cs="Times New Roman"/>
          <w:szCs w:val="24"/>
          <w:lang w:val="pt-BR"/>
        </w:rPr>
      </w:pPr>
      <w:r w:rsidRPr="009C7F96">
        <w:rPr>
          <w:rFonts w:cs="Times New Roman"/>
          <w:szCs w:val="24"/>
        </w:rPr>
        <w:t>π</w:t>
      </w:r>
      <w:r w:rsidRPr="009C7F96">
        <w:rPr>
          <w:rFonts w:cs="Times New Roman"/>
          <w:szCs w:val="24"/>
          <w:lang w:val="pt-BR"/>
        </w:rPr>
        <w:t xml:space="preserve">ₜ = </w:t>
      </w:r>
      <w:r w:rsidRPr="009C7F96">
        <w:rPr>
          <w:rFonts w:cs="Times New Roman"/>
          <w:szCs w:val="24"/>
        </w:rPr>
        <w:t>α</w:t>
      </w:r>
      <w:r w:rsidRPr="009C7F96">
        <w:rPr>
          <w:rFonts w:cs="Times New Roman"/>
          <w:szCs w:val="24"/>
          <w:lang w:val="pt-BR"/>
        </w:rPr>
        <w:t xml:space="preserve"> + </w:t>
      </w:r>
      <w:r w:rsidRPr="009C7F96">
        <w:rPr>
          <w:rFonts w:cs="Times New Roman"/>
          <w:szCs w:val="24"/>
        </w:rPr>
        <w:t>β</w:t>
      </w:r>
      <w:r w:rsidRPr="009C7F96">
        <w:rPr>
          <w:rFonts w:cs="Times New Roman"/>
          <w:szCs w:val="24"/>
          <w:lang w:val="pt-BR"/>
        </w:rPr>
        <w:t>₁ Eₜ(</w:t>
      </w:r>
      <w:r w:rsidRPr="009C7F96">
        <w:rPr>
          <w:rFonts w:cs="Times New Roman"/>
          <w:szCs w:val="24"/>
        </w:rPr>
        <w:t>π</w:t>
      </w:r>
      <w:r w:rsidRPr="009C7F96">
        <w:rPr>
          <w:rFonts w:cs="Times New Roman"/>
          <w:szCs w:val="24"/>
          <w:lang w:val="pt-BR"/>
        </w:rPr>
        <w:t xml:space="preserve">ₜ₊₁) + </w:t>
      </w:r>
      <w:r w:rsidRPr="009C7F96">
        <w:rPr>
          <w:rFonts w:cs="Times New Roman"/>
          <w:szCs w:val="24"/>
        </w:rPr>
        <w:t>β</w:t>
      </w:r>
      <w:r w:rsidRPr="009C7F96">
        <w:rPr>
          <w:rFonts w:cs="Times New Roman"/>
          <w:szCs w:val="24"/>
          <w:lang w:val="pt-BR"/>
        </w:rPr>
        <w:t xml:space="preserve">₂ </w:t>
      </w:r>
      <w:r w:rsidRPr="009C7F96">
        <w:rPr>
          <w:rFonts w:cs="Times New Roman"/>
          <w:szCs w:val="24"/>
        </w:rPr>
        <w:t>π</w:t>
      </w:r>
      <w:r w:rsidRPr="009C7F96">
        <w:rPr>
          <w:rFonts w:cs="Times New Roman"/>
          <w:szCs w:val="24"/>
          <w:lang w:val="pt-BR"/>
        </w:rPr>
        <w:t xml:space="preserve">ₜ₋₁ + </w:t>
      </w:r>
      <w:r w:rsidRPr="009C7F96">
        <w:rPr>
          <w:rFonts w:cs="Times New Roman"/>
          <w:szCs w:val="24"/>
        </w:rPr>
        <w:t>β</w:t>
      </w:r>
      <w:r w:rsidRPr="009C7F96">
        <w:rPr>
          <w:rFonts w:cs="Times New Roman"/>
          <w:szCs w:val="24"/>
          <w:lang w:val="pt-BR"/>
        </w:rPr>
        <w:t xml:space="preserve">₃ yₜ + </w:t>
      </w:r>
      <w:r w:rsidRPr="009C7F96">
        <w:rPr>
          <w:rFonts w:cs="Times New Roman"/>
          <w:szCs w:val="24"/>
        </w:rPr>
        <w:t>β</w:t>
      </w:r>
      <w:r w:rsidRPr="009C7F96">
        <w:rPr>
          <w:rFonts w:cs="Times New Roman"/>
          <w:szCs w:val="24"/>
          <w:lang w:val="pt-BR"/>
        </w:rPr>
        <w:t xml:space="preserve">₄ zₜ + uₜ   </w:t>
      </w:r>
      <w:proofErr w:type="gramStart"/>
      <w:r w:rsidRPr="009C7F96">
        <w:rPr>
          <w:rFonts w:cs="Times New Roman"/>
          <w:szCs w:val="24"/>
          <w:lang w:val="pt-BR"/>
        </w:rPr>
        <w:t xml:space="preserve">   (</w:t>
      </w:r>
      <w:proofErr w:type="gramEnd"/>
      <w:r w:rsidRPr="009C7F96">
        <w:rPr>
          <w:rFonts w:cs="Times New Roman"/>
          <w:szCs w:val="24"/>
          <w:lang w:val="pt-BR"/>
        </w:rPr>
        <w:t>4)</w:t>
      </w:r>
    </w:p>
    <w:p w14:paraId="2B0F76E5" w14:textId="77777777" w:rsidR="008E44CC" w:rsidRPr="009C7F96" w:rsidRDefault="008E44CC" w:rsidP="008E44CC">
      <w:pPr>
        <w:rPr>
          <w:rFonts w:cs="Times New Roman"/>
          <w:szCs w:val="24"/>
          <w:lang w:val="pt-BR"/>
        </w:rPr>
      </w:pPr>
    </w:p>
    <w:p w14:paraId="0B50E75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w:t>
      </w:r>
      <w:r w:rsidRPr="009C7F96">
        <w:rPr>
          <w:rFonts w:cs="Times New Roman"/>
          <w:szCs w:val="24"/>
        </w:rPr>
        <w:t>π</w:t>
      </w:r>
      <w:r w:rsidRPr="009C7F96">
        <w:rPr>
          <w:rFonts w:cs="Times New Roman"/>
          <w:szCs w:val="24"/>
          <w:lang w:val="pt-BR"/>
        </w:rPr>
        <w:t>ₜ representa a inflação, Eₜ(</w:t>
      </w:r>
      <w:r w:rsidRPr="009C7F96">
        <w:rPr>
          <w:rFonts w:cs="Times New Roman"/>
          <w:szCs w:val="24"/>
        </w:rPr>
        <w:t>π</w:t>
      </w:r>
      <w:r w:rsidRPr="009C7F96">
        <w:rPr>
          <w:rFonts w:cs="Times New Roman"/>
          <w:szCs w:val="24"/>
          <w:lang w:val="pt-BR"/>
        </w:rPr>
        <w:t xml:space="preserve">ₜ₊₁) corresponde às expectativas de inflação, </w:t>
      </w:r>
      <w:r w:rsidRPr="009C7F96">
        <w:rPr>
          <w:rFonts w:cs="Times New Roman"/>
          <w:szCs w:val="24"/>
        </w:rPr>
        <w:t>π</w:t>
      </w:r>
      <w:r w:rsidRPr="009C7F96">
        <w:rPr>
          <w:rFonts w:cs="Times New Roman"/>
          <w:szCs w:val="24"/>
          <w:lang w:val="pt-BR"/>
        </w:rPr>
        <w:t>ₜ₋₁ capta a inércia inflacionária, yₜ representa o hiato do produto e zₜ reúne variáveis externas, como câmbio e preço internacional do petróleo. Para o presente trabalho, o termo zₜ é central, pois permite incorporar pressões de custo vindas de fora da economia doméstica.</w:t>
      </w:r>
    </w:p>
    <w:p w14:paraId="39C6C3C7"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A literatura sobre </w:t>
      </w:r>
      <w:proofErr w:type="spellStart"/>
      <w:r w:rsidRPr="009C7F96">
        <w:rPr>
          <w:rFonts w:cs="Times New Roman"/>
          <w:szCs w:val="24"/>
          <w:lang w:val="pt-BR"/>
        </w:rPr>
        <w:t>pass-through</w:t>
      </w:r>
      <w:proofErr w:type="spellEnd"/>
      <w:r w:rsidRPr="009C7F96">
        <w:rPr>
          <w:rFonts w:cs="Times New Roman"/>
          <w:szCs w:val="24"/>
          <w:lang w:val="pt-BR"/>
        </w:rPr>
        <w:t xml:space="preserve"> cambial acrescenta que o repasse de choques externos para a inflação não é necessariamente completo nem imediato. Ele depende da credibilidade da política monetária, da indexação, da composição do índice de preços, do grau de abertura, da concorrência nos setores afetados e da persistência do choque. No Brasil, a combinação entre câmbio, petróleo e combustíveis torna esse mecanismo especialmente relevante, uma vez que gasolina, diesel e gás possuem peso direto no IPCA </w:t>
      </w:r>
      <w:proofErr w:type="gramStart"/>
      <w:r w:rsidRPr="009C7F96">
        <w:rPr>
          <w:rFonts w:cs="Times New Roman"/>
          <w:szCs w:val="24"/>
          <w:lang w:val="pt-BR"/>
        </w:rPr>
        <w:t>e também</w:t>
      </w:r>
      <w:proofErr w:type="gramEnd"/>
      <w:r w:rsidRPr="009C7F96">
        <w:rPr>
          <w:rFonts w:cs="Times New Roman"/>
          <w:szCs w:val="24"/>
          <w:lang w:val="pt-BR"/>
        </w:rPr>
        <w:t xml:space="preserve"> afetam custos de transporte, logística e produção.</w:t>
      </w:r>
    </w:p>
    <w:p w14:paraId="1951695C" w14:textId="77777777" w:rsidR="008E44CC" w:rsidRPr="009C7F96" w:rsidRDefault="008E44CC" w:rsidP="008E44CC">
      <w:pPr>
        <w:pStyle w:val="Heading2"/>
        <w:spacing w:before="240" w:after="120"/>
        <w:jc w:val="both"/>
        <w:rPr>
          <w:rFonts w:cs="Times New Roman"/>
          <w:szCs w:val="24"/>
        </w:rPr>
      </w:pPr>
      <w:bookmarkStart w:id="8" w:name="_Toc229695935"/>
      <w:r w:rsidRPr="009C7F96">
        <w:rPr>
          <w:rFonts w:ascii="Times New Roman" w:eastAsia="Times New Roman" w:hAnsi="Times New Roman" w:cs="Times New Roman"/>
          <w:szCs w:val="24"/>
        </w:rPr>
        <w:t>2.3 Formação dos preços de combustíveis e especificidades brasileiras</w:t>
      </w:r>
      <w:bookmarkEnd w:id="8"/>
    </w:p>
    <w:p w14:paraId="6343AD8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transmissão do petróleo para a inflação brasileira possui uma característica institucional importante: o preço final dos combustíveis não resulta apenas da cotação internacional do barril. Ele é mediado pelo preço praticado nas refinarias, pela política comercial da Petrobras, pela estrutura tributária, pela mistura obrigatória de biocombustíveis, pelas margens de distribuição e revenda e pela competição regional. Assim, a análise do </w:t>
      </w:r>
      <w:proofErr w:type="spellStart"/>
      <w:r w:rsidRPr="009C7F96">
        <w:rPr>
          <w:rFonts w:cs="Times New Roman"/>
          <w:szCs w:val="24"/>
          <w:lang w:val="pt-BR"/>
        </w:rPr>
        <w:t>pass-through</w:t>
      </w:r>
      <w:proofErr w:type="spellEnd"/>
      <w:r w:rsidRPr="009C7F96">
        <w:rPr>
          <w:rFonts w:cs="Times New Roman"/>
          <w:szCs w:val="24"/>
          <w:lang w:val="pt-BR"/>
        </w:rPr>
        <w:t xml:space="preserve"> no Brasil exige separar a etapa internacional, a etapa de refino e a etapa de preço final ao consumidor.</w:t>
      </w:r>
    </w:p>
    <w:p w14:paraId="3664522F" w14:textId="77777777" w:rsidR="008E44CC" w:rsidRPr="009C7F96" w:rsidRDefault="008E44CC" w:rsidP="008E44CC">
      <w:pPr>
        <w:spacing w:after="120"/>
        <w:rPr>
          <w:rFonts w:cs="Times New Roman"/>
          <w:szCs w:val="24"/>
          <w:lang w:val="pt-BR"/>
        </w:rPr>
      </w:pPr>
      <w:r w:rsidRPr="009C7F96">
        <w:rPr>
          <w:rFonts w:cs="Times New Roman"/>
          <w:szCs w:val="24"/>
          <w:lang w:val="pt-BR"/>
        </w:rPr>
        <w:t>Almeida, Oliveira e Losekann (2015) destacam que a Petrobras exerceu, durante longo período, papel dominante no refino e na importação de derivados, o que fez da empresa uma instituição central na formação dos preços internos de combustíveis. Em determinados períodos, a política de preços de combustíveis foi utilizada como mecanismo de suavização inflacionária, com reajustes nas refinarias inferiores ao que seria sugerido pela paridade internacional. Esse fato cria uma diferença importante entre o caso brasileiro e economias nas quais os preços domésticos seguem de forma mais automática a referência internacional.</w:t>
      </w:r>
    </w:p>
    <w:p w14:paraId="41B19583" w14:textId="77777777" w:rsidR="008E44CC" w:rsidRPr="009C7F96" w:rsidRDefault="008E44CC" w:rsidP="008E44CC">
      <w:pPr>
        <w:spacing w:after="120"/>
        <w:rPr>
          <w:rFonts w:cs="Times New Roman"/>
          <w:szCs w:val="24"/>
          <w:lang w:val="pt-BR"/>
        </w:rPr>
      </w:pPr>
      <w:r w:rsidRPr="009C7F96">
        <w:rPr>
          <w:rFonts w:cs="Times New Roman"/>
          <w:szCs w:val="24"/>
          <w:lang w:val="pt-BR"/>
        </w:rPr>
        <w:t>A formação do preço da gasolina ao consumidor pode ser representada, de modo simplificado, como:</w:t>
      </w:r>
    </w:p>
    <w:p w14:paraId="54C1A485" w14:textId="77777777" w:rsidR="008E44CC" w:rsidRPr="009C7F96" w:rsidRDefault="008E44CC" w:rsidP="008E44CC">
      <w:pPr>
        <w:rPr>
          <w:rFonts w:cs="Times New Roman"/>
          <w:szCs w:val="24"/>
          <w:lang w:val="pt-BR"/>
        </w:rPr>
      </w:pPr>
    </w:p>
    <w:p w14:paraId="23D16BAB"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Pₜ</w:t>
      </w:r>
      <w:r w:rsidRPr="009C7F96">
        <w:rPr>
          <w:rFonts w:cs="Times New Roman"/>
          <w:szCs w:val="24"/>
        </w:rPr>
        <w:t>ᵍᵃ</w:t>
      </w:r>
      <w:r w:rsidRPr="009C7F96">
        <w:rPr>
          <w:rFonts w:cs="Times New Roman"/>
          <w:szCs w:val="24"/>
          <w:lang w:val="pt-BR"/>
        </w:rPr>
        <w:t xml:space="preserve">ˢ = </w:t>
      </w:r>
      <w:proofErr w:type="spellStart"/>
      <w:r w:rsidRPr="009C7F96">
        <w:rPr>
          <w:rFonts w:cs="Times New Roman"/>
          <w:szCs w:val="24"/>
          <w:lang w:val="pt-BR"/>
        </w:rPr>
        <w:t>Pₜʳ</w:t>
      </w:r>
      <w:proofErr w:type="spellEnd"/>
      <w:r w:rsidRPr="009C7F96">
        <w:rPr>
          <w:rFonts w:cs="Times New Roman"/>
          <w:szCs w:val="24"/>
        </w:rPr>
        <w:t>ᵉᶠ</w:t>
      </w:r>
      <w:r w:rsidRPr="009C7F96">
        <w:rPr>
          <w:rFonts w:cs="Times New Roman"/>
          <w:szCs w:val="24"/>
          <w:lang w:val="pt-BR"/>
        </w:rPr>
        <w:t xml:space="preserve"> + Cₜ</w:t>
      </w:r>
      <w:r w:rsidRPr="009C7F96">
        <w:rPr>
          <w:rFonts w:cs="Times New Roman"/>
          <w:szCs w:val="24"/>
        </w:rPr>
        <w:t>ᵉᵗᵃ</w:t>
      </w:r>
      <w:r w:rsidRPr="009C7F96">
        <w:rPr>
          <w:rFonts w:cs="Times New Roman"/>
          <w:szCs w:val="24"/>
          <w:lang w:val="pt-BR"/>
        </w:rPr>
        <w:t>ⁿ</w:t>
      </w:r>
      <w:r w:rsidRPr="009C7F96">
        <w:rPr>
          <w:rFonts w:cs="Times New Roman"/>
          <w:szCs w:val="24"/>
        </w:rPr>
        <w:t>ᵒ</w:t>
      </w:r>
      <w:r w:rsidRPr="009C7F96">
        <w:rPr>
          <w:rFonts w:cs="Times New Roman"/>
          <w:szCs w:val="24"/>
          <w:lang w:val="pt-BR"/>
        </w:rPr>
        <w:t xml:space="preserve">ˡ + Tₜ + Mₜ   </w:t>
      </w:r>
      <w:proofErr w:type="gramStart"/>
      <w:r w:rsidRPr="009C7F96">
        <w:rPr>
          <w:rFonts w:cs="Times New Roman"/>
          <w:szCs w:val="24"/>
          <w:lang w:val="pt-BR"/>
        </w:rPr>
        <w:t xml:space="preserve">   (</w:t>
      </w:r>
      <w:proofErr w:type="gramEnd"/>
      <w:r w:rsidRPr="009C7F96">
        <w:rPr>
          <w:rFonts w:cs="Times New Roman"/>
          <w:szCs w:val="24"/>
          <w:lang w:val="pt-BR"/>
        </w:rPr>
        <w:t>5)</w:t>
      </w:r>
    </w:p>
    <w:p w14:paraId="341C416F" w14:textId="77777777" w:rsidR="008E44CC" w:rsidRPr="009C7F96" w:rsidRDefault="008E44CC" w:rsidP="008E44CC">
      <w:pPr>
        <w:rPr>
          <w:rFonts w:cs="Times New Roman"/>
          <w:szCs w:val="24"/>
          <w:lang w:val="pt-BR"/>
        </w:rPr>
      </w:pPr>
    </w:p>
    <w:p w14:paraId="3B070FA6" w14:textId="77777777" w:rsidR="008E44CC" w:rsidRPr="009C7F96" w:rsidRDefault="008E44CC" w:rsidP="008E44CC">
      <w:pPr>
        <w:spacing w:after="120"/>
        <w:rPr>
          <w:rFonts w:cs="Times New Roman"/>
          <w:szCs w:val="24"/>
          <w:lang w:val="pt-BR"/>
        </w:rPr>
      </w:pPr>
      <w:r w:rsidRPr="009C7F96">
        <w:rPr>
          <w:rFonts w:cs="Times New Roman"/>
          <w:szCs w:val="24"/>
          <w:lang w:val="pt-BR"/>
        </w:rPr>
        <w:t>Em que Pₜ</w:t>
      </w:r>
      <w:r w:rsidRPr="009C7F96">
        <w:rPr>
          <w:rFonts w:cs="Times New Roman"/>
          <w:szCs w:val="24"/>
        </w:rPr>
        <w:t>ᵍᵃ</w:t>
      </w:r>
      <w:r w:rsidRPr="009C7F96">
        <w:rPr>
          <w:rFonts w:cs="Times New Roman"/>
          <w:szCs w:val="24"/>
          <w:lang w:val="pt-BR"/>
        </w:rPr>
        <w:t xml:space="preserve">ˢ é o preço da gasolina ao consumidor, </w:t>
      </w:r>
      <w:proofErr w:type="spellStart"/>
      <w:r w:rsidRPr="009C7F96">
        <w:rPr>
          <w:rFonts w:cs="Times New Roman"/>
          <w:szCs w:val="24"/>
          <w:lang w:val="pt-BR"/>
        </w:rPr>
        <w:t>Pₜʳ</w:t>
      </w:r>
      <w:proofErr w:type="spellEnd"/>
      <w:r w:rsidRPr="009C7F96">
        <w:rPr>
          <w:rFonts w:cs="Times New Roman"/>
          <w:szCs w:val="24"/>
        </w:rPr>
        <w:t>ᵉᶠ</w:t>
      </w:r>
      <w:r w:rsidRPr="009C7F96">
        <w:rPr>
          <w:rFonts w:cs="Times New Roman"/>
          <w:szCs w:val="24"/>
          <w:lang w:val="pt-BR"/>
        </w:rPr>
        <w:t xml:space="preserve"> representa o preço na refinaria, Cₜ</w:t>
      </w:r>
      <w:r w:rsidRPr="009C7F96">
        <w:rPr>
          <w:rFonts w:cs="Times New Roman"/>
          <w:szCs w:val="24"/>
        </w:rPr>
        <w:t>ᵉᵗᵃ</w:t>
      </w:r>
      <w:r w:rsidRPr="009C7F96">
        <w:rPr>
          <w:rFonts w:cs="Times New Roman"/>
          <w:szCs w:val="24"/>
          <w:lang w:val="pt-BR"/>
        </w:rPr>
        <w:t>ⁿ</w:t>
      </w:r>
      <w:r w:rsidRPr="009C7F96">
        <w:rPr>
          <w:rFonts w:cs="Times New Roman"/>
          <w:szCs w:val="24"/>
        </w:rPr>
        <w:t>ᵒ</w:t>
      </w:r>
      <w:r w:rsidRPr="009C7F96">
        <w:rPr>
          <w:rFonts w:cs="Times New Roman"/>
          <w:szCs w:val="24"/>
          <w:lang w:val="pt-BR"/>
        </w:rPr>
        <w:t xml:space="preserve">ˡ corresponde ao custo associado ao etanol anidro, Tₜ reúne tributos federais e estaduais e Mₜ representa margens de distribuição e revenda. A equação mostra que a cotação do petróleo influencia o preço final apenas indiretamente, por meio do preço na refinaria e de seus efeitos sobre </w:t>
      </w:r>
      <w:r w:rsidRPr="009C7F96">
        <w:rPr>
          <w:rFonts w:cs="Times New Roman"/>
          <w:szCs w:val="24"/>
          <w:lang w:val="pt-BR"/>
        </w:rPr>
        <w:lastRenderedPageBreak/>
        <w:t>o custo de oportunidade de importação, mas o preço final também depende de componentes domésticos.</w:t>
      </w:r>
    </w:p>
    <w:p w14:paraId="18F0225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Uma forma de medir a intensidade do repasse entre o petróleo e o combustível ao consumidor é o coeficiente de </w:t>
      </w:r>
      <w:proofErr w:type="spellStart"/>
      <w:r w:rsidRPr="009C7F96">
        <w:rPr>
          <w:rFonts w:cs="Times New Roman"/>
          <w:szCs w:val="24"/>
          <w:lang w:val="pt-BR"/>
        </w:rPr>
        <w:t>pass-through</w:t>
      </w:r>
      <w:proofErr w:type="spellEnd"/>
      <w:r w:rsidRPr="009C7F96">
        <w:rPr>
          <w:rFonts w:cs="Times New Roman"/>
          <w:szCs w:val="24"/>
          <w:lang w:val="pt-BR"/>
        </w:rPr>
        <w:t>:</w:t>
      </w:r>
    </w:p>
    <w:p w14:paraId="4F62C8BC" w14:textId="77777777" w:rsidR="008E44CC" w:rsidRPr="009C7F96" w:rsidRDefault="008E44CC" w:rsidP="008E44CC">
      <w:pPr>
        <w:rPr>
          <w:rFonts w:cs="Times New Roman"/>
          <w:szCs w:val="24"/>
          <w:lang w:val="pt-BR"/>
        </w:rPr>
      </w:pPr>
    </w:p>
    <w:p w14:paraId="1BBBBFAC" w14:textId="77777777" w:rsidR="008E44CC" w:rsidRPr="009C7F96" w:rsidRDefault="008E44CC" w:rsidP="008E44CC">
      <w:pPr>
        <w:spacing w:before="120" w:after="120"/>
        <w:rPr>
          <w:rFonts w:cs="Times New Roman"/>
          <w:szCs w:val="24"/>
          <w:lang w:val="pt-BR"/>
        </w:rPr>
      </w:pPr>
      <w:r w:rsidRPr="009C7F96">
        <w:rPr>
          <w:rFonts w:cs="Times New Roman"/>
          <w:szCs w:val="24"/>
        </w:rPr>
        <w:t>θ</w:t>
      </w:r>
      <w:r w:rsidRPr="009C7F96">
        <w:rPr>
          <w:rFonts w:cs="Times New Roman"/>
          <w:szCs w:val="24"/>
          <w:lang w:val="pt-BR"/>
        </w:rPr>
        <w:t xml:space="preserve">ₕ = </w:t>
      </w:r>
      <w:r w:rsidRPr="009C7F96">
        <w:rPr>
          <w:rFonts w:cs="Times New Roman"/>
          <w:szCs w:val="24"/>
        </w:rPr>
        <w:t>Δ</w:t>
      </w:r>
      <w:r w:rsidRPr="009C7F96">
        <w:rPr>
          <w:rFonts w:cs="Times New Roman"/>
          <w:szCs w:val="24"/>
          <w:lang w:val="pt-BR"/>
        </w:rPr>
        <w:t>ₕ Pₜ₊ₕ</w:t>
      </w:r>
      <w:r w:rsidRPr="009C7F96">
        <w:rPr>
          <w:rFonts w:cs="Times New Roman"/>
          <w:szCs w:val="24"/>
        </w:rPr>
        <w:t>ᶠᵘᵉ</w:t>
      </w:r>
      <w:r w:rsidRPr="009C7F96">
        <w:rPr>
          <w:rFonts w:cs="Times New Roman"/>
          <w:szCs w:val="24"/>
          <w:lang w:val="pt-BR"/>
        </w:rPr>
        <w:t xml:space="preserve">ˡ / </w:t>
      </w:r>
      <w:r w:rsidRPr="009C7F96">
        <w:rPr>
          <w:rFonts w:cs="Times New Roman"/>
          <w:szCs w:val="24"/>
        </w:rPr>
        <w:t>Δ</w:t>
      </w:r>
      <w:r w:rsidRPr="009C7F96">
        <w:rPr>
          <w:rFonts w:cs="Times New Roman"/>
          <w:szCs w:val="24"/>
          <w:lang w:val="pt-BR"/>
        </w:rPr>
        <w:t>Pₜ</w:t>
      </w:r>
      <w:proofErr w:type="gramStart"/>
      <w:r w:rsidRPr="009C7F96">
        <w:rPr>
          <w:rFonts w:cs="Times New Roman"/>
          <w:szCs w:val="24"/>
        </w:rPr>
        <w:t>ᵒ</w:t>
      </w:r>
      <w:r w:rsidRPr="009C7F96">
        <w:rPr>
          <w:rFonts w:cs="Times New Roman"/>
          <w:szCs w:val="24"/>
          <w:lang w:val="pt-BR"/>
        </w:rPr>
        <w:t>ⁱˡ,</w:t>
      </w:r>
      <w:r w:rsidRPr="009C7F96">
        <w:rPr>
          <w:rFonts w:cs="Times New Roman"/>
          <w:szCs w:val="24"/>
        </w:rPr>
        <w:t>ᴮᴿᴸ</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6)</w:t>
      </w:r>
    </w:p>
    <w:p w14:paraId="0CB4E821" w14:textId="77777777" w:rsidR="008E44CC" w:rsidRPr="009C7F96" w:rsidRDefault="008E44CC" w:rsidP="008E44CC">
      <w:pPr>
        <w:rPr>
          <w:rFonts w:cs="Times New Roman"/>
          <w:szCs w:val="24"/>
          <w:lang w:val="pt-BR"/>
        </w:rPr>
      </w:pPr>
    </w:p>
    <w:p w14:paraId="1339E7C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w:r w:rsidRPr="009C7F96">
        <w:rPr>
          <w:rFonts w:cs="Times New Roman"/>
          <w:szCs w:val="24"/>
        </w:rPr>
        <w:t>θ</w:t>
      </w:r>
      <w:r w:rsidRPr="009C7F96">
        <w:rPr>
          <w:rFonts w:cs="Times New Roman"/>
          <w:szCs w:val="24"/>
          <w:lang w:val="pt-BR"/>
        </w:rPr>
        <w:t>ₕ mede o repasse acumulado ou pontual, no horizonte h, de uma variação do petróleo em reais para o preço doméstico do combustível. Valores próximos de um indicariam repasse mais completo; valores inferiores a um indicariam amortecimento; e valores superiores a um poderiam sugerir amplificação por câmbio, tributos, margens ou ajustes defasados. No caso brasileiro, esse coeficiente não deve ser tratado como constante no tempo, pois mudanças na política comercial da Petrobras e na tributação podem alterar sua magnitude.</w:t>
      </w:r>
    </w:p>
    <w:p w14:paraId="2F7D49BB" w14:textId="77777777" w:rsidR="008E44CC" w:rsidRPr="009C7F96" w:rsidRDefault="008E44CC" w:rsidP="008E44CC">
      <w:pPr>
        <w:spacing w:after="120"/>
        <w:rPr>
          <w:rFonts w:cs="Times New Roman"/>
          <w:szCs w:val="24"/>
          <w:lang w:val="pt-BR"/>
        </w:rPr>
      </w:pPr>
      <w:r w:rsidRPr="00CA3657">
        <w:rPr>
          <w:lang w:val="pt-BR"/>
        </w:rPr>
        <w:t>As mudanças na estratégia comercial da Petrobras reforçam a necessidade de considerar regimes institucionais. Entre 2011 e 2014, a política de preços ficou mais associada à contenção de reajustes domésticos, o que reduziu temporariamente a sensibilidade dos combustíveis aos movimentos do petróleo e do câmbio. A partir de 2015, iniciou-se um processo de realinhamento de preços, seguido pela formalização da política de paridade de importação em 2016. Em 2023, a Petrobras anunciou uma nova estratégia comercial, menos vinculada a uma regra mecânica de paridade e mais dependente de custos alternativos, condições competitivas e valor marginal para a empresa. Essa sequência institucional indica que o canal internacional não se transmite automaticamente aos preços domésticos. Portanto, a análise por regimes deve ser interpretada como um exercício de heterogeneidade do repasse, e não como uma simples comparação entre dois períodos perfeitamente homogêneos.</w:t>
      </w:r>
    </w:p>
    <w:p w14:paraId="74826A9D" w14:textId="77777777" w:rsidR="008E44CC" w:rsidRPr="009C7F96" w:rsidRDefault="008E44CC" w:rsidP="008E44CC">
      <w:pPr>
        <w:pStyle w:val="Heading2"/>
        <w:spacing w:before="240" w:after="120"/>
        <w:jc w:val="both"/>
        <w:rPr>
          <w:rFonts w:cs="Times New Roman"/>
          <w:szCs w:val="24"/>
        </w:rPr>
      </w:pPr>
      <w:bookmarkStart w:id="9" w:name="_Toc229695936"/>
      <w:r w:rsidRPr="009C7F96">
        <w:rPr>
          <w:rFonts w:ascii="Times New Roman" w:eastAsia="Times New Roman" w:hAnsi="Times New Roman" w:cs="Times New Roman"/>
          <w:szCs w:val="24"/>
        </w:rPr>
        <w:t>2.4 Evidências empíricas internacionais sobre petróleo e inflação</w:t>
      </w:r>
      <w:bookmarkEnd w:id="9"/>
    </w:p>
    <w:p w14:paraId="4A410784"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literatura empírica internacional confirma que o petróleo afeta a inflação, mas mostra que a intensidade e a persistência do efeito variam entre países, períodos e componentes do índice de preços. Choi et al. (2018), em estudo com painel de economias avançadas e em desenvolvimento, estimam o repasse do petróleo para a inflação doméstica e encontram evidência de que choques no </w:t>
      </w:r>
      <w:r w:rsidRPr="009C7F96">
        <w:rPr>
          <w:rFonts w:cs="Times New Roman"/>
          <w:szCs w:val="24"/>
          <w:lang w:val="pt-BR"/>
        </w:rPr>
        <w:lastRenderedPageBreak/>
        <w:t xml:space="preserve">preço do petróleo elevam a inflação no curto prazo, com efeitos que tendem a se dissipar ao longo do tempo. A contribuição do artigo é relevante porque fornece um benchmark internacional para o </w:t>
      </w:r>
      <w:proofErr w:type="spellStart"/>
      <w:r w:rsidRPr="009C7F96">
        <w:rPr>
          <w:rFonts w:cs="Times New Roman"/>
          <w:szCs w:val="24"/>
          <w:lang w:val="pt-BR"/>
        </w:rPr>
        <w:t>pass-through</w:t>
      </w:r>
      <w:proofErr w:type="spellEnd"/>
      <w:r w:rsidRPr="009C7F96">
        <w:rPr>
          <w:rFonts w:cs="Times New Roman"/>
          <w:szCs w:val="24"/>
          <w:lang w:val="pt-BR"/>
        </w:rPr>
        <w:t xml:space="preserve"> de petróleo, mas sua limitação para o caso brasileiro está em não modelar detalhadamente a etapa institucional de refino e precificação doméstica.</w:t>
      </w:r>
    </w:p>
    <w:p w14:paraId="3BCA1DC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modelo empírico de Choi et al. (2018) pode ser aproximado por uma local </w:t>
      </w:r>
      <w:proofErr w:type="spellStart"/>
      <w:r w:rsidRPr="009C7F96">
        <w:rPr>
          <w:rFonts w:cs="Times New Roman"/>
          <w:szCs w:val="24"/>
          <w:lang w:val="pt-BR"/>
        </w:rPr>
        <w:t>projection</w:t>
      </w:r>
      <w:proofErr w:type="spellEnd"/>
      <w:r w:rsidRPr="009C7F96">
        <w:rPr>
          <w:rFonts w:cs="Times New Roman"/>
          <w:szCs w:val="24"/>
          <w:lang w:val="pt-BR"/>
        </w:rPr>
        <w:t xml:space="preserve"> em painel:</w:t>
      </w:r>
    </w:p>
    <w:p w14:paraId="53E65348" w14:textId="77777777" w:rsidR="008E44CC" w:rsidRPr="009C7F96" w:rsidRDefault="008E44CC" w:rsidP="008E44CC">
      <w:pPr>
        <w:rPr>
          <w:rFonts w:cs="Times New Roman"/>
          <w:szCs w:val="24"/>
          <w:lang w:val="pt-BR"/>
        </w:rPr>
      </w:pPr>
    </w:p>
    <w:p w14:paraId="4615DD21" w14:textId="77777777" w:rsidR="008E44CC" w:rsidRPr="009C7F96" w:rsidRDefault="008E44CC" w:rsidP="008E44CC">
      <w:pPr>
        <w:spacing w:before="120" w:after="120"/>
        <w:rPr>
          <w:rFonts w:cs="Times New Roman"/>
          <w:szCs w:val="24"/>
          <w:lang w:val="pt-BR"/>
        </w:rPr>
      </w:pP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 - </w:t>
      </w: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₁ = </w:t>
      </w:r>
      <w:r w:rsidRPr="009C7F96">
        <w:rPr>
          <w:rFonts w:cs="Times New Roman"/>
          <w:szCs w:val="24"/>
        </w:rPr>
        <w:t>αᵢ</w:t>
      </w:r>
      <w:r w:rsidRPr="009C7F96">
        <w:rPr>
          <w:rFonts w:cs="Times New Roman"/>
          <w:szCs w:val="24"/>
          <w:lang w:val="pt-BR"/>
        </w:rPr>
        <w:t xml:space="preserve">,ₕ + </w:t>
      </w:r>
      <w:r w:rsidRPr="009C7F96">
        <w:rPr>
          <w:rFonts w:cs="Times New Roman"/>
          <w:szCs w:val="24"/>
        </w:rPr>
        <w:t>τ</w:t>
      </w:r>
      <w:r w:rsidRPr="009C7F96">
        <w:rPr>
          <w:rFonts w:cs="Times New Roman"/>
          <w:szCs w:val="24"/>
          <w:lang w:val="pt-BR"/>
        </w:rPr>
        <w:t xml:space="preserve">ₜ,ₕ + </w:t>
      </w:r>
      <w:r w:rsidRPr="009C7F96">
        <w:rPr>
          <w:rFonts w:cs="Times New Roman"/>
          <w:szCs w:val="24"/>
        </w:rPr>
        <w:t>β</w:t>
      </w:r>
      <w:r w:rsidRPr="009C7F96">
        <w:rPr>
          <w:rFonts w:cs="Times New Roman"/>
          <w:szCs w:val="24"/>
          <w:lang w:val="pt-BR"/>
        </w:rPr>
        <w:t xml:space="preserve">ₕ </w:t>
      </w:r>
      <w:r w:rsidRPr="009C7F96">
        <w:rPr>
          <w:rFonts w:cs="Times New Roman"/>
          <w:szCs w:val="24"/>
        </w:rPr>
        <w:t>Δ</w:t>
      </w:r>
      <w:proofErr w:type="spellStart"/>
      <w:r w:rsidRPr="009C7F96">
        <w:rPr>
          <w:rFonts w:cs="Times New Roman"/>
          <w:szCs w:val="24"/>
          <w:lang w:val="pt-BR"/>
        </w:rPr>
        <w:t>oil</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_h X</w:t>
      </w:r>
      <w:r w:rsidRPr="009C7F96">
        <w:rPr>
          <w:rFonts w:cs="Times New Roman"/>
          <w:szCs w:val="24"/>
        </w:rPr>
        <w:t>ᵢ</w:t>
      </w:r>
      <w:r w:rsidRPr="009C7F96">
        <w:rPr>
          <w:rFonts w:cs="Times New Roman"/>
          <w:szCs w:val="24"/>
          <w:lang w:val="pt-BR"/>
        </w:rPr>
        <w:t xml:space="preserve">,ₜ + </w:t>
      </w:r>
      <w:r w:rsidRPr="009C7F96">
        <w:rPr>
          <w:rFonts w:cs="Times New Roman"/>
          <w:szCs w:val="24"/>
        </w:rPr>
        <w:t>ε</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ₕ⁽ʰ⁾   </w:t>
      </w:r>
      <w:proofErr w:type="gramStart"/>
      <w:r w:rsidRPr="009C7F96">
        <w:rPr>
          <w:rFonts w:cs="Times New Roman"/>
          <w:szCs w:val="24"/>
          <w:lang w:val="pt-BR"/>
        </w:rPr>
        <w:t xml:space="preserve">   (</w:t>
      </w:r>
      <w:proofErr w:type="gramEnd"/>
      <w:r w:rsidRPr="009C7F96">
        <w:rPr>
          <w:rFonts w:cs="Times New Roman"/>
          <w:szCs w:val="24"/>
          <w:lang w:val="pt-BR"/>
        </w:rPr>
        <w:t>7)</w:t>
      </w:r>
    </w:p>
    <w:p w14:paraId="4FD10B03" w14:textId="77777777" w:rsidR="008E44CC" w:rsidRPr="009C7F96" w:rsidRDefault="008E44CC" w:rsidP="008E44CC">
      <w:pPr>
        <w:rPr>
          <w:rFonts w:cs="Times New Roman"/>
          <w:szCs w:val="24"/>
          <w:lang w:val="pt-BR"/>
        </w:rPr>
      </w:pPr>
    </w:p>
    <w:p w14:paraId="21A04BA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w:r w:rsidRPr="009C7F96">
        <w:rPr>
          <w:rFonts w:cs="Times New Roman"/>
          <w:szCs w:val="24"/>
        </w:rPr>
        <w:t>π</w:t>
      </w:r>
      <w:proofErr w:type="gramStart"/>
      <w:r w:rsidRPr="009C7F96">
        <w:rPr>
          <w:rFonts w:cs="Times New Roman"/>
          <w:szCs w:val="24"/>
        </w:rPr>
        <w:t>ᵢ</w:t>
      </w:r>
      <w:r w:rsidRPr="009C7F96">
        <w:rPr>
          <w:rFonts w:cs="Times New Roman"/>
          <w:szCs w:val="24"/>
          <w:lang w:val="pt-BR"/>
        </w:rPr>
        <w:t>,ₜ₊</w:t>
      </w:r>
      <w:proofErr w:type="gramEnd"/>
      <w:r w:rsidRPr="009C7F96">
        <w:rPr>
          <w:rFonts w:cs="Times New Roman"/>
          <w:szCs w:val="24"/>
          <w:lang w:val="pt-BR"/>
        </w:rPr>
        <w:t xml:space="preserve">ₕ representa a inflação do país i no horizonte h, </w:t>
      </w:r>
      <w:r w:rsidRPr="009C7F96">
        <w:rPr>
          <w:rFonts w:cs="Times New Roman"/>
          <w:szCs w:val="24"/>
        </w:rPr>
        <w:t>Δ</w:t>
      </w:r>
      <w:proofErr w:type="spellStart"/>
      <w:r w:rsidRPr="009C7F96">
        <w:rPr>
          <w:rFonts w:cs="Times New Roman"/>
          <w:szCs w:val="24"/>
          <w:lang w:val="pt-BR"/>
        </w:rPr>
        <w:t>oil</w:t>
      </w:r>
      <w:proofErr w:type="spellEnd"/>
      <w:r w:rsidRPr="009C7F96">
        <w:rPr>
          <w:rFonts w:cs="Times New Roman"/>
          <w:szCs w:val="24"/>
          <w:lang w:val="pt-BR"/>
        </w:rPr>
        <w:t>ₜ é o choque no preço do petróleo e X</w:t>
      </w:r>
      <w:r w:rsidRPr="009C7F96">
        <w:rPr>
          <w:rFonts w:cs="Times New Roman"/>
          <w:szCs w:val="24"/>
        </w:rPr>
        <w:t>ᵢ</w:t>
      </w:r>
      <w:r w:rsidRPr="009C7F96">
        <w:rPr>
          <w:rFonts w:cs="Times New Roman"/>
          <w:szCs w:val="24"/>
          <w:lang w:val="pt-BR"/>
        </w:rPr>
        <w:t>,ₜ reúne controles macroeconômicos. A presença de efeitos fixos de país e de tempo permite controlar diferenças estruturais entre economias e choques globais comuns. Essa estrutura é útil para o presente trabalho porque pode ser adaptada para um painel regional brasileiro, caso se utilizem áreas do IPCA ou preços regionais de combustíveis.</w:t>
      </w:r>
    </w:p>
    <w:p w14:paraId="1D823BA7" w14:textId="77777777" w:rsidR="008E44CC" w:rsidRPr="009C7F96" w:rsidRDefault="008E44CC" w:rsidP="008E44CC">
      <w:pPr>
        <w:spacing w:after="120"/>
        <w:rPr>
          <w:rFonts w:cs="Times New Roman"/>
          <w:szCs w:val="24"/>
          <w:lang w:val="pt-BR"/>
        </w:rPr>
      </w:pPr>
      <w:r w:rsidRPr="009C7F96">
        <w:rPr>
          <w:rFonts w:cs="Times New Roman"/>
          <w:szCs w:val="24"/>
          <w:lang w:val="pt-BR"/>
        </w:rPr>
        <w:t>Hwang e Zhu (2024) avançam ao mostrar que o repasse do petróleo depende do estado da economia e do regime de metas de inflação. A evidência sugere que o efeito inflacionário do petróleo pode ser mais intenso em fases de expansão e que regimes monetários mais críveis podem reduzir a persistência do desvio inflacionário. Essa conclusão dialoga diretamente com o caso brasileiro, uma vez que choques de petróleo podem ocorrer em ambientes de inflação já elevada, expectativas desancoradas ou política monetária restritiva, modificando a resposta do IPCA.</w:t>
      </w:r>
    </w:p>
    <w:p w14:paraId="2837392E"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Estudos recentes também têm destacado os efeitos de segunda ordem. Alvarez e </w:t>
      </w:r>
      <w:proofErr w:type="spellStart"/>
      <w:r w:rsidRPr="009C7F96">
        <w:rPr>
          <w:rFonts w:cs="Times New Roman"/>
          <w:szCs w:val="24"/>
          <w:lang w:val="pt-BR"/>
        </w:rPr>
        <w:t>Kroen</w:t>
      </w:r>
      <w:proofErr w:type="spellEnd"/>
      <w:r w:rsidRPr="009C7F96">
        <w:rPr>
          <w:rFonts w:cs="Times New Roman"/>
          <w:szCs w:val="24"/>
          <w:lang w:val="pt-BR"/>
        </w:rPr>
        <w:t xml:space="preserve"> (2025) investigam a origem energética do surto inflacionário global recente e mostram que choques de energia se propagam de maneira heterogênea entre setores, principalmente conforme a intensidade energética e a rigidez de preços. </w:t>
      </w:r>
      <w:proofErr w:type="spellStart"/>
      <w:r w:rsidRPr="009C7F96">
        <w:rPr>
          <w:rFonts w:cs="Times New Roman"/>
          <w:szCs w:val="24"/>
          <w:lang w:val="pt-BR"/>
        </w:rPr>
        <w:t>Allon</w:t>
      </w:r>
      <w:proofErr w:type="spellEnd"/>
      <w:r w:rsidRPr="009C7F96">
        <w:rPr>
          <w:rFonts w:cs="Times New Roman"/>
          <w:szCs w:val="24"/>
          <w:lang w:val="pt-BR"/>
        </w:rPr>
        <w:t>-Pineda, Ocampo e Santos (2025), ao estudarem choques de óleo e alimentos, mostram que os efeitos indiretos e as expectativas podem ser tão relevantes quanto o efeito direto sobre itens energéticos. Para o Brasil, esses resultados reforçam a necessidade de distinguir o efeito imediato sobre combustíveis do efeito posterior sobre transportes, alimentos, serviços e expectativas.</w:t>
      </w:r>
    </w:p>
    <w:p w14:paraId="6999666F"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Cornejo, Hallack e Matias (2025), ao analisarem países da América Latina e Caribe, mostram que a estrutura energética pode amortecer ou amplificar o repasse de choques de petróleo e gás para a inflação. A evidência é relevante porque indica que o canal energético não depende apenas do preço internacional do petróleo, mas também da matriz energética, do peso dos combustíveis fósseis no consumo e das instituições nacionais de formação de preços. No caso brasileiro, mesmo com uma matriz elétrica relativamente renovável, a dependência do transporte rodoviário torna diesel e gasolina canais importantes de transmissão.</w:t>
      </w:r>
    </w:p>
    <w:p w14:paraId="3CFBB087" w14:textId="77777777" w:rsidR="008E44CC" w:rsidRPr="009C7F96" w:rsidRDefault="008E44CC" w:rsidP="008E44CC">
      <w:pPr>
        <w:pStyle w:val="Heading2"/>
        <w:spacing w:before="240" w:after="120"/>
        <w:jc w:val="both"/>
        <w:rPr>
          <w:rFonts w:cs="Times New Roman"/>
          <w:szCs w:val="24"/>
        </w:rPr>
      </w:pPr>
      <w:bookmarkStart w:id="10" w:name="_Toc229695937"/>
      <w:r w:rsidRPr="009C7F96">
        <w:rPr>
          <w:rFonts w:ascii="Times New Roman" w:eastAsia="Times New Roman" w:hAnsi="Times New Roman" w:cs="Times New Roman"/>
          <w:szCs w:val="24"/>
        </w:rPr>
        <w:t>2.5 Modelos VAR e funções impulso-resposta como referência de robustez</w:t>
      </w:r>
      <w:bookmarkEnd w:id="10"/>
    </w:p>
    <w:p w14:paraId="1EAFFCB8" w14:textId="77777777" w:rsidR="008E44CC" w:rsidRPr="009C7F96" w:rsidRDefault="008E44CC" w:rsidP="008E44CC">
      <w:pPr>
        <w:spacing w:after="120"/>
        <w:rPr>
          <w:rFonts w:cs="Times New Roman"/>
          <w:szCs w:val="24"/>
          <w:lang w:val="pt-BR"/>
        </w:rPr>
      </w:pPr>
      <w:proofErr w:type="gramStart"/>
      <w:r w:rsidRPr="009C7F96">
        <w:rPr>
          <w:rFonts w:cs="Times New Roman"/>
          <w:szCs w:val="24"/>
          <w:lang w:val="pt-BR"/>
        </w:rPr>
        <w:t>Além 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a literatura de choques macroeconômicos utiliza amplamente modelos de Vetores Autorregressivos, conhecidos como VAR. A referência central dessa abordagem é Sims (1980), que propôs os </w:t>
      </w:r>
      <w:proofErr w:type="spellStart"/>
      <w:r w:rsidRPr="009C7F96">
        <w:rPr>
          <w:rFonts w:cs="Times New Roman"/>
          <w:szCs w:val="24"/>
          <w:lang w:val="pt-BR"/>
        </w:rPr>
        <w:t>VARs</w:t>
      </w:r>
      <w:proofErr w:type="spellEnd"/>
      <w:r w:rsidRPr="009C7F96">
        <w:rPr>
          <w:rFonts w:cs="Times New Roman"/>
          <w:szCs w:val="24"/>
          <w:lang w:val="pt-BR"/>
        </w:rPr>
        <w:t xml:space="preserve"> como alternativa a modelos </w:t>
      </w:r>
      <w:proofErr w:type="spellStart"/>
      <w:r w:rsidRPr="009C7F96">
        <w:rPr>
          <w:rFonts w:cs="Times New Roman"/>
          <w:szCs w:val="24"/>
          <w:lang w:val="pt-BR"/>
        </w:rPr>
        <w:t>macroeconométricos</w:t>
      </w:r>
      <w:proofErr w:type="spellEnd"/>
      <w:r w:rsidRPr="009C7F96">
        <w:rPr>
          <w:rFonts w:cs="Times New Roman"/>
          <w:szCs w:val="24"/>
          <w:lang w:val="pt-BR"/>
        </w:rPr>
        <w:t xml:space="preserve"> excessivamente restritivos, nos quais muitas relações eram impostas previamente pelo pesquisador. A contribuição de Sims está em tratar as variáveis macroeconômicas como parte de um sistema dinâmico conjunto, no qual cada variável pode responder às suas próprias defasagens e às defasagens das demais variáveis do sistema. Essa estrutura é especialmente útil para estudar choques de petróleo, câmbio, combustíveis e inflação, pois esses preços interagem ao longo do tempo e dificilmente podem ser tratados como relações puramente isoladas.</w:t>
      </w:r>
    </w:p>
    <w:p w14:paraId="607ED1DE" w14:textId="77777777" w:rsidR="008E44CC" w:rsidRPr="009C7F96" w:rsidRDefault="008E44CC" w:rsidP="008E44CC">
      <w:pPr>
        <w:rPr>
          <w:rFonts w:cs="Times New Roman"/>
          <w:szCs w:val="24"/>
          <w:lang w:val="pt-BR"/>
        </w:rPr>
      </w:pPr>
    </w:p>
    <w:p w14:paraId="7C46263C" w14:textId="77777777" w:rsidR="008E44CC" w:rsidRPr="009C7F96" w:rsidRDefault="008E44CC" w:rsidP="008E44CC">
      <w:pPr>
        <w:spacing w:after="120"/>
        <w:rPr>
          <w:rFonts w:cs="Times New Roman"/>
          <w:szCs w:val="24"/>
          <w:lang w:val="pt-BR"/>
        </w:rPr>
      </w:pPr>
      <w:r w:rsidRPr="009C7F96">
        <w:rPr>
          <w:rFonts w:cs="Times New Roman"/>
          <w:szCs w:val="24"/>
          <w:lang w:val="pt-BR"/>
        </w:rPr>
        <w:t>Uma forma reduzida de representar um VAR com controles exógenos pode ser escrita como:</w:t>
      </w:r>
    </w:p>
    <w:p w14:paraId="2A35BDEA" w14:textId="77777777" w:rsidR="008E44CC" w:rsidRPr="009C7F96" w:rsidRDefault="008E44CC" w:rsidP="008E44CC">
      <w:pPr>
        <w:rPr>
          <w:rFonts w:cs="Times New Roman"/>
          <w:szCs w:val="24"/>
          <w:lang w:val="pt-BR"/>
        </w:rPr>
      </w:pPr>
    </w:p>
    <w:p w14:paraId="6AC3860F"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Yₜ = c + A₁Yₜ₋₁ + A₂Yₜ₋₂ + ... + AₚYₜ₋ₚ + BXₜ + uₜ   </w:t>
      </w:r>
      <w:proofErr w:type="gramStart"/>
      <w:r w:rsidRPr="009C7F96">
        <w:rPr>
          <w:rFonts w:cs="Times New Roman"/>
          <w:szCs w:val="24"/>
          <w:lang w:val="pt-BR"/>
        </w:rPr>
        <w:t xml:space="preserve">   (</w:t>
      </w:r>
      <w:proofErr w:type="gramEnd"/>
      <w:r w:rsidRPr="009C7F96">
        <w:rPr>
          <w:rFonts w:cs="Times New Roman"/>
          <w:szCs w:val="24"/>
          <w:lang w:val="pt-BR"/>
        </w:rPr>
        <w:t>8)</w:t>
      </w:r>
    </w:p>
    <w:p w14:paraId="69FAD54C" w14:textId="77777777" w:rsidR="008E44CC" w:rsidRPr="009C7F96" w:rsidRDefault="008E44CC" w:rsidP="008E44CC">
      <w:pPr>
        <w:rPr>
          <w:rFonts w:cs="Times New Roman"/>
          <w:szCs w:val="24"/>
          <w:lang w:val="pt-BR"/>
        </w:rPr>
      </w:pPr>
    </w:p>
    <w:p w14:paraId="56D5BB5F" w14:textId="77777777" w:rsidR="008E44CC" w:rsidRPr="009C7F96" w:rsidRDefault="008E44CC" w:rsidP="008E44CC">
      <w:pPr>
        <w:spacing w:after="120"/>
        <w:rPr>
          <w:rFonts w:cs="Times New Roman"/>
          <w:szCs w:val="24"/>
          <w:lang w:val="pt-BR"/>
        </w:rPr>
      </w:pPr>
      <w:r w:rsidRPr="009C7F96">
        <w:rPr>
          <w:rFonts w:cs="Times New Roman"/>
          <w:szCs w:val="24"/>
          <w:lang w:val="pt-BR"/>
        </w:rPr>
        <w:t>Em que Yₜ é o vetor de variáveis endógenas, c é o vetor de constantes, A</w:t>
      </w:r>
      <w:proofErr w:type="gramStart"/>
      <w:r w:rsidRPr="009C7F96">
        <w:rPr>
          <w:rFonts w:cs="Times New Roman"/>
          <w:szCs w:val="24"/>
          <w:lang w:val="pt-BR"/>
        </w:rPr>
        <w:t>₁,...</w:t>
      </w:r>
      <w:proofErr w:type="gramEnd"/>
      <w:r w:rsidRPr="009C7F96">
        <w:rPr>
          <w:rFonts w:cs="Times New Roman"/>
          <w:szCs w:val="24"/>
          <w:lang w:val="pt-BR"/>
        </w:rPr>
        <w:t>,Aₚ são matrizes de coeficientes associados às defasagens, Xₜ reúne controles exógenos, B é a matriz de coeficientes desses controles e uₜ é o vetor de resíduos. No contexto deste trabalho, Yₜ pode reunir variáveis como preço do petróleo, taxa de câmbio, preços de combustíveis, IPCA Geral, IPCA Transportes, Selic e expectativas de inflação, dependendo da especificação estimada.</w:t>
      </w:r>
    </w:p>
    <w:p w14:paraId="60820187"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 partir do VAR, é possível recuperar funções impulso-resposta, que descrevem como as variáveis do sistema reagem ao longo do tempo a um choque em uma variável específica. De forma esquemática, a resposta ao choque j no horizonte h pode ser representada por:</w:t>
      </w:r>
    </w:p>
    <w:p w14:paraId="768185F6" w14:textId="77777777" w:rsidR="008E44CC" w:rsidRPr="009C7F96" w:rsidRDefault="008E44CC" w:rsidP="008E44CC">
      <w:pPr>
        <w:rPr>
          <w:rFonts w:cs="Times New Roman"/>
          <w:szCs w:val="24"/>
          <w:lang w:val="pt-BR"/>
        </w:rPr>
      </w:pPr>
    </w:p>
    <w:p w14:paraId="61FD1A1D"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IRF</w:t>
      </w:r>
      <w:r w:rsidRPr="009C7F96">
        <w:rPr>
          <w:rFonts w:cs="Times New Roman"/>
          <w:szCs w:val="24"/>
        </w:rPr>
        <w:t>ⱼ</w:t>
      </w:r>
      <w:r w:rsidRPr="009C7F96">
        <w:rPr>
          <w:rFonts w:cs="Times New Roman"/>
          <w:szCs w:val="24"/>
          <w:lang w:val="pt-BR"/>
        </w:rPr>
        <w:t>(h) = ∂Yₜ₊ₕ / ∂</w:t>
      </w:r>
      <w:r w:rsidRPr="009C7F96">
        <w:rPr>
          <w:rFonts w:cs="Times New Roman"/>
          <w:szCs w:val="24"/>
        </w:rPr>
        <w:t>εⱼ</w:t>
      </w:r>
      <w:r w:rsidRPr="009C7F96">
        <w:rPr>
          <w:rFonts w:cs="Times New Roman"/>
          <w:szCs w:val="24"/>
          <w:lang w:val="pt-BR"/>
        </w:rPr>
        <w:t xml:space="preserve">,ₜ = </w:t>
      </w:r>
      <w:r w:rsidRPr="009C7F96">
        <w:rPr>
          <w:rFonts w:cs="Times New Roman"/>
          <w:szCs w:val="24"/>
        </w:rPr>
        <w:t>Ψ</w:t>
      </w:r>
      <w:r w:rsidRPr="009C7F96">
        <w:rPr>
          <w:rFonts w:cs="Times New Roman"/>
          <w:szCs w:val="24"/>
          <w:lang w:val="pt-BR"/>
        </w:rPr>
        <w:t>ₕe</w:t>
      </w:r>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9)</w:t>
      </w:r>
    </w:p>
    <w:p w14:paraId="45DFAC2B" w14:textId="77777777" w:rsidR="008E44CC" w:rsidRPr="009C7F96" w:rsidRDefault="008E44CC" w:rsidP="008E44CC">
      <w:pPr>
        <w:rPr>
          <w:rFonts w:cs="Times New Roman"/>
          <w:szCs w:val="24"/>
          <w:lang w:val="pt-BR"/>
        </w:rPr>
      </w:pPr>
    </w:p>
    <w:p w14:paraId="30DCBB1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expressão, </w:t>
      </w:r>
      <w:r w:rsidRPr="009C7F96">
        <w:rPr>
          <w:rFonts w:cs="Times New Roman"/>
          <w:szCs w:val="24"/>
        </w:rPr>
        <w:t>Ψ</w:t>
      </w:r>
      <w:r w:rsidRPr="009C7F96">
        <w:rPr>
          <w:rFonts w:cs="Times New Roman"/>
          <w:szCs w:val="24"/>
          <w:lang w:val="pt-BR"/>
        </w:rPr>
        <w:t xml:space="preserve">ₕ representa a matriz de respostas dinâmicas no horizonte h e </w:t>
      </w:r>
      <w:proofErr w:type="spellStart"/>
      <w:r w:rsidRPr="009C7F96">
        <w:rPr>
          <w:rFonts w:cs="Times New Roman"/>
          <w:szCs w:val="24"/>
          <w:lang w:val="pt-BR"/>
        </w:rPr>
        <w:t>e</w:t>
      </w:r>
      <w:proofErr w:type="spellEnd"/>
      <w:r w:rsidRPr="009C7F96">
        <w:rPr>
          <w:rFonts w:cs="Times New Roman"/>
          <w:szCs w:val="24"/>
        </w:rPr>
        <w:t>ⱼ</w:t>
      </w:r>
      <w:r w:rsidRPr="009C7F96">
        <w:rPr>
          <w:rFonts w:cs="Times New Roman"/>
          <w:szCs w:val="24"/>
          <w:lang w:val="pt-BR"/>
        </w:rPr>
        <w:t xml:space="preserve"> identifica o choque estrutural de interesse. No caso do presente trabalho, as funções impulso-resposta do VAR permitem observar se um choque no petróleo ou nos combustíveis gera respostas compatíveis com aquelas obtidas pelas local </w:t>
      </w:r>
      <w:proofErr w:type="spellStart"/>
      <w:r w:rsidRPr="009C7F96">
        <w:rPr>
          <w:rFonts w:cs="Times New Roman"/>
          <w:szCs w:val="24"/>
          <w:lang w:val="pt-BR"/>
        </w:rPr>
        <w:t>projections</w:t>
      </w:r>
      <w:proofErr w:type="spellEnd"/>
      <w:r w:rsidRPr="009C7F96">
        <w:rPr>
          <w:rFonts w:cs="Times New Roman"/>
          <w:szCs w:val="24"/>
          <w:lang w:val="pt-BR"/>
        </w:rPr>
        <w:t>. O objetivo não é substituir a estratégia principal, mas verificar a direção, a persistência e a coerência econômica dos resultados em uma estrutura alternativa.</w:t>
      </w:r>
    </w:p>
    <w:p w14:paraId="1F0280E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Quando se utiliza uma identificação recursiva, como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a ordenação das variáveis passa a ter importância. A intuição é que as variáveis posicionadas antes no sistema podem afetar contemporaneamente as variáveis posteriores, enquanto as posteriores afetam as anteriores apenas com defasagem. Por isso, a escolha da ordenação precisa seguir uma lógica econômica. Em um estudo sobre petróleo, combustíveis e inflação, é razoável ordenar primeiro os choques externos, como petróleo e câmbio, depois os preços domésticos de combustíveis e, por fim, as medidas de inflação e política monetária. Essa estrutura é compatível com a hipótese de que choques internacionais se </w:t>
      </w:r>
      <w:proofErr w:type="spellStart"/>
      <w:r w:rsidRPr="009C7F96">
        <w:rPr>
          <w:rFonts w:cs="Times New Roman"/>
          <w:szCs w:val="24"/>
          <w:lang w:val="pt-BR"/>
        </w:rPr>
        <w:t>transmitem</w:t>
      </w:r>
      <w:proofErr w:type="spellEnd"/>
      <w:r w:rsidRPr="009C7F96">
        <w:rPr>
          <w:rFonts w:cs="Times New Roman"/>
          <w:szCs w:val="24"/>
          <w:lang w:val="pt-BR"/>
        </w:rPr>
        <w:t xml:space="preserve"> gradualmente para preços domésticos e inflação.</w:t>
      </w:r>
    </w:p>
    <w:p w14:paraId="3E170690" w14:textId="275B44AB" w:rsidR="008E44CC" w:rsidRPr="009C7F96" w:rsidRDefault="008E44CC" w:rsidP="008E44CC">
      <w:pPr>
        <w:spacing w:after="120"/>
        <w:rPr>
          <w:rFonts w:cs="Times New Roman"/>
          <w:szCs w:val="24"/>
          <w:lang w:val="pt-BR"/>
        </w:rPr>
      </w:pPr>
      <w:r w:rsidRPr="009C7F96">
        <w:rPr>
          <w:rFonts w:cs="Times New Roman"/>
          <w:szCs w:val="24"/>
          <w:lang w:val="pt-BR"/>
        </w:rPr>
        <w:t xml:space="preserve">No presente estudo, o modelo VAR é utilizado como exercício de robustez. Isso significa que ele não é tratado como a especificação principal, mas como uma checagem complementar dos resultados obtidos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Essa escolha se justifica porque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são mais adequadas para organizar o canal de transmissão em blocos e estimar respostas acumuladas de forma direta, enquanto o VAR permite verificar se os principais sinais aparecem também em um sistema dinâmico conjunto. Assim, se os resultados do VAR apontarem para respostas com direção semelhante às encontradas </w:t>
      </w:r>
      <w:proofErr w:type="gramStart"/>
      <w:r w:rsidRPr="009C7F96">
        <w:rPr>
          <w:rFonts w:cs="Times New Roman"/>
          <w:szCs w:val="24"/>
          <w:lang w:val="pt-BR"/>
        </w:rPr>
        <w:t>nas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a evidência empírica do repasse petróleo-combustíveis-inflação se torna mais consistente.</w:t>
      </w:r>
    </w:p>
    <w:p w14:paraId="14639F74" w14:textId="269B7813"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A utilização do VAR como robustez também dialoga com a literatura recente que compara </w:t>
      </w:r>
      <w:proofErr w:type="spellStart"/>
      <w:r w:rsidRPr="009C7F96">
        <w:rPr>
          <w:rFonts w:cs="Times New Roman"/>
          <w:szCs w:val="24"/>
          <w:lang w:val="pt-BR"/>
        </w:rPr>
        <w:t>VARs</w:t>
      </w:r>
      <w:proofErr w:type="spellEnd"/>
      <w:r w:rsidRPr="009C7F96">
        <w:rPr>
          <w:rFonts w:cs="Times New Roman"/>
          <w:szCs w:val="24"/>
          <w:lang w:val="pt-BR"/>
        </w:rPr>
        <w:t xml:space="preserve"> e local </w:t>
      </w:r>
      <w:proofErr w:type="spellStart"/>
      <w:r w:rsidRPr="009C7F96">
        <w:rPr>
          <w:rFonts w:cs="Times New Roman"/>
          <w:szCs w:val="24"/>
          <w:lang w:val="pt-BR"/>
        </w:rPr>
        <w:t>projections</w:t>
      </w:r>
      <w:proofErr w:type="spellEnd"/>
      <w:r w:rsidRPr="009C7F96">
        <w:rPr>
          <w:rFonts w:cs="Times New Roman"/>
          <w:szCs w:val="24"/>
          <w:lang w:val="pt-BR"/>
        </w:rPr>
        <w:t xml:space="preserve">. </w:t>
      </w:r>
      <w:proofErr w:type="spellStart"/>
      <w:r w:rsidRPr="009C7F96">
        <w:rPr>
          <w:rFonts w:cs="Times New Roman"/>
          <w:szCs w:val="24"/>
          <w:lang w:val="pt-BR"/>
        </w:rPr>
        <w:t>Plagborg-Møller</w:t>
      </w:r>
      <w:proofErr w:type="spellEnd"/>
      <w:r w:rsidRPr="009C7F96">
        <w:rPr>
          <w:rFonts w:cs="Times New Roman"/>
          <w:szCs w:val="24"/>
          <w:lang w:val="pt-BR"/>
        </w:rPr>
        <w:t xml:space="preserve"> e Wolf (2021) mostram que, sob condições adequadas, os dois métodos podem estimar objetos populacionais semelhantes. A diferença prática está nas propriedades de amostra finita, no grau de flexibilidade e na forma como a dinâmica é imposta. Portanto, a combinação entre local </w:t>
      </w:r>
      <w:proofErr w:type="spellStart"/>
      <w:r w:rsidRPr="009C7F96">
        <w:rPr>
          <w:rFonts w:cs="Times New Roman"/>
          <w:szCs w:val="24"/>
          <w:lang w:val="pt-BR"/>
        </w:rPr>
        <w:t>projections</w:t>
      </w:r>
      <w:proofErr w:type="spellEnd"/>
      <w:r w:rsidRPr="009C7F96">
        <w:rPr>
          <w:rFonts w:cs="Times New Roman"/>
          <w:szCs w:val="24"/>
          <w:lang w:val="pt-BR"/>
        </w:rPr>
        <w:t xml:space="preserve"> e VAR fortalece a pesquisa porque reduz a dependência de uma única especificação econométrica.</w:t>
      </w:r>
    </w:p>
    <w:p w14:paraId="4CE8D026" w14:textId="77777777" w:rsidR="008E44CC" w:rsidRPr="009C7F96" w:rsidRDefault="008E44CC" w:rsidP="008E44CC">
      <w:pPr>
        <w:pStyle w:val="Heading2"/>
        <w:spacing w:before="240" w:after="120"/>
        <w:jc w:val="both"/>
        <w:rPr>
          <w:rFonts w:cs="Times New Roman"/>
          <w:szCs w:val="24"/>
        </w:rPr>
      </w:pPr>
      <w:bookmarkStart w:id="11" w:name="_Toc229695938"/>
      <w:r w:rsidRPr="009C7F96">
        <w:rPr>
          <w:rFonts w:ascii="Times New Roman" w:eastAsia="Times New Roman" w:hAnsi="Times New Roman" w:cs="Times New Roman"/>
          <w:szCs w:val="24"/>
        </w:rPr>
        <w:t xml:space="preserve">2.6 Local </w:t>
      </w:r>
      <w:proofErr w:type="spellStart"/>
      <w:r w:rsidRPr="009C7F96">
        <w:rPr>
          <w:rFonts w:ascii="Times New Roman" w:eastAsia="Times New Roman" w:hAnsi="Times New Roman" w:cs="Times New Roman"/>
          <w:szCs w:val="24"/>
        </w:rPr>
        <w:t>projections</w:t>
      </w:r>
      <w:proofErr w:type="spellEnd"/>
      <w:r w:rsidRPr="009C7F96">
        <w:rPr>
          <w:rFonts w:ascii="Times New Roman" w:eastAsia="Times New Roman" w:hAnsi="Times New Roman" w:cs="Times New Roman"/>
          <w:szCs w:val="24"/>
        </w:rPr>
        <w:t>: fundamentos metodológicos</w:t>
      </w:r>
      <w:bookmarkEnd w:id="11"/>
    </w:p>
    <w:p w14:paraId="1A8625B0"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escolha da metodologia de local </w:t>
      </w:r>
      <w:proofErr w:type="spellStart"/>
      <w:r w:rsidRPr="009C7F96">
        <w:rPr>
          <w:rFonts w:cs="Times New Roman"/>
          <w:szCs w:val="24"/>
          <w:lang w:val="pt-BR"/>
        </w:rPr>
        <w:t>projections</w:t>
      </w:r>
      <w:proofErr w:type="spellEnd"/>
      <w:r w:rsidRPr="009C7F96">
        <w:rPr>
          <w:rFonts w:cs="Times New Roman"/>
          <w:szCs w:val="24"/>
          <w:lang w:val="pt-BR"/>
        </w:rPr>
        <w:t xml:space="preserve"> se justifica porque o objetivo da pesquisa não é apenas estimar correlações entre petróleo e inflação, mas recuperar o perfil temporal do repasse em diferentes horizontes. </w:t>
      </w:r>
      <w:proofErr w:type="spellStart"/>
      <w:r w:rsidRPr="009C7F96">
        <w:rPr>
          <w:rFonts w:cs="Times New Roman"/>
          <w:szCs w:val="24"/>
          <w:lang w:val="pt-BR"/>
        </w:rPr>
        <w:t>Jordà</w:t>
      </w:r>
      <w:proofErr w:type="spellEnd"/>
      <w:r w:rsidRPr="009C7F96">
        <w:rPr>
          <w:rFonts w:cs="Times New Roman"/>
          <w:szCs w:val="24"/>
          <w:lang w:val="pt-BR"/>
        </w:rPr>
        <w:t xml:space="preserve"> (2005) propõe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como alternativa direta à estimação de funções impulso-resposta. Em vez de estimar um sistema VAR completo e obter respostas por iteração, estima-se uma regressão separada para cada horizonte h. A forma canônica é:</w:t>
      </w:r>
    </w:p>
    <w:p w14:paraId="27608949" w14:textId="77777777" w:rsidR="008E44CC" w:rsidRPr="009C7F96" w:rsidRDefault="008E44CC" w:rsidP="008E44CC">
      <w:pPr>
        <w:rPr>
          <w:rFonts w:cs="Times New Roman"/>
          <w:szCs w:val="24"/>
          <w:lang w:val="pt-BR"/>
        </w:rPr>
      </w:pPr>
    </w:p>
    <w:p w14:paraId="3D7F7FC6"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xₜ + </w:t>
      </w:r>
      <w:r w:rsidRPr="009C7F96">
        <w:rPr>
          <w:rFonts w:cs="Times New Roman"/>
          <w:szCs w:val="24"/>
        </w:rPr>
        <w:t>Σ</w:t>
      </w:r>
      <w:r w:rsidRPr="009C7F96">
        <w:rPr>
          <w:rFonts w:cs="Times New Roman"/>
          <w:szCs w:val="24"/>
          <w:lang w:val="pt-BR"/>
        </w:rPr>
        <w:t>ℓ₌₁</w:t>
      </w:r>
      <w:r w:rsidRPr="009C7F96">
        <w:rPr>
          <w:rFonts w:cs="Times New Roman"/>
          <w:szCs w:val="24"/>
        </w:rPr>
        <w:t>ᵖ</w:t>
      </w:r>
      <w:r w:rsidRPr="009C7F96">
        <w:rPr>
          <w:rFonts w:cs="Times New Roman"/>
          <w:szCs w:val="24"/>
          <w:lang w:val="pt-BR"/>
        </w:rPr>
        <w:t xml:space="preserve"> </w:t>
      </w:r>
      <w:proofErr w:type="gramStart"/>
      <w:r w:rsidRPr="009C7F96">
        <w:rPr>
          <w:rFonts w:cs="Times New Roman"/>
          <w:szCs w:val="24"/>
        </w:rPr>
        <w:t>Γ</w:t>
      </w:r>
      <w:r w:rsidRPr="009C7F96">
        <w:rPr>
          <w:rFonts w:cs="Times New Roman"/>
          <w:szCs w:val="24"/>
          <w:lang w:val="pt-BR"/>
        </w:rPr>
        <w:t>ₕ,ℓ</w:t>
      </w:r>
      <w:proofErr w:type="gramEnd"/>
      <w:r w:rsidRPr="009C7F96">
        <w:rPr>
          <w:rFonts w:cs="Times New Roman"/>
          <w:szCs w:val="24"/>
          <w:lang w:val="pt-BR"/>
        </w:rPr>
        <w:t xml:space="preserve"> Wₜ₋ℓ + uₜ₊ₕ⁽ʰ</w:t>
      </w:r>
      <w:proofErr w:type="gramStart"/>
      <w:r w:rsidRPr="009C7F96">
        <w:rPr>
          <w:rFonts w:cs="Times New Roman"/>
          <w:szCs w:val="24"/>
          <w:lang w:val="pt-BR"/>
        </w:rPr>
        <w:t xml:space="preserve">⁾,   </w:t>
      </w:r>
      <w:proofErr w:type="gramEnd"/>
      <w:r w:rsidRPr="009C7F96">
        <w:rPr>
          <w:rFonts w:cs="Times New Roman"/>
          <w:szCs w:val="24"/>
          <w:lang w:val="pt-BR"/>
        </w:rPr>
        <w:t xml:space="preserve"> h = </w:t>
      </w:r>
      <w:proofErr w:type="gramStart"/>
      <w:r w:rsidRPr="009C7F96">
        <w:rPr>
          <w:rFonts w:cs="Times New Roman"/>
          <w:szCs w:val="24"/>
          <w:lang w:val="pt-BR"/>
        </w:rPr>
        <w:t>0,...</w:t>
      </w:r>
      <w:proofErr w:type="gramEnd"/>
      <w:r w:rsidRPr="009C7F96">
        <w:rPr>
          <w:rFonts w:cs="Times New Roman"/>
          <w:szCs w:val="24"/>
          <w:lang w:val="pt-BR"/>
        </w:rPr>
        <w:t xml:space="preserve">,H   </w:t>
      </w:r>
      <w:proofErr w:type="gramStart"/>
      <w:r w:rsidRPr="009C7F96">
        <w:rPr>
          <w:rFonts w:cs="Times New Roman"/>
          <w:szCs w:val="24"/>
          <w:lang w:val="pt-BR"/>
        </w:rPr>
        <w:t xml:space="preserve">   (</w:t>
      </w:r>
      <w:proofErr w:type="gramEnd"/>
      <w:r w:rsidRPr="009C7F96">
        <w:rPr>
          <w:rFonts w:cs="Times New Roman"/>
          <w:szCs w:val="24"/>
          <w:lang w:val="pt-BR"/>
        </w:rPr>
        <w:t>11)</w:t>
      </w:r>
    </w:p>
    <w:p w14:paraId="5F55A8FE" w14:textId="77777777" w:rsidR="008E44CC" w:rsidRPr="009C7F96" w:rsidRDefault="008E44CC" w:rsidP="008E44CC">
      <w:pPr>
        <w:rPr>
          <w:rFonts w:cs="Times New Roman"/>
          <w:szCs w:val="24"/>
          <w:lang w:val="pt-BR"/>
        </w:rPr>
      </w:pPr>
    </w:p>
    <w:p w14:paraId="7440FED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yₜ₊ₕ é a variável de resposta no horizonte h, xₜ é o choque de interesse, Wₜ₋ℓ é o conjunto de controles defasados e </w:t>
      </w:r>
      <w:r w:rsidRPr="009C7F96">
        <w:rPr>
          <w:rFonts w:cs="Times New Roman"/>
          <w:szCs w:val="24"/>
        </w:rPr>
        <w:t>β</w:t>
      </w:r>
      <w:r w:rsidRPr="009C7F96">
        <w:rPr>
          <w:rFonts w:cs="Times New Roman"/>
          <w:szCs w:val="24"/>
          <w:lang w:val="pt-BR"/>
        </w:rPr>
        <w:t xml:space="preserve">ₕ é a resposta estimada no horizonte h. A principal vantagem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é a flexibilidade. É possível incluir controles específicos, variáveis institucionais, </w:t>
      </w:r>
      <w:proofErr w:type="spellStart"/>
      <w:r w:rsidRPr="009C7F96">
        <w:rPr>
          <w:rFonts w:cs="Times New Roman"/>
          <w:szCs w:val="24"/>
          <w:lang w:val="pt-BR"/>
        </w:rPr>
        <w:t>dummies</w:t>
      </w:r>
      <w:proofErr w:type="spellEnd"/>
      <w:r w:rsidRPr="009C7F96">
        <w:rPr>
          <w:rFonts w:cs="Times New Roman"/>
          <w:szCs w:val="24"/>
          <w:lang w:val="pt-BR"/>
        </w:rPr>
        <w:t xml:space="preserve"> de regime, interações e instrumentos de forma relativamente simples. A principal limitação é que as estimativas podem apresentar maior variância, especialmente em horizontes longos ou em amostras pequenas.</w:t>
      </w:r>
    </w:p>
    <w:p w14:paraId="7C7DBE38" w14:textId="77777777" w:rsidR="008E44CC" w:rsidRPr="009C7F96" w:rsidRDefault="008E44CC" w:rsidP="008E44CC">
      <w:pPr>
        <w:spacing w:after="120"/>
        <w:rPr>
          <w:rFonts w:cs="Times New Roman"/>
          <w:szCs w:val="24"/>
          <w:lang w:val="pt-BR"/>
        </w:rPr>
      </w:pPr>
      <w:proofErr w:type="spellStart"/>
      <w:r w:rsidRPr="009C7F96">
        <w:rPr>
          <w:rFonts w:cs="Times New Roman"/>
          <w:szCs w:val="24"/>
          <w:lang w:val="pt-BR"/>
        </w:rPr>
        <w:t>Plagborg-Møller</w:t>
      </w:r>
      <w:proofErr w:type="spellEnd"/>
      <w:r w:rsidRPr="009C7F96">
        <w:rPr>
          <w:rFonts w:cs="Times New Roman"/>
          <w:szCs w:val="24"/>
          <w:lang w:val="pt-BR"/>
        </w:rPr>
        <w:t xml:space="preserve"> e Wolf (2021) mostram que, sob condições adequadas, local </w:t>
      </w:r>
      <w:proofErr w:type="spellStart"/>
      <w:r w:rsidRPr="009C7F96">
        <w:rPr>
          <w:rFonts w:cs="Times New Roman"/>
          <w:szCs w:val="24"/>
          <w:lang w:val="pt-BR"/>
        </w:rPr>
        <w:t>projections</w:t>
      </w:r>
      <w:proofErr w:type="spellEnd"/>
      <w:r w:rsidRPr="009C7F96">
        <w:rPr>
          <w:rFonts w:cs="Times New Roman"/>
          <w:szCs w:val="24"/>
          <w:lang w:val="pt-BR"/>
        </w:rPr>
        <w:t xml:space="preserve"> e </w:t>
      </w:r>
      <w:proofErr w:type="spellStart"/>
      <w:r w:rsidRPr="009C7F96">
        <w:rPr>
          <w:rFonts w:cs="Times New Roman"/>
          <w:szCs w:val="24"/>
          <w:lang w:val="pt-BR"/>
        </w:rPr>
        <w:t>VARs</w:t>
      </w:r>
      <w:proofErr w:type="spellEnd"/>
      <w:r w:rsidRPr="009C7F96">
        <w:rPr>
          <w:rFonts w:cs="Times New Roman"/>
          <w:szCs w:val="24"/>
          <w:lang w:val="pt-BR"/>
        </w:rPr>
        <w:t xml:space="preserve"> estimam o mesmo objeto populacional. A diferença central, portanto, não é necessariamente o estimando, mas as propriedades de amostra finita. Em termos aplicados, isso significa que a escolha entre VAR e LP envolve um trade-off entre eficiência e robustez. Para o presente estudo, a LP é particularmente atraente porque permite modelar explicitamente o canal petróleo em reais, preço na refinaria, preço ao consumidor e IPCA, além de comparar respostas por subamostras e regimes de precificação.</w:t>
      </w:r>
    </w:p>
    <w:p w14:paraId="7EF7600D" w14:textId="77777777" w:rsidR="008E44CC" w:rsidRPr="009C7F96" w:rsidRDefault="008E44CC" w:rsidP="008E44CC">
      <w:pPr>
        <w:spacing w:after="120"/>
        <w:rPr>
          <w:rFonts w:cs="Times New Roman"/>
          <w:szCs w:val="24"/>
          <w:lang w:val="pt-BR"/>
        </w:rPr>
      </w:pPr>
      <w:proofErr w:type="spellStart"/>
      <w:r w:rsidRPr="009C7F96">
        <w:rPr>
          <w:rFonts w:cs="Times New Roman"/>
          <w:szCs w:val="24"/>
          <w:lang w:val="pt-BR"/>
        </w:rPr>
        <w:lastRenderedPageBreak/>
        <w:t>Kilian</w:t>
      </w:r>
      <w:proofErr w:type="spellEnd"/>
      <w:r w:rsidRPr="009C7F96">
        <w:rPr>
          <w:rFonts w:cs="Times New Roman"/>
          <w:szCs w:val="24"/>
          <w:lang w:val="pt-BR"/>
        </w:rPr>
        <w:t xml:space="preserve"> e Kim (2011) ressaltam que </w:t>
      </w:r>
      <w:proofErr w:type="gramStart"/>
      <w:r w:rsidRPr="009C7F96">
        <w:rPr>
          <w:rFonts w:cs="Times New Roman"/>
          <w:szCs w:val="24"/>
          <w:lang w:val="pt-BR"/>
        </w:rPr>
        <w:t>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podem produzir intervalos de confiança mais amplos e, em amostras finitas, menor precisão do que alguns modelos VAR corretamente especificados. Essa crítica é importante para o presente trabalho porque a amostra mensal brasileira, apesar de relativamente longa desde 2003, pode se tornar curta quando dividida em regimes, como </w:t>
      </w:r>
      <w:proofErr w:type="spellStart"/>
      <w:r w:rsidRPr="009C7F96">
        <w:rPr>
          <w:rFonts w:cs="Times New Roman"/>
          <w:szCs w:val="24"/>
          <w:lang w:val="pt-BR"/>
        </w:rPr>
        <w:t>pré</w:t>
      </w:r>
      <w:proofErr w:type="spellEnd"/>
      <w:r w:rsidRPr="009C7F96">
        <w:rPr>
          <w:rFonts w:cs="Times New Roman"/>
          <w:szCs w:val="24"/>
          <w:lang w:val="pt-BR"/>
        </w:rPr>
        <w:t xml:space="preserve"> e pós-mudanças na política de preços. Por isso, a aplicação deve usar inferência robusta, bandas de confiança apropriadas, testes de sensibilidade para o número de defasagens e, quando necessário, versões suavizadas ou regularizadas das LPs.</w:t>
      </w:r>
    </w:p>
    <w:p w14:paraId="732CE0B5"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Li, </w:t>
      </w:r>
      <w:proofErr w:type="spellStart"/>
      <w:r w:rsidRPr="009C7F96">
        <w:rPr>
          <w:rFonts w:cs="Times New Roman"/>
          <w:szCs w:val="24"/>
          <w:lang w:val="pt-BR"/>
        </w:rPr>
        <w:t>Plagborg-Møller</w:t>
      </w:r>
      <w:proofErr w:type="spellEnd"/>
      <w:r w:rsidRPr="009C7F96">
        <w:rPr>
          <w:rFonts w:cs="Times New Roman"/>
          <w:szCs w:val="24"/>
          <w:lang w:val="pt-BR"/>
        </w:rPr>
        <w:t xml:space="preserve"> e Wolf (2024) aprofundam essa discussão ao comparar LPs e </w:t>
      </w:r>
      <w:proofErr w:type="spellStart"/>
      <w:r w:rsidRPr="009C7F96">
        <w:rPr>
          <w:rFonts w:cs="Times New Roman"/>
          <w:szCs w:val="24"/>
          <w:lang w:val="pt-BR"/>
        </w:rPr>
        <w:t>VARs</w:t>
      </w:r>
      <w:proofErr w:type="spellEnd"/>
      <w:r w:rsidRPr="009C7F96">
        <w:rPr>
          <w:rFonts w:cs="Times New Roman"/>
          <w:szCs w:val="24"/>
          <w:lang w:val="pt-BR"/>
        </w:rPr>
        <w:t xml:space="preserve"> em numerosos processos geradores de dados. O resultado reforça o diagnóstico de que as LPs tendem a ter menor viés, mas maior variância. Para a presente pesquisa, a implicação é que o uso de local </w:t>
      </w:r>
      <w:proofErr w:type="spellStart"/>
      <w:r w:rsidRPr="009C7F96">
        <w:rPr>
          <w:rFonts w:cs="Times New Roman"/>
          <w:szCs w:val="24"/>
          <w:lang w:val="pt-BR"/>
        </w:rPr>
        <w:t>projections</w:t>
      </w:r>
      <w:proofErr w:type="spellEnd"/>
      <w:r w:rsidRPr="009C7F96">
        <w:rPr>
          <w:rFonts w:cs="Times New Roman"/>
          <w:szCs w:val="24"/>
          <w:lang w:val="pt-BR"/>
        </w:rPr>
        <w:t xml:space="preserve"> deve ser acompanhado de especificações parcimoniosas, controles bem escolhidos e interpretação cuidadosa das bandas de confiança. Não se deve vender a LP como método automaticamente superior, mas como método mais flexível para responder a uma pergunta institucionalmente complexa.</w:t>
      </w:r>
    </w:p>
    <w:p w14:paraId="1BB5880D" w14:textId="77777777" w:rsidR="008E44CC" w:rsidRPr="009C7F96" w:rsidRDefault="008E44CC" w:rsidP="008E44CC">
      <w:pPr>
        <w:pStyle w:val="Heading2"/>
        <w:spacing w:before="240" w:after="120"/>
        <w:jc w:val="both"/>
        <w:rPr>
          <w:rFonts w:cs="Times New Roman"/>
          <w:szCs w:val="24"/>
        </w:rPr>
      </w:pPr>
      <w:bookmarkStart w:id="12" w:name="_Toc229695939"/>
      <w:r w:rsidRPr="009C7F96">
        <w:rPr>
          <w:rFonts w:ascii="Times New Roman" w:eastAsia="Times New Roman" w:hAnsi="Times New Roman" w:cs="Times New Roman"/>
          <w:szCs w:val="24"/>
        </w:rPr>
        <w:t xml:space="preserve">2.7 Extensões de local </w:t>
      </w:r>
      <w:proofErr w:type="spellStart"/>
      <w:r w:rsidRPr="009C7F96">
        <w:rPr>
          <w:rFonts w:ascii="Times New Roman" w:eastAsia="Times New Roman" w:hAnsi="Times New Roman" w:cs="Times New Roman"/>
          <w:szCs w:val="24"/>
        </w:rPr>
        <w:t>projections</w:t>
      </w:r>
      <w:proofErr w:type="spellEnd"/>
      <w:r w:rsidRPr="009C7F96">
        <w:rPr>
          <w:rFonts w:ascii="Times New Roman" w:eastAsia="Times New Roman" w:hAnsi="Times New Roman" w:cs="Times New Roman"/>
          <w:szCs w:val="24"/>
        </w:rPr>
        <w:t xml:space="preserve"> relevantes para o tema</w:t>
      </w:r>
      <w:bookmarkEnd w:id="12"/>
    </w:p>
    <w:p w14:paraId="1E311DC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literatura recente desenvolveu várias extensões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que são úteis para estudar choques de petróleo e inflação. A primeira é a LP-IV, que combina local </w:t>
      </w:r>
      <w:proofErr w:type="spellStart"/>
      <w:r w:rsidRPr="009C7F96">
        <w:rPr>
          <w:rFonts w:cs="Times New Roman"/>
          <w:szCs w:val="24"/>
          <w:lang w:val="pt-BR"/>
        </w:rPr>
        <w:t>projections</w:t>
      </w:r>
      <w:proofErr w:type="spellEnd"/>
      <w:r w:rsidRPr="009C7F96">
        <w:rPr>
          <w:rFonts w:cs="Times New Roman"/>
          <w:szCs w:val="24"/>
          <w:lang w:val="pt-BR"/>
        </w:rPr>
        <w:t xml:space="preserve"> com variáveis instrumentais. Essa abordagem é adequada quando o choque observado é potencialmente endógeno. No caso brasileiro, o preço doméstico do combustível pode responder simultaneamente à conjuntura inflacionária, à política de preços da Petrobras, ao câmbio e às condições de oferta. Portanto, tratá-lo como variável exógena pode gerar viés.</w:t>
      </w:r>
    </w:p>
    <w:p w14:paraId="5D50714C" w14:textId="77777777" w:rsidR="008E44CC" w:rsidRPr="009C7F96" w:rsidRDefault="008E44CC" w:rsidP="008E44CC">
      <w:pPr>
        <w:spacing w:after="120"/>
        <w:rPr>
          <w:rFonts w:cs="Times New Roman"/>
          <w:szCs w:val="24"/>
          <w:lang w:val="pt-BR"/>
        </w:rPr>
      </w:pPr>
      <w:r w:rsidRPr="009C7F96">
        <w:rPr>
          <w:rFonts w:cs="Times New Roman"/>
          <w:szCs w:val="24"/>
          <w:lang w:val="pt-BR"/>
        </w:rPr>
        <w:t>A LP-IV pode ser representada em duas etapas. A primeira etapa isola a componente exógena do choque:</w:t>
      </w:r>
    </w:p>
    <w:p w14:paraId="7217632C" w14:textId="77777777" w:rsidR="008E44CC" w:rsidRPr="009C7F96" w:rsidRDefault="008E44CC" w:rsidP="008E44CC">
      <w:pPr>
        <w:rPr>
          <w:rFonts w:cs="Times New Roman"/>
          <w:szCs w:val="24"/>
          <w:lang w:val="pt-BR"/>
        </w:rPr>
      </w:pPr>
    </w:p>
    <w:p w14:paraId="064484C7"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xₜ = </w:t>
      </w:r>
      <w:r w:rsidRPr="009C7F96">
        <w:rPr>
          <w:rFonts w:cs="Times New Roman"/>
          <w:szCs w:val="24"/>
        </w:rPr>
        <w:t>π</w:t>
      </w:r>
      <w:r w:rsidRPr="009C7F96">
        <w:rPr>
          <w:rFonts w:cs="Times New Roman"/>
          <w:szCs w:val="24"/>
          <w:lang w:val="pt-BR"/>
        </w:rPr>
        <w:t xml:space="preserve"> zₜ + </w:t>
      </w:r>
      <w:r w:rsidRPr="009C7F96">
        <w:rPr>
          <w:rFonts w:cs="Times New Roman"/>
          <w:szCs w:val="24"/>
        </w:rPr>
        <w:t>Λ</w:t>
      </w:r>
      <w:r w:rsidRPr="009C7F96">
        <w:rPr>
          <w:rFonts w:cs="Times New Roman"/>
          <w:szCs w:val="24"/>
          <w:lang w:val="pt-BR"/>
        </w:rPr>
        <w:t xml:space="preserve">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ν</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12)</w:t>
      </w:r>
    </w:p>
    <w:p w14:paraId="0DA66817" w14:textId="77777777" w:rsidR="008E44CC" w:rsidRPr="009C7F96" w:rsidRDefault="008E44CC" w:rsidP="008E44CC">
      <w:pPr>
        <w:rPr>
          <w:rFonts w:cs="Times New Roman"/>
          <w:szCs w:val="24"/>
          <w:lang w:val="pt-BR"/>
        </w:rPr>
      </w:pPr>
    </w:p>
    <w:p w14:paraId="43F3EAC2" w14:textId="77777777" w:rsidR="008E44CC" w:rsidRPr="009C7F96" w:rsidRDefault="008E44CC" w:rsidP="008E44CC">
      <w:pPr>
        <w:spacing w:after="120"/>
        <w:rPr>
          <w:rFonts w:cs="Times New Roman"/>
          <w:szCs w:val="24"/>
          <w:lang w:val="pt-BR"/>
        </w:rPr>
      </w:pPr>
      <w:r w:rsidRPr="009C7F96">
        <w:rPr>
          <w:rFonts w:cs="Times New Roman"/>
          <w:szCs w:val="24"/>
          <w:lang w:val="pt-BR"/>
        </w:rPr>
        <w:t>A segunda etapa estima a resposta da variável de interesse à parte instrumentada do choque:</w:t>
      </w:r>
    </w:p>
    <w:p w14:paraId="7F81FB59" w14:textId="77777777" w:rsidR="008E44CC" w:rsidRPr="009C7F96" w:rsidRDefault="008E44CC" w:rsidP="008E44CC">
      <w:pPr>
        <w:rPr>
          <w:rFonts w:cs="Times New Roman"/>
          <w:szCs w:val="24"/>
          <w:lang w:val="pt-BR"/>
        </w:rPr>
      </w:pPr>
    </w:p>
    <w:p w14:paraId="38949498"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x̂ₜ + </w:t>
      </w:r>
      <w:r w:rsidRPr="009C7F96">
        <w:rPr>
          <w:rFonts w:cs="Times New Roman"/>
          <w:szCs w:val="24"/>
        </w:rPr>
        <w:t>Γ</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13)</w:t>
      </w:r>
    </w:p>
    <w:p w14:paraId="37157073" w14:textId="77777777" w:rsidR="008E44CC" w:rsidRPr="009C7F96" w:rsidRDefault="008E44CC" w:rsidP="008E44CC">
      <w:pPr>
        <w:rPr>
          <w:rFonts w:cs="Times New Roman"/>
          <w:szCs w:val="24"/>
          <w:lang w:val="pt-BR"/>
        </w:rPr>
      </w:pPr>
    </w:p>
    <w:p w14:paraId="4C87AE77" w14:textId="77777777" w:rsidR="008E44CC" w:rsidRPr="009C7F96" w:rsidRDefault="008E44CC" w:rsidP="008E44CC">
      <w:pPr>
        <w:spacing w:after="120"/>
        <w:rPr>
          <w:rFonts w:cs="Times New Roman"/>
          <w:szCs w:val="24"/>
          <w:lang w:val="pt-BR"/>
        </w:rPr>
      </w:pPr>
      <w:r w:rsidRPr="009C7F96">
        <w:rPr>
          <w:rFonts w:cs="Times New Roman"/>
          <w:szCs w:val="24"/>
          <w:lang w:val="pt-BR"/>
        </w:rPr>
        <w:t>Em que zₜ é o instrumento, xₜ é a variável de choque potencialmente endógena e x̂ₜ é sua componente prevista pela primeira etapa. Para o presente trabalho, instrumentos possíveis incluem choques globais de oferta de petróleo, variações externas do Brent em reais, eventos geopolíticos relevantes e medidas de disrupção de refino ou abastecimento quando puderem ser tratadas como plausivelmente exógenas.</w:t>
      </w:r>
    </w:p>
    <w:p w14:paraId="0C3CD80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segunda extensão relevante é a </w:t>
      </w:r>
      <w:proofErr w:type="spellStart"/>
      <w:r w:rsidRPr="009C7F96">
        <w:rPr>
          <w:rFonts w:cs="Times New Roman"/>
          <w:szCs w:val="24"/>
          <w:lang w:val="pt-BR"/>
        </w:rPr>
        <w:t>state-dependent</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utilizada quando o efeito do choque depende do estado da economia ou do regime institucional. No caso do petróleo e dos combustíveis no Brasil, o estado pode ser definido pelo regime de precificação, pela existência de desalinhamento entre referência internacional e preço doméstico, por períodos de inflação elevada ou por episódios de mudança tributária. Uma forma comum de especificar esse modelo é:</w:t>
      </w:r>
    </w:p>
    <w:p w14:paraId="15388BB7" w14:textId="77777777" w:rsidR="008E44CC" w:rsidRPr="009C7F96" w:rsidRDefault="008E44CC" w:rsidP="008E44CC">
      <w:pPr>
        <w:rPr>
          <w:rFonts w:cs="Times New Roman"/>
          <w:szCs w:val="24"/>
          <w:lang w:val="pt-BR"/>
        </w:rPr>
      </w:pPr>
    </w:p>
    <w:p w14:paraId="3554B908"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gramStart"/>
      <w:r w:rsidRPr="009C7F96">
        <w:rPr>
          <w:rFonts w:cs="Times New Roman"/>
          <w:szCs w:val="24"/>
          <w:lang w:val="pt-BR"/>
        </w:rPr>
        <w:t>L[</w:t>
      </w:r>
      <w:proofErr w:type="gramEnd"/>
      <w:r w:rsidRPr="009C7F96">
        <w:rPr>
          <w:rFonts w:cs="Times New Roman"/>
          <w:szCs w:val="24"/>
          <w:lang w:val="pt-BR"/>
        </w:rPr>
        <w:t xml:space="preserve">1 - F(sₜ₋₁)]xₜ + </w:t>
      </w:r>
      <w:r w:rsidRPr="009C7F96">
        <w:rPr>
          <w:rFonts w:cs="Times New Roman"/>
          <w:szCs w:val="24"/>
        </w:rPr>
        <w:t>β</w:t>
      </w:r>
      <w:r w:rsidRPr="009C7F96">
        <w:rPr>
          <w:rFonts w:cs="Times New Roman"/>
          <w:szCs w:val="24"/>
          <w:lang w:val="pt-BR"/>
        </w:rPr>
        <w:t>ₕ^H F(sₜ₋</w:t>
      </w:r>
      <w:proofErr w:type="gramStart"/>
      <w:r w:rsidRPr="009C7F96">
        <w:rPr>
          <w:rFonts w:cs="Times New Roman"/>
          <w:szCs w:val="24"/>
          <w:lang w:val="pt-BR"/>
        </w:rPr>
        <w:t>₁)x</w:t>
      </w:r>
      <w:proofErr w:type="gram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14)</w:t>
      </w:r>
    </w:p>
    <w:p w14:paraId="0E4B41AC" w14:textId="77777777" w:rsidR="008E44CC" w:rsidRPr="009C7F96" w:rsidRDefault="008E44CC" w:rsidP="008E44CC">
      <w:pPr>
        <w:rPr>
          <w:rFonts w:cs="Times New Roman"/>
          <w:szCs w:val="24"/>
          <w:lang w:val="pt-BR"/>
        </w:rPr>
      </w:pPr>
    </w:p>
    <w:p w14:paraId="78232E2F" w14:textId="77777777" w:rsidR="008E44CC" w:rsidRPr="009C7F96" w:rsidRDefault="008E44CC" w:rsidP="008E44CC">
      <w:pPr>
        <w:spacing w:after="120"/>
        <w:rPr>
          <w:rFonts w:cs="Times New Roman"/>
          <w:szCs w:val="24"/>
          <w:lang w:val="pt-BR"/>
        </w:rPr>
      </w:pPr>
      <w:r w:rsidRPr="009C7F96">
        <w:rPr>
          <w:rFonts w:cs="Times New Roman"/>
          <w:szCs w:val="24"/>
          <w:lang w:val="pt-BR"/>
        </w:rPr>
        <w:t>Em que F(sₜ₋₁) é uma função que indica o estado da economia ou do regime. Gonçalves et al. (2024) alertam que a interpretação causal das LPs dependentes de estado requer cuidado quando o estado é endógeno ao próprio choque. Por isso, para o caso brasileiro, um regime institucional datável, como a mudança de estratégia comercial da Petrobras, tende a ser mais defensável do que estados definidos apenas pela inflação corrente ou pelo hiato, que podem responder ao próprio choque de petróleo.</w:t>
      </w:r>
    </w:p>
    <w:p w14:paraId="78AFC4F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terceira extensão é a </w:t>
      </w:r>
      <w:proofErr w:type="spellStart"/>
      <w:r w:rsidRPr="009C7F96">
        <w:rPr>
          <w:rFonts w:cs="Times New Roman"/>
          <w:szCs w:val="24"/>
          <w:lang w:val="pt-BR"/>
        </w:rPr>
        <w:t>smooth</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xml:space="preserve">, desenvolvida por </w:t>
      </w:r>
      <w:proofErr w:type="spellStart"/>
      <w:r w:rsidRPr="009C7F96">
        <w:rPr>
          <w:rFonts w:cs="Times New Roman"/>
          <w:szCs w:val="24"/>
          <w:lang w:val="pt-BR"/>
        </w:rPr>
        <w:t>Barnichon</w:t>
      </w:r>
      <w:proofErr w:type="spellEnd"/>
      <w:r w:rsidRPr="009C7F96">
        <w:rPr>
          <w:rFonts w:cs="Times New Roman"/>
          <w:szCs w:val="24"/>
          <w:lang w:val="pt-BR"/>
        </w:rPr>
        <w:t xml:space="preserve"> e </w:t>
      </w:r>
      <w:proofErr w:type="spellStart"/>
      <w:r w:rsidRPr="009C7F96">
        <w:rPr>
          <w:rFonts w:cs="Times New Roman"/>
          <w:szCs w:val="24"/>
          <w:lang w:val="pt-BR"/>
        </w:rPr>
        <w:t>Brownlees</w:t>
      </w:r>
      <w:proofErr w:type="spellEnd"/>
      <w:r w:rsidRPr="009C7F96">
        <w:rPr>
          <w:rFonts w:cs="Times New Roman"/>
          <w:szCs w:val="24"/>
          <w:lang w:val="pt-BR"/>
        </w:rPr>
        <w:t xml:space="preserve"> (2019). A ideia é impor suavidade à sequência de respostas ao longo dos horizontes, reduzindo a variância das estimativas. Em vez de estimar </w:t>
      </w:r>
      <w:r w:rsidRPr="009C7F96">
        <w:rPr>
          <w:rFonts w:cs="Times New Roman"/>
          <w:szCs w:val="24"/>
        </w:rPr>
        <w:t>β</w:t>
      </w:r>
      <w:r w:rsidRPr="009C7F96">
        <w:rPr>
          <w:rFonts w:cs="Times New Roman"/>
          <w:szCs w:val="24"/>
          <w:lang w:val="pt-BR"/>
        </w:rPr>
        <w:t>ₕ de forma completamente independente para cada horizonte, pode-se escrever:</w:t>
      </w:r>
    </w:p>
    <w:p w14:paraId="0A236C22" w14:textId="77777777" w:rsidR="008E44CC" w:rsidRPr="009C7F96" w:rsidRDefault="008E44CC" w:rsidP="008E44CC">
      <w:pPr>
        <w:rPr>
          <w:rFonts w:cs="Times New Roman"/>
          <w:szCs w:val="24"/>
          <w:lang w:val="pt-BR"/>
        </w:rPr>
      </w:pPr>
    </w:p>
    <w:p w14:paraId="0BF7FD57" w14:textId="77777777" w:rsidR="008E44CC" w:rsidRPr="009C7F96" w:rsidRDefault="008E44CC" w:rsidP="008E44CC">
      <w:pPr>
        <w:spacing w:before="120" w:after="120"/>
        <w:rPr>
          <w:rFonts w:cs="Times New Roman"/>
          <w:szCs w:val="24"/>
          <w:lang w:val="pt-BR"/>
        </w:rPr>
      </w:pPr>
      <w:r w:rsidRPr="009C7F96">
        <w:rPr>
          <w:rFonts w:cs="Times New Roman"/>
          <w:szCs w:val="24"/>
        </w:rPr>
        <w:t>β</w:t>
      </w:r>
      <w:r w:rsidRPr="009C7F96">
        <w:rPr>
          <w:rFonts w:cs="Times New Roman"/>
          <w:szCs w:val="24"/>
          <w:lang w:val="pt-BR"/>
        </w:rPr>
        <w:t xml:space="preserve">(h) = </w:t>
      </w:r>
      <w:r w:rsidRPr="009C7F96">
        <w:rPr>
          <w:rFonts w:cs="Times New Roman"/>
          <w:szCs w:val="24"/>
        </w:rPr>
        <w:t>Σ</w:t>
      </w:r>
      <w:r w:rsidRPr="009C7F96">
        <w:rPr>
          <w:rFonts w:cs="Times New Roman"/>
          <w:szCs w:val="24"/>
          <w:lang w:val="pt-BR"/>
        </w:rPr>
        <w:t>_{m=</w:t>
      </w:r>
      <w:proofErr w:type="gramStart"/>
      <w:r w:rsidRPr="009C7F96">
        <w:rPr>
          <w:rFonts w:cs="Times New Roman"/>
          <w:szCs w:val="24"/>
          <w:lang w:val="pt-BR"/>
        </w:rPr>
        <w:t>1}^</w:t>
      </w:r>
      <w:proofErr w:type="gramEnd"/>
      <w:r w:rsidRPr="009C7F96">
        <w:rPr>
          <w:rFonts w:cs="Times New Roman"/>
          <w:szCs w:val="24"/>
          <w:lang w:val="pt-BR"/>
        </w:rPr>
        <w:t>{M} bₘ Bₘ(</w:t>
      </w:r>
      <w:proofErr w:type="gramStart"/>
      <w:r w:rsidRPr="009C7F96">
        <w:rPr>
          <w:rFonts w:cs="Times New Roman"/>
          <w:szCs w:val="24"/>
          <w:lang w:val="pt-BR"/>
        </w:rPr>
        <w:t>h)      (</w:t>
      </w:r>
      <w:proofErr w:type="gramEnd"/>
      <w:r w:rsidRPr="009C7F96">
        <w:rPr>
          <w:rFonts w:cs="Times New Roman"/>
          <w:szCs w:val="24"/>
          <w:lang w:val="pt-BR"/>
        </w:rPr>
        <w:t>15)</w:t>
      </w:r>
    </w:p>
    <w:p w14:paraId="43BEB3CB" w14:textId="77777777" w:rsidR="008E44CC" w:rsidRPr="009C7F96" w:rsidRDefault="008E44CC" w:rsidP="008E44CC">
      <w:pPr>
        <w:rPr>
          <w:rFonts w:cs="Times New Roman"/>
          <w:szCs w:val="24"/>
          <w:lang w:val="pt-BR"/>
        </w:rPr>
      </w:pPr>
    </w:p>
    <w:p w14:paraId="06044DA3"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Bₘ(h) representa funções de base, como </w:t>
      </w:r>
      <w:proofErr w:type="spellStart"/>
      <w:r w:rsidRPr="009C7F96">
        <w:rPr>
          <w:rFonts w:cs="Times New Roman"/>
          <w:szCs w:val="24"/>
          <w:lang w:val="pt-BR"/>
        </w:rPr>
        <w:t>splines</w:t>
      </w:r>
      <w:proofErr w:type="spellEnd"/>
      <w:r w:rsidRPr="009C7F96">
        <w:rPr>
          <w:rFonts w:cs="Times New Roman"/>
          <w:szCs w:val="24"/>
          <w:lang w:val="pt-BR"/>
        </w:rPr>
        <w:t xml:space="preserve">, e bₘ são coeficientes estimados. Essa abordagem é útil quando se espera que o repasse do petróleo para a inflação siga um perfil </w:t>
      </w:r>
      <w:r w:rsidRPr="009C7F96">
        <w:rPr>
          <w:rFonts w:cs="Times New Roman"/>
          <w:szCs w:val="24"/>
          <w:lang w:val="pt-BR"/>
        </w:rPr>
        <w:lastRenderedPageBreak/>
        <w:t>relativamente suave, sem oscilações bruscas entre meses consecutivos. No entanto, seu uso exige cautela, pois a suavização pode esconder assimetrias ou quebras reais de regime.</w:t>
      </w:r>
    </w:p>
    <w:p w14:paraId="6E23265A"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quarta extensão é a </w:t>
      </w:r>
      <w:proofErr w:type="spellStart"/>
      <w:r w:rsidRPr="009C7F96">
        <w:rPr>
          <w:rFonts w:cs="Times New Roman"/>
          <w:szCs w:val="24"/>
          <w:lang w:val="pt-BR"/>
        </w:rPr>
        <w:t>Bayesian</w:t>
      </w:r>
      <w:proofErr w:type="spellEnd"/>
      <w:r w:rsidRPr="009C7F96">
        <w:rPr>
          <w:rFonts w:cs="Times New Roman"/>
          <w:szCs w:val="24"/>
          <w:lang w:val="pt-BR"/>
        </w:rPr>
        <w:t xml:space="preserve"> local </w:t>
      </w:r>
      <w:proofErr w:type="spellStart"/>
      <w:r w:rsidRPr="009C7F96">
        <w:rPr>
          <w:rFonts w:cs="Times New Roman"/>
          <w:szCs w:val="24"/>
          <w:lang w:val="pt-BR"/>
        </w:rPr>
        <w:t>projection</w:t>
      </w:r>
      <w:proofErr w:type="spellEnd"/>
      <w:r w:rsidRPr="009C7F96">
        <w:rPr>
          <w:rFonts w:cs="Times New Roman"/>
          <w:szCs w:val="24"/>
          <w:lang w:val="pt-BR"/>
        </w:rPr>
        <w:t xml:space="preserve">, associada a Ferreira, Miranda-Agrippino e Ricco (2025). A proposta é reduzir a variância das LPs por meio de </w:t>
      </w:r>
      <w:proofErr w:type="spellStart"/>
      <w:r w:rsidRPr="009C7F96">
        <w:rPr>
          <w:rFonts w:cs="Times New Roman"/>
          <w:szCs w:val="24"/>
          <w:lang w:val="pt-BR"/>
        </w:rPr>
        <w:t>priors</w:t>
      </w:r>
      <w:proofErr w:type="spellEnd"/>
      <w:r w:rsidRPr="009C7F96">
        <w:rPr>
          <w:rFonts w:cs="Times New Roman"/>
          <w:szCs w:val="24"/>
          <w:lang w:val="pt-BR"/>
        </w:rPr>
        <w:t xml:space="preserve"> que regularizam os coeficientes. De modo simplificado, pode-se assumir:</w:t>
      </w:r>
    </w:p>
    <w:p w14:paraId="5583371E" w14:textId="77777777" w:rsidR="008E44CC" w:rsidRPr="009C7F96" w:rsidRDefault="008E44CC" w:rsidP="008E44CC">
      <w:pPr>
        <w:rPr>
          <w:rFonts w:cs="Times New Roman"/>
          <w:szCs w:val="24"/>
          <w:lang w:val="pt-BR"/>
        </w:rPr>
      </w:pPr>
    </w:p>
    <w:p w14:paraId="25E64D72" w14:textId="77777777" w:rsidR="008E44CC" w:rsidRPr="009C7F96" w:rsidRDefault="008E44CC" w:rsidP="008E44CC">
      <w:pPr>
        <w:spacing w:before="120" w:after="120"/>
        <w:rPr>
          <w:rFonts w:cs="Times New Roman"/>
          <w:szCs w:val="24"/>
          <w:lang w:val="pt-BR"/>
        </w:rPr>
      </w:pPr>
      <w:r w:rsidRPr="009C7F96">
        <w:rPr>
          <w:rFonts w:cs="Times New Roman"/>
          <w:szCs w:val="24"/>
        </w:rPr>
        <w:t>θ</w:t>
      </w:r>
      <w:r w:rsidRPr="009C7F96">
        <w:rPr>
          <w:rFonts w:cs="Times New Roman"/>
          <w:szCs w:val="24"/>
          <w:lang w:val="pt-BR"/>
        </w:rPr>
        <w:t xml:space="preserve">ₕ ~ </w:t>
      </w:r>
      <w:proofErr w:type="gramStart"/>
      <w:r w:rsidRPr="009C7F96">
        <w:rPr>
          <w:rFonts w:cs="Times New Roman"/>
          <w:szCs w:val="24"/>
          <w:lang w:val="pt-BR"/>
        </w:rPr>
        <w:t>N(</w:t>
      </w:r>
      <w:proofErr w:type="gramEnd"/>
      <w:r w:rsidRPr="009C7F96">
        <w:rPr>
          <w:rFonts w:cs="Times New Roman"/>
          <w:szCs w:val="24"/>
        </w:rPr>
        <w:t>μ</w:t>
      </w:r>
      <w:r w:rsidRPr="009C7F96">
        <w:rPr>
          <w:rFonts w:cs="Times New Roman"/>
          <w:szCs w:val="24"/>
          <w:lang w:val="pt-BR"/>
        </w:rPr>
        <w:t xml:space="preserve">ₕ, </w:t>
      </w:r>
      <w:proofErr w:type="gramStart"/>
      <w:r w:rsidRPr="009C7F96">
        <w:rPr>
          <w:rFonts w:cs="Times New Roman"/>
          <w:szCs w:val="24"/>
        </w:rPr>
        <w:t>Ω</w:t>
      </w:r>
      <w:r w:rsidRPr="009C7F96">
        <w:rPr>
          <w:rFonts w:cs="Times New Roman"/>
          <w:szCs w:val="24"/>
          <w:lang w:val="pt-BR"/>
        </w:rPr>
        <w:t>ₕ)      (</w:t>
      </w:r>
      <w:proofErr w:type="gramEnd"/>
      <w:r w:rsidRPr="009C7F96">
        <w:rPr>
          <w:rFonts w:cs="Times New Roman"/>
          <w:szCs w:val="24"/>
          <w:lang w:val="pt-BR"/>
        </w:rPr>
        <w:t>16)</w:t>
      </w:r>
    </w:p>
    <w:p w14:paraId="0F35D633" w14:textId="77777777" w:rsidR="008E44CC" w:rsidRPr="009C7F96" w:rsidRDefault="008E44CC" w:rsidP="008E44CC">
      <w:pPr>
        <w:rPr>
          <w:rFonts w:cs="Times New Roman"/>
          <w:szCs w:val="24"/>
          <w:lang w:val="pt-BR"/>
        </w:rPr>
      </w:pPr>
    </w:p>
    <w:p w14:paraId="1F671674"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w:r w:rsidRPr="009C7F96">
        <w:rPr>
          <w:rFonts w:cs="Times New Roman"/>
          <w:szCs w:val="24"/>
        </w:rPr>
        <w:t>θ</w:t>
      </w:r>
      <w:r w:rsidRPr="009C7F96">
        <w:rPr>
          <w:rFonts w:cs="Times New Roman"/>
          <w:szCs w:val="24"/>
          <w:lang w:val="pt-BR"/>
        </w:rPr>
        <w:t>ₕ reúne os parâmetros da regressão no horizonte h. Essa estratégia é útil para amostras curtas, modelos com muitos controles ou respostas muito ruidosas. Para o presente estudo, uma LP bayesiana poderia ser utilizada como robustez, especialmente em subamostras ou modelos com várias variáveis institucionais.</w:t>
      </w:r>
    </w:p>
    <w:p w14:paraId="50D5354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quinta extensão é a local </w:t>
      </w:r>
      <w:proofErr w:type="spellStart"/>
      <w:r w:rsidRPr="009C7F96">
        <w:rPr>
          <w:rFonts w:cs="Times New Roman"/>
          <w:szCs w:val="24"/>
          <w:lang w:val="pt-BR"/>
        </w:rPr>
        <w:t>projection</w:t>
      </w:r>
      <w:proofErr w:type="spellEnd"/>
      <w:r w:rsidRPr="009C7F96">
        <w:rPr>
          <w:rFonts w:cs="Times New Roman"/>
          <w:szCs w:val="24"/>
          <w:lang w:val="pt-BR"/>
        </w:rPr>
        <w:t xml:space="preserve"> com parâmetros variando no tempo, ou TVP-LP, discutida por Inoue, Rossi e Wang (2024). Essa abordagem permite que a resposta ao choque mude ao longo do tempo:</w:t>
      </w:r>
    </w:p>
    <w:p w14:paraId="1E690C01" w14:textId="77777777" w:rsidR="008E44CC" w:rsidRPr="009C7F96" w:rsidRDefault="008E44CC" w:rsidP="008E44CC">
      <w:pPr>
        <w:rPr>
          <w:rFonts w:cs="Times New Roman"/>
          <w:szCs w:val="24"/>
          <w:lang w:val="pt-BR"/>
        </w:rPr>
      </w:pPr>
    </w:p>
    <w:p w14:paraId="3EFE52D6"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 xml:space="preserve">yₜ₊ₕ - yₜ₋₁ = </w:t>
      </w:r>
      <w:r w:rsidRPr="009C7F96">
        <w:rPr>
          <w:rFonts w:cs="Times New Roman"/>
          <w:szCs w:val="24"/>
        </w:rPr>
        <w:t>α</w:t>
      </w:r>
      <w:r w:rsidRPr="009C7F96">
        <w:rPr>
          <w:rFonts w:cs="Times New Roman"/>
          <w:szCs w:val="24"/>
          <w:lang w:val="pt-BR"/>
        </w:rPr>
        <w:t xml:space="preserve">ₕ,ₜ + </w:t>
      </w:r>
      <w:proofErr w:type="gramStart"/>
      <w:r w:rsidRPr="009C7F96">
        <w:rPr>
          <w:rFonts w:cs="Times New Roman"/>
          <w:szCs w:val="24"/>
        </w:rPr>
        <w:t>β</w:t>
      </w:r>
      <w:r w:rsidRPr="009C7F96">
        <w:rPr>
          <w:rFonts w:cs="Times New Roman"/>
          <w:szCs w:val="24"/>
          <w:lang w:val="pt-BR"/>
        </w:rPr>
        <w:t>ₕ,ₜx</w:t>
      </w:r>
      <w:proofErr w:type="gramEnd"/>
      <w:r w:rsidRPr="009C7F96">
        <w:rPr>
          <w:rFonts w:cs="Times New Roman"/>
          <w:szCs w:val="24"/>
          <w:lang w:val="pt-BR"/>
        </w:rPr>
        <w:t xml:space="preserve">ₜ + </w:t>
      </w:r>
      <w:proofErr w:type="gramStart"/>
      <w:r w:rsidRPr="009C7F96">
        <w:rPr>
          <w:rFonts w:cs="Times New Roman"/>
          <w:szCs w:val="24"/>
        </w:rPr>
        <w:t>Γ</w:t>
      </w:r>
      <w:r w:rsidRPr="009C7F96">
        <w:rPr>
          <w:rFonts w:cs="Times New Roman"/>
          <w:szCs w:val="24"/>
          <w:lang w:val="pt-BR"/>
        </w:rPr>
        <w:t>ₕ,ₜ</w:t>
      </w:r>
      <w:proofErr w:type="spellStart"/>
      <w:r w:rsidRPr="009C7F96">
        <w:rPr>
          <w:rFonts w:cs="Times New Roman"/>
          <w:szCs w:val="24"/>
          <w:lang w:val="pt-BR"/>
        </w:rPr>
        <w:t>W</w:t>
      </w:r>
      <w:proofErr w:type="gramEnd"/>
      <w:r w:rsidRPr="009C7F96">
        <w:rPr>
          <w:rFonts w:cs="Times New Roman"/>
          <w:szCs w:val="24"/>
          <w:lang w:val="pt-BR"/>
        </w:rPr>
        <w:t>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ₜ</w:t>
      </w:r>
      <w:proofErr w:type="gramStart"/>
      <w:r w:rsidRPr="009C7F96">
        <w:rPr>
          <w:rFonts w:cs="Times New Roman"/>
          <w:szCs w:val="24"/>
          <w:lang w:val="pt-BR"/>
        </w:rPr>
        <w:t>₊ₕ,ₕ      (</w:t>
      </w:r>
      <w:proofErr w:type="gramEnd"/>
      <w:r w:rsidRPr="009C7F96">
        <w:rPr>
          <w:rFonts w:cs="Times New Roman"/>
          <w:szCs w:val="24"/>
          <w:lang w:val="pt-BR"/>
        </w:rPr>
        <w:t>17)</w:t>
      </w:r>
    </w:p>
    <w:p w14:paraId="3DBCB8BB" w14:textId="77777777" w:rsidR="008E44CC" w:rsidRPr="009C7F96" w:rsidRDefault="008E44CC" w:rsidP="008E44CC">
      <w:pPr>
        <w:rPr>
          <w:rFonts w:cs="Times New Roman"/>
          <w:szCs w:val="24"/>
          <w:lang w:val="pt-BR"/>
        </w:rPr>
      </w:pPr>
    </w:p>
    <w:p w14:paraId="0C07A15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Essa formulação é particularmente adequada para o caso brasileiro, pois a relação entre petróleo, Petrobras, combustíveis e inflação mudou ao longo das últimas duas décadas. Períodos de maior controle de preços, adoção de paridade de importação, choques tributários e nova estratégia comercial podem alterar </w:t>
      </w:r>
      <w:proofErr w:type="gramStart"/>
      <w:r w:rsidRPr="009C7F96">
        <w:rPr>
          <w:rFonts w:cs="Times New Roman"/>
          <w:szCs w:val="24"/>
        </w:rPr>
        <w:t>β</w:t>
      </w:r>
      <w:r w:rsidRPr="009C7F96">
        <w:rPr>
          <w:rFonts w:cs="Times New Roman"/>
          <w:szCs w:val="24"/>
          <w:lang w:val="pt-BR"/>
        </w:rPr>
        <w:t>ₕ,ₜ,</w:t>
      </w:r>
      <w:proofErr w:type="gramEnd"/>
      <w:r w:rsidRPr="009C7F96">
        <w:rPr>
          <w:rFonts w:cs="Times New Roman"/>
          <w:szCs w:val="24"/>
          <w:lang w:val="pt-BR"/>
        </w:rPr>
        <w:t xml:space="preserve"> isto é, a resposta da inflação ao choque.</w:t>
      </w:r>
    </w:p>
    <w:p w14:paraId="1BC67F4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Por fim, a literatura recente também discute decomposições de variância em ambiente de local </w:t>
      </w:r>
      <w:proofErr w:type="spellStart"/>
      <w:r w:rsidRPr="009C7F96">
        <w:rPr>
          <w:rFonts w:cs="Times New Roman"/>
          <w:szCs w:val="24"/>
          <w:lang w:val="pt-BR"/>
        </w:rPr>
        <w:t>projections</w:t>
      </w:r>
      <w:proofErr w:type="spellEnd"/>
      <w:r w:rsidRPr="009C7F96">
        <w:rPr>
          <w:rFonts w:cs="Times New Roman"/>
          <w:szCs w:val="24"/>
          <w:lang w:val="pt-BR"/>
        </w:rPr>
        <w:t xml:space="preserve">. </w:t>
      </w:r>
      <w:proofErr w:type="spellStart"/>
      <w:r w:rsidRPr="009C7F96">
        <w:rPr>
          <w:rFonts w:cs="Times New Roman"/>
          <w:szCs w:val="24"/>
          <w:lang w:val="pt-BR"/>
        </w:rPr>
        <w:t>Gorodnichenko</w:t>
      </w:r>
      <w:proofErr w:type="spellEnd"/>
      <w:r w:rsidRPr="009C7F96">
        <w:rPr>
          <w:rFonts w:cs="Times New Roman"/>
          <w:szCs w:val="24"/>
          <w:lang w:val="pt-BR"/>
        </w:rPr>
        <w:t xml:space="preserve"> e Lee (2020) propõem estimar </w:t>
      </w:r>
      <w:proofErr w:type="spellStart"/>
      <w:r w:rsidRPr="009C7F96">
        <w:rPr>
          <w:rFonts w:cs="Times New Roman"/>
          <w:szCs w:val="24"/>
          <w:lang w:val="pt-BR"/>
        </w:rPr>
        <w:t>forecast</w:t>
      </w:r>
      <w:proofErr w:type="spellEnd"/>
      <w:r w:rsidRPr="009C7F96">
        <w:rPr>
          <w:rFonts w:cs="Times New Roman"/>
          <w:szCs w:val="24"/>
          <w:lang w:val="pt-BR"/>
        </w:rPr>
        <w:t xml:space="preserve"> </w:t>
      </w:r>
      <w:proofErr w:type="spellStart"/>
      <w:r w:rsidRPr="009C7F96">
        <w:rPr>
          <w:rFonts w:cs="Times New Roman"/>
          <w:szCs w:val="24"/>
          <w:lang w:val="pt-BR"/>
        </w:rPr>
        <w:t>error</w:t>
      </w:r>
      <w:proofErr w:type="spellEnd"/>
      <w:r w:rsidRPr="009C7F96">
        <w:rPr>
          <w:rFonts w:cs="Times New Roman"/>
          <w:szCs w:val="24"/>
          <w:lang w:val="pt-BR"/>
        </w:rPr>
        <w:t xml:space="preserve"> </w:t>
      </w:r>
      <w:proofErr w:type="spellStart"/>
      <w:r w:rsidRPr="009C7F96">
        <w:rPr>
          <w:rFonts w:cs="Times New Roman"/>
          <w:szCs w:val="24"/>
          <w:lang w:val="pt-BR"/>
        </w:rPr>
        <w:t>variance</w:t>
      </w:r>
      <w:proofErr w:type="spellEnd"/>
      <w:r w:rsidRPr="009C7F96">
        <w:rPr>
          <w:rFonts w:cs="Times New Roman"/>
          <w:szCs w:val="24"/>
          <w:lang w:val="pt-BR"/>
        </w:rPr>
        <w:t xml:space="preserve"> </w:t>
      </w:r>
      <w:proofErr w:type="spellStart"/>
      <w:r w:rsidRPr="009C7F96">
        <w:rPr>
          <w:rFonts w:cs="Times New Roman"/>
          <w:szCs w:val="24"/>
          <w:lang w:val="pt-BR"/>
        </w:rPr>
        <w:t>decompositions</w:t>
      </w:r>
      <w:proofErr w:type="spellEnd"/>
      <w:r w:rsidRPr="009C7F96">
        <w:rPr>
          <w:rFonts w:cs="Times New Roman"/>
          <w:szCs w:val="24"/>
          <w:lang w:val="pt-BR"/>
        </w:rPr>
        <w:t xml:space="preserve"> a partir de respostas estruturais obtidas por LP. De forma esquemática, a participação de um choque j na variância do erro de previsão da variável k pode ser escrita como:</w:t>
      </w:r>
    </w:p>
    <w:p w14:paraId="290D5807" w14:textId="77777777" w:rsidR="008E44CC" w:rsidRPr="009C7F96" w:rsidRDefault="008E44CC" w:rsidP="008E44CC">
      <w:pPr>
        <w:rPr>
          <w:rFonts w:cs="Times New Roman"/>
          <w:szCs w:val="24"/>
          <w:lang w:val="pt-BR"/>
        </w:rPr>
      </w:pPr>
    </w:p>
    <w:p w14:paraId="7FF6D5D6" w14:textId="77777777" w:rsidR="008E44CC" w:rsidRPr="009C7F96" w:rsidRDefault="008E44CC" w:rsidP="008E44CC">
      <w:pPr>
        <w:spacing w:before="120" w:after="120"/>
        <w:rPr>
          <w:rFonts w:cs="Times New Roman"/>
          <w:szCs w:val="24"/>
          <w:lang w:val="pt-BR"/>
        </w:rPr>
      </w:pPr>
      <w:r w:rsidRPr="009C7F96">
        <w:rPr>
          <w:rFonts w:cs="Times New Roman"/>
          <w:szCs w:val="24"/>
          <w:lang w:val="pt-BR"/>
        </w:rPr>
        <w:t>FEVDₖ←</w:t>
      </w:r>
      <w:r w:rsidRPr="009C7F96">
        <w:rPr>
          <w:rFonts w:cs="Times New Roman"/>
          <w:szCs w:val="24"/>
        </w:rPr>
        <w:t>ⱼ</w:t>
      </w:r>
      <w:r w:rsidRPr="009C7F96">
        <w:rPr>
          <w:rFonts w:cs="Times New Roman"/>
          <w:szCs w:val="24"/>
          <w:lang w:val="pt-BR"/>
        </w:rPr>
        <w:t>(H)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w:t>
      </w:r>
      <w:proofErr w:type="gramStart"/>
      <w:r w:rsidRPr="009C7F96">
        <w:rPr>
          <w:rFonts w:cs="Times New Roman"/>
          <w:szCs w:val="24"/>
          <w:lang w:val="pt-BR"/>
        </w:rPr>
        <w:t>¹(</w:t>
      </w:r>
      <w:proofErr w:type="gramEnd"/>
      <w:r w:rsidRPr="009C7F96">
        <w:rPr>
          <w:rFonts w:cs="Times New Roman"/>
          <w:szCs w:val="24"/>
          <w:lang w:val="pt-BR"/>
        </w:rPr>
        <w:t>eₖ′</w:t>
      </w:r>
      <w:r w:rsidRPr="009C7F96">
        <w:rPr>
          <w:rFonts w:cs="Times New Roman"/>
          <w:szCs w:val="24"/>
        </w:rPr>
        <w:t>Ψ</w:t>
      </w:r>
      <w:r w:rsidRPr="009C7F96">
        <w:rPr>
          <w:rFonts w:cs="Times New Roman"/>
          <w:szCs w:val="24"/>
          <w:lang w:val="pt-BR"/>
        </w:rPr>
        <w:t xml:space="preserve">ₕ </w:t>
      </w:r>
      <w:proofErr w:type="gramStart"/>
      <w:r w:rsidRPr="009C7F96">
        <w:rPr>
          <w:rFonts w:cs="Times New Roman"/>
          <w:szCs w:val="24"/>
          <w:lang w:val="pt-BR"/>
        </w:rPr>
        <w:t>e</w:t>
      </w:r>
      <w:r w:rsidRPr="009C7F96">
        <w:rPr>
          <w:rFonts w:cs="Times New Roman"/>
          <w:szCs w:val="24"/>
        </w:rPr>
        <w:t>ⱼ</w:t>
      </w:r>
      <w:r w:rsidRPr="009C7F96">
        <w:rPr>
          <w:rFonts w:cs="Times New Roman"/>
          <w:szCs w:val="24"/>
          <w:lang w:val="pt-BR"/>
        </w:rPr>
        <w:t>)^</w:t>
      </w:r>
      <w:proofErr w:type="gramEnd"/>
      <w:r w:rsidRPr="009C7F96">
        <w:rPr>
          <w:rFonts w:cs="Times New Roman"/>
          <w:szCs w:val="24"/>
          <w:lang w:val="pt-BR"/>
        </w:rPr>
        <w:t>2]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 eₖ′</w:t>
      </w:r>
      <w:r w:rsidRPr="009C7F96">
        <w:rPr>
          <w:rFonts w:cs="Times New Roman"/>
          <w:szCs w:val="24"/>
        </w:rPr>
        <w:t>Ψ</w:t>
      </w:r>
      <w:r w:rsidRPr="009C7F96">
        <w:rPr>
          <w:rFonts w:cs="Times New Roman"/>
          <w:szCs w:val="24"/>
          <w:lang w:val="pt-BR"/>
        </w:rPr>
        <w:t xml:space="preserve">ₕ </w:t>
      </w:r>
      <w:r w:rsidRPr="009C7F96">
        <w:rPr>
          <w:rFonts w:cs="Times New Roman"/>
          <w:szCs w:val="24"/>
        </w:rPr>
        <w:t>Σ</w:t>
      </w:r>
      <w:r w:rsidRPr="009C7F96">
        <w:rPr>
          <w:rFonts w:cs="Times New Roman"/>
          <w:szCs w:val="24"/>
          <w:lang w:val="pt-BR"/>
        </w:rPr>
        <w:t xml:space="preserve"> </w:t>
      </w:r>
      <w:r w:rsidRPr="009C7F96">
        <w:rPr>
          <w:rFonts w:cs="Times New Roman"/>
          <w:szCs w:val="24"/>
        </w:rPr>
        <w:t>Ψ</w:t>
      </w:r>
      <w:r w:rsidRPr="009C7F96">
        <w:rPr>
          <w:rFonts w:cs="Times New Roman"/>
          <w:szCs w:val="24"/>
          <w:lang w:val="pt-BR"/>
        </w:rPr>
        <w:t>ₕ′</w:t>
      </w:r>
      <w:proofErr w:type="gramStart"/>
      <w:r w:rsidRPr="009C7F96">
        <w:rPr>
          <w:rFonts w:cs="Times New Roman"/>
          <w:szCs w:val="24"/>
          <w:lang w:val="pt-BR"/>
        </w:rPr>
        <w:t>eₖ]      (</w:t>
      </w:r>
      <w:proofErr w:type="gramEnd"/>
      <w:r w:rsidRPr="009C7F96">
        <w:rPr>
          <w:rFonts w:cs="Times New Roman"/>
          <w:szCs w:val="24"/>
          <w:lang w:val="pt-BR"/>
        </w:rPr>
        <w:t>18)</w:t>
      </w:r>
    </w:p>
    <w:p w14:paraId="3B767604" w14:textId="77777777" w:rsidR="008E44CC" w:rsidRPr="009C7F96" w:rsidRDefault="008E44CC" w:rsidP="008E44CC">
      <w:pPr>
        <w:rPr>
          <w:rFonts w:cs="Times New Roman"/>
          <w:szCs w:val="24"/>
          <w:lang w:val="pt-BR"/>
        </w:rPr>
      </w:pPr>
    </w:p>
    <w:p w14:paraId="4A9A5A49" w14:textId="77777777" w:rsidR="008E44CC" w:rsidRPr="009C7F96" w:rsidRDefault="008E44CC" w:rsidP="008E44CC">
      <w:pPr>
        <w:spacing w:after="120"/>
        <w:rPr>
          <w:rFonts w:cs="Times New Roman"/>
          <w:szCs w:val="24"/>
          <w:lang w:val="pt-BR"/>
        </w:rPr>
      </w:pPr>
      <w:r w:rsidRPr="009C7F96">
        <w:rPr>
          <w:rFonts w:cs="Times New Roman"/>
          <w:szCs w:val="24"/>
          <w:lang w:val="pt-BR"/>
        </w:rPr>
        <w:t>Essa extensão é relevante porque permite quantificar a importância relativa de choques de petróleo, câmbio, refino, expectativas e atividade na variância da inflação. Embora a FEVD por LP exija identificação estrutural mais forte, ela pode complementar as funções impulso-resposta ao mostrar não apenas a direção do efeito, mas também sua contribuição relativa para a incerteza inflacionária.</w:t>
      </w:r>
    </w:p>
    <w:p w14:paraId="1E866C67" w14:textId="77777777" w:rsidR="008E44CC" w:rsidRPr="009C7F96" w:rsidRDefault="008E44CC" w:rsidP="008E44CC">
      <w:pPr>
        <w:pStyle w:val="Heading2"/>
        <w:spacing w:before="240" w:after="120"/>
        <w:jc w:val="both"/>
        <w:rPr>
          <w:rFonts w:cs="Times New Roman"/>
          <w:szCs w:val="24"/>
        </w:rPr>
      </w:pPr>
      <w:bookmarkStart w:id="13" w:name="_Toc229695940"/>
      <w:r w:rsidRPr="009C7F96">
        <w:rPr>
          <w:rFonts w:ascii="Times New Roman" w:eastAsia="Times New Roman" w:hAnsi="Times New Roman" w:cs="Times New Roman"/>
          <w:szCs w:val="24"/>
        </w:rPr>
        <w:t>2.8 Aplicação ao canal Petrobras, combustíveis e IPCA</w:t>
      </w:r>
      <w:bookmarkEnd w:id="13"/>
    </w:p>
    <w:p w14:paraId="25F962A4" w14:textId="77777777" w:rsidR="008E44CC" w:rsidRPr="009C7F96" w:rsidRDefault="008E44CC" w:rsidP="008E44CC">
      <w:pPr>
        <w:spacing w:after="120"/>
        <w:rPr>
          <w:rFonts w:cs="Times New Roman"/>
          <w:szCs w:val="24"/>
          <w:lang w:val="pt-BR"/>
        </w:rPr>
      </w:pPr>
      <w:r w:rsidRPr="009C7F96">
        <w:rPr>
          <w:rFonts w:cs="Times New Roman"/>
          <w:szCs w:val="24"/>
          <w:lang w:val="pt-BR"/>
        </w:rPr>
        <w:t>A partir da literatura revisada, o canal de transmissão relevante para o Brasil pode ser organizado em quatro etapas. A primeira é o choque internacional, representado pelo preço do Brent em dólares. A segunda é a conversão desse choque para reais, por meio da taxa de câmbio. A terceira é a transmissão para os preços domésticos de combustíveis, mediada pela refinaria, pela política comercial da Petrobras, por tributos e por margens de distribuição e revenda. A quarta é o impacto sobre o IPCA, tanto por efeito direto nos subitens de combustíveis quanto por efeitos indiretos em transportes, frete, alimentos e expectativas.</w:t>
      </w:r>
    </w:p>
    <w:p w14:paraId="6B4A0265" w14:textId="77777777" w:rsidR="008E44CC" w:rsidRPr="009C7F96" w:rsidRDefault="008E44CC" w:rsidP="008E44CC">
      <w:pPr>
        <w:spacing w:after="120"/>
        <w:rPr>
          <w:rFonts w:cs="Times New Roman"/>
          <w:szCs w:val="24"/>
          <w:lang w:val="pt-BR"/>
        </w:rPr>
      </w:pPr>
      <w:r w:rsidRPr="009C7F96">
        <w:rPr>
          <w:rFonts w:cs="Times New Roman"/>
          <w:szCs w:val="24"/>
          <w:lang w:val="pt-BR"/>
        </w:rPr>
        <w:t>Uma especificação reduzida para a primeira etapa do canal pode estimar o efeito do petróleo em reais sobre o preço doméstico do combustível:</w:t>
      </w:r>
    </w:p>
    <w:p w14:paraId="114ACE36" w14:textId="77777777" w:rsidR="008E44CC" w:rsidRPr="009C7F96" w:rsidRDefault="008E44CC" w:rsidP="008E44CC">
      <w:pPr>
        <w:rPr>
          <w:rFonts w:cs="Times New Roman"/>
          <w:szCs w:val="24"/>
          <w:lang w:val="pt-BR"/>
        </w:rPr>
      </w:pPr>
    </w:p>
    <w:p w14:paraId="7DD5A848" w14:textId="77777777" w:rsidR="008E44CC" w:rsidRPr="009C7F96" w:rsidRDefault="008E44CC" w:rsidP="008E44CC">
      <w:pPr>
        <w:spacing w:before="120" w:after="120"/>
        <w:rPr>
          <w:rFonts w:cs="Times New Roman"/>
          <w:szCs w:val="24"/>
          <w:lang w:val="pt-BR"/>
        </w:rPr>
      </w:pPr>
      <w:r w:rsidRPr="009C7F96">
        <w:rPr>
          <w:rFonts w:cs="Times New Roman"/>
          <w:szCs w:val="24"/>
        </w:rPr>
        <w:t>Δ</w:t>
      </w:r>
      <w:r w:rsidRPr="009C7F96">
        <w:rPr>
          <w:rFonts w:cs="Times New Roman"/>
          <w:szCs w:val="24"/>
          <w:lang w:val="pt-BR"/>
        </w:rPr>
        <w:t>ₕ pₜ₊ₕ</w:t>
      </w:r>
      <w:r w:rsidRPr="009C7F96">
        <w:rPr>
          <w:rFonts w:cs="Times New Roman"/>
          <w:szCs w:val="24"/>
        </w:rPr>
        <w:t>ᶠᵘᵉ</w:t>
      </w:r>
      <w:r w:rsidRPr="009C7F96">
        <w:rPr>
          <w:rFonts w:cs="Times New Roman"/>
          <w:szCs w:val="24"/>
          <w:lang w:val="pt-BR"/>
        </w:rPr>
        <w:t xml:space="preserve">ˡ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 xml:space="preserve">ₕ </w:t>
      </w:r>
      <w:r w:rsidRPr="009C7F96">
        <w:rPr>
          <w:rFonts w:cs="Times New Roman"/>
          <w:szCs w:val="24"/>
        </w:rPr>
        <w:t>Δ</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Brentₜ · Eₜ) + </w:t>
      </w:r>
      <w:r w:rsidRPr="009C7F96">
        <w:rPr>
          <w:rFonts w:cs="Times New Roman"/>
          <w:szCs w:val="24"/>
        </w:rPr>
        <w:t>Σ</w:t>
      </w:r>
      <w:r w:rsidRPr="009C7F96">
        <w:rPr>
          <w:rFonts w:cs="Times New Roman"/>
          <w:szCs w:val="24"/>
          <w:lang w:val="pt-BR"/>
        </w:rPr>
        <w:t>ℓ₌₁</w:t>
      </w:r>
      <w:r w:rsidRPr="009C7F96">
        <w:rPr>
          <w:rFonts w:cs="Times New Roman"/>
          <w:szCs w:val="24"/>
        </w:rPr>
        <w:t>ᵖ</w:t>
      </w:r>
      <w:r w:rsidRPr="009C7F96">
        <w:rPr>
          <w:rFonts w:cs="Times New Roman"/>
          <w:szCs w:val="24"/>
          <w:lang w:val="pt-BR"/>
        </w:rPr>
        <w:t xml:space="preserve"> </w:t>
      </w:r>
      <w:proofErr w:type="gramStart"/>
      <w:r w:rsidRPr="009C7F96">
        <w:rPr>
          <w:rFonts w:cs="Times New Roman"/>
          <w:szCs w:val="24"/>
        </w:rPr>
        <w:t>Γ</w:t>
      </w:r>
      <w:r w:rsidRPr="009C7F96">
        <w:rPr>
          <w:rFonts w:cs="Times New Roman"/>
          <w:szCs w:val="24"/>
          <w:lang w:val="pt-BR"/>
        </w:rPr>
        <w:t>ₕ,ℓ</w:t>
      </w:r>
      <w:proofErr w:type="gramEnd"/>
      <w:r w:rsidRPr="009C7F96">
        <w:rPr>
          <w:rFonts w:cs="Times New Roman"/>
          <w:szCs w:val="24"/>
          <w:lang w:val="pt-BR"/>
        </w:rPr>
        <w:t xml:space="preserve">Wₜ₋ℓ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19)</w:t>
      </w:r>
    </w:p>
    <w:p w14:paraId="08A5DAFB" w14:textId="77777777" w:rsidR="008E44CC" w:rsidRPr="009C7F96" w:rsidRDefault="008E44CC" w:rsidP="008E44CC">
      <w:pPr>
        <w:rPr>
          <w:rFonts w:cs="Times New Roman"/>
          <w:szCs w:val="24"/>
          <w:lang w:val="pt-BR"/>
        </w:rPr>
      </w:pPr>
    </w:p>
    <w:p w14:paraId="5DCE765F" w14:textId="77777777" w:rsidR="008E44CC" w:rsidRPr="009C7F96" w:rsidRDefault="008E44CC" w:rsidP="008E44CC">
      <w:pPr>
        <w:spacing w:after="120"/>
        <w:rPr>
          <w:rFonts w:cs="Times New Roman"/>
          <w:szCs w:val="24"/>
          <w:lang w:val="pt-BR"/>
        </w:rPr>
      </w:pPr>
      <w:r w:rsidRPr="009C7F96">
        <w:rPr>
          <w:rFonts w:cs="Times New Roman"/>
          <w:szCs w:val="24"/>
          <w:lang w:val="pt-BR"/>
        </w:rPr>
        <w:t>Em que pₜ₊ₕ</w:t>
      </w:r>
      <w:r w:rsidRPr="009C7F96">
        <w:rPr>
          <w:rFonts w:cs="Times New Roman"/>
          <w:szCs w:val="24"/>
        </w:rPr>
        <w:t>ᶠᵘᵉ</w:t>
      </w:r>
      <w:r w:rsidRPr="009C7F96">
        <w:rPr>
          <w:rFonts w:cs="Times New Roman"/>
          <w:szCs w:val="24"/>
          <w:lang w:val="pt-BR"/>
        </w:rPr>
        <w:t xml:space="preserve">ˡ pode representar gasolina, diesel ou etanol, e </w:t>
      </w:r>
      <w:proofErr w:type="spellStart"/>
      <w:r w:rsidRPr="009C7F96">
        <w:rPr>
          <w:rFonts w:cs="Times New Roman"/>
          <w:szCs w:val="24"/>
          <w:lang w:val="pt-BR"/>
        </w:rPr>
        <w:t>W_t</w:t>
      </w:r>
      <w:proofErr w:type="spellEnd"/>
      <w:r w:rsidRPr="009C7F96">
        <w:rPr>
          <w:rFonts w:cs="Times New Roman"/>
          <w:szCs w:val="24"/>
          <w:lang w:val="pt-BR"/>
        </w:rPr>
        <w:t xml:space="preserve"> inclui controles como inflação passada, atividade, sazonalidade, câmbio, tributos e </w:t>
      </w:r>
      <w:proofErr w:type="spellStart"/>
      <w:r w:rsidRPr="009C7F96">
        <w:rPr>
          <w:rFonts w:cs="Times New Roman"/>
          <w:szCs w:val="24"/>
          <w:lang w:val="pt-BR"/>
        </w:rPr>
        <w:t>dummies</w:t>
      </w:r>
      <w:proofErr w:type="spellEnd"/>
      <w:r w:rsidRPr="009C7F96">
        <w:rPr>
          <w:rFonts w:cs="Times New Roman"/>
          <w:szCs w:val="24"/>
          <w:lang w:val="pt-BR"/>
        </w:rPr>
        <w:t xml:space="preserve"> de mudanças institucionais. Essa equação mede a primeira perna do repasse: do choque internacional em reais para o preço doméstico do combustível.</w:t>
      </w:r>
    </w:p>
    <w:p w14:paraId="549FF446" w14:textId="77777777" w:rsidR="008E44CC" w:rsidRPr="009C7F96" w:rsidRDefault="008E44CC" w:rsidP="008E44CC">
      <w:pPr>
        <w:spacing w:after="120"/>
        <w:rPr>
          <w:rFonts w:cs="Times New Roman"/>
          <w:szCs w:val="24"/>
          <w:lang w:val="pt-BR"/>
        </w:rPr>
      </w:pPr>
      <w:r w:rsidRPr="009C7F96">
        <w:rPr>
          <w:rFonts w:cs="Times New Roman"/>
          <w:szCs w:val="24"/>
          <w:lang w:val="pt-BR"/>
        </w:rPr>
        <w:t>A segunda etapa consiste em estimar o efeito do preço do combustível sobre a inflação. Uma especificação possível é:</w:t>
      </w:r>
    </w:p>
    <w:p w14:paraId="176B1280" w14:textId="77777777" w:rsidR="008E44CC" w:rsidRPr="009C7F96" w:rsidRDefault="008E44CC" w:rsidP="008E44CC">
      <w:pPr>
        <w:rPr>
          <w:rFonts w:cs="Times New Roman"/>
          <w:szCs w:val="24"/>
          <w:lang w:val="pt-BR"/>
        </w:rPr>
      </w:pPr>
    </w:p>
    <w:p w14:paraId="01B16FA7" w14:textId="77777777" w:rsidR="008E44CC" w:rsidRPr="009C7F96" w:rsidRDefault="008E44CC" w:rsidP="008E44CC">
      <w:pPr>
        <w:spacing w:before="120" w:after="120"/>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r w:rsidRPr="009C7F96">
        <w:rPr>
          <w:rFonts w:cs="Times New Roman"/>
          <w:szCs w:val="24"/>
          <w:lang w:val="pt-BR"/>
        </w:rPr>
        <w:t>ₜ₊ₕ</w:t>
      </w:r>
      <w:r w:rsidRPr="009C7F96">
        <w:rPr>
          <w:rFonts w:cs="Times New Roman"/>
          <w:szCs w:val="24"/>
        </w:rPr>
        <w:t>ᴵᴾᶜᴬ</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θ</w:t>
      </w:r>
      <w:r w:rsidRPr="009C7F96">
        <w:rPr>
          <w:rFonts w:cs="Times New Roman"/>
          <w:szCs w:val="24"/>
          <w:lang w:val="pt-BR"/>
        </w:rPr>
        <w:t xml:space="preserve">ₕ </w:t>
      </w:r>
      <w:r w:rsidRPr="009C7F96">
        <w:rPr>
          <w:rFonts w:cs="Times New Roman"/>
          <w:szCs w:val="24"/>
        </w:rPr>
        <w:t>Δ</w:t>
      </w:r>
      <w:r w:rsidRPr="009C7F96">
        <w:rPr>
          <w:rFonts w:cs="Times New Roman"/>
          <w:szCs w:val="24"/>
          <w:lang w:val="pt-BR"/>
        </w:rPr>
        <w:t>pₜ</w:t>
      </w:r>
      <w:r w:rsidRPr="009C7F96">
        <w:rPr>
          <w:rFonts w:cs="Times New Roman"/>
          <w:szCs w:val="24"/>
        </w:rPr>
        <w:t>ᶠᵘᵉ</w:t>
      </w:r>
      <w:r w:rsidRPr="009C7F96">
        <w:rPr>
          <w:rFonts w:cs="Times New Roman"/>
          <w:szCs w:val="24"/>
          <w:lang w:val="pt-BR"/>
        </w:rPr>
        <w:t xml:space="preserve">ˡ + </w:t>
      </w:r>
      <w:r w:rsidRPr="009C7F96">
        <w:rPr>
          <w:rFonts w:cs="Times New Roman"/>
          <w:szCs w:val="24"/>
        </w:rPr>
        <w:t>Φ</w:t>
      </w:r>
      <w:r w:rsidRPr="009C7F96">
        <w:rPr>
          <w:rFonts w:cs="Times New Roman"/>
          <w:szCs w:val="24"/>
          <w:lang w:val="pt-BR"/>
        </w:rPr>
        <w:t xml:space="preserve">_h </w:t>
      </w:r>
      <w:proofErr w:type="spellStart"/>
      <w:r w:rsidRPr="009C7F96">
        <w:rPr>
          <w:rFonts w:cs="Times New Roman"/>
          <w:szCs w:val="24"/>
          <w:lang w:val="pt-BR"/>
        </w:rPr>
        <w:t>W_t</w:t>
      </w:r>
      <w:proofErr w:type="spellEnd"/>
      <w:r w:rsidRPr="009C7F96">
        <w:rPr>
          <w:rFonts w:cs="Times New Roman"/>
          <w:szCs w:val="24"/>
          <w:lang w:val="pt-BR"/>
        </w:rPr>
        <w:t xml:space="preserve"> + </w:t>
      </w:r>
      <w:r w:rsidRPr="009C7F96">
        <w:rPr>
          <w:rFonts w:cs="Times New Roman"/>
          <w:szCs w:val="24"/>
        </w:rPr>
        <w:t>υ</w:t>
      </w:r>
      <w:r w:rsidRPr="009C7F96">
        <w:rPr>
          <w:rFonts w:cs="Times New Roman"/>
          <w:szCs w:val="24"/>
          <w:lang w:val="pt-BR"/>
        </w:rPr>
        <w:t>_{</w:t>
      </w:r>
      <w:proofErr w:type="spellStart"/>
      <w:r w:rsidRPr="009C7F96">
        <w:rPr>
          <w:rFonts w:cs="Times New Roman"/>
          <w:szCs w:val="24"/>
          <w:lang w:val="pt-BR"/>
        </w:rPr>
        <w:t>t+</w:t>
      </w:r>
      <w:proofErr w:type="gramStart"/>
      <w:r w:rsidRPr="009C7F96">
        <w:rPr>
          <w:rFonts w:cs="Times New Roman"/>
          <w:szCs w:val="24"/>
          <w:lang w:val="pt-BR"/>
        </w:rPr>
        <w:t>h</w:t>
      </w:r>
      <w:proofErr w:type="spellEnd"/>
      <w:r w:rsidRPr="009C7F96">
        <w:rPr>
          <w:rFonts w:cs="Times New Roman"/>
          <w:szCs w:val="24"/>
          <w:lang w:val="pt-BR"/>
        </w:rPr>
        <w:t>}^</w:t>
      </w:r>
      <w:proofErr w:type="gramEnd"/>
      <w:r w:rsidRPr="009C7F96">
        <w:rPr>
          <w:rFonts w:cs="Times New Roman"/>
          <w:szCs w:val="24"/>
          <w:lang w:val="pt-BR"/>
        </w:rPr>
        <w:t>{(h</w:t>
      </w:r>
      <w:proofErr w:type="gramStart"/>
      <w:r w:rsidRPr="009C7F96">
        <w:rPr>
          <w:rFonts w:cs="Times New Roman"/>
          <w:szCs w:val="24"/>
          <w:lang w:val="pt-BR"/>
        </w:rPr>
        <w:t>)}      (</w:t>
      </w:r>
      <w:proofErr w:type="gramEnd"/>
      <w:r w:rsidRPr="009C7F96">
        <w:rPr>
          <w:rFonts w:cs="Times New Roman"/>
          <w:szCs w:val="24"/>
          <w:lang w:val="pt-BR"/>
        </w:rPr>
        <w:t>20)</w:t>
      </w:r>
    </w:p>
    <w:p w14:paraId="0F150129" w14:textId="77777777" w:rsidR="008E44CC" w:rsidRPr="009C7F96" w:rsidRDefault="008E44CC" w:rsidP="008E44CC">
      <w:pPr>
        <w:rPr>
          <w:rFonts w:cs="Times New Roman"/>
          <w:szCs w:val="24"/>
          <w:lang w:val="pt-BR"/>
        </w:rPr>
      </w:pPr>
    </w:p>
    <w:p w14:paraId="33DA2ACF"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Quando </w:t>
      </w:r>
      <w:r w:rsidRPr="009C7F96">
        <w:rPr>
          <w:rFonts w:cs="Times New Roman"/>
          <w:szCs w:val="24"/>
        </w:rPr>
        <w:t>Δ</w:t>
      </w:r>
      <w:r w:rsidRPr="009C7F96">
        <w:rPr>
          <w:rFonts w:cs="Times New Roman"/>
          <w:szCs w:val="24"/>
          <w:lang w:val="pt-BR"/>
        </w:rPr>
        <w:t>pₜ</w:t>
      </w:r>
      <w:r w:rsidRPr="009C7F96">
        <w:rPr>
          <w:rFonts w:cs="Times New Roman"/>
          <w:szCs w:val="24"/>
        </w:rPr>
        <w:t>ᶠᵘᵉ</w:t>
      </w:r>
      <w:r w:rsidRPr="009C7F96">
        <w:rPr>
          <w:rFonts w:cs="Times New Roman"/>
          <w:szCs w:val="24"/>
          <w:lang w:val="pt-BR"/>
        </w:rPr>
        <w:t xml:space="preserve">ˡ for potencialmente endógeno, a variável deve ser instrumentada por choques externos ou por medidas plausivelmente exógenas de pressão sobre o preço doméstico. Essa etapa é central porque permite separar o efeito do combustível sobre o IPCA geral, o IPCA de transportes e os subitens específicos. O coeficiente </w:t>
      </w:r>
      <w:r w:rsidRPr="009C7F96">
        <w:rPr>
          <w:rFonts w:cs="Times New Roman"/>
          <w:szCs w:val="24"/>
        </w:rPr>
        <w:t>θ</w:t>
      </w:r>
      <w:r w:rsidRPr="009C7F96">
        <w:rPr>
          <w:rFonts w:cs="Times New Roman"/>
          <w:szCs w:val="24"/>
          <w:lang w:val="pt-BR"/>
        </w:rPr>
        <w:t xml:space="preserve">ₕ mede a resposta da inflação no horizonte </w:t>
      </w:r>
      <w:proofErr w:type="gramStart"/>
      <w:r w:rsidRPr="009C7F96">
        <w:rPr>
          <w:rFonts w:cs="Times New Roman"/>
          <w:szCs w:val="24"/>
          <w:lang w:val="pt-BR"/>
        </w:rPr>
        <w:t>h a</w:t>
      </w:r>
      <w:proofErr w:type="gramEnd"/>
      <w:r w:rsidRPr="009C7F96">
        <w:rPr>
          <w:rFonts w:cs="Times New Roman"/>
          <w:szCs w:val="24"/>
          <w:lang w:val="pt-BR"/>
        </w:rPr>
        <w:t xml:space="preserve"> uma variação do combustível.</w:t>
      </w:r>
    </w:p>
    <w:p w14:paraId="53A9186C" w14:textId="77777777" w:rsidR="008E44CC" w:rsidRPr="009C7F96" w:rsidRDefault="008E44CC" w:rsidP="008E44CC">
      <w:pPr>
        <w:spacing w:after="120"/>
        <w:rPr>
          <w:rFonts w:cs="Times New Roman"/>
          <w:szCs w:val="24"/>
          <w:lang w:val="pt-BR"/>
        </w:rPr>
      </w:pPr>
      <w:r w:rsidRPr="009C7F96">
        <w:rPr>
          <w:rFonts w:cs="Times New Roman"/>
          <w:szCs w:val="24"/>
          <w:lang w:val="pt-BR"/>
        </w:rPr>
        <w:t>Para captar a dimensão institucional, uma especificação dependente de regime pode comparar o repasse antes e depois de mudanças na política comercial da Petrobras:</w:t>
      </w:r>
    </w:p>
    <w:p w14:paraId="191ABD2E" w14:textId="77777777" w:rsidR="008E44CC" w:rsidRPr="009C7F96" w:rsidRDefault="008E44CC" w:rsidP="008E44CC">
      <w:pPr>
        <w:rPr>
          <w:rFonts w:cs="Times New Roman"/>
          <w:szCs w:val="24"/>
          <w:lang w:val="pt-BR"/>
        </w:rPr>
      </w:pPr>
    </w:p>
    <w:p w14:paraId="31D84E4D" w14:textId="77777777" w:rsidR="008E44CC" w:rsidRPr="009C7F96" w:rsidRDefault="008E44CC" w:rsidP="008E44CC">
      <w:pPr>
        <w:spacing w:before="120" w:after="120"/>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r w:rsidRPr="009C7F96">
        <w:rPr>
          <w:rFonts w:cs="Times New Roman"/>
          <w:szCs w:val="24"/>
          <w:lang w:val="pt-BR"/>
        </w:rPr>
        <w:t>_{</w:t>
      </w:r>
      <w:proofErr w:type="spellStart"/>
      <w:r w:rsidRPr="009C7F96">
        <w:rPr>
          <w:rFonts w:cs="Times New Roman"/>
          <w:szCs w:val="24"/>
          <w:lang w:val="pt-BR"/>
        </w:rPr>
        <w:t>t+h</w:t>
      </w:r>
      <w:proofErr w:type="spellEnd"/>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pre</w:t>
      </w:r>
      <w:proofErr w:type="spellEnd"/>
      <w:proofErr w:type="gramStart"/>
      <w:r w:rsidRPr="009C7F96">
        <w:rPr>
          <w:rFonts w:cs="Times New Roman"/>
          <w:szCs w:val="24"/>
          <w:lang w:val="pt-BR"/>
        </w:rPr>
        <w:t>}(</w:t>
      </w:r>
      <w:proofErr w:type="gramEnd"/>
      <w:r w:rsidRPr="009C7F96">
        <w:rPr>
          <w:rFonts w:cs="Times New Roman"/>
          <w:szCs w:val="24"/>
          <w:lang w:val="pt-BR"/>
        </w:rPr>
        <w:t xml:space="preserve">1 - </w:t>
      </w:r>
      <w:proofErr w:type="gramStart"/>
      <w:r w:rsidRPr="009C7F96">
        <w:rPr>
          <w:rFonts w:cs="Times New Roman"/>
          <w:szCs w:val="24"/>
          <w:lang w:val="pt-BR"/>
        </w:rPr>
        <w:t>Dₜ)x</w:t>
      </w:r>
      <w:proofErr w:type="gramEnd"/>
      <w:r w:rsidRPr="009C7F96">
        <w:rPr>
          <w:rFonts w:cs="Times New Roman"/>
          <w:szCs w:val="24"/>
          <w:lang w:val="pt-BR"/>
        </w:rPr>
        <w:t xml:space="preserve">ₜ + </w:t>
      </w:r>
      <w:r w:rsidRPr="009C7F96">
        <w:rPr>
          <w:rFonts w:cs="Times New Roman"/>
          <w:szCs w:val="24"/>
        </w:rPr>
        <w:t>β</w:t>
      </w:r>
      <w:r w:rsidRPr="009C7F96">
        <w:rPr>
          <w:rFonts w:cs="Times New Roman"/>
          <w:szCs w:val="24"/>
          <w:lang w:val="pt-BR"/>
        </w:rPr>
        <w:t xml:space="preserve">ₕ^{post}Dₜ xₜ + </w:t>
      </w:r>
      <w:r w:rsidRPr="009C7F96">
        <w:rPr>
          <w:rFonts w:cs="Times New Roman"/>
          <w:szCs w:val="24"/>
        </w:rPr>
        <w:t>Γ</w:t>
      </w:r>
      <w:r w:rsidRPr="009C7F96">
        <w:rPr>
          <w:rFonts w:cs="Times New Roman"/>
          <w:szCs w:val="24"/>
          <w:lang w:val="pt-BR"/>
        </w:rPr>
        <w:t>_</w:t>
      </w:r>
      <w:proofErr w:type="spellStart"/>
      <w:r w:rsidRPr="009C7F96">
        <w:rPr>
          <w:rFonts w:cs="Times New Roman"/>
          <w:szCs w:val="24"/>
          <w:lang w:val="pt-BR"/>
        </w:rPr>
        <w:t>hW_t</w:t>
      </w:r>
      <w:proofErr w:type="spellEnd"/>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21)</w:t>
      </w:r>
    </w:p>
    <w:p w14:paraId="5240A97A" w14:textId="77777777" w:rsidR="008E44CC" w:rsidRPr="009C7F96" w:rsidRDefault="008E44CC" w:rsidP="008E44CC">
      <w:pPr>
        <w:rPr>
          <w:rFonts w:cs="Times New Roman"/>
          <w:szCs w:val="24"/>
          <w:lang w:val="pt-BR"/>
        </w:rPr>
      </w:pPr>
    </w:p>
    <w:p w14:paraId="15B28E6E"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Dₜ é uma </w:t>
      </w:r>
      <w:proofErr w:type="spellStart"/>
      <w:r w:rsidRPr="009C7F96">
        <w:rPr>
          <w:rFonts w:cs="Times New Roman"/>
          <w:szCs w:val="24"/>
          <w:lang w:val="pt-BR"/>
        </w:rPr>
        <w:t>dummy</w:t>
      </w:r>
      <w:proofErr w:type="spellEnd"/>
      <w:r w:rsidRPr="009C7F96">
        <w:rPr>
          <w:rFonts w:cs="Times New Roman"/>
          <w:szCs w:val="24"/>
          <w:lang w:val="pt-BR"/>
        </w:rPr>
        <w:t xml:space="preserve"> que assume valor igual a um no período posterior à mudança de regime. Se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pre</w:t>
      </w:r>
      <w:proofErr w:type="spellEnd"/>
      <w:r w:rsidRPr="009C7F96">
        <w:rPr>
          <w:rFonts w:cs="Times New Roman"/>
          <w:szCs w:val="24"/>
          <w:lang w:val="pt-BR"/>
        </w:rPr>
        <w:t xml:space="preserve">} e </w:t>
      </w:r>
      <w:r w:rsidRPr="009C7F96">
        <w:rPr>
          <w:rFonts w:cs="Times New Roman"/>
          <w:szCs w:val="24"/>
        </w:rPr>
        <w:t>β</w:t>
      </w:r>
      <w:r w:rsidRPr="009C7F96">
        <w:rPr>
          <w:rFonts w:cs="Times New Roman"/>
          <w:szCs w:val="24"/>
          <w:lang w:val="pt-BR"/>
        </w:rPr>
        <w:t>ₕ^{post} forem estatisticamente distintos, haverá evidência de que o regime de precificação alterou a transmissão dos choques de petróleo e combustíveis para a inflação. Essa especificação se conecta diretamente à hipótese de que a Petrobras pode suavizar, retardar ou alterar a intensidade do repasse.</w:t>
      </w:r>
    </w:p>
    <w:p w14:paraId="7E0ED505"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uma extensão regional, pode-se explorar diferenças entre áreas de coleta do IPCA e mercados locais de combustíveis. Uma </w:t>
      </w:r>
      <w:proofErr w:type="spellStart"/>
      <w:r w:rsidRPr="009C7F96">
        <w:rPr>
          <w:rFonts w:cs="Times New Roman"/>
          <w:szCs w:val="24"/>
          <w:lang w:val="pt-BR"/>
        </w:rPr>
        <w:t>panel</w:t>
      </w:r>
      <w:proofErr w:type="spellEnd"/>
      <w:r w:rsidRPr="009C7F96">
        <w:rPr>
          <w:rFonts w:cs="Times New Roman"/>
          <w:szCs w:val="24"/>
          <w:lang w:val="pt-BR"/>
        </w:rPr>
        <w:t xml:space="preserve"> LP pode ser escrita como:</w:t>
      </w:r>
    </w:p>
    <w:p w14:paraId="1A0F1076" w14:textId="77777777" w:rsidR="008E44CC" w:rsidRPr="009C7F96" w:rsidRDefault="008E44CC" w:rsidP="008E44CC">
      <w:pPr>
        <w:rPr>
          <w:rFonts w:cs="Times New Roman"/>
          <w:szCs w:val="24"/>
          <w:lang w:val="pt-BR"/>
        </w:rPr>
      </w:pPr>
    </w:p>
    <w:p w14:paraId="4EF74B38" w14:textId="77777777" w:rsidR="008E44CC" w:rsidRPr="009C7F96" w:rsidRDefault="008E44CC" w:rsidP="008E44CC">
      <w:pPr>
        <w:spacing w:before="120" w:after="120"/>
        <w:rPr>
          <w:rFonts w:cs="Times New Roman"/>
          <w:szCs w:val="24"/>
          <w:lang w:val="pt-BR"/>
        </w:rPr>
      </w:pPr>
      <w:r w:rsidRPr="009C7F96">
        <w:rPr>
          <w:rFonts w:cs="Times New Roman"/>
          <w:szCs w:val="24"/>
        </w:rPr>
        <w:t>Δ</w:t>
      </w:r>
      <w:r w:rsidRPr="009C7F96">
        <w:rPr>
          <w:rFonts w:cs="Times New Roman"/>
          <w:szCs w:val="24"/>
          <w:lang w:val="pt-BR"/>
        </w:rPr>
        <w:t xml:space="preserve">ₕ </w:t>
      </w:r>
      <w:r w:rsidRPr="009C7F96">
        <w:rPr>
          <w:rFonts w:cs="Times New Roman"/>
          <w:szCs w:val="24"/>
        </w:rPr>
        <w:t>π</w:t>
      </w:r>
      <w:proofErr w:type="gramStart"/>
      <w:r w:rsidRPr="009C7F96">
        <w:rPr>
          <w:rFonts w:cs="Times New Roman"/>
          <w:szCs w:val="24"/>
        </w:rPr>
        <w:t>ᵣ</w:t>
      </w:r>
      <w:r w:rsidRPr="009C7F96">
        <w:rPr>
          <w:rFonts w:cs="Times New Roman"/>
          <w:szCs w:val="24"/>
          <w:lang w:val="pt-BR"/>
        </w:rPr>
        <w:t>,ₜ₊</w:t>
      </w:r>
      <w:proofErr w:type="gramEnd"/>
      <w:r w:rsidRPr="009C7F96">
        <w:rPr>
          <w:rFonts w:cs="Times New Roman"/>
          <w:szCs w:val="24"/>
          <w:lang w:val="pt-BR"/>
        </w:rPr>
        <w:t xml:space="preserve">ₕ = </w:t>
      </w:r>
      <w:r w:rsidRPr="009C7F96">
        <w:rPr>
          <w:rFonts w:cs="Times New Roman"/>
          <w:szCs w:val="24"/>
        </w:rPr>
        <w:t>αᵣ</w:t>
      </w:r>
      <w:r w:rsidRPr="009C7F96">
        <w:rPr>
          <w:rFonts w:cs="Times New Roman"/>
          <w:szCs w:val="24"/>
          <w:lang w:val="pt-BR"/>
        </w:rPr>
        <w:t xml:space="preserve">,ₕ + </w:t>
      </w:r>
      <w:r w:rsidRPr="009C7F96">
        <w:rPr>
          <w:rFonts w:cs="Times New Roman"/>
          <w:szCs w:val="24"/>
        </w:rPr>
        <w:t>τ</w:t>
      </w:r>
      <w:r w:rsidRPr="009C7F96">
        <w:rPr>
          <w:rFonts w:cs="Times New Roman"/>
          <w:szCs w:val="24"/>
          <w:lang w:val="pt-BR"/>
        </w:rPr>
        <w:t xml:space="preserve">ₜ,ₕ + </w:t>
      </w:r>
      <w:r w:rsidRPr="009C7F96">
        <w:rPr>
          <w:rFonts w:cs="Times New Roman"/>
          <w:szCs w:val="24"/>
        </w:rPr>
        <w:t>β</w:t>
      </w:r>
      <w:r w:rsidRPr="009C7F96">
        <w:rPr>
          <w:rFonts w:cs="Times New Roman"/>
          <w:szCs w:val="24"/>
          <w:lang w:val="pt-BR"/>
        </w:rPr>
        <w:t xml:space="preserve">ₕ </w:t>
      </w:r>
      <w:proofErr w:type="spellStart"/>
      <w:proofErr w:type="gramStart"/>
      <w:r w:rsidRPr="009C7F96">
        <w:rPr>
          <w:rFonts w:cs="Times New Roman"/>
          <w:szCs w:val="24"/>
          <w:lang w:val="pt-BR"/>
        </w:rPr>
        <w:t>shock</w:t>
      </w:r>
      <w:proofErr w:type="spellEnd"/>
      <w:r w:rsidRPr="009C7F96">
        <w:rPr>
          <w:rFonts w:cs="Times New Roman"/>
          <w:szCs w:val="24"/>
        </w:rPr>
        <w:t>ᵣ</w:t>
      </w:r>
      <w:r w:rsidRPr="009C7F96">
        <w:rPr>
          <w:rFonts w:cs="Times New Roman"/>
          <w:szCs w:val="24"/>
          <w:lang w:val="pt-BR"/>
        </w:rPr>
        <w:t>,ₜ</w:t>
      </w:r>
      <w:r w:rsidRPr="009C7F96">
        <w:rPr>
          <w:rFonts w:cs="Times New Roman"/>
          <w:szCs w:val="24"/>
        </w:rPr>
        <w:t>ᶠᵘᵉ</w:t>
      </w:r>
      <w:r w:rsidRPr="009C7F96">
        <w:rPr>
          <w:rFonts w:cs="Times New Roman"/>
          <w:szCs w:val="24"/>
          <w:lang w:val="pt-BR"/>
        </w:rPr>
        <w:t>ˡ</w:t>
      </w:r>
      <w:proofErr w:type="gramEnd"/>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_</w:t>
      </w:r>
      <w:proofErr w:type="spellStart"/>
      <w:r w:rsidRPr="009C7F96">
        <w:rPr>
          <w:rFonts w:cs="Times New Roman"/>
          <w:szCs w:val="24"/>
          <w:lang w:val="pt-BR"/>
        </w:rPr>
        <w:t>hW</w:t>
      </w:r>
      <w:proofErr w:type="spellEnd"/>
      <w:r w:rsidRPr="009C7F96">
        <w:rPr>
          <w:rFonts w:cs="Times New Roman"/>
          <w:szCs w:val="24"/>
        </w:rPr>
        <w:t>ᵣ</w:t>
      </w:r>
      <w:r w:rsidRPr="009C7F96">
        <w:rPr>
          <w:rFonts w:cs="Times New Roman"/>
          <w:szCs w:val="24"/>
          <w:lang w:val="pt-BR"/>
        </w:rPr>
        <w:t xml:space="preserve">,ₜ + </w:t>
      </w:r>
      <w:r w:rsidRPr="009C7F96">
        <w:rPr>
          <w:rFonts w:cs="Times New Roman"/>
          <w:szCs w:val="24"/>
        </w:rPr>
        <w:t>ε</w:t>
      </w:r>
      <w:proofErr w:type="gramStart"/>
      <w:r w:rsidRPr="009C7F96">
        <w:rPr>
          <w:rFonts w:cs="Times New Roman"/>
          <w:szCs w:val="24"/>
        </w:rPr>
        <w:t>ᵣ</w:t>
      </w:r>
      <w:r w:rsidRPr="009C7F96">
        <w:rPr>
          <w:rFonts w:cs="Times New Roman"/>
          <w:szCs w:val="24"/>
          <w:lang w:val="pt-BR"/>
        </w:rPr>
        <w:t>,ₜ₊</w:t>
      </w:r>
      <w:proofErr w:type="gramEnd"/>
      <w:r w:rsidRPr="009C7F96">
        <w:rPr>
          <w:rFonts w:cs="Times New Roman"/>
          <w:szCs w:val="24"/>
          <w:lang w:val="pt-BR"/>
        </w:rPr>
        <w:t xml:space="preserve">ₕ⁽ʰ⁾   </w:t>
      </w:r>
      <w:proofErr w:type="gramStart"/>
      <w:r w:rsidRPr="009C7F96">
        <w:rPr>
          <w:rFonts w:cs="Times New Roman"/>
          <w:szCs w:val="24"/>
          <w:lang w:val="pt-BR"/>
        </w:rPr>
        <w:t xml:space="preserve">   (</w:t>
      </w:r>
      <w:proofErr w:type="gramEnd"/>
      <w:r w:rsidRPr="009C7F96">
        <w:rPr>
          <w:rFonts w:cs="Times New Roman"/>
          <w:szCs w:val="24"/>
          <w:lang w:val="pt-BR"/>
        </w:rPr>
        <w:t>22)</w:t>
      </w:r>
    </w:p>
    <w:p w14:paraId="000D80B5" w14:textId="77777777" w:rsidR="008E44CC" w:rsidRPr="009C7F96" w:rsidRDefault="008E44CC" w:rsidP="008E44CC">
      <w:pPr>
        <w:rPr>
          <w:rFonts w:cs="Times New Roman"/>
          <w:szCs w:val="24"/>
          <w:lang w:val="pt-BR"/>
        </w:rPr>
      </w:pPr>
    </w:p>
    <w:p w14:paraId="210F5FA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w:t>
      </w:r>
      <w:proofErr w:type="gramStart"/>
      <w:r w:rsidRPr="009C7F96">
        <w:rPr>
          <w:rFonts w:cs="Times New Roman"/>
          <w:szCs w:val="24"/>
          <w:lang w:val="pt-BR"/>
        </w:rPr>
        <w:t>que r</w:t>
      </w:r>
      <w:proofErr w:type="gramEnd"/>
      <w:r w:rsidRPr="009C7F96">
        <w:rPr>
          <w:rFonts w:cs="Times New Roman"/>
          <w:szCs w:val="24"/>
          <w:lang w:val="pt-BR"/>
        </w:rPr>
        <w:t xml:space="preserve"> representa a região ou área de coleta, </w:t>
      </w:r>
      <w:r w:rsidRPr="009C7F96">
        <w:rPr>
          <w:rFonts w:cs="Times New Roman"/>
          <w:szCs w:val="24"/>
        </w:rPr>
        <w:t>αᵣ</w:t>
      </w:r>
      <w:r w:rsidRPr="009C7F96">
        <w:rPr>
          <w:rFonts w:cs="Times New Roman"/>
          <w:szCs w:val="24"/>
          <w:lang w:val="pt-BR"/>
        </w:rPr>
        <w:t xml:space="preserve">,ₕ são efeitos fixos regionais e </w:t>
      </w:r>
      <w:r w:rsidRPr="009C7F96">
        <w:rPr>
          <w:rFonts w:cs="Times New Roman"/>
          <w:szCs w:val="24"/>
        </w:rPr>
        <w:t>τ</w:t>
      </w:r>
      <w:r w:rsidRPr="009C7F96">
        <w:rPr>
          <w:rFonts w:cs="Times New Roman"/>
          <w:szCs w:val="24"/>
          <w:lang w:val="pt-BR"/>
        </w:rPr>
        <w:t xml:space="preserve">ₜ,ₕ são efeitos fixos de tempo. Essa abordagem é útil porque a transmissão de combustíveis pode variar conforme logística, competição, proximidade de refinarias, estrutura tributária estadual e peso regional dos itens no índice. Embora mais exigente em dados, essa estratégia aproxima a pesquisa da literatura internacional recente que explora heterogeneidade espacial no </w:t>
      </w:r>
      <w:proofErr w:type="spellStart"/>
      <w:r w:rsidRPr="009C7F96">
        <w:rPr>
          <w:rFonts w:cs="Times New Roman"/>
          <w:szCs w:val="24"/>
          <w:lang w:val="pt-BR"/>
        </w:rPr>
        <w:t>pass-through</w:t>
      </w:r>
      <w:proofErr w:type="spellEnd"/>
      <w:r w:rsidRPr="009C7F96">
        <w:rPr>
          <w:rFonts w:cs="Times New Roman"/>
          <w:szCs w:val="24"/>
          <w:lang w:val="pt-BR"/>
        </w:rPr>
        <w:t xml:space="preserve"> de petróleo.</w:t>
      </w:r>
    </w:p>
    <w:p w14:paraId="65D5FAA3" w14:textId="77777777" w:rsidR="008E44CC" w:rsidRPr="009C7F96" w:rsidRDefault="008E44CC" w:rsidP="008E44CC">
      <w:pPr>
        <w:pStyle w:val="Heading2"/>
        <w:spacing w:before="240" w:after="120"/>
        <w:jc w:val="both"/>
        <w:rPr>
          <w:rFonts w:cs="Times New Roman"/>
          <w:szCs w:val="24"/>
        </w:rPr>
      </w:pPr>
      <w:bookmarkStart w:id="14" w:name="_Toc229695941"/>
      <w:r w:rsidRPr="009C7F96">
        <w:rPr>
          <w:rFonts w:ascii="Times New Roman" w:eastAsia="Times New Roman" w:hAnsi="Times New Roman" w:cs="Times New Roman"/>
          <w:szCs w:val="24"/>
        </w:rPr>
        <w:lastRenderedPageBreak/>
        <w:t>2.9 Síntese crítica da literatura e contribuição da pesquisa</w:t>
      </w:r>
      <w:bookmarkEnd w:id="14"/>
    </w:p>
    <w:p w14:paraId="5CFD2CA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literatura revisada permite identificar quatro consensos. Primeiro, choques no preço do petróleo podem afetar a inflação, mas a magnitude do efeito depende da origem do choque, do regime macroeconômico, da estrutura energética e da credibilidade da política monetária. </w:t>
      </w:r>
      <w:proofErr w:type="gramStart"/>
      <w:r w:rsidRPr="009C7F96">
        <w:rPr>
          <w:rFonts w:cs="Times New Roman"/>
          <w:szCs w:val="24"/>
          <w:lang w:val="pt-BR"/>
        </w:rPr>
        <w:t>Segundo, o</w:t>
      </w:r>
      <w:proofErr w:type="gramEnd"/>
      <w:r w:rsidRPr="009C7F96">
        <w:rPr>
          <w:rFonts w:cs="Times New Roman"/>
          <w:szCs w:val="24"/>
          <w:lang w:val="pt-BR"/>
        </w:rPr>
        <w:t xml:space="preserve"> repasse tende a ser mais forte em componentes diretamente ligados a energia e transportes, o que justifica a análise desagregada do IPCA. Terceiro, em economias abertas, o câmbio é parte indispensável do canal de transmissão, pois o preço relevante para a inflação doméstica é o petróleo em moeda nacional. Quarto, no Brasil, a política de preços e a estrutura de refino da Petrobras impedem que o repasse seja tratado como automático.</w:t>
      </w:r>
    </w:p>
    <w:p w14:paraId="77A81DD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incorporação </w:t>
      </w:r>
      <w:proofErr w:type="gramStart"/>
      <w:r w:rsidRPr="009C7F96">
        <w:rPr>
          <w:rFonts w:cs="Times New Roman"/>
          <w:szCs w:val="24"/>
          <w:lang w:val="pt-BR"/>
        </w:rPr>
        <w:t>das local</w:t>
      </w:r>
      <w:proofErr w:type="gramEnd"/>
      <w:r w:rsidRPr="009C7F96">
        <w:rPr>
          <w:rFonts w:cs="Times New Roman"/>
          <w:szCs w:val="24"/>
          <w:lang w:val="pt-BR"/>
        </w:rPr>
        <w:t xml:space="preserve"> </w:t>
      </w:r>
      <w:proofErr w:type="spellStart"/>
      <w:r w:rsidRPr="009C7F96">
        <w:rPr>
          <w:rFonts w:cs="Times New Roman"/>
          <w:szCs w:val="24"/>
          <w:lang w:val="pt-BR"/>
        </w:rPr>
        <w:t>projections</w:t>
      </w:r>
      <w:proofErr w:type="spellEnd"/>
      <w:r w:rsidRPr="009C7F96">
        <w:rPr>
          <w:rFonts w:cs="Times New Roman"/>
          <w:szCs w:val="24"/>
          <w:lang w:val="pt-BR"/>
        </w:rPr>
        <w:t xml:space="preserve"> amplia a contribuição potencial da pesquisa porque permite estimar o perfil temporal do repasse de forma flexível. Em vez de restringir a análise a um sistema VAR único, a pesquisa pode estimar respostas diretas horizonte a horizonte, comparar IPCA geral e IPCA de transportes, introduzir controles defasados, testar regimes institucionais, instrumentar o preço doméstico do combustível e, eventualmente, explorar heterogeneidade regional. Essa flexibilidade é compatível com a complexidade institucional do mercado brasileiro de combustíveis.</w:t>
      </w:r>
    </w:p>
    <w:p w14:paraId="078EEE39" w14:textId="77777777" w:rsidR="008E44CC" w:rsidRPr="009C7F96" w:rsidRDefault="008E44CC" w:rsidP="008E44CC">
      <w:pPr>
        <w:spacing w:after="120"/>
        <w:rPr>
          <w:rFonts w:cs="Times New Roman"/>
          <w:szCs w:val="24"/>
          <w:lang w:val="pt-BR"/>
        </w:rPr>
      </w:pPr>
      <w:r w:rsidRPr="009C7F96">
        <w:rPr>
          <w:rFonts w:cs="Times New Roman"/>
          <w:szCs w:val="24"/>
          <w:lang w:val="pt-BR"/>
        </w:rPr>
        <w:t>A lacuna que permanece na literatura brasileira está na articulação conjunta entre preço internacional do petróleo, câmbio, preço na refinaria, preço ao consumidor e diferentes recortes do IPCA. Muitos estudos tratam petróleo e inflação de forma agregada, enquanto outros discutem a formação dos preços de combustíveis sem estimar detalhadamente a dinâmica temporal do repasse para a inflação. A presente pesquisa se insere exatamente nesse espaço, ao propor uma análise do canal combustíveis como meio de propagação do choque internacional do petróleo para a inflação brasileira, com atenção específica à refinaria da Petrobras como etapa intermediária do mecanismo de transmissão.</w:t>
      </w:r>
    </w:p>
    <w:p w14:paraId="1155BE14"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Portanto, a revisão bibliográfica sustenta três hipóteses centrais. A primeira é que choques positivos no preço do petróleo em reais elevam os preços domésticos de combustíveis, mas esse repasse depende do regime de precificação e da política comercial da Petrobras. A segunda é que o impacto sobre o IPCA é mais intenso no grupo de transportes e nos subitens diretamente ligados a combustíveis do que no índice agregado. A terceira é que há efeitos indiretos relevantes, sobretudo via diesel, custos de transporte, expectativas e bens comercializáveis. Essas hipóteses </w:t>
      </w:r>
      <w:r w:rsidRPr="009C7F96">
        <w:rPr>
          <w:rFonts w:cs="Times New Roman"/>
          <w:szCs w:val="24"/>
          <w:lang w:val="pt-BR"/>
        </w:rPr>
        <w:lastRenderedPageBreak/>
        <w:t xml:space="preserve">são coerentes com a literatura internacional e justificam o uso de local </w:t>
      </w:r>
      <w:proofErr w:type="spellStart"/>
      <w:r w:rsidRPr="009C7F96">
        <w:rPr>
          <w:rFonts w:cs="Times New Roman"/>
          <w:szCs w:val="24"/>
          <w:lang w:val="pt-BR"/>
        </w:rPr>
        <w:t>projections</w:t>
      </w:r>
      <w:proofErr w:type="spellEnd"/>
      <w:r w:rsidRPr="009C7F96">
        <w:rPr>
          <w:rFonts w:cs="Times New Roman"/>
          <w:szCs w:val="24"/>
          <w:lang w:val="pt-BR"/>
        </w:rPr>
        <w:t xml:space="preserve"> como estratégia empírica principal.</w:t>
      </w:r>
    </w:p>
    <w:p w14:paraId="2169AFAD" w14:textId="77777777" w:rsidR="008E44CC" w:rsidRPr="009C7F96" w:rsidRDefault="008E44CC" w:rsidP="008E44CC">
      <w:pPr>
        <w:pStyle w:val="Heading2"/>
        <w:spacing w:before="240" w:after="120"/>
        <w:jc w:val="both"/>
        <w:rPr>
          <w:rFonts w:cs="Times New Roman"/>
          <w:szCs w:val="24"/>
        </w:rPr>
      </w:pPr>
      <w:bookmarkStart w:id="15" w:name="_Toc229695942"/>
      <w:r w:rsidRPr="009C7F96">
        <w:rPr>
          <w:rFonts w:ascii="Times New Roman" w:eastAsia="Times New Roman" w:hAnsi="Times New Roman" w:cs="Times New Roman"/>
          <w:szCs w:val="24"/>
        </w:rPr>
        <w:t>2.10 Síntese dos principais modelos incorporados</w:t>
      </w:r>
      <w:bookmarkEnd w:id="15"/>
    </w:p>
    <w:p w14:paraId="6E855257" w14:textId="77777777" w:rsidR="008E44CC" w:rsidRPr="009C7F96" w:rsidRDefault="008E44CC" w:rsidP="008E44CC">
      <w:pPr>
        <w:spacing w:after="120"/>
        <w:rPr>
          <w:rFonts w:cs="Times New Roman"/>
          <w:szCs w:val="24"/>
          <w:lang w:val="pt-BR"/>
        </w:rPr>
      </w:pPr>
      <w:r w:rsidRPr="009C7F96">
        <w:rPr>
          <w:rFonts w:cs="Times New Roman"/>
          <w:szCs w:val="24"/>
          <w:lang w:val="pt-BR"/>
        </w:rPr>
        <w:t>O Quadro 1 resume os principais modelos discutidos e sua utilidade para o desenho empírico da pesquisa.</w:t>
      </w:r>
    </w:p>
    <w:tbl>
      <w:tblPr>
        <w:tblStyle w:val="TableGrid"/>
        <w:tblW w:w="0" w:type="auto"/>
        <w:jc w:val="center"/>
        <w:tblLayout w:type="autofit"/>
        <w:tblLook w:val="04A0" w:firstRow="1" w:lastRow="0" w:firstColumn="1" w:lastColumn="0" w:noHBand="0" w:noVBand="1"/>
      </w:tblPr>
      <w:tblGrid>
        <w:gridCol w:w="2122"/>
        <w:gridCol w:w="4677"/>
        <w:gridCol w:w="2552"/>
      </w:tblGrid>
      <w:tr w:rsidR="008E44CC" w:rsidRPr="009C7F96" w14:paraId="06B5E53A" w14:textId="77777777" w:rsidTr="00326AA9">
        <w:trPr>
          <w:jc w:val="center"/>
        </w:trPr>
        <w:tc>
          <w:tcPr>
            <w:tcW w:w="2122" w:type="dxa"/>
            <w:shd w:val="clear" w:color="auto" w:fill="D9EAF7"/>
            <w:tcMar>
              <w:top w:w="30" w:type="dxa"/>
              <w:start w:w="30" w:type="dxa"/>
              <w:bottom w:w="30" w:type="dxa"/>
              <w:end w:w="30" w:type="dxa"/>
            </w:tcMar>
          </w:tcPr>
          <w:p w14:paraId="0BB4D349"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b/>
                <w:sz w:val="14"/>
                <w:szCs w:val="24"/>
              </w:rPr>
              <w:t>Modelo</w:t>
            </w:r>
          </w:p>
        </w:tc>
        <w:tc>
          <w:tcPr>
            <w:tcW w:w="4677" w:type="dxa"/>
            <w:shd w:val="clear" w:color="auto" w:fill="D9EAF7"/>
            <w:tcMar>
              <w:top w:w="30" w:type="dxa"/>
              <w:start w:w="30" w:type="dxa"/>
              <w:bottom w:w="30" w:type="dxa"/>
              <w:end w:w="30" w:type="dxa"/>
            </w:tcMar>
          </w:tcPr>
          <w:p w14:paraId="331A5EC7" w14:textId="77777777" w:rsidR="008E44CC" w:rsidRPr="009C7F96" w:rsidRDefault="008E44CC" w:rsidP="00326AA9">
            <w:pPr>
              <w:spacing w:before="0" w:after="0" w:line="240" w:lineRule="auto"/>
              <w:ind w:firstLine="0"/>
              <w:jc w:val="left"/>
              <w:rPr>
                <w:rFonts w:cs="Times New Roman"/>
                <w:szCs w:val="24"/>
              </w:rPr>
            </w:pPr>
            <w:proofErr w:type="spellStart"/>
            <w:r w:rsidRPr="009C7F96">
              <w:rPr>
                <w:rFonts w:cs="Times New Roman"/>
                <w:b/>
                <w:sz w:val="14"/>
                <w:szCs w:val="24"/>
              </w:rPr>
              <w:t>Equação</w:t>
            </w:r>
            <w:proofErr w:type="spellEnd"/>
            <w:r w:rsidRPr="009C7F96">
              <w:rPr>
                <w:rFonts w:cs="Times New Roman"/>
                <w:b/>
                <w:sz w:val="14"/>
                <w:szCs w:val="24"/>
              </w:rPr>
              <w:t>-base</w:t>
            </w:r>
          </w:p>
        </w:tc>
        <w:tc>
          <w:tcPr>
            <w:tcW w:w="2552" w:type="dxa"/>
            <w:shd w:val="clear" w:color="auto" w:fill="D9EAF7"/>
            <w:tcMar>
              <w:top w:w="30" w:type="dxa"/>
              <w:start w:w="30" w:type="dxa"/>
              <w:bottom w:w="30" w:type="dxa"/>
              <w:end w:w="30" w:type="dxa"/>
            </w:tcMar>
          </w:tcPr>
          <w:p w14:paraId="15B2C82B" w14:textId="77777777" w:rsidR="008E44CC" w:rsidRPr="009C7F96" w:rsidRDefault="008E44CC" w:rsidP="00326AA9">
            <w:pPr>
              <w:spacing w:before="0" w:after="0" w:line="240" w:lineRule="auto"/>
              <w:ind w:firstLine="0"/>
              <w:jc w:val="left"/>
              <w:rPr>
                <w:rFonts w:cs="Times New Roman"/>
                <w:szCs w:val="24"/>
              </w:rPr>
            </w:pPr>
            <w:proofErr w:type="spellStart"/>
            <w:r w:rsidRPr="009C7F96">
              <w:rPr>
                <w:rFonts w:cs="Times New Roman"/>
                <w:b/>
                <w:sz w:val="14"/>
                <w:szCs w:val="24"/>
              </w:rPr>
              <w:t>Utilidade</w:t>
            </w:r>
            <w:proofErr w:type="spellEnd"/>
            <w:r w:rsidRPr="009C7F96">
              <w:rPr>
                <w:rFonts w:cs="Times New Roman"/>
                <w:b/>
                <w:sz w:val="14"/>
                <w:szCs w:val="24"/>
              </w:rPr>
              <w:t xml:space="preserve"> para o </w:t>
            </w:r>
            <w:proofErr w:type="spellStart"/>
            <w:r w:rsidRPr="009C7F96">
              <w:rPr>
                <w:rFonts w:cs="Times New Roman"/>
                <w:b/>
                <w:sz w:val="14"/>
                <w:szCs w:val="24"/>
              </w:rPr>
              <w:t>trabalho</w:t>
            </w:r>
            <w:proofErr w:type="spellEnd"/>
          </w:p>
        </w:tc>
      </w:tr>
      <w:tr w:rsidR="008E44CC" w:rsidRPr="00CA3657" w14:paraId="1E34B3ED" w14:textId="77777777" w:rsidTr="00326AA9">
        <w:trPr>
          <w:jc w:val="center"/>
        </w:trPr>
        <w:tc>
          <w:tcPr>
            <w:tcW w:w="2122" w:type="dxa"/>
            <w:tcMar>
              <w:top w:w="30" w:type="dxa"/>
              <w:start w:w="30" w:type="dxa"/>
              <w:bottom w:w="30" w:type="dxa"/>
              <w:end w:w="30" w:type="dxa"/>
            </w:tcMar>
          </w:tcPr>
          <w:p w14:paraId="0B27A01D"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Choque de petróleo de Hamilton</w:t>
            </w:r>
          </w:p>
        </w:tc>
        <w:tc>
          <w:tcPr>
            <w:tcW w:w="4677" w:type="dxa"/>
            <w:tcMar>
              <w:top w:w="30" w:type="dxa"/>
              <w:start w:w="30" w:type="dxa"/>
              <w:bottom w:w="30" w:type="dxa"/>
              <w:end w:w="30" w:type="dxa"/>
            </w:tcMar>
          </w:tcPr>
          <w:p w14:paraId="0A363B4D"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 xml:space="preserve">NOPIₜ = </w:t>
            </w:r>
            <w:proofErr w:type="spellStart"/>
            <w:proofErr w:type="gramStart"/>
            <w:r w:rsidRPr="009C7F96">
              <w:rPr>
                <w:rFonts w:cs="Times New Roman"/>
                <w:sz w:val="14"/>
                <w:szCs w:val="24"/>
                <w:lang w:val="pt-BR"/>
              </w:rPr>
              <w:t>max</w:t>
            </w:r>
            <w:proofErr w:type="spellEnd"/>
            <w:r w:rsidRPr="009C7F96">
              <w:rPr>
                <w:rFonts w:cs="Times New Roman"/>
                <w:sz w:val="14"/>
                <w:szCs w:val="24"/>
                <w:lang w:val="pt-BR"/>
              </w:rPr>
              <w:t>{</w:t>
            </w:r>
            <w:proofErr w:type="gramEnd"/>
            <w:r w:rsidRPr="009C7F96">
              <w:rPr>
                <w:rFonts w:cs="Times New Roman"/>
                <w:sz w:val="14"/>
                <w:szCs w:val="24"/>
                <w:lang w:val="pt-BR"/>
              </w:rPr>
              <w:t xml:space="preserve">0, </w:t>
            </w:r>
            <w:proofErr w:type="spellStart"/>
            <w:r w:rsidRPr="009C7F96">
              <w:rPr>
                <w:rFonts w:cs="Times New Roman"/>
                <w:sz w:val="14"/>
                <w:szCs w:val="24"/>
                <w:lang w:val="pt-BR"/>
              </w:rPr>
              <w:t>ln</w:t>
            </w:r>
            <w:proofErr w:type="spellEnd"/>
            <w:r w:rsidRPr="009C7F96">
              <w:rPr>
                <w:rFonts w:cs="Times New Roman"/>
                <w:sz w:val="14"/>
                <w:szCs w:val="24"/>
                <w:lang w:val="pt-BR"/>
              </w:rPr>
              <w:t>(Pₜ</w:t>
            </w:r>
            <w:r w:rsidRPr="009C7F96">
              <w:rPr>
                <w:rFonts w:cs="Times New Roman"/>
                <w:sz w:val="14"/>
                <w:szCs w:val="24"/>
              </w:rPr>
              <w:t>ᵒ</w:t>
            </w:r>
            <w:r w:rsidRPr="009C7F96">
              <w:rPr>
                <w:rFonts w:cs="Times New Roman"/>
                <w:sz w:val="14"/>
                <w:szCs w:val="24"/>
                <w:lang w:val="pt-BR"/>
              </w:rPr>
              <w:t xml:space="preserve">ⁱˡ) - </w:t>
            </w:r>
            <w:proofErr w:type="spellStart"/>
            <w:r w:rsidRPr="009C7F96">
              <w:rPr>
                <w:rFonts w:cs="Times New Roman"/>
                <w:sz w:val="14"/>
                <w:szCs w:val="24"/>
                <w:lang w:val="pt-BR"/>
              </w:rPr>
              <w:t>max</w:t>
            </w:r>
            <w:proofErr w:type="spellEnd"/>
            <w:r w:rsidRPr="009C7F96">
              <w:rPr>
                <w:rFonts w:cs="Times New Roman"/>
                <w:sz w:val="14"/>
                <w:szCs w:val="24"/>
                <w:lang w:val="pt-BR"/>
              </w:rPr>
              <w:t xml:space="preserve"> </w:t>
            </w:r>
            <w:proofErr w:type="spellStart"/>
            <w:r w:rsidRPr="009C7F96">
              <w:rPr>
                <w:rFonts w:cs="Times New Roman"/>
                <w:sz w:val="14"/>
                <w:szCs w:val="24"/>
                <w:lang w:val="pt-BR"/>
              </w:rPr>
              <w:t>ln</w:t>
            </w:r>
            <w:proofErr w:type="spellEnd"/>
            <w:r w:rsidRPr="009C7F96">
              <w:rPr>
                <w:rFonts w:cs="Times New Roman"/>
                <w:sz w:val="14"/>
                <w:szCs w:val="24"/>
                <w:lang w:val="pt-BR"/>
              </w:rPr>
              <w:t>(Pₜ₋</w:t>
            </w:r>
            <w:r w:rsidRPr="009C7F96">
              <w:rPr>
                <w:rFonts w:cs="Times New Roman"/>
                <w:sz w:val="14"/>
                <w:szCs w:val="24"/>
              </w:rPr>
              <w:t>ⱼ</w:t>
            </w:r>
            <w:r w:rsidRPr="009C7F96">
              <w:rPr>
                <w:rFonts w:cs="Times New Roman"/>
                <w:sz w:val="14"/>
                <w:szCs w:val="24"/>
                <w:lang w:val="pt-BR"/>
              </w:rPr>
              <w:t>^</w:t>
            </w:r>
            <w:proofErr w:type="spellStart"/>
            <w:r w:rsidRPr="009C7F96">
              <w:rPr>
                <w:rFonts w:cs="Times New Roman"/>
                <w:sz w:val="14"/>
                <w:szCs w:val="24"/>
                <w:lang w:val="pt-BR"/>
              </w:rPr>
              <w:t>oil</w:t>
            </w:r>
            <w:proofErr w:type="spellEnd"/>
            <w:r w:rsidRPr="009C7F96">
              <w:rPr>
                <w:rFonts w:cs="Times New Roman"/>
                <w:sz w:val="14"/>
                <w:szCs w:val="24"/>
                <w:lang w:val="pt-BR"/>
              </w:rPr>
              <w:t>)}</w:t>
            </w:r>
          </w:p>
        </w:tc>
        <w:tc>
          <w:tcPr>
            <w:tcW w:w="2552" w:type="dxa"/>
            <w:tcMar>
              <w:top w:w="30" w:type="dxa"/>
              <w:start w:w="30" w:type="dxa"/>
              <w:bottom w:w="30" w:type="dxa"/>
              <w:end w:w="30" w:type="dxa"/>
            </w:tcMar>
          </w:tcPr>
          <w:p w14:paraId="5D8DA661"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Mede choques relevantes como aumentos acima do pico recente.</w:t>
            </w:r>
          </w:p>
        </w:tc>
      </w:tr>
      <w:tr w:rsidR="008E44CC" w:rsidRPr="00CA3657" w14:paraId="04F7E40D" w14:textId="77777777" w:rsidTr="00326AA9">
        <w:trPr>
          <w:jc w:val="center"/>
        </w:trPr>
        <w:tc>
          <w:tcPr>
            <w:tcW w:w="2122" w:type="dxa"/>
            <w:tcMar>
              <w:top w:w="30" w:type="dxa"/>
              <w:start w:w="30" w:type="dxa"/>
              <w:bottom w:w="30" w:type="dxa"/>
              <w:end w:w="30" w:type="dxa"/>
            </w:tcMar>
          </w:tcPr>
          <w:p w14:paraId="66E75905"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SVAR de Kilian</w:t>
            </w:r>
          </w:p>
        </w:tc>
        <w:tc>
          <w:tcPr>
            <w:tcW w:w="4677" w:type="dxa"/>
            <w:tcMar>
              <w:top w:w="30" w:type="dxa"/>
              <w:start w:w="30" w:type="dxa"/>
              <w:bottom w:w="30" w:type="dxa"/>
              <w:end w:w="30" w:type="dxa"/>
            </w:tcMar>
          </w:tcPr>
          <w:p w14:paraId="544F116C"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A₀ yₜ = α + Σ Aᵢ yₜ₋ᵢ + εₜ</w:t>
            </w:r>
          </w:p>
        </w:tc>
        <w:tc>
          <w:tcPr>
            <w:tcW w:w="2552" w:type="dxa"/>
            <w:tcMar>
              <w:top w:w="30" w:type="dxa"/>
              <w:start w:w="30" w:type="dxa"/>
              <w:bottom w:w="30" w:type="dxa"/>
              <w:end w:w="30" w:type="dxa"/>
            </w:tcMar>
          </w:tcPr>
          <w:p w14:paraId="785C38B1"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Distingue choques de oferta, demanda global e demanda específica por petróleo.</w:t>
            </w:r>
          </w:p>
        </w:tc>
      </w:tr>
      <w:tr w:rsidR="008E44CC" w:rsidRPr="00CA3657" w14:paraId="7FA16E85" w14:textId="77777777" w:rsidTr="00326AA9">
        <w:trPr>
          <w:jc w:val="center"/>
        </w:trPr>
        <w:tc>
          <w:tcPr>
            <w:tcW w:w="2122" w:type="dxa"/>
            <w:tcMar>
              <w:top w:w="30" w:type="dxa"/>
              <w:start w:w="30" w:type="dxa"/>
              <w:bottom w:w="30" w:type="dxa"/>
              <w:end w:w="30" w:type="dxa"/>
            </w:tcMar>
          </w:tcPr>
          <w:p w14:paraId="34F4830A"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 xml:space="preserve">Curva de Phillips </w:t>
            </w:r>
            <w:proofErr w:type="spellStart"/>
            <w:r w:rsidRPr="009C7F96">
              <w:rPr>
                <w:rFonts w:cs="Times New Roman"/>
                <w:sz w:val="14"/>
                <w:szCs w:val="24"/>
              </w:rPr>
              <w:t>aberta</w:t>
            </w:r>
            <w:proofErr w:type="spellEnd"/>
          </w:p>
        </w:tc>
        <w:tc>
          <w:tcPr>
            <w:tcW w:w="4677" w:type="dxa"/>
            <w:tcMar>
              <w:top w:w="30" w:type="dxa"/>
              <w:start w:w="30" w:type="dxa"/>
              <w:bottom w:w="30" w:type="dxa"/>
              <w:end w:w="30" w:type="dxa"/>
            </w:tcMar>
          </w:tcPr>
          <w:p w14:paraId="2353F8F1"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πₜ = α + β₁Eₜπₜ₊₁ + β₂πₜ₋₁ + β₃yₜ + β₄zₜ + uₜ</w:t>
            </w:r>
          </w:p>
        </w:tc>
        <w:tc>
          <w:tcPr>
            <w:tcW w:w="2552" w:type="dxa"/>
            <w:tcMar>
              <w:top w:w="30" w:type="dxa"/>
              <w:start w:w="30" w:type="dxa"/>
              <w:bottom w:w="30" w:type="dxa"/>
              <w:end w:w="30" w:type="dxa"/>
            </w:tcMar>
          </w:tcPr>
          <w:p w14:paraId="6781F503" w14:textId="77777777" w:rsidR="008E44CC" w:rsidRPr="009C7F96" w:rsidRDefault="008E44CC" w:rsidP="00326AA9">
            <w:pPr>
              <w:spacing w:before="0" w:after="0" w:line="240" w:lineRule="auto"/>
              <w:ind w:right="-99" w:firstLine="0"/>
              <w:jc w:val="left"/>
              <w:rPr>
                <w:rFonts w:cs="Times New Roman"/>
                <w:szCs w:val="24"/>
                <w:lang w:val="pt-BR"/>
              </w:rPr>
            </w:pPr>
            <w:r w:rsidRPr="009C7F96">
              <w:rPr>
                <w:rFonts w:cs="Times New Roman"/>
                <w:sz w:val="14"/>
                <w:szCs w:val="24"/>
                <w:lang w:val="pt-BR"/>
              </w:rPr>
              <w:t>Integra câmbio, petróleo, expectativas e hiato na inflação doméstica.</w:t>
            </w:r>
          </w:p>
        </w:tc>
      </w:tr>
      <w:tr w:rsidR="008E44CC" w:rsidRPr="00CA3657" w14:paraId="6FB6EF46" w14:textId="77777777" w:rsidTr="00326AA9">
        <w:trPr>
          <w:jc w:val="center"/>
        </w:trPr>
        <w:tc>
          <w:tcPr>
            <w:tcW w:w="2122" w:type="dxa"/>
            <w:tcMar>
              <w:top w:w="30" w:type="dxa"/>
              <w:start w:w="30" w:type="dxa"/>
              <w:bottom w:w="30" w:type="dxa"/>
              <w:end w:w="30" w:type="dxa"/>
            </w:tcMar>
          </w:tcPr>
          <w:p w14:paraId="6F19DCE0"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Modelo VAR de Sims</w:t>
            </w:r>
          </w:p>
        </w:tc>
        <w:tc>
          <w:tcPr>
            <w:tcW w:w="4677" w:type="dxa"/>
            <w:tcMar>
              <w:top w:w="30" w:type="dxa"/>
              <w:start w:w="30" w:type="dxa"/>
              <w:bottom w:w="30" w:type="dxa"/>
              <w:end w:w="30" w:type="dxa"/>
            </w:tcMar>
          </w:tcPr>
          <w:p w14:paraId="4E3B6141"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 xml:space="preserve">Yₜ = c + Σᵢ₌₁ᵖ AᵢYₜ₋ᵢ + BXₜ + uₜ; IRFⱼ(h) = </w:t>
            </w:r>
            <w:proofErr w:type="spellStart"/>
            <w:r w:rsidRPr="009C7F96">
              <w:rPr>
                <w:rFonts w:cs="Times New Roman"/>
                <w:sz w:val="14"/>
                <w:szCs w:val="24"/>
              </w:rPr>
              <w:t>Ψₕe</w:t>
            </w:r>
            <w:proofErr w:type="spellEnd"/>
            <w:r w:rsidRPr="009C7F96">
              <w:rPr>
                <w:rFonts w:cs="Times New Roman"/>
                <w:sz w:val="14"/>
                <w:szCs w:val="24"/>
              </w:rPr>
              <w:t>ⱼ</w:t>
            </w:r>
          </w:p>
        </w:tc>
        <w:tc>
          <w:tcPr>
            <w:tcW w:w="2552" w:type="dxa"/>
            <w:tcMar>
              <w:top w:w="30" w:type="dxa"/>
              <w:start w:w="30" w:type="dxa"/>
              <w:bottom w:w="30" w:type="dxa"/>
              <w:end w:w="30" w:type="dxa"/>
            </w:tcMar>
          </w:tcPr>
          <w:p w14:paraId="570ED966"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 xml:space="preserve">Serve como referência tradicional para respostas dinâmicas e como robustez ao modelo principal de local </w:t>
            </w:r>
            <w:proofErr w:type="spellStart"/>
            <w:r w:rsidRPr="009C7F96">
              <w:rPr>
                <w:rFonts w:cs="Times New Roman"/>
                <w:sz w:val="14"/>
                <w:szCs w:val="24"/>
                <w:lang w:val="pt-BR"/>
              </w:rPr>
              <w:t>projections</w:t>
            </w:r>
            <w:proofErr w:type="spellEnd"/>
            <w:r w:rsidRPr="009C7F96">
              <w:rPr>
                <w:rFonts w:cs="Times New Roman"/>
                <w:sz w:val="14"/>
                <w:szCs w:val="24"/>
                <w:lang w:val="pt-BR"/>
              </w:rPr>
              <w:t>.</w:t>
            </w:r>
          </w:p>
        </w:tc>
      </w:tr>
      <w:tr w:rsidR="008E44CC" w:rsidRPr="00CA3657" w14:paraId="4D977E1C" w14:textId="77777777" w:rsidTr="00326AA9">
        <w:trPr>
          <w:jc w:val="center"/>
        </w:trPr>
        <w:tc>
          <w:tcPr>
            <w:tcW w:w="2122" w:type="dxa"/>
            <w:tcMar>
              <w:top w:w="30" w:type="dxa"/>
              <w:start w:w="30" w:type="dxa"/>
              <w:bottom w:w="30" w:type="dxa"/>
              <w:end w:w="30" w:type="dxa"/>
            </w:tcMar>
          </w:tcPr>
          <w:p w14:paraId="58064CBC"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Local projection linear</w:t>
            </w:r>
          </w:p>
        </w:tc>
        <w:tc>
          <w:tcPr>
            <w:tcW w:w="4677" w:type="dxa"/>
            <w:tcMar>
              <w:top w:w="30" w:type="dxa"/>
              <w:start w:w="30" w:type="dxa"/>
              <w:bottom w:w="30" w:type="dxa"/>
              <w:end w:w="30" w:type="dxa"/>
            </w:tcMar>
          </w:tcPr>
          <w:p w14:paraId="04BAAF54"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 xml:space="preserve">yₜ₊ₕ - yₜ₋₁ = αₕ + βₕxₜ + </w:t>
            </w:r>
            <w:proofErr w:type="spellStart"/>
            <w:r w:rsidRPr="009C7F96">
              <w:rPr>
                <w:rFonts w:cs="Times New Roman"/>
                <w:sz w:val="14"/>
                <w:szCs w:val="24"/>
              </w:rPr>
              <w:t>Γ_hW_t</w:t>
            </w:r>
            <w:proofErr w:type="spellEnd"/>
            <w:r w:rsidRPr="009C7F96">
              <w:rPr>
                <w:rFonts w:cs="Times New Roman"/>
                <w:sz w:val="14"/>
                <w:szCs w:val="24"/>
              </w:rPr>
              <w:t xml:space="preserve"> + u_{</w:t>
            </w:r>
            <w:proofErr w:type="spellStart"/>
            <w:r w:rsidRPr="009C7F96">
              <w:rPr>
                <w:rFonts w:cs="Times New Roman"/>
                <w:sz w:val="14"/>
                <w:szCs w:val="24"/>
              </w:rPr>
              <w:t>t+h</w:t>
            </w:r>
            <w:proofErr w:type="spellEnd"/>
            <w:r w:rsidRPr="009C7F96">
              <w:rPr>
                <w:rFonts w:cs="Times New Roman"/>
                <w:sz w:val="14"/>
                <w:szCs w:val="24"/>
              </w:rPr>
              <w:t>}</w:t>
            </w:r>
          </w:p>
        </w:tc>
        <w:tc>
          <w:tcPr>
            <w:tcW w:w="2552" w:type="dxa"/>
            <w:tcMar>
              <w:top w:w="30" w:type="dxa"/>
              <w:start w:w="30" w:type="dxa"/>
              <w:bottom w:w="30" w:type="dxa"/>
              <w:end w:w="30" w:type="dxa"/>
            </w:tcMar>
          </w:tcPr>
          <w:p w14:paraId="08E4D3A1"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Estima diretamente a resposta do IPCA e dos combustíveis em cada horizonte.</w:t>
            </w:r>
          </w:p>
        </w:tc>
      </w:tr>
      <w:tr w:rsidR="008E44CC" w:rsidRPr="00CA3657" w14:paraId="043C68DA" w14:textId="77777777" w:rsidTr="00326AA9">
        <w:trPr>
          <w:jc w:val="center"/>
        </w:trPr>
        <w:tc>
          <w:tcPr>
            <w:tcW w:w="2122" w:type="dxa"/>
            <w:tcMar>
              <w:top w:w="30" w:type="dxa"/>
              <w:start w:w="30" w:type="dxa"/>
              <w:bottom w:w="30" w:type="dxa"/>
              <w:end w:w="30" w:type="dxa"/>
            </w:tcMar>
          </w:tcPr>
          <w:p w14:paraId="47CDE1F8"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LP-IV</w:t>
            </w:r>
          </w:p>
        </w:tc>
        <w:tc>
          <w:tcPr>
            <w:tcW w:w="4677" w:type="dxa"/>
            <w:tcMar>
              <w:top w:w="30" w:type="dxa"/>
              <w:start w:w="30" w:type="dxa"/>
              <w:bottom w:w="30" w:type="dxa"/>
              <w:end w:w="30" w:type="dxa"/>
            </w:tcMar>
          </w:tcPr>
          <w:p w14:paraId="4062D337"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 xml:space="preserve">xₜ = πzₜ + </w:t>
            </w:r>
            <w:proofErr w:type="spellStart"/>
            <w:r w:rsidRPr="009C7F96">
              <w:rPr>
                <w:rFonts w:cs="Times New Roman"/>
                <w:sz w:val="14"/>
                <w:szCs w:val="24"/>
              </w:rPr>
              <w:t>ΛW_t</w:t>
            </w:r>
            <w:proofErr w:type="spellEnd"/>
            <w:r w:rsidRPr="009C7F96">
              <w:rPr>
                <w:rFonts w:cs="Times New Roman"/>
                <w:sz w:val="14"/>
                <w:szCs w:val="24"/>
              </w:rPr>
              <w:t xml:space="preserve"> + νₜ; yₜ₊ₕ = αₕ + βₕx̂ₜ + </w:t>
            </w:r>
            <w:proofErr w:type="spellStart"/>
            <w:r w:rsidRPr="009C7F96">
              <w:rPr>
                <w:rFonts w:cs="Times New Roman"/>
                <w:sz w:val="14"/>
                <w:szCs w:val="24"/>
              </w:rPr>
              <w:t>Γ_hW_t</w:t>
            </w:r>
            <w:proofErr w:type="spellEnd"/>
            <w:r w:rsidRPr="009C7F96">
              <w:rPr>
                <w:rFonts w:cs="Times New Roman"/>
                <w:sz w:val="14"/>
                <w:szCs w:val="24"/>
              </w:rPr>
              <w:t xml:space="preserve"> + εₜ</w:t>
            </w:r>
          </w:p>
        </w:tc>
        <w:tc>
          <w:tcPr>
            <w:tcW w:w="2552" w:type="dxa"/>
            <w:tcMar>
              <w:top w:w="30" w:type="dxa"/>
              <w:start w:w="30" w:type="dxa"/>
              <w:bottom w:w="30" w:type="dxa"/>
              <w:end w:w="30" w:type="dxa"/>
            </w:tcMar>
          </w:tcPr>
          <w:p w14:paraId="2A4DC2F1"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Permite tratar endogeneidade do preço doméstico dos combustíveis.</w:t>
            </w:r>
          </w:p>
        </w:tc>
      </w:tr>
      <w:tr w:rsidR="008E44CC" w:rsidRPr="00CA3657" w14:paraId="322C3546" w14:textId="77777777" w:rsidTr="00326AA9">
        <w:trPr>
          <w:jc w:val="center"/>
        </w:trPr>
        <w:tc>
          <w:tcPr>
            <w:tcW w:w="2122" w:type="dxa"/>
            <w:tcMar>
              <w:top w:w="30" w:type="dxa"/>
              <w:start w:w="30" w:type="dxa"/>
              <w:bottom w:w="30" w:type="dxa"/>
              <w:end w:w="30" w:type="dxa"/>
            </w:tcMar>
          </w:tcPr>
          <w:p w14:paraId="1C8F29BF"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lastRenderedPageBreak/>
              <w:t>State-dependent LP</w:t>
            </w:r>
          </w:p>
        </w:tc>
        <w:tc>
          <w:tcPr>
            <w:tcW w:w="4677" w:type="dxa"/>
            <w:tcMar>
              <w:top w:w="30" w:type="dxa"/>
              <w:start w:w="30" w:type="dxa"/>
              <w:bottom w:w="30" w:type="dxa"/>
              <w:end w:w="30" w:type="dxa"/>
            </w:tcMar>
          </w:tcPr>
          <w:p w14:paraId="3B4140DB"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βₕ^L(1-F(s</w:t>
            </w:r>
            <w:proofErr w:type="gramStart"/>
            <w:r w:rsidRPr="009C7F96">
              <w:rPr>
                <w:rFonts w:cs="Times New Roman"/>
                <w:sz w:val="14"/>
                <w:szCs w:val="24"/>
              </w:rPr>
              <w:t>))x</w:t>
            </w:r>
            <w:proofErr w:type="gramEnd"/>
            <w:r w:rsidRPr="009C7F96">
              <w:rPr>
                <w:rFonts w:cs="Times New Roman"/>
                <w:sz w:val="14"/>
                <w:szCs w:val="24"/>
              </w:rPr>
              <w:t>ₜ + βₕ^HF(s)xₜ</w:t>
            </w:r>
          </w:p>
        </w:tc>
        <w:tc>
          <w:tcPr>
            <w:tcW w:w="2552" w:type="dxa"/>
            <w:tcMar>
              <w:top w:w="30" w:type="dxa"/>
              <w:start w:w="30" w:type="dxa"/>
              <w:bottom w:w="30" w:type="dxa"/>
              <w:end w:w="30" w:type="dxa"/>
            </w:tcMar>
          </w:tcPr>
          <w:p w14:paraId="5161DB70"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Compara repasse por regimes, como mudanças na política da Petrobras.</w:t>
            </w:r>
          </w:p>
        </w:tc>
      </w:tr>
      <w:tr w:rsidR="008E44CC" w:rsidRPr="00CA3657" w14:paraId="46201F83" w14:textId="77777777" w:rsidTr="00326AA9">
        <w:trPr>
          <w:jc w:val="center"/>
        </w:trPr>
        <w:tc>
          <w:tcPr>
            <w:tcW w:w="2122" w:type="dxa"/>
            <w:tcMar>
              <w:top w:w="30" w:type="dxa"/>
              <w:start w:w="30" w:type="dxa"/>
              <w:bottom w:w="30" w:type="dxa"/>
              <w:end w:w="30" w:type="dxa"/>
            </w:tcMar>
          </w:tcPr>
          <w:p w14:paraId="6504933F"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Smooth/Bayesian LP</w:t>
            </w:r>
          </w:p>
        </w:tc>
        <w:tc>
          <w:tcPr>
            <w:tcW w:w="4677" w:type="dxa"/>
            <w:tcMar>
              <w:top w:w="30" w:type="dxa"/>
              <w:start w:w="30" w:type="dxa"/>
              <w:bottom w:w="30" w:type="dxa"/>
              <w:end w:w="30" w:type="dxa"/>
            </w:tcMar>
          </w:tcPr>
          <w:p w14:paraId="7B91C966"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rPr>
              <w:t>β</w:t>
            </w:r>
            <w:r w:rsidRPr="009C7F96">
              <w:rPr>
                <w:rFonts w:cs="Times New Roman"/>
                <w:sz w:val="14"/>
                <w:szCs w:val="24"/>
                <w:lang w:val="pt-BR"/>
              </w:rPr>
              <w:t>(h)=</w:t>
            </w:r>
            <w:r w:rsidRPr="009C7F96">
              <w:rPr>
                <w:rFonts w:cs="Times New Roman"/>
                <w:sz w:val="14"/>
                <w:szCs w:val="24"/>
              </w:rPr>
              <w:t>Σ</w:t>
            </w:r>
            <w:proofErr w:type="spellStart"/>
            <w:r w:rsidRPr="009C7F96">
              <w:rPr>
                <w:rFonts w:cs="Times New Roman"/>
                <w:sz w:val="14"/>
                <w:szCs w:val="24"/>
                <w:lang w:val="pt-BR"/>
              </w:rPr>
              <w:t>bₘB</w:t>
            </w:r>
            <w:proofErr w:type="spellEnd"/>
            <w:r w:rsidRPr="009C7F96">
              <w:rPr>
                <w:rFonts w:cs="Times New Roman"/>
                <w:sz w:val="14"/>
                <w:szCs w:val="24"/>
                <w:lang w:val="pt-BR"/>
              </w:rPr>
              <w:t xml:space="preserve">ₘ(h); </w:t>
            </w:r>
            <w:r w:rsidRPr="009C7F96">
              <w:rPr>
                <w:rFonts w:cs="Times New Roman"/>
                <w:sz w:val="14"/>
                <w:szCs w:val="24"/>
              </w:rPr>
              <w:t>θ</w:t>
            </w:r>
            <w:r w:rsidRPr="009C7F96">
              <w:rPr>
                <w:rFonts w:cs="Times New Roman"/>
                <w:sz w:val="14"/>
                <w:szCs w:val="24"/>
                <w:lang w:val="pt-BR"/>
              </w:rPr>
              <w:t>ₕ~N(</w:t>
            </w:r>
            <w:proofErr w:type="gramStart"/>
            <w:r w:rsidRPr="009C7F96">
              <w:rPr>
                <w:rFonts w:cs="Times New Roman"/>
                <w:sz w:val="14"/>
                <w:szCs w:val="24"/>
              </w:rPr>
              <w:t>μ</w:t>
            </w:r>
            <w:r w:rsidRPr="009C7F96">
              <w:rPr>
                <w:rFonts w:cs="Times New Roman"/>
                <w:sz w:val="14"/>
                <w:szCs w:val="24"/>
                <w:lang w:val="pt-BR"/>
              </w:rPr>
              <w:t>ₕ,</w:t>
            </w:r>
            <w:r w:rsidRPr="009C7F96">
              <w:rPr>
                <w:rFonts w:cs="Times New Roman"/>
                <w:sz w:val="14"/>
                <w:szCs w:val="24"/>
              </w:rPr>
              <w:t>Ω</w:t>
            </w:r>
            <w:proofErr w:type="gramEnd"/>
            <w:r w:rsidRPr="009C7F96">
              <w:rPr>
                <w:rFonts w:cs="Times New Roman"/>
                <w:sz w:val="14"/>
                <w:szCs w:val="24"/>
                <w:lang w:val="pt-BR"/>
              </w:rPr>
              <w:t>ₕ)</w:t>
            </w:r>
          </w:p>
        </w:tc>
        <w:tc>
          <w:tcPr>
            <w:tcW w:w="2552" w:type="dxa"/>
            <w:tcMar>
              <w:top w:w="30" w:type="dxa"/>
              <w:start w:w="30" w:type="dxa"/>
              <w:bottom w:w="30" w:type="dxa"/>
              <w:end w:w="30" w:type="dxa"/>
            </w:tcMar>
          </w:tcPr>
          <w:p w14:paraId="22E85561"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Reduz ruído das respostas em amostras curtas e horizontes longos.</w:t>
            </w:r>
          </w:p>
        </w:tc>
      </w:tr>
      <w:tr w:rsidR="008E44CC" w:rsidRPr="00CA3657" w14:paraId="25F562F5" w14:textId="77777777" w:rsidTr="00326AA9">
        <w:trPr>
          <w:jc w:val="center"/>
        </w:trPr>
        <w:tc>
          <w:tcPr>
            <w:tcW w:w="2122" w:type="dxa"/>
            <w:tcMar>
              <w:top w:w="30" w:type="dxa"/>
              <w:start w:w="30" w:type="dxa"/>
              <w:bottom w:w="30" w:type="dxa"/>
              <w:end w:w="30" w:type="dxa"/>
            </w:tcMar>
          </w:tcPr>
          <w:p w14:paraId="5965C40C"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Panel LP</w:t>
            </w:r>
          </w:p>
        </w:tc>
        <w:tc>
          <w:tcPr>
            <w:tcW w:w="4677" w:type="dxa"/>
            <w:tcMar>
              <w:top w:w="30" w:type="dxa"/>
              <w:start w:w="30" w:type="dxa"/>
              <w:bottom w:w="30" w:type="dxa"/>
              <w:end w:w="30" w:type="dxa"/>
            </w:tcMar>
          </w:tcPr>
          <w:p w14:paraId="301EE9EF" w14:textId="77777777" w:rsidR="008E44CC" w:rsidRPr="009C7F96" w:rsidRDefault="008E44CC" w:rsidP="00326AA9">
            <w:pPr>
              <w:spacing w:before="0" w:after="0" w:line="240" w:lineRule="auto"/>
              <w:ind w:firstLine="0"/>
              <w:jc w:val="left"/>
              <w:rPr>
                <w:rFonts w:cs="Times New Roman"/>
                <w:szCs w:val="24"/>
              </w:rPr>
            </w:pPr>
            <w:r w:rsidRPr="009C7F96">
              <w:rPr>
                <w:rFonts w:cs="Times New Roman"/>
                <w:sz w:val="14"/>
                <w:szCs w:val="24"/>
              </w:rPr>
              <w:t>Δₕπ</w:t>
            </w:r>
            <w:proofErr w:type="gramStart"/>
            <w:r w:rsidRPr="009C7F96">
              <w:rPr>
                <w:rFonts w:cs="Times New Roman"/>
                <w:sz w:val="14"/>
                <w:szCs w:val="24"/>
              </w:rPr>
              <w:t>ᵣ,ₜ₊</w:t>
            </w:r>
            <w:proofErr w:type="gramEnd"/>
            <w:r w:rsidRPr="009C7F96">
              <w:rPr>
                <w:rFonts w:cs="Times New Roman"/>
                <w:sz w:val="14"/>
                <w:szCs w:val="24"/>
              </w:rPr>
              <w:t>ₕ=α_</w:t>
            </w:r>
            <w:proofErr w:type="spellStart"/>
            <w:r w:rsidRPr="009C7F96">
              <w:rPr>
                <w:rFonts w:cs="Times New Roman"/>
                <w:sz w:val="14"/>
                <w:szCs w:val="24"/>
              </w:rPr>
              <w:t>r+τ_t</w:t>
            </w:r>
            <w:proofErr w:type="spellEnd"/>
            <w:r w:rsidRPr="009C7F96">
              <w:rPr>
                <w:rFonts w:cs="Times New Roman"/>
                <w:sz w:val="14"/>
                <w:szCs w:val="24"/>
              </w:rPr>
              <w:t>+βₕshock_{</w:t>
            </w:r>
            <w:proofErr w:type="spellStart"/>
            <w:proofErr w:type="gramStart"/>
            <w:r w:rsidRPr="009C7F96">
              <w:rPr>
                <w:rFonts w:cs="Times New Roman"/>
                <w:sz w:val="14"/>
                <w:szCs w:val="24"/>
              </w:rPr>
              <w:t>r,t</w:t>
            </w:r>
            <w:proofErr w:type="spellEnd"/>
            <w:proofErr w:type="gramEnd"/>
            <w:r w:rsidRPr="009C7F96">
              <w:rPr>
                <w:rFonts w:cs="Times New Roman"/>
                <w:sz w:val="14"/>
                <w:szCs w:val="24"/>
              </w:rPr>
              <w:t>}+</w:t>
            </w:r>
            <w:proofErr w:type="spellStart"/>
            <w:r w:rsidRPr="009C7F96">
              <w:rPr>
                <w:rFonts w:cs="Times New Roman"/>
                <w:sz w:val="14"/>
                <w:szCs w:val="24"/>
              </w:rPr>
              <w:t>Γ_</w:t>
            </w:r>
            <w:proofErr w:type="gramStart"/>
            <w:r w:rsidRPr="009C7F96">
              <w:rPr>
                <w:rFonts w:cs="Times New Roman"/>
                <w:sz w:val="14"/>
                <w:szCs w:val="24"/>
              </w:rPr>
              <w:t>hW</w:t>
            </w:r>
            <w:proofErr w:type="spellEnd"/>
            <w:r w:rsidRPr="009C7F96">
              <w:rPr>
                <w:rFonts w:cs="Times New Roman"/>
                <w:sz w:val="14"/>
                <w:szCs w:val="24"/>
              </w:rPr>
              <w:t>ᵣ,ₜ+</w:t>
            </w:r>
            <w:proofErr w:type="gramEnd"/>
            <w:r w:rsidRPr="009C7F96">
              <w:rPr>
                <w:rFonts w:cs="Times New Roman"/>
                <w:sz w:val="14"/>
                <w:szCs w:val="24"/>
              </w:rPr>
              <w:t>ε</w:t>
            </w:r>
          </w:p>
        </w:tc>
        <w:tc>
          <w:tcPr>
            <w:tcW w:w="2552" w:type="dxa"/>
            <w:tcMar>
              <w:top w:w="30" w:type="dxa"/>
              <w:start w:w="30" w:type="dxa"/>
              <w:bottom w:w="30" w:type="dxa"/>
              <w:end w:w="30" w:type="dxa"/>
            </w:tcMar>
          </w:tcPr>
          <w:p w14:paraId="2D014D0B" w14:textId="77777777" w:rsidR="008E44CC" w:rsidRPr="009C7F96" w:rsidRDefault="008E44CC" w:rsidP="00326AA9">
            <w:pPr>
              <w:spacing w:before="0" w:after="0" w:line="240" w:lineRule="auto"/>
              <w:ind w:firstLine="0"/>
              <w:jc w:val="left"/>
              <w:rPr>
                <w:rFonts w:cs="Times New Roman"/>
                <w:szCs w:val="24"/>
                <w:lang w:val="pt-BR"/>
              </w:rPr>
            </w:pPr>
            <w:r w:rsidRPr="009C7F96">
              <w:rPr>
                <w:rFonts w:cs="Times New Roman"/>
                <w:sz w:val="14"/>
                <w:szCs w:val="24"/>
                <w:lang w:val="pt-BR"/>
              </w:rPr>
              <w:t>Explora heterogeneidade regional do IPCA e dos combustíveis.</w:t>
            </w:r>
          </w:p>
        </w:tc>
      </w:tr>
    </w:tbl>
    <w:p w14:paraId="51E2212D" w14:textId="77777777" w:rsidR="008E44CC" w:rsidRPr="009C7F96" w:rsidRDefault="008E44CC" w:rsidP="008E44CC">
      <w:pPr>
        <w:spacing w:after="240"/>
        <w:ind w:firstLine="0"/>
        <w:jc w:val="center"/>
        <w:rPr>
          <w:rFonts w:cs="Times New Roman"/>
          <w:szCs w:val="24"/>
          <w:lang w:val="pt-BR"/>
        </w:rPr>
      </w:pPr>
      <w:r w:rsidRPr="009C7F96">
        <w:rPr>
          <w:rFonts w:cs="Times New Roman"/>
          <w:sz w:val="20"/>
          <w:szCs w:val="24"/>
          <w:lang w:val="pt-BR"/>
        </w:rPr>
        <w:t>Fonte: Elaboração própria com base na literatura revisada.</w:t>
      </w:r>
    </w:p>
    <w:p w14:paraId="6B1FA2D2" w14:textId="77777777" w:rsidR="008E44CC" w:rsidRPr="009C7F96" w:rsidRDefault="008E44CC" w:rsidP="008E44CC">
      <w:pPr>
        <w:pStyle w:val="Heading1"/>
        <w:spacing w:before="240" w:after="120"/>
        <w:rPr>
          <w:rFonts w:cs="Times New Roman"/>
          <w:szCs w:val="24"/>
        </w:rPr>
      </w:pPr>
      <w:bookmarkStart w:id="16" w:name="_Toc229695943"/>
      <w:r w:rsidRPr="009C7F96">
        <w:rPr>
          <w:rFonts w:ascii="Times New Roman" w:eastAsia="Times New Roman" w:hAnsi="Times New Roman" w:cs="Times New Roman"/>
          <w:szCs w:val="24"/>
        </w:rPr>
        <w:t>3 METODOLOGIA</w:t>
      </w:r>
      <w:bookmarkEnd w:id="16"/>
    </w:p>
    <w:p w14:paraId="37B64C93" w14:textId="77777777" w:rsidR="008E44CC" w:rsidRPr="009C7F96" w:rsidRDefault="008E44CC" w:rsidP="008E44CC">
      <w:pPr>
        <w:spacing w:after="120"/>
        <w:rPr>
          <w:rFonts w:cs="Times New Roman"/>
          <w:szCs w:val="24"/>
          <w:lang w:val="pt-BR"/>
        </w:rPr>
      </w:pPr>
      <w:r w:rsidRPr="009C7F96">
        <w:rPr>
          <w:rFonts w:cs="Times New Roman"/>
          <w:szCs w:val="24"/>
          <w:lang w:val="pt-BR"/>
        </w:rPr>
        <w:t>Esta seção descreve a estratégia empírica utilizada para analisar a transmissão de choques no preço internacional do petróleo para os preços domésticos dos combustíveis e para a inflação brasileira. A metodologia foi organizada para separar o mecanismo de transmissão em etapas. Primeiro, avalia-se se o petróleo afeta os combustíveis domésticos. Em seguida, estima-se se os combustíveis afetam o IPCA Transportes e o IPCA Geral. Por fim, verifica-se se o efeito do petróleo sobre a inflação se mantém quando os combustíveis são incluídos como canal de transmissão.</w:t>
      </w:r>
    </w:p>
    <w:p w14:paraId="67A467A9" w14:textId="5D9CC8F6" w:rsidR="008E44CC" w:rsidRPr="009C7F96" w:rsidRDefault="008E44CC" w:rsidP="008E44CC">
      <w:pPr>
        <w:spacing w:after="120"/>
        <w:rPr>
          <w:rFonts w:cs="Times New Roman"/>
          <w:szCs w:val="24"/>
          <w:lang w:val="pt-BR"/>
        </w:rPr>
      </w:pPr>
      <w:r w:rsidRPr="009C7F96">
        <w:rPr>
          <w:rFonts w:cs="Times New Roman"/>
          <w:szCs w:val="24"/>
          <w:lang w:val="pt-BR"/>
        </w:rPr>
        <w:t xml:space="preserve">O modelo principal do trabalho é estimado por Local </w:t>
      </w:r>
      <w:proofErr w:type="spellStart"/>
      <w:r w:rsidRPr="009C7F96">
        <w:rPr>
          <w:rFonts w:cs="Times New Roman"/>
          <w:szCs w:val="24"/>
          <w:lang w:val="pt-BR"/>
        </w:rPr>
        <w:t>Projections</w:t>
      </w:r>
      <w:proofErr w:type="spellEnd"/>
      <w:r w:rsidRPr="009C7F96">
        <w:rPr>
          <w:rFonts w:cs="Times New Roman"/>
          <w:szCs w:val="24"/>
          <w:lang w:val="pt-BR"/>
        </w:rPr>
        <w:t xml:space="preserve">, pois esse método permite calcular diretamente a resposta da variável dependente em diferentes horizontes após um choque. Como exercício de robustez, utiliza-se o modelo VAR, que representa uma especificação multivariada complementar. O VAR não substitui as Local </w:t>
      </w:r>
      <w:proofErr w:type="spellStart"/>
      <w:r w:rsidRPr="009C7F96">
        <w:rPr>
          <w:rFonts w:cs="Times New Roman"/>
          <w:szCs w:val="24"/>
          <w:lang w:val="pt-BR"/>
        </w:rPr>
        <w:t>Projections</w:t>
      </w:r>
      <w:proofErr w:type="spellEnd"/>
      <w:r w:rsidRPr="009C7F96">
        <w:rPr>
          <w:rFonts w:cs="Times New Roman"/>
          <w:szCs w:val="24"/>
          <w:lang w:val="pt-BR"/>
        </w:rPr>
        <w:t>, mas permite avaliar se os sinais centrais encontrados no modelo principal permanecem consistentes em um sistema dinâmico no qual as variáveis interagem conjuntamente.</w:t>
      </w:r>
    </w:p>
    <w:p w14:paraId="2929AA71" w14:textId="77777777" w:rsidR="008E44CC" w:rsidRPr="009C7F96" w:rsidRDefault="008E44CC" w:rsidP="008E44CC">
      <w:pPr>
        <w:pStyle w:val="Heading2"/>
        <w:spacing w:before="120" w:after="120"/>
        <w:jc w:val="both"/>
        <w:rPr>
          <w:rFonts w:cs="Times New Roman"/>
          <w:szCs w:val="24"/>
        </w:rPr>
      </w:pPr>
      <w:bookmarkStart w:id="17" w:name="_Toc229695944"/>
      <w:r w:rsidRPr="009C7F96">
        <w:rPr>
          <w:rFonts w:ascii="Times New Roman" w:eastAsia="Times New Roman" w:hAnsi="Times New Roman" w:cs="Times New Roman"/>
          <w:szCs w:val="24"/>
        </w:rPr>
        <w:t>3.1 Base de dados, frequência e amostra</w:t>
      </w:r>
      <w:bookmarkEnd w:id="17"/>
    </w:p>
    <w:p w14:paraId="3E7C880B" w14:textId="77777777" w:rsidR="008E44CC" w:rsidRPr="009C7F96" w:rsidRDefault="008E44CC" w:rsidP="008E44CC">
      <w:pPr>
        <w:spacing w:after="120"/>
        <w:rPr>
          <w:rFonts w:cs="Times New Roman"/>
          <w:szCs w:val="24"/>
          <w:lang w:val="pt-BR"/>
        </w:rPr>
      </w:pPr>
      <w:r w:rsidRPr="009C7F96">
        <w:rPr>
          <w:rFonts w:cs="Times New Roman"/>
          <w:szCs w:val="24"/>
          <w:lang w:val="pt-BR"/>
        </w:rPr>
        <w:t>A base de dados possui frequência mensal e cobre o período de 2003 a 2026. A escolha desse intervalo decorre da disponibilidade das séries macroeconômicas utilizadas como controles e da necessidade de compatibilizar preços internacionais, câmbio, combustíveis, atividade econômica, política monetária, expectativas e índices de preços em uma mesma frequência.</w:t>
      </w:r>
    </w:p>
    <w:p w14:paraId="4A7BE36A"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As principais variáveis utilizadas são o preço internacional do petróleo, a taxa de câmbio nominal, os preços domésticos da gasolina, do etanol e do óleo diesel, o preço da gasolina na refinaria, o IPCA Geral, o IPCA Transportes, a atividade econômica, a meta Selic, as expectativas de inflação e o índice de restrição associado à pandemia, usado como controle para o período da Covid-19.</w:t>
      </w:r>
    </w:p>
    <w:p w14:paraId="0DD0360C" w14:textId="77777777" w:rsidR="008E44CC" w:rsidRPr="009C7F96" w:rsidRDefault="008E44CC" w:rsidP="008E44CC">
      <w:pPr>
        <w:spacing w:before="120" w:after="60"/>
        <w:ind w:firstLine="0"/>
        <w:jc w:val="center"/>
        <w:rPr>
          <w:rFonts w:cs="Times New Roman"/>
          <w:szCs w:val="24"/>
        </w:rPr>
      </w:pPr>
      <w:r w:rsidRPr="009C7F96">
        <w:rPr>
          <w:rFonts w:cs="Times New Roman"/>
          <w:b/>
          <w:sz w:val="20"/>
          <w:szCs w:val="24"/>
        </w:rPr>
        <w:t xml:space="preserve">Quadro 1 - </w:t>
      </w:r>
      <w:proofErr w:type="spellStart"/>
      <w:r w:rsidRPr="009C7F96">
        <w:rPr>
          <w:rFonts w:cs="Times New Roman"/>
          <w:b/>
          <w:sz w:val="20"/>
          <w:szCs w:val="24"/>
        </w:rPr>
        <w:t>Variáveis</w:t>
      </w:r>
      <w:proofErr w:type="spellEnd"/>
      <w:r w:rsidRPr="009C7F96">
        <w:rPr>
          <w:rFonts w:cs="Times New Roman"/>
          <w:b/>
          <w:sz w:val="20"/>
          <w:szCs w:val="24"/>
        </w:rPr>
        <w:t xml:space="preserve"> </w:t>
      </w:r>
      <w:proofErr w:type="spellStart"/>
      <w:r w:rsidRPr="009C7F96">
        <w:rPr>
          <w:rFonts w:cs="Times New Roman"/>
          <w:b/>
          <w:sz w:val="20"/>
          <w:szCs w:val="24"/>
        </w:rPr>
        <w:t>utilizadas</w:t>
      </w:r>
      <w:proofErr w:type="spellEnd"/>
      <w:r w:rsidRPr="009C7F96">
        <w:rPr>
          <w:rFonts w:cs="Times New Roman"/>
          <w:b/>
          <w:sz w:val="20"/>
          <w:szCs w:val="24"/>
        </w:rPr>
        <w:t xml:space="preserve"> </w:t>
      </w:r>
      <w:proofErr w:type="spellStart"/>
      <w:r w:rsidRPr="009C7F96">
        <w:rPr>
          <w:rFonts w:cs="Times New Roman"/>
          <w:b/>
          <w:sz w:val="20"/>
          <w:szCs w:val="24"/>
        </w:rPr>
        <w:t>na</w:t>
      </w:r>
      <w:proofErr w:type="spellEnd"/>
      <w:r w:rsidRPr="009C7F96">
        <w:rPr>
          <w:rFonts w:cs="Times New Roman"/>
          <w:b/>
          <w:sz w:val="20"/>
          <w:szCs w:val="24"/>
        </w:rPr>
        <w:t xml:space="preserve"> </w:t>
      </w:r>
      <w:proofErr w:type="spellStart"/>
      <w:r w:rsidRPr="009C7F96">
        <w:rPr>
          <w:rFonts w:cs="Times New Roman"/>
          <w:b/>
          <w:sz w:val="20"/>
          <w:szCs w:val="24"/>
        </w:rPr>
        <w:t>estimação</w:t>
      </w:r>
      <w:proofErr w:type="spellEnd"/>
    </w:p>
    <w:tbl>
      <w:tblPr>
        <w:tblStyle w:val="TableGrid"/>
        <w:tblW w:w="0" w:type="auto"/>
        <w:jc w:val="center"/>
        <w:tblLayout w:type="autofit"/>
        <w:tblLook w:val="04A0" w:firstRow="1" w:lastRow="0" w:firstColumn="1" w:lastColumn="0" w:noHBand="0" w:noVBand="1"/>
      </w:tblPr>
      <w:tblGrid>
        <w:gridCol w:w="3132"/>
        <w:gridCol w:w="3131"/>
        <w:gridCol w:w="3132"/>
      </w:tblGrid>
      <w:tr w:rsidR="008E44CC" w:rsidRPr="009C7F96" w14:paraId="0A3552A5" w14:textId="77777777" w:rsidTr="00AB4120">
        <w:trPr>
          <w:jc w:val="center"/>
        </w:trPr>
        <w:tc>
          <w:tcPr>
            <w:tcW w:w="3135" w:type="dxa"/>
            <w:shd w:val="clear" w:color="auto" w:fill="D9EAF7"/>
            <w:tcMar>
              <w:top w:w="30" w:type="dxa"/>
              <w:start w:w="30" w:type="dxa"/>
              <w:bottom w:w="30" w:type="dxa"/>
              <w:end w:w="30" w:type="dxa"/>
            </w:tcMar>
          </w:tcPr>
          <w:p w14:paraId="07B62A5A" w14:textId="77777777" w:rsidR="008E44CC" w:rsidRPr="009C7F96" w:rsidRDefault="008E44CC" w:rsidP="00D01934">
            <w:pPr>
              <w:spacing w:after="0" w:before="0" w:line="240" w:lineRule="auto"/>
              <w:jc w:val="left"/>
              <w:rPr>
                <w:rFonts w:cs="Times New Roman"/>
                <w:szCs w:val="24"/>
              </w:rPr>
            </w:pPr>
            <w:proofErr w:type="spellStart"/>
            <w:r w:rsidRPr="009C7F96">
              <w:rPr>
                <w:rFonts w:cs="Times New Roman"/>
                <w:b/>
                <w:sz w:val="14"/>
                <w:szCs w:val="24"/>
              </w:rPr>
              <w:t>Variável</w:t>
            </w:r>
            <w:proofErr w:type="spellEnd"/>
          </w:p>
        </w:tc>
        <w:tc>
          <w:tcPr>
            <w:tcW w:w="3135" w:type="dxa"/>
            <w:shd w:val="clear" w:color="auto" w:fill="D9EAF7"/>
            <w:tcMar>
              <w:top w:w="30" w:type="dxa"/>
              <w:start w:w="30" w:type="dxa"/>
              <w:bottom w:w="30" w:type="dxa"/>
              <w:end w:w="30" w:type="dxa"/>
            </w:tcMar>
          </w:tcPr>
          <w:p w14:paraId="728376D0" w14:textId="77777777" w:rsidR="008E44CC" w:rsidRPr="009C7F96" w:rsidRDefault="008E44CC" w:rsidP="00D01934">
            <w:pPr>
              <w:spacing w:after="0" w:before="0" w:line="240" w:lineRule="auto"/>
              <w:jc w:val="left"/>
              <w:rPr>
                <w:rFonts w:cs="Times New Roman"/>
                <w:szCs w:val="24"/>
              </w:rPr>
            </w:pPr>
            <w:r w:rsidRPr="009C7F96">
              <w:rPr>
                <w:rFonts w:cs="Times New Roman"/>
                <w:b/>
                <w:sz w:val="14"/>
                <w:szCs w:val="24"/>
              </w:rPr>
              <w:t xml:space="preserve">Papel no </w:t>
            </w:r>
            <w:proofErr w:type="spellStart"/>
            <w:r w:rsidRPr="009C7F96">
              <w:rPr>
                <w:rFonts w:cs="Times New Roman"/>
                <w:b/>
                <w:sz w:val="14"/>
                <w:szCs w:val="24"/>
              </w:rPr>
              <w:t>modelo</w:t>
            </w:r>
            <w:proofErr w:type="spellEnd"/>
          </w:p>
        </w:tc>
        <w:tc>
          <w:tcPr>
            <w:tcW w:w="3135" w:type="dxa"/>
            <w:shd w:val="clear" w:color="auto" w:fill="D9EAF7"/>
            <w:tcMar>
              <w:top w:w="30" w:type="dxa"/>
              <w:start w:w="30" w:type="dxa"/>
              <w:bottom w:w="30" w:type="dxa"/>
              <w:end w:w="30" w:type="dxa"/>
            </w:tcMar>
          </w:tcPr>
          <w:p w14:paraId="38720BA4" w14:textId="77777777" w:rsidR="008E44CC" w:rsidRPr="009C7F96" w:rsidRDefault="008E44CC" w:rsidP="00D01934">
            <w:pPr>
              <w:spacing w:after="0" w:before="0" w:line="240" w:lineRule="auto"/>
              <w:jc w:val="left"/>
              <w:rPr>
                <w:rFonts w:cs="Times New Roman"/>
                <w:szCs w:val="24"/>
              </w:rPr>
            </w:pPr>
            <w:proofErr w:type="spellStart"/>
            <w:r w:rsidRPr="009C7F96">
              <w:rPr>
                <w:rFonts w:cs="Times New Roman"/>
                <w:b/>
                <w:sz w:val="14"/>
                <w:szCs w:val="24"/>
              </w:rPr>
              <w:t>Tratamento</w:t>
            </w:r>
            <w:proofErr w:type="spellEnd"/>
          </w:p>
        </w:tc>
      </w:tr>
      <w:tr w:rsidR="008E44CC" w:rsidRPr="009C7F96" w14:paraId="574F781E" w14:textId="77777777" w:rsidTr="00AB4120">
        <w:trPr>
          <w:jc w:val="center"/>
        </w:trPr>
        <w:tc>
          <w:tcPr>
            <w:tcW w:w="3135" w:type="dxa"/>
            <w:tcMar>
              <w:top w:w="30" w:type="dxa"/>
              <w:start w:w="30" w:type="dxa"/>
              <w:bottom w:w="30" w:type="dxa"/>
              <w:end w:w="30" w:type="dxa"/>
            </w:tcMar>
          </w:tcPr>
          <w:p w14:paraId="3AB04308"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Preço</w:t>
            </w:r>
            <w:proofErr w:type="spellEnd"/>
            <w:r w:rsidRPr="009C7F96">
              <w:rPr>
                <w:rFonts w:cs="Times New Roman"/>
                <w:sz w:val="14"/>
                <w:szCs w:val="24"/>
              </w:rPr>
              <w:t xml:space="preserve"> </w:t>
            </w:r>
            <w:proofErr w:type="spellStart"/>
            <w:r w:rsidRPr="009C7F96">
              <w:rPr>
                <w:rFonts w:cs="Times New Roman"/>
                <w:sz w:val="14"/>
                <w:szCs w:val="24"/>
              </w:rPr>
              <w:t>internacional</w:t>
            </w:r>
            <w:proofErr w:type="spellEnd"/>
            <w:r w:rsidRPr="009C7F96">
              <w:rPr>
                <w:rFonts w:cs="Times New Roman"/>
                <w:sz w:val="14"/>
                <w:szCs w:val="24"/>
              </w:rPr>
              <w:t xml:space="preserve"> do </w:t>
            </w:r>
            <w:proofErr w:type="spellStart"/>
            <w:r w:rsidRPr="009C7F96">
              <w:rPr>
                <w:rFonts w:cs="Times New Roman"/>
                <w:sz w:val="14"/>
                <w:szCs w:val="24"/>
              </w:rPr>
              <w:t>petróleo</w:t>
            </w:r>
            <w:proofErr w:type="spellEnd"/>
          </w:p>
        </w:tc>
        <w:tc>
          <w:tcPr>
            <w:tcW w:w="3135" w:type="dxa"/>
            <w:tcMar>
              <w:top w:w="30" w:type="dxa"/>
              <w:start w:w="30" w:type="dxa"/>
              <w:bottom w:w="30" w:type="dxa"/>
              <w:end w:w="30" w:type="dxa"/>
            </w:tcMar>
          </w:tcPr>
          <w:p w14:paraId="17086180" w14:textId="77777777" w:rsidR="008E44CC" w:rsidRPr="009C7F96" w:rsidRDefault="008E44CC" w:rsidP="00D01934">
            <w:pPr>
              <w:spacing w:after="0" w:before="0" w:line="240" w:lineRule="auto"/>
              <w:ind w:firstLine="0"/>
              <w:jc w:val="left"/>
              <w:rPr>
                <w:rFonts w:cs="Times New Roman"/>
                <w:szCs w:val="24"/>
              </w:rPr>
            </w:pPr>
            <w:r w:rsidRPr="009C7F96">
              <w:rPr>
                <w:rFonts w:cs="Times New Roman"/>
                <w:sz w:val="14"/>
                <w:szCs w:val="24"/>
              </w:rPr>
              <w:t xml:space="preserve">Choque </w:t>
            </w:r>
            <w:proofErr w:type="spellStart"/>
            <w:r w:rsidRPr="009C7F96">
              <w:rPr>
                <w:rFonts w:cs="Times New Roman"/>
                <w:sz w:val="14"/>
                <w:szCs w:val="24"/>
              </w:rPr>
              <w:t>externo</w:t>
            </w:r>
            <w:proofErr w:type="spellEnd"/>
            <w:r w:rsidRPr="009C7F96">
              <w:rPr>
                <w:rFonts w:cs="Times New Roman"/>
                <w:sz w:val="14"/>
                <w:szCs w:val="24"/>
              </w:rPr>
              <w:t xml:space="preserve"> principal</w:t>
            </w:r>
          </w:p>
        </w:tc>
        <w:tc>
          <w:tcPr>
            <w:tcW w:w="3135" w:type="dxa"/>
            <w:tcMar>
              <w:top w:w="30" w:type="dxa"/>
              <w:start w:w="30" w:type="dxa"/>
              <w:bottom w:w="30" w:type="dxa"/>
              <w:end w:w="30" w:type="dxa"/>
            </w:tcMar>
          </w:tcPr>
          <w:p w14:paraId="37912BF0"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9C7F96" w14:paraId="567C7143" w14:textId="77777777" w:rsidTr="00AB4120">
        <w:trPr>
          <w:jc w:val="center"/>
        </w:trPr>
        <w:tc>
          <w:tcPr>
            <w:tcW w:w="3135" w:type="dxa"/>
            <w:tcMar>
              <w:top w:w="30" w:type="dxa"/>
              <w:start w:w="30" w:type="dxa"/>
              <w:bottom w:w="30" w:type="dxa"/>
              <w:end w:w="30" w:type="dxa"/>
            </w:tcMar>
          </w:tcPr>
          <w:p w14:paraId="1EC00040"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Câmbio</w:t>
            </w:r>
            <w:proofErr w:type="spellEnd"/>
            <w:r w:rsidRPr="009C7F96">
              <w:rPr>
                <w:rFonts w:cs="Times New Roman"/>
                <w:sz w:val="14"/>
                <w:szCs w:val="24"/>
              </w:rPr>
              <w:t xml:space="preserve"> nominal</w:t>
            </w:r>
          </w:p>
        </w:tc>
        <w:tc>
          <w:tcPr>
            <w:tcW w:w="3135" w:type="dxa"/>
            <w:tcMar>
              <w:top w:w="30" w:type="dxa"/>
              <w:start w:w="30" w:type="dxa"/>
              <w:bottom w:w="30" w:type="dxa"/>
              <w:end w:w="30" w:type="dxa"/>
            </w:tcMar>
          </w:tcPr>
          <w:p w14:paraId="46D65990" w14:textId="77777777" w:rsidR="008E44CC" w:rsidRPr="009C7F96" w:rsidRDefault="008E44CC" w:rsidP="00D01934">
            <w:pPr>
              <w:spacing w:after="0" w:before="0" w:line="240" w:lineRule="auto"/>
              <w:ind w:firstLine="0"/>
              <w:jc w:val="left"/>
              <w:rPr>
                <w:rFonts w:cs="Times New Roman"/>
                <w:szCs w:val="24"/>
                <w:lang w:val="pt-BR"/>
              </w:rPr>
            </w:pPr>
            <w:r w:rsidRPr="009C7F96">
              <w:rPr>
                <w:rFonts w:cs="Times New Roman"/>
                <w:sz w:val="14"/>
                <w:szCs w:val="24"/>
                <w:lang w:val="pt-BR"/>
              </w:rPr>
              <w:t>Canal de transmissão externo e doméstico</w:t>
            </w:r>
          </w:p>
        </w:tc>
        <w:tc>
          <w:tcPr>
            <w:tcW w:w="3135" w:type="dxa"/>
            <w:tcMar>
              <w:top w:w="30" w:type="dxa"/>
              <w:start w:w="30" w:type="dxa"/>
              <w:bottom w:w="30" w:type="dxa"/>
              <w:end w:w="30" w:type="dxa"/>
            </w:tcMar>
          </w:tcPr>
          <w:p w14:paraId="2836B9A3"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9C7F96" w14:paraId="7028F2EF" w14:textId="77777777" w:rsidTr="00AB4120">
        <w:trPr>
          <w:jc w:val="center"/>
        </w:trPr>
        <w:tc>
          <w:tcPr>
            <w:tcW w:w="3135" w:type="dxa"/>
            <w:tcMar>
              <w:top w:w="30" w:type="dxa"/>
              <w:start w:w="30" w:type="dxa"/>
              <w:bottom w:w="30" w:type="dxa"/>
              <w:end w:w="30" w:type="dxa"/>
            </w:tcMar>
          </w:tcPr>
          <w:p w14:paraId="7F120961" w14:textId="77777777" w:rsidR="008E44CC" w:rsidRPr="009C7F96" w:rsidRDefault="008E44CC" w:rsidP="00D01934">
            <w:pPr>
              <w:spacing w:after="0" w:before="0" w:line="240" w:lineRule="auto"/>
              <w:ind w:firstLine="0"/>
              <w:jc w:val="left"/>
              <w:rPr>
                <w:rFonts w:cs="Times New Roman"/>
                <w:szCs w:val="24"/>
                <w:lang w:val="pt-BR"/>
              </w:rPr>
            </w:pPr>
            <w:r w:rsidRPr="009C7F96">
              <w:rPr>
                <w:rFonts w:cs="Times New Roman"/>
                <w:sz w:val="14"/>
                <w:szCs w:val="24"/>
                <w:lang w:val="pt-BR"/>
              </w:rPr>
              <w:t>Gasolina, etanol e óleo diesel</w:t>
            </w:r>
          </w:p>
        </w:tc>
        <w:tc>
          <w:tcPr>
            <w:tcW w:w="3135" w:type="dxa"/>
            <w:tcMar>
              <w:top w:w="30" w:type="dxa"/>
              <w:start w:w="30" w:type="dxa"/>
              <w:bottom w:w="30" w:type="dxa"/>
              <w:end w:w="30" w:type="dxa"/>
            </w:tcMar>
          </w:tcPr>
          <w:p w14:paraId="71FEB99C" w14:textId="77777777" w:rsidR="008E44CC" w:rsidRPr="009C7F96" w:rsidRDefault="008E44CC" w:rsidP="00D01934">
            <w:pPr>
              <w:spacing w:after="0" w:before="0" w:line="240" w:lineRule="auto"/>
              <w:ind w:firstLine="0"/>
              <w:jc w:val="left"/>
              <w:rPr>
                <w:rFonts w:cs="Times New Roman"/>
                <w:szCs w:val="24"/>
              </w:rPr>
            </w:pPr>
            <w:r w:rsidRPr="009C7F96">
              <w:rPr>
                <w:rFonts w:cs="Times New Roman"/>
                <w:sz w:val="14"/>
                <w:szCs w:val="24"/>
              </w:rPr>
              <w:t xml:space="preserve">Canal </w:t>
            </w:r>
            <w:proofErr w:type="spellStart"/>
            <w:r w:rsidRPr="009C7F96">
              <w:rPr>
                <w:rFonts w:cs="Times New Roman"/>
                <w:sz w:val="14"/>
                <w:szCs w:val="24"/>
              </w:rPr>
              <w:t>doméstico</w:t>
            </w:r>
            <w:proofErr w:type="spellEnd"/>
            <w:r w:rsidRPr="009C7F96">
              <w:rPr>
                <w:rFonts w:cs="Times New Roman"/>
                <w:sz w:val="14"/>
                <w:szCs w:val="24"/>
              </w:rPr>
              <w:t xml:space="preserve"> de </w:t>
            </w:r>
            <w:proofErr w:type="spellStart"/>
            <w:r w:rsidRPr="009C7F96">
              <w:rPr>
                <w:rFonts w:cs="Times New Roman"/>
                <w:sz w:val="14"/>
                <w:szCs w:val="24"/>
              </w:rPr>
              <w:t>combustíveis</w:t>
            </w:r>
            <w:proofErr w:type="spellEnd"/>
          </w:p>
        </w:tc>
        <w:tc>
          <w:tcPr>
            <w:tcW w:w="3135" w:type="dxa"/>
            <w:tcMar>
              <w:top w:w="30" w:type="dxa"/>
              <w:start w:w="30" w:type="dxa"/>
              <w:bottom w:w="30" w:type="dxa"/>
              <w:end w:w="30" w:type="dxa"/>
            </w:tcMar>
          </w:tcPr>
          <w:p w14:paraId="54237AC0"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9C7F96" w14:paraId="48A7507D" w14:textId="77777777" w:rsidTr="00AB4120">
        <w:trPr>
          <w:jc w:val="center"/>
        </w:trPr>
        <w:tc>
          <w:tcPr>
            <w:tcW w:w="3135" w:type="dxa"/>
            <w:tcMar>
              <w:top w:w="30" w:type="dxa"/>
              <w:start w:w="30" w:type="dxa"/>
              <w:bottom w:w="30" w:type="dxa"/>
              <w:end w:w="30" w:type="dxa"/>
            </w:tcMar>
          </w:tcPr>
          <w:p w14:paraId="6DFCBD32"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Gasolina</w:t>
            </w:r>
            <w:proofErr w:type="spellEnd"/>
            <w:r w:rsidRPr="009C7F96">
              <w:rPr>
                <w:rFonts w:cs="Times New Roman"/>
                <w:sz w:val="14"/>
                <w:szCs w:val="24"/>
              </w:rPr>
              <w:t xml:space="preserve"> </w:t>
            </w:r>
            <w:proofErr w:type="spellStart"/>
            <w:r w:rsidRPr="009C7F96">
              <w:rPr>
                <w:rFonts w:cs="Times New Roman"/>
                <w:sz w:val="14"/>
                <w:szCs w:val="24"/>
              </w:rPr>
              <w:t>na</w:t>
            </w:r>
            <w:proofErr w:type="spellEnd"/>
            <w:r w:rsidRPr="009C7F96">
              <w:rPr>
                <w:rFonts w:cs="Times New Roman"/>
                <w:sz w:val="14"/>
                <w:szCs w:val="24"/>
              </w:rPr>
              <w:t xml:space="preserve"> </w:t>
            </w:r>
            <w:proofErr w:type="spellStart"/>
            <w:r w:rsidRPr="009C7F96">
              <w:rPr>
                <w:rFonts w:cs="Times New Roman"/>
                <w:sz w:val="14"/>
                <w:szCs w:val="24"/>
              </w:rPr>
              <w:t>refinaria</w:t>
            </w:r>
            <w:proofErr w:type="spellEnd"/>
          </w:p>
        </w:tc>
        <w:tc>
          <w:tcPr>
            <w:tcW w:w="3135" w:type="dxa"/>
            <w:tcMar>
              <w:top w:w="30" w:type="dxa"/>
              <w:start w:w="30" w:type="dxa"/>
              <w:bottom w:w="30" w:type="dxa"/>
              <w:end w:w="30" w:type="dxa"/>
            </w:tcMar>
          </w:tcPr>
          <w:p w14:paraId="13F32978" w14:textId="77777777" w:rsidR="008E44CC" w:rsidRPr="009C7F96" w:rsidRDefault="008E44CC" w:rsidP="00D01934">
            <w:pPr>
              <w:spacing w:after="0" w:before="0" w:line="240" w:lineRule="auto"/>
              <w:ind w:firstLine="0"/>
              <w:jc w:val="left"/>
              <w:rPr>
                <w:rFonts w:cs="Times New Roman"/>
                <w:szCs w:val="24"/>
                <w:lang w:val="pt-BR"/>
              </w:rPr>
            </w:pPr>
            <w:r w:rsidRPr="009C7F96">
              <w:rPr>
                <w:rFonts w:cs="Times New Roman"/>
                <w:sz w:val="14"/>
                <w:szCs w:val="24"/>
                <w:lang w:val="pt-BR"/>
              </w:rPr>
              <w:t>Canal de precificação da Petrobras</w:t>
            </w:r>
          </w:p>
        </w:tc>
        <w:tc>
          <w:tcPr>
            <w:tcW w:w="3135" w:type="dxa"/>
            <w:tcMar>
              <w:top w:w="30" w:type="dxa"/>
              <w:start w:w="30" w:type="dxa"/>
              <w:bottom w:w="30" w:type="dxa"/>
              <w:end w:w="30" w:type="dxa"/>
            </w:tcMar>
          </w:tcPr>
          <w:p w14:paraId="728A8F45"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CA3657" w14:paraId="4FA82810" w14:textId="77777777" w:rsidTr="00AB4120">
        <w:trPr>
          <w:jc w:val="center"/>
        </w:trPr>
        <w:tc>
          <w:tcPr>
            <w:tcW w:w="3135" w:type="dxa"/>
            <w:tcMar>
              <w:top w:w="30" w:type="dxa"/>
              <w:start w:w="30" w:type="dxa"/>
              <w:bottom w:w="30" w:type="dxa"/>
              <w:end w:w="30" w:type="dxa"/>
            </w:tcMar>
          </w:tcPr>
          <w:p w14:paraId="55C7A027" w14:textId="77777777" w:rsidR="008E44CC" w:rsidRPr="009C7F96" w:rsidRDefault="008E44CC" w:rsidP="00D01934">
            <w:pPr>
              <w:spacing w:after="0" w:before="0" w:line="240" w:lineRule="auto"/>
              <w:ind w:firstLine="0"/>
              <w:jc w:val="left"/>
              <w:rPr>
                <w:rFonts w:cs="Times New Roman"/>
                <w:szCs w:val="24"/>
              </w:rPr>
            </w:pPr>
            <w:r w:rsidRPr="009C7F96">
              <w:rPr>
                <w:rFonts w:cs="Times New Roman"/>
                <w:sz w:val="14"/>
                <w:szCs w:val="24"/>
              </w:rPr>
              <w:t>IPCA Geral</w:t>
            </w:r>
          </w:p>
        </w:tc>
        <w:tc>
          <w:tcPr>
            <w:tcW w:w="3135" w:type="dxa"/>
            <w:tcMar>
              <w:top w:w="30" w:type="dxa"/>
              <w:start w:w="30" w:type="dxa"/>
              <w:bottom w:w="30" w:type="dxa"/>
              <w:end w:w="30" w:type="dxa"/>
            </w:tcMar>
          </w:tcPr>
          <w:p w14:paraId="6657E2B7" w14:textId="77777777" w:rsidR="008E44CC" w:rsidRPr="009C7F96" w:rsidRDefault="008E44CC" w:rsidP="00D01934">
            <w:pPr>
              <w:spacing w:after="0" w:before="0" w:line="240" w:lineRule="auto"/>
              <w:ind w:firstLine="0"/>
              <w:jc w:val="left"/>
              <w:rPr>
                <w:rFonts w:cs="Times New Roman"/>
                <w:szCs w:val="24"/>
              </w:rPr>
            </w:pPr>
            <w:proofErr w:type="spellStart"/>
            <w:r w:rsidRPr="009C7F96">
              <w:rPr>
                <w:rFonts w:cs="Times New Roman"/>
                <w:sz w:val="14"/>
                <w:szCs w:val="24"/>
              </w:rPr>
              <w:t>Inflação</w:t>
            </w:r>
            <w:proofErr w:type="spellEnd"/>
            <w:r w:rsidRPr="009C7F96">
              <w:rPr>
                <w:rFonts w:cs="Times New Roman"/>
                <w:sz w:val="14"/>
                <w:szCs w:val="24"/>
              </w:rPr>
              <w:t xml:space="preserve"> </w:t>
            </w:r>
            <w:proofErr w:type="spellStart"/>
            <w:r w:rsidRPr="009C7F96">
              <w:rPr>
                <w:rFonts w:cs="Times New Roman"/>
                <w:sz w:val="14"/>
                <w:szCs w:val="24"/>
              </w:rPr>
              <w:t>agregada</w:t>
            </w:r>
            <w:proofErr w:type="spellEnd"/>
          </w:p>
        </w:tc>
        <w:tc>
          <w:tcPr>
            <w:tcW w:w="3135" w:type="dxa"/>
            <w:tcMar>
              <w:top w:w="30" w:type="dxa"/>
              <w:start w:w="30" w:type="dxa"/>
              <w:bottom w:w="30" w:type="dxa"/>
              <w:end w:w="30" w:type="dxa"/>
            </w:tcMar>
          </w:tcPr>
          <w:p w14:paraId="54A16B8F" w14:textId="77777777" w:rsidR="008E44CC" w:rsidRPr="009C7F96" w:rsidRDefault="008E44CC" w:rsidP="00D01934">
            <w:pPr>
              <w:spacing w:after="0" w:before="0" w:line="240" w:lineRule="auto"/>
              <w:ind w:firstLine="0"/>
              <w:jc w:val="left"/>
              <w:rPr>
                <w:rFonts w:cs="Times New Roman"/>
                <w:szCs w:val="24"/>
                <w:lang w:val="pt-BR"/>
              </w:rPr>
            </w:pPr>
            <w:r w:rsidRPr="009C7F96">
              <w:rPr>
                <w:rFonts w:cs="Times New Roman"/>
                <w:sz w:val="14"/>
                <w:szCs w:val="24"/>
                <w:lang w:val="pt-BR"/>
              </w:rPr>
              <w:t>Inflação mensal ou variação logarítmica do índice</w:t>
            </w:r>
          </w:p>
        </w:tc>
      </w:tr>
      <w:tr w:rsidR="008E44CC" w:rsidRPr="00CA3657" w14:paraId="6F259859" w14:textId="77777777" w:rsidTr="00AB4120">
        <w:trPr>
          <w:jc w:val="center"/>
        </w:trPr>
        <w:tc>
          <w:tcPr>
            <w:tcW w:w="3135" w:type="dxa"/>
            <w:tcMar>
              <w:top w:w="30" w:type="dxa"/>
              <w:start w:w="30" w:type="dxa"/>
              <w:bottom w:w="30" w:type="dxa"/>
              <w:end w:w="30" w:type="dxa"/>
            </w:tcMar>
          </w:tcPr>
          <w:p w14:paraId="0115C2DC"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 xml:space="preserve">IPCA </w:t>
            </w:r>
            <w:proofErr w:type="spellStart"/>
            <w:r w:rsidRPr="009C7F96">
              <w:rPr>
                <w:rFonts w:cs="Times New Roman"/>
                <w:sz w:val="14"/>
                <w:szCs w:val="24"/>
              </w:rPr>
              <w:t>Transportes</w:t>
            </w:r>
            <w:proofErr w:type="spellEnd"/>
          </w:p>
        </w:tc>
        <w:tc>
          <w:tcPr>
            <w:tcW w:w="3135" w:type="dxa"/>
            <w:tcMar>
              <w:top w:w="30" w:type="dxa"/>
              <w:start w:w="30" w:type="dxa"/>
              <w:bottom w:w="30" w:type="dxa"/>
              <w:end w:w="30" w:type="dxa"/>
            </w:tcMar>
          </w:tcPr>
          <w:p w14:paraId="3AE12B9E" w14:textId="77777777" w:rsidR="008E44CC" w:rsidRPr="009C7F96" w:rsidRDefault="008E44CC" w:rsidP="00D01934">
            <w:pPr>
              <w:spacing w:after="0" w:before="0" w:line="240" w:lineRule="auto"/>
              <w:ind w:firstLine="0"/>
              <w:rPr>
                <w:rFonts w:cs="Times New Roman"/>
                <w:szCs w:val="24"/>
                <w:lang w:val="pt-BR"/>
              </w:rPr>
            </w:pPr>
            <w:r w:rsidRPr="009C7F96">
              <w:rPr>
                <w:rFonts w:cs="Times New Roman"/>
                <w:sz w:val="14"/>
                <w:szCs w:val="24"/>
                <w:lang w:val="pt-BR"/>
              </w:rPr>
              <w:t>Inflação setorial diretamente afetada por combustíveis</w:t>
            </w:r>
          </w:p>
        </w:tc>
        <w:tc>
          <w:tcPr>
            <w:tcW w:w="3135" w:type="dxa"/>
            <w:tcMar>
              <w:top w:w="30" w:type="dxa"/>
              <w:start w:w="30" w:type="dxa"/>
              <w:bottom w:w="30" w:type="dxa"/>
              <w:end w:w="30" w:type="dxa"/>
            </w:tcMar>
          </w:tcPr>
          <w:p w14:paraId="6B5320FE" w14:textId="77777777" w:rsidR="008E44CC" w:rsidRPr="009C7F96" w:rsidRDefault="008E44CC" w:rsidP="00D01934">
            <w:pPr>
              <w:spacing w:after="0" w:before="0" w:line="240" w:lineRule="auto"/>
              <w:ind w:firstLine="0"/>
              <w:rPr>
                <w:rFonts w:cs="Times New Roman"/>
                <w:szCs w:val="24"/>
                <w:lang w:val="pt-BR"/>
              </w:rPr>
            </w:pPr>
            <w:r w:rsidRPr="009C7F96">
              <w:rPr>
                <w:rFonts w:cs="Times New Roman"/>
                <w:sz w:val="14"/>
                <w:szCs w:val="24"/>
                <w:lang w:val="pt-BR"/>
              </w:rPr>
              <w:t>Inflação mensal ou variação logarítmica do índice</w:t>
            </w:r>
          </w:p>
        </w:tc>
      </w:tr>
      <w:tr w:rsidR="008E44CC" w:rsidRPr="009C7F96" w14:paraId="5F9E4D93" w14:textId="77777777" w:rsidTr="00AB4120">
        <w:trPr>
          <w:jc w:val="center"/>
        </w:trPr>
        <w:tc>
          <w:tcPr>
            <w:tcW w:w="3135" w:type="dxa"/>
            <w:tcMar>
              <w:top w:w="30" w:type="dxa"/>
              <w:start w:w="30" w:type="dxa"/>
              <w:bottom w:w="30" w:type="dxa"/>
              <w:end w:w="30" w:type="dxa"/>
            </w:tcMar>
          </w:tcPr>
          <w:p w14:paraId="105273B7" w14:textId="77777777" w:rsidR="008E44CC" w:rsidRPr="009C7F96" w:rsidRDefault="008E44CC" w:rsidP="00D01934">
            <w:pPr>
              <w:spacing w:after="0" w:before="0" w:line="240" w:lineRule="auto"/>
              <w:ind w:firstLine="0"/>
              <w:rPr>
                <w:rFonts w:cs="Times New Roman"/>
                <w:szCs w:val="24"/>
              </w:rPr>
            </w:pPr>
            <w:proofErr w:type="spellStart"/>
            <w:r w:rsidRPr="009C7F96">
              <w:rPr>
                <w:rFonts w:cs="Times New Roman"/>
                <w:sz w:val="14"/>
                <w:szCs w:val="24"/>
              </w:rPr>
              <w:t>Atividade</w:t>
            </w:r>
            <w:proofErr w:type="spellEnd"/>
            <w:r w:rsidRPr="009C7F96">
              <w:rPr>
                <w:rFonts w:cs="Times New Roman"/>
                <w:sz w:val="14"/>
                <w:szCs w:val="24"/>
              </w:rPr>
              <w:t xml:space="preserve"> </w:t>
            </w:r>
            <w:proofErr w:type="spellStart"/>
            <w:r w:rsidRPr="009C7F96">
              <w:rPr>
                <w:rFonts w:cs="Times New Roman"/>
                <w:sz w:val="14"/>
                <w:szCs w:val="24"/>
              </w:rPr>
              <w:t>econômica</w:t>
            </w:r>
            <w:proofErr w:type="spellEnd"/>
          </w:p>
        </w:tc>
        <w:tc>
          <w:tcPr>
            <w:tcW w:w="3135" w:type="dxa"/>
            <w:tcMar>
              <w:top w:w="30" w:type="dxa"/>
              <w:start w:w="30" w:type="dxa"/>
              <w:bottom w:w="30" w:type="dxa"/>
              <w:end w:w="30" w:type="dxa"/>
            </w:tcMar>
          </w:tcPr>
          <w:p w14:paraId="462DDDD1"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 xml:space="preserve">Controle </w:t>
            </w:r>
            <w:proofErr w:type="spellStart"/>
            <w:r w:rsidRPr="009C7F96">
              <w:rPr>
                <w:rFonts w:cs="Times New Roman"/>
                <w:sz w:val="14"/>
                <w:szCs w:val="24"/>
              </w:rPr>
              <w:t>macroeconômico</w:t>
            </w:r>
            <w:proofErr w:type="spellEnd"/>
          </w:p>
        </w:tc>
        <w:tc>
          <w:tcPr>
            <w:tcW w:w="3135" w:type="dxa"/>
            <w:tcMar>
              <w:top w:w="30" w:type="dxa"/>
              <w:start w:w="30" w:type="dxa"/>
              <w:bottom w:w="30" w:type="dxa"/>
              <w:end w:w="30" w:type="dxa"/>
            </w:tcMar>
          </w:tcPr>
          <w:p w14:paraId="68A36674" w14:textId="77777777" w:rsidR="008E44CC" w:rsidRPr="009C7F96" w:rsidRDefault="008E44CC" w:rsidP="00D01934">
            <w:pPr>
              <w:spacing w:after="0" w:before="0" w:line="240" w:lineRule="auto"/>
              <w:ind w:firstLine="0"/>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9C7F96" w14:paraId="635B1353" w14:textId="77777777" w:rsidTr="00AB4120">
        <w:trPr>
          <w:jc w:val="center"/>
        </w:trPr>
        <w:tc>
          <w:tcPr>
            <w:tcW w:w="3135" w:type="dxa"/>
            <w:tcMar>
              <w:top w:w="30" w:type="dxa"/>
              <w:start w:w="30" w:type="dxa"/>
              <w:bottom w:w="30" w:type="dxa"/>
              <w:end w:w="30" w:type="dxa"/>
            </w:tcMar>
          </w:tcPr>
          <w:p w14:paraId="5712EDA6" w14:textId="77777777" w:rsidR="008E44CC" w:rsidRPr="009C7F96" w:rsidRDefault="008E44CC" w:rsidP="00D01934">
            <w:pPr>
              <w:spacing w:after="0" w:before="0" w:line="240" w:lineRule="auto"/>
              <w:ind w:firstLine="0"/>
              <w:rPr>
                <w:rFonts w:cs="Times New Roman"/>
                <w:szCs w:val="24"/>
              </w:rPr>
            </w:pPr>
            <w:proofErr w:type="spellStart"/>
            <w:r w:rsidRPr="009C7F96">
              <w:rPr>
                <w:rFonts w:cs="Times New Roman"/>
                <w:sz w:val="14"/>
                <w:szCs w:val="24"/>
              </w:rPr>
              <w:t>Expectativa</w:t>
            </w:r>
            <w:proofErr w:type="spellEnd"/>
            <w:r w:rsidRPr="009C7F96">
              <w:rPr>
                <w:rFonts w:cs="Times New Roman"/>
                <w:sz w:val="14"/>
                <w:szCs w:val="24"/>
              </w:rPr>
              <w:t xml:space="preserve"> de </w:t>
            </w:r>
            <w:proofErr w:type="spellStart"/>
            <w:r w:rsidRPr="009C7F96">
              <w:rPr>
                <w:rFonts w:cs="Times New Roman"/>
                <w:sz w:val="14"/>
                <w:szCs w:val="24"/>
              </w:rPr>
              <w:t>inflação</w:t>
            </w:r>
            <w:proofErr w:type="spellEnd"/>
          </w:p>
        </w:tc>
        <w:tc>
          <w:tcPr>
            <w:tcW w:w="3135" w:type="dxa"/>
            <w:tcMar>
              <w:top w:w="30" w:type="dxa"/>
              <w:start w:w="30" w:type="dxa"/>
              <w:bottom w:w="30" w:type="dxa"/>
              <w:end w:w="30" w:type="dxa"/>
            </w:tcMar>
          </w:tcPr>
          <w:p w14:paraId="0C33CCB4"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 xml:space="preserve">Controle de </w:t>
            </w:r>
            <w:proofErr w:type="spellStart"/>
            <w:r w:rsidRPr="009C7F96">
              <w:rPr>
                <w:rFonts w:cs="Times New Roman"/>
                <w:sz w:val="14"/>
                <w:szCs w:val="24"/>
              </w:rPr>
              <w:t>expectativas</w:t>
            </w:r>
            <w:proofErr w:type="spellEnd"/>
          </w:p>
        </w:tc>
        <w:tc>
          <w:tcPr>
            <w:tcW w:w="3135" w:type="dxa"/>
            <w:tcMar>
              <w:top w:w="30" w:type="dxa"/>
              <w:start w:w="30" w:type="dxa"/>
              <w:bottom w:w="30" w:type="dxa"/>
              <w:end w:w="30" w:type="dxa"/>
            </w:tcMar>
          </w:tcPr>
          <w:p w14:paraId="3A40CF3C" w14:textId="77777777" w:rsidR="008E44CC" w:rsidRPr="009C7F96" w:rsidRDefault="008E44CC" w:rsidP="00D01934">
            <w:pPr>
              <w:spacing w:after="0" w:before="0" w:line="240" w:lineRule="auto"/>
              <w:ind w:firstLine="0"/>
              <w:rPr>
                <w:rFonts w:cs="Times New Roman"/>
                <w:szCs w:val="24"/>
              </w:rPr>
            </w:pPr>
            <w:proofErr w:type="spellStart"/>
            <w:r w:rsidRPr="009C7F96">
              <w:rPr>
                <w:rFonts w:cs="Times New Roman"/>
                <w:sz w:val="14"/>
                <w:szCs w:val="24"/>
              </w:rPr>
              <w:t>Variação</w:t>
            </w:r>
            <w:proofErr w:type="spellEnd"/>
            <w:r w:rsidRPr="009C7F96">
              <w:rPr>
                <w:rFonts w:cs="Times New Roman"/>
                <w:sz w:val="14"/>
                <w:szCs w:val="24"/>
              </w:rPr>
              <w:t xml:space="preserve"> </w:t>
            </w:r>
            <w:proofErr w:type="spellStart"/>
            <w:r w:rsidRPr="009C7F96">
              <w:rPr>
                <w:rFonts w:cs="Times New Roman"/>
                <w:sz w:val="14"/>
                <w:szCs w:val="24"/>
              </w:rPr>
              <w:t>logarítmica</w:t>
            </w:r>
            <w:proofErr w:type="spellEnd"/>
            <w:r w:rsidRPr="009C7F96">
              <w:rPr>
                <w:rFonts w:cs="Times New Roman"/>
                <w:sz w:val="14"/>
                <w:szCs w:val="24"/>
              </w:rPr>
              <w:t xml:space="preserve"> mensal</w:t>
            </w:r>
          </w:p>
        </w:tc>
      </w:tr>
      <w:tr w:rsidR="008E44CC" w:rsidRPr="00CA3657" w14:paraId="4DB12993" w14:textId="77777777" w:rsidTr="00AB4120">
        <w:trPr>
          <w:jc w:val="center"/>
        </w:trPr>
        <w:tc>
          <w:tcPr>
            <w:tcW w:w="3135" w:type="dxa"/>
            <w:tcMar>
              <w:top w:w="30" w:type="dxa"/>
              <w:start w:w="30" w:type="dxa"/>
              <w:bottom w:w="30" w:type="dxa"/>
              <w:end w:w="30" w:type="dxa"/>
            </w:tcMar>
          </w:tcPr>
          <w:p w14:paraId="380151E3"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Meta Selic</w:t>
            </w:r>
          </w:p>
        </w:tc>
        <w:tc>
          <w:tcPr>
            <w:tcW w:w="3135" w:type="dxa"/>
            <w:tcMar>
              <w:top w:w="30" w:type="dxa"/>
              <w:start w:w="30" w:type="dxa"/>
              <w:bottom w:w="30" w:type="dxa"/>
              <w:end w:w="30" w:type="dxa"/>
            </w:tcMar>
          </w:tcPr>
          <w:p w14:paraId="25AF392C" w14:textId="77777777" w:rsidR="008E44CC" w:rsidRPr="009C7F96" w:rsidRDefault="008E44CC" w:rsidP="00D01934">
            <w:pPr>
              <w:spacing w:after="0" w:before="0" w:line="240" w:lineRule="auto"/>
              <w:ind w:firstLine="0"/>
              <w:rPr>
                <w:rFonts w:cs="Times New Roman"/>
                <w:szCs w:val="24"/>
                <w:lang w:val="pt-BR"/>
              </w:rPr>
            </w:pPr>
            <w:r w:rsidRPr="009C7F96">
              <w:rPr>
                <w:rFonts w:cs="Times New Roman"/>
                <w:sz w:val="14"/>
                <w:szCs w:val="24"/>
                <w:lang w:val="pt-BR"/>
              </w:rPr>
              <w:t>Controle de política monetária no VAR</w:t>
            </w:r>
          </w:p>
        </w:tc>
        <w:tc>
          <w:tcPr>
            <w:tcW w:w="3135" w:type="dxa"/>
            <w:tcMar>
              <w:top w:w="30" w:type="dxa"/>
              <w:start w:w="30" w:type="dxa"/>
              <w:bottom w:w="30" w:type="dxa"/>
              <w:end w:w="30" w:type="dxa"/>
            </w:tcMar>
          </w:tcPr>
          <w:p w14:paraId="4E31204E" w14:textId="77777777" w:rsidR="008E44CC" w:rsidRPr="009C7F96" w:rsidRDefault="008E44CC" w:rsidP="00D01934">
            <w:pPr>
              <w:spacing w:after="0" w:before="0" w:line="240" w:lineRule="auto"/>
              <w:ind w:firstLine="0"/>
              <w:rPr>
                <w:rFonts w:cs="Times New Roman"/>
                <w:szCs w:val="24"/>
                <w:lang w:val="pt-BR"/>
              </w:rPr>
            </w:pPr>
            <w:r w:rsidRPr="009C7F96">
              <w:rPr>
                <w:rFonts w:cs="Times New Roman"/>
                <w:sz w:val="14"/>
                <w:szCs w:val="24"/>
                <w:lang w:val="pt-BR"/>
              </w:rPr>
              <w:t>Média mensal da série diária e log em nível</w:t>
            </w:r>
          </w:p>
        </w:tc>
      </w:tr>
      <w:tr w:rsidR="008E44CC" w:rsidRPr="00CA3657" w14:paraId="35091D7C" w14:textId="77777777" w:rsidTr="00AB4120">
        <w:trPr>
          <w:jc w:val="center"/>
        </w:trPr>
        <w:tc>
          <w:tcPr>
            <w:tcW w:w="3135" w:type="dxa"/>
            <w:tcMar>
              <w:top w:w="30" w:type="dxa"/>
              <w:start w:w="30" w:type="dxa"/>
              <w:bottom w:w="30" w:type="dxa"/>
              <w:end w:w="30" w:type="dxa"/>
            </w:tcMar>
          </w:tcPr>
          <w:p w14:paraId="2094D30E"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Stringency index</w:t>
            </w:r>
          </w:p>
        </w:tc>
        <w:tc>
          <w:tcPr>
            <w:tcW w:w="3135" w:type="dxa"/>
            <w:tcMar>
              <w:top w:w="30" w:type="dxa"/>
              <w:start w:w="30" w:type="dxa"/>
              <w:bottom w:w="30" w:type="dxa"/>
              <w:end w:w="30" w:type="dxa"/>
            </w:tcMar>
          </w:tcPr>
          <w:p w14:paraId="08719416" w14:textId="77777777" w:rsidR="008E44CC" w:rsidRPr="009C7F96" w:rsidRDefault="008E44CC" w:rsidP="00D01934">
            <w:pPr>
              <w:spacing w:after="0" w:before="0" w:line="240" w:lineRule="auto"/>
              <w:ind w:firstLine="0"/>
              <w:rPr>
                <w:rFonts w:cs="Times New Roman"/>
                <w:szCs w:val="24"/>
              </w:rPr>
            </w:pPr>
            <w:r w:rsidRPr="009C7F96">
              <w:rPr>
                <w:rFonts w:cs="Times New Roman"/>
                <w:sz w:val="14"/>
                <w:szCs w:val="24"/>
              </w:rPr>
              <w:t>Controle para pandemia</w:t>
            </w:r>
          </w:p>
        </w:tc>
        <w:tc>
          <w:tcPr>
            <w:tcW w:w="3135" w:type="dxa"/>
            <w:tcMar>
              <w:top w:w="30" w:type="dxa"/>
              <w:start w:w="30" w:type="dxa"/>
              <w:bottom w:w="30" w:type="dxa"/>
              <w:end w:w="30" w:type="dxa"/>
            </w:tcMar>
          </w:tcPr>
          <w:p w14:paraId="084AB4DC" w14:textId="77777777" w:rsidR="008E44CC" w:rsidRPr="009C7F96" w:rsidRDefault="008E44CC" w:rsidP="00D01934">
            <w:pPr>
              <w:spacing w:after="0" w:before="0" w:line="240" w:lineRule="auto"/>
              <w:ind w:firstLine="0"/>
              <w:rPr>
                <w:rFonts w:cs="Times New Roman"/>
                <w:szCs w:val="24"/>
                <w:lang w:val="pt-BR"/>
              </w:rPr>
            </w:pPr>
            <w:r w:rsidRPr="009C7F96">
              <w:rPr>
                <w:rFonts w:cs="Times New Roman"/>
                <w:sz w:val="14"/>
                <w:szCs w:val="24"/>
                <w:lang w:val="pt-BR"/>
              </w:rPr>
              <w:t>Nível mensal e variável exógena</w:t>
            </w:r>
          </w:p>
        </w:tc>
      </w:tr>
    </w:tbl>
    <w:p w14:paraId="39BCF56A"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Fonte: Elaboração própria.</w:t>
      </w:r>
    </w:p>
    <w:p w14:paraId="211FB568" w14:textId="77777777" w:rsidR="008E44CC" w:rsidRPr="009C7F96" w:rsidRDefault="008E44CC" w:rsidP="008E44CC">
      <w:pPr>
        <w:pStyle w:val="Heading2"/>
        <w:spacing w:before="120" w:after="120"/>
        <w:jc w:val="both"/>
        <w:rPr>
          <w:rFonts w:cs="Times New Roman"/>
          <w:szCs w:val="24"/>
        </w:rPr>
      </w:pPr>
      <w:bookmarkStart w:id="18" w:name="_Toc229695945"/>
      <w:r w:rsidRPr="009C7F96">
        <w:rPr>
          <w:rFonts w:ascii="Times New Roman" w:eastAsia="Times New Roman" w:hAnsi="Times New Roman" w:cs="Times New Roman"/>
          <w:szCs w:val="24"/>
        </w:rPr>
        <w:t>3.2 Transformação das séries</w:t>
      </w:r>
      <w:bookmarkEnd w:id="18"/>
    </w:p>
    <w:p w14:paraId="587F1EB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séries de preços e índices foram transformadas de forma a aproximar taxas de variação mensais e reduzir o risco de regressões espúrias com variáveis não estacionárias. Para uma variável positiva </w:t>
      </w:r>
      <w:proofErr w:type="spellStart"/>
      <w:r w:rsidRPr="009C7F96">
        <w:rPr>
          <w:rFonts w:cs="Times New Roman"/>
          <w:szCs w:val="24"/>
          <w:lang w:val="pt-BR"/>
        </w:rPr>
        <w:t>x_t</w:t>
      </w:r>
      <w:proofErr w:type="spellEnd"/>
      <w:r w:rsidRPr="009C7F96">
        <w:rPr>
          <w:rFonts w:cs="Times New Roman"/>
          <w:szCs w:val="24"/>
          <w:lang w:val="pt-BR"/>
        </w:rPr>
        <w:t>, a variação logarítmica mensal é definida por:</w:t>
      </w:r>
    </w:p>
    <w:p w14:paraId="1FCA1458" w14:textId="77777777" w:rsidR="008E44CC" w:rsidRPr="009C7F96" w:rsidRDefault="008E44CC" w:rsidP="008E44CC">
      <w:pPr>
        <w:spacing w:after="120"/>
        <w:rPr>
          <w:rFonts w:cs="Times New Roman"/>
          <w:szCs w:val="24"/>
          <w:lang w:val="pt-BR"/>
        </w:rPr>
      </w:pP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(xₜ) = 100 · [</w:t>
      </w:r>
      <w:proofErr w:type="spellStart"/>
      <w:r w:rsidRPr="009C7F96">
        <w:rPr>
          <w:rFonts w:cs="Times New Roman"/>
          <w:szCs w:val="24"/>
          <w:lang w:val="pt-BR"/>
        </w:rPr>
        <w:t>ln</w:t>
      </w:r>
      <w:proofErr w:type="spellEnd"/>
      <w:r w:rsidRPr="009C7F96">
        <w:rPr>
          <w:rFonts w:cs="Times New Roman"/>
          <w:szCs w:val="24"/>
          <w:lang w:val="pt-BR"/>
        </w:rPr>
        <w:t xml:space="preserve">(xₜ) − </w:t>
      </w:r>
      <w:proofErr w:type="spellStart"/>
      <w:r w:rsidRPr="009C7F96">
        <w:rPr>
          <w:rFonts w:cs="Times New Roman"/>
          <w:szCs w:val="24"/>
          <w:lang w:val="pt-BR"/>
        </w:rPr>
        <w:t>ln</w:t>
      </w:r>
      <w:proofErr w:type="spellEnd"/>
      <w:r w:rsidRPr="009C7F96">
        <w:rPr>
          <w:rFonts w:cs="Times New Roman"/>
          <w:szCs w:val="24"/>
          <w:lang w:val="pt-BR"/>
        </w:rPr>
        <w:t>(xₜ₋₁</w:t>
      </w:r>
      <w:proofErr w:type="gramStart"/>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w:t>
      </w:r>
    </w:p>
    <w:p w14:paraId="267B40D9"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Essa transformação permite interpretar a série aproximadamente como variação percentual mensal. No caso dos índices de preços, quando a série estava em nível, a inflação mensal foi calculada por:</w:t>
      </w:r>
    </w:p>
    <w:p w14:paraId="6173863E" w14:textId="77777777" w:rsidR="008E44CC" w:rsidRPr="009C7F96" w:rsidRDefault="008E44CC" w:rsidP="008E44CC">
      <w:pPr>
        <w:spacing w:after="120"/>
        <w:rPr>
          <w:rFonts w:cs="Times New Roman"/>
          <w:szCs w:val="24"/>
          <w:lang w:val="pt-BR"/>
        </w:rPr>
      </w:pPr>
      <w:r w:rsidRPr="009C7F96">
        <w:rPr>
          <w:rFonts w:cs="Times New Roman"/>
          <w:szCs w:val="24"/>
        </w:rPr>
        <w:t>π</w:t>
      </w:r>
      <w:r w:rsidRPr="009C7F96">
        <w:rPr>
          <w:rFonts w:cs="Times New Roman"/>
          <w:szCs w:val="24"/>
          <w:lang w:val="pt-BR"/>
        </w:rPr>
        <w:t>ₜ = 100 ·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IPCAₜ) −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IPCAₜ₋₁</w:t>
      </w:r>
      <w:proofErr w:type="gramStart"/>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w:t>
      </w:r>
    </w:p>
    <w:p w14:paraId="27F1E85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Quando a série já estava expressa como variação mensal, preservou-se a variável original para evitar dupla diferenciação. Nos modelos de Local </w:t>
      </w:r>
      <w:proofErr w:type="spellStart"/>
      <w:r w:rsidRPr="009C7F96">
        <w:rPr>
          <w:rFonts w:cs="Times New Roman"/>
          <w:szCs w:val="24"/>
          <w:lang w:val="pt-BR"/>
        </w:rPr>
        <w:t>Projections</w:t>
      </w:r>
      <w:proofErr w:type="spellEnd"/>
      <w:r w:rsidRPr="009C7F96">
        <w:rPr>
          <w:rFonts w:cs="Times New Roman"/>
          <w:szCs w:val="24"/>
          <w:lang w:val="pt-BR"/>
        </w:rPr>
        <w:t>, os choques são padronizados pelo desvio-padrão da própria variável de impulso, de modo que o coeficiente estimado represente a resposta a um choque de um desvio-padrão:</w:t>
      </w:r>
    </w:p>
    <w:p w14:paraId="066A4591" w14:textId="77777777" w:rsidR="008E44CC" w:rsidRPr="009C7F96" w:rsidRDefault="008E44CC" w:rsidP="008E44CC">
      <w:pPr>
        <w:spacing w:after="120"/>
        <w:rPr>
          <w:rFonts w:cs="Times New Roman"/>
          <w:szCs w:val="24"/>
          <w:lang w:val="pt-BR"/>
        </w:rPr>
      </w:pP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proofErr w:type="spellStart"/>
      <w:r w:rsidRPr="009C7F96">
        <w:rPr>
          <w:rFonts w:cs="Times New Roman"/>
          <w:szCs w:val="24"/>
          <w:lang w:val="pt-BR"/>
        </w:rPr>
        <w:t>shock</w:t>
      </w:r>
      <w:proofErr w:type="spellEnd"/>
      <w:r w:rsidRPr="009C7F96">
        <w:rPr>
          <w:rFonts w:cs="Times New Roman"/>
          <w:szCs w:val="24"/>
          <w:lang w:val="pt-BR"/>
        </w:rPr>
        <w:t xml:space="preserve">ₜ / </w:t>
      </w:r>
      <w:r w:rsidRPr="009C7F96">
        <w:rPr>
          <w:rFonts w:cs="Times New Roman"/>
          <w:szCs w:val="24"/>
        </w:rPr>
        <w:t>σ</w:t>
      </w:r>
      <w:r w:rsidRPr="009C7F96">
        <w:rPr>
          <w:rFonts w:cs="Times New Roman"/>
          <w:szCs w:val="24"/>
          <w:lang w:val="pt-BR"/>
        </w:rPr>
        <w:t>(</w:t>
      </w:r>
      <w:proofErr w:type="spellStart"/>
      <w:proofErr w:type="gramStart"/>
      <w:r w:rsidRPr="009C7F96">
        <w:rPr>
          <w:rFonts w:cs="Times New Roman"/>
          <w:szCs w:val="24"/>
          <w:lang w:val="pt-BR"/>
        </w:rPr>
        <w:t>shock</w:t>
      </w:r>
      <w:proofErr w:type="spellEnd"/>
      <w:r w:rsidRPr="009C7F96">
        <w:rPr>
          <w:rFonts w:cs="Times New Roman"/>
          <w:szCs w:val="24"/>
          <w:lang w:val="pt-BR"/>
        </w:rPr>
        <w:t xml:space="preserve">ₜ)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3)</w:t>
      </w:r>
    </w:p>
    <w:p w14:paraId="35FB92DC" w14:textId="547CAC85" w:rsidR="008E44CC" w:rsidRPr="009C7F96" w:rsidRDefault="008E44CC" w:rsidP="008E44CC">
      <w:pPr>
        <w:spacing w:after="120"/>
        <w:rPr>
          <w:rFonts w:cs="Times New Roman"/>
          <w:szCs w:val="24"/>
          <w:lang w:val="pt-BR"/>
        </w:rPr>
      </w:pPr>
      <w:r w:rsidRPr="009C7F96">
        <w:rPr>
          <w:rFonts w:cs="Times New Roman"/>
          <w:szCs w:val="24"/>
          <w:lang w:val="pt-BR"/>
        </w:rPr>
        <w:t>No VAR, a Selic recebe tratamento específico. Em vez de utilizar somente a coluna mensal da planilha principal, o modelo lê a série diária da meta Selic, calcula sua média mensal e utiliza a variável em logaritmo de nível. Essa escolha preserva o conteúdo econômico do patamar da taxa de juros, pois a política monetária atua mais pelo nível da taxa do que apenas por sua variação mensal.</w:t>
      </w:r>
    </w:p>
    <w:p w14:paraId="0F3DCAD5" w14:textId="77777777" w:rsidR="008E44CC" w:rsidRPr="009C7F96" w:rsidRDefault="008E44CC" w:rsidP="008E44CC">
      <w:pPr>
        <w:pStyle w:val="Heading2"/>
        <w:spacing w:before="120" w:after="120"/>
        <w:jc w:val="both"/>
        <w:rPr>
          <w:rFonts w:cs="Times New Roman"/>
          <w:szCs w:val="24"/>
        </w:rPr>
      </w:pPr>
      <w:bookmarkStart w:id="19" w:name="_Toc229695946"/>
      <w:r w:rsidRPr="009C7F96">
        <w:rPr>
          <w:rFonts w:ascii="Times New Roman" w:eastAsia="Times New Roman" w:hAnsi="Times New Roman" w:cs="Times New Roman"/>
          <w:szCs w:val="24"/>
        </w:rPr>
        <w:t>3.3 Testes preliminares das séries</w:t>
      </w:r>
      <w:bookmarkEnd w:id="19"/>
    </w:p>
    <w:p w14:paraId="509AF6BD"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Antes da estimação dos modelos, as séries são avaliadas por testes de </w:t>
      </w:r>
      <w:proofErr w:type="spellStart"/>
      <w:r w:rsidRPr="009C7F96">
        <w:rPr>
          <w:rFonts w:cs="Times New Roman"/>
          <w:szCs w:val="24"/>
          <w:lang w:val="pt-BR"/>
        </w:rPr>
        <w:t>estacionariedade</w:t>
      </w:r>
      <w:proofErr w:type="spellEnd"/>
      <w:r w:rsidRPr="009C7F96">
        <w:rPr>
          <w:rFonts w:cs="Times New Roman"/>
          <w:szCs w:val="24"/>
          <w:lang w:val="pt-BR"/>
        </w:rPr>
        <w:t xml:space="preserve">. Esse passo é necessário porque modelos dinâmicos podem produzir relações espúrias quando aplicados diretamente a séries não estacionárias. O primeiro teste utilizado é o teste de </w:t>
      </w:r>
      <w:proofErr w:type="spellStart"/>
      <w:r w:rsidRPr="009C7F96">
        <w:rPr>
          <w:rFonts w:cs="Times New Roman"/>
          <w:szCs w:val="24"/>
          <w:lang w:val="pt-BR"/>
        </w:rPr>
        <w:t>Dickey</w:t>
      </w:r>
      <w:proofErr w:type="spellEnd"/>
      <w:r w:rsidRPr="009C7F96">
        <w:rPr>
          <w:rFonts w:cs="Times New Roman"/>
          <w:szCs w:val="24"/>
          <w:lang w:val="pt-BR"/>
        </w:rPr>
        <w:t>-Fuller aumentado, conhecido como ADF. Sua forma simplificada pode ser escrita como:</w:t>
      </w:r>
    </w:p>
    <w:p w14:paraId="63F894B0" w14:textId="77777777" w:rsidR="008E44CC" w:rsidRPr="009C7F96" w:rsidRDefault="008E44CC" w:rsidP="008E44CC">
      <w:pPr>
        <w:spacing w:after="120"/>
        <w:rPr>
          <w:rFonts w:cs="Times New Roman"/>
          <w:szCs w:val="24"/>
          <w:lang w:val="pt-BR"/>
        </w:rPr>
      </w:pPr>
      <w:r w:rsidRPr="009C7F96">
        <w:rPr>
          <w:rFonts w:cs="Times New Roman"/>
          <w:szCs w:val="24"/>
        </w:rPr>
        <w:t>Δ</w:t>
      </w:r>
      <w:r w:rsidRPr="009C7F96">
        <w:rPr>
          <w:rFonts w:cs="Times New Roman"/>
          <w:szCs w:val="24"/>
          <w:lang w:val="pt-BR"/>
        </w:rPr>
        <w:t xml:space="preserve">yₜ = </w:t>
      </w:r>
      <w:r w:rsidRPr="009C7F96">
        <w:rPr>
          <w:rFonts w:cs="Times New Roman"/>
          <w:szCs w:val="24"/>
        </w:rPr>
        <w:t>α</w:t>
      </w:r>
      <w:r w:rsidRPr="009C7F96">
        <w:rPr>
          <w:rFonts w:cs="Times New Roman"/>
          <w:szCs w:val="24"/>
          <w:lang w:val="pt-BR"/>
        </w:rPr>
        <w:t xml:space="preserve"> + </w:t>
      </w:r>
      <w:r w:rsidRPr="009C7F96">
        <w:rPr>
          <w:rFonts w:cs="Times New Roman"/>
          <w:szCs w:val="24"/>
        </w:rPr>
        <w:t>ρ</w:t>
      </w:r>
      <w:r w:rsidRPr="009C7F96">
        <w:rPr>
          <w:rFonts w:cs="Times New Roman"/>
          <w:szCs w:val="24"/>
          <w:lang w:val="pt-BR"/>
        </w:rPr>
        <w:t xml:space="preserve">yₜ₋₁ + </w:t>
      </w:r>
      <w:r w:rsidRPr="009C7F96">
        <w:rPr>
          <w:rFonts w:cs="Times New Roman"/>
          <w:szCs w:val="24"/>
        </w:rPr>
        <w:t>Σᵢ</w:t>
      </w:r>
      <w:r w:rsidRPr="009C7F96">
        <w:rPr>
          <w:rFonts w:cs="Times New Roman"/>
          <w:szCs w:val="24"/>
          <w:lang w:val="pt-BR"/>
        </w:rPr>
        <w:t>₌₁</w:t>
      </w:r>
      <w:r w:rsidRPr="009C7F96">
        <w:rPr>
          <w:rFonts w:cs="Times New Roman"/>
          <w:szCs w:val="24"/>
        </w:rPr>
        <w:t>ᵖ</w:t>
      </w:r>
      <w:r w:rsidRPr="009C7F96">
        <w:rPr>
          <w:rFonts w:cs="Times New Roman"/>
          <w:szCs w:val="24"/>
          <w:lang w:val="pt-BR"/>
        </w:rPr>
        <w:t xml:space="preserve"> </w:t>
      </w:r>
      <w:proofErr w:type="spellStart"/>
      <w:r w:rsidRPr="009C7F96">
        <w:rPr>
          <w:rFonts w:cs="Times New Roman"/>
          <w:szCs w:val="24"/>
        </w:rPr>
        <w:t>φᵢΔ</w:t>
      </w:r>
      <w:proofErr w:type="spellEnd"/>
      <w:r w:rsidRPr="009C7F96">
        <w:rPr>
          <w:rFonts w:cs="Times New Roman"/>
          <w:szCs w:val="24"/>
          <w:lang w:val="pt-BR"/>
        </w:rPr>
        <w:t>yₜ₋</w:t>
      </w:r>
      <w:r w:rsidRPr="009C7F96">
        <w:rPr>
          <w:rFonts w:cs="Times New Roman"/>
          <w:szCs w:val="24"/>
        </w:rPr>
        <w:t>ᵢ</w:t>
      </w:r>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4)</w:t>
      </w:r>
    </w:p>
    <w:p w14:paraId="526D1095"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No teste ADF, a hipótese nula é de presença de raiz unitária. Assim, a rejeição da hipótese nula indica evidência favorável à </w:t>
      </w:r>
      <w:proofErr w:type="spellStart"/>
      <w:r w:rsidRPr="009C7F96">
        <w:rPr>
          <w:rFonts w:cs="Times New Roman"/>
          <w:szCs w:val="24"/>
          <w:lang w:val="pt-BR"/>
        </w:rPr>
        <w:t>estacionariedade</w:t>
      </w:r>
      <w:proofErr w:type="spellEnd"/>
      <w:r w:rsidRPr="009C7F96">
        <w:rPr>
          <w:rFonts w:cs="Times New Roman"/>
          <w:szCs w:val="24"/>
          <w:lang w:val="pt-BR"/>
        </w:rPr>
        <w:t xml:space="preserve"> da série, considerando a especificação adotada. Como complemento, utiliza-se o teste KPSS, cuja hipótese nula é a </w:t>
      </w:r>
      <w:proofErr w:type="spellStart"/>
      <w:r w:rsidRPr="009C7F96">
        <w:rPr>
          <w:rFonts w:cs="Times New Roman"/>
          <w:szCs w:val="24"/>
          <w:lang w:val="pt-BR"/>
        </w:rPr>
        <w:t>estacionariedade</w:t>
      </w:r>
      <w:proofErr w:type="spellEnd"/>
      <w:r w:rsidRPr="009C7F96">
        <w:rPr>
          <w:rFonts w:cs="Times New Roman"/>
          <w:szCs w:val="24"/>
          <w:lang w:val="pt-BR"/>
        </w:rPr>
        <w:t>. Em forma simplificada:</w:t>
      </w:r>
    </w:p>
    <w:p w14:paraId="3D220C8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KPSS: yₜ = </w:t>
      </w:r>
      <w:r w:rsidRPr="009C7F96">
        <w:rPr>
          <w:rFonts w:cs="Times New Roman"/>
          <w:szCs w:val="24"/>
        </w:rPr>
        <w:t>μ</w:t>
      </w:r>
      <w:r w:rsidRPr="009C7F96">
        <w:rPr>
          <w:rFonts w:cs="Times New Roman"/>
          <w:szCs w:val="24"/>
          <w:lang w:val="pt-BR"/>
        </w:rPr>
        <w:t xml:space="preserve">ₜ + rₜ + </w:t>
      </w:r>
      <w:r w:rsidRPr="009C7F96">
        <w:rPr>
          <w:rFonts w:cs="Times New Roman"/>
          <w:szCs w:val="24"/>
        </w:rPr>
        <w:t>ε</w:t>
      </w:r>
      <w:r w:rsidRPr="009C7F96">
        <w:rPr>
          <w:rFonts w:cs="Times New Roman"/>
          <w:szCs w:val="24"/>
          <w:lang w:val="pt-BR"/>
        </w:rPr>
        <w:t xml:space="preserve">ₜ, com rₜ = rₜ₋₁ + uₜ     </w:t>
      </w:r>
      <w:proofErr w:type="gramStart"/>
      <w:r w:rsidRPr="009C7F96">
        <w:rPr>
          <w:rFonts w:cs="Times New Roman"/>
          <w:szCs w:val="24"/>
          <w:lang w:val="pt-BR"/>
        </w:rPr>
        <w:t xml:space="preserve">   (</w:t>
      </w:r>
      <w:proofErr w:type="gramEnd"/>
      <w:r w:rsidRPr="009C7F96">
        <w:rPr>
          <w:rFonts w:cs="Times New Roman"/>
          <w:szCs w:val="24"/>
          <w:lang w:val="pt-BR"/>
        </w:rPr>
        <w:t>5)</w:t>
      </w:r>
    </w:p>
    <w:p w14:paraId="5E468BAD"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combinação entre ADF e KPSS é útil porque os testes possuem hipóteses nulas opostas. Quando o ADF rejeita a presença de raiz unitária e o KPSS não rejeita </w:t>
      </w:r>
      <w:proofErr w:type="spellStart"/>
      <w:r w:rsidRPr="009C7F96">
        <w:rPr>
          <w:rFonts w:cs="Times New Roman"/>
          <w:szCs w:val="24"/>
          <w:lang w:val="pt-BR"/>
        </w:rPr>
        <w:t>estacionariedade</w:t>
      </w:r>
      <w:proofErr w:type="spellEnd"/>
      <w:r w:rsidRPr="009C7F96">
        <w:rPr>
          <w:rFonts w:cs="Times New Roman"/>
          <w:szCs w:val="24"/>
          <w:lang w:val="pt-BR"/>
        </w:rPr>
        <w:t xml:space="preserve">, há maior segurança para utilizar a série transformada. Quando os resultados são ambíguos, a decisão </w:t>
      </w:r>
      <w:r w:rsidRPr="009C7F96">
        <w:rPr>
          <w:rFonts w:cs="Times New Roman"/>
          <w:szCs w:val="24"/>
          <w:lang w:val="pt-BR"/>
        </w:rPr>
        <w:lastRenderedPageBreak/>
        <w:t>considera também a natureza econômica da variável, a presença de tendência e a necessidade de manter coerência entre as especificações.</w:t>
      </w:r>
    </w:p>
    <w:p w14:paraId="53694B61" w14:textId="0B39854C" w:rsidR="008E44CC" w:rsidRPr="009C7F96" w:rsidRDefault="008E44CC" w:rsidP="008E44CC">
      <w:pPr>
        <w:spacing w:after="120"/>
        <w:rPr>
          <w:rFonts w:cs="Times New Roman"/>
          <w:szCs w:val="24"/>
          <w:lang w:val="pt-BR"/>
        </w:rPr>
      </w:pPr>
      <w:r w:rsidRPr="009C7F96">
        <w:rPr>
          <w:rFonts w:cs="Times New Roman"/>
          <w:szCs w:val="24"/>
          <w:lang w:val="pt-BR"/>
        </w:rPr>
        <w:t xml:space="preserve">Além dos testes de </w:t>
      </w:r>
      <w:proofErr w:type="spellStart"/>
      <w:r w:rsidRPr="009C7F96">
        <w:rPr>
          <w:rFonts w:cs="Times New Roman"/>
          <w:szCs w:val="24"/>
          <w:lang w:val="pt-BR"/>
        </w:rPr>
        <w:t>estacionariedade</w:t>
      </w:r>
      <w:proofErr w:type="spellEnd"/>
      <w:r w:rsidRPr="009C7F96">
        <w:rPr>
          <w:rFonts w:cs="Times New Roman"/>
          <w:szCs w:val="24"/>
          <w:lang w:val="pt-BR"/>
        </w:rPr>
        <w:t xml:space="preserve">, o modelo VAR também calcula testes de </w:t>
      </w:r>
      <w:proofErr w:type="spellStart"/>
      <w:r w:rsidRPr="009C7F96">
        <w:rPr>
          <w:rFonts w:cs="Times New Roman"/>
          <w:szCs w:val="24"/>
          <w:lang w:val="pt-BR"/>
        </w:rPr>
        <w:t>cointegração</w:t>
      </w:r>
      <w:proofErr w:type="spellEnd"/>
      <w:r w:rsidRPr="009C7F96">
        <w:rPr>
          <w:rFonts w:cs="Times New Roman"/>
          <w:szCs w:val="24"/>
          <w:lang w:val="pt-BR"/>
        </w:rPr>
        <w:t xml:space="preserve"> de Johansen sobre as variáveis em nível. Esse teste não define sozinho a especificação principal, mas ajuda a verificar se há relações de longo prazo entre preços, câmbio, combustíveis e inflação. A forma vetorial associada ao teste pode ser expressa como:</w:t>
      </w:r>
    </w:p>
    <w:p w14:paraId="097DB8C9" w14:textId="77777777" w:rsidR="008E44CC" w:rsidRPr="009C7F96" w:rsidRDefault="008E44CC" w:rsidP="008E44CC">
      <w:pPr>
        <w:spacing w:after="120"/>
        <w:rPr>
          <w:rFonts w:cs="Times New Roman"/>
          <w:szCs w:val="24"/>
          <w:lang w:val="pt-BR"/>
        </w:rPr>
      </w:pPr>
      <w:r w:rsidRPr="009C7F96">
        <w:rPr>
          <w:rFonts w:cs="Times New Roman"/>
          <w:szCs w:val="24"/>
        </w:rPr>
        <w:t>Δ</w:t>
      </w:r>
      <w:r w:rsidRPr="009C7F96">
        <w:rPr>
          <w:rFonts w:cs="Times New Roman"/>
          <w:szCs w:val="24"/>
          <w:lang w:val="pt-BR"/>
        </w:rPr>
        <w:t xml:space="preserve">Yₜ = </w:t>
      </w:r>
      <w:r w:rsidRPr="009C7F96">
        <w:rPr>
          <w:rFonts w:cs="Times New Roman"/>
          <w:szCs w:val="24"/>
        </w:rPr>
        <w:t>Π</w:t>
      </w:r>
      <w:r w:rsidRPr="009C7F96">
        <w:rPr>
          <w:rFonts w:cs="Times New Roman"/>
          <w:szCs w:val="24"/>
          <w:lang w:val="pt-BR"/>
        </w:rPr>
        <w:t xml:space="preserve">Yₜ₋₁ + </w:t>
      </w:r>
      <w:r w:rsidRPr="009C7F96">
        <w:rPr>
          <w:rFonts w:cs="Times New Roman"/>
          <w:szCs w:val="24"/>
        </w:rPr>
        <w:t>Σᵢ</w:t>
      </w:r>
      <w:r w:rsidRPr="009C7F96">
        <w:rPr>
          <w:rFonts w:cs="Times New Roman"/>
          <w:szCs w:val="24"/>
          <w:lang w:val="pt-BR"/>
        </w:rPr>
        <w:t>₌₁</w:t>
      </w:r>
      <w:r w:rsidRPr="009C7F96">
        <w:rPr>
          <w:rFonts w:cs="Times New Roman"/>
          <w:szCs w:val="24"/>
        </w:rPr>
        <w:t>ᵖ</w:t>
      </w:r>
      <w:r w:rsidRPr="009C7F96">
        <w:rPr>
          <w:rFonts w:cs="Times New Roman"/>
          <w:szCs w:val="24"/>
          <w:lang w:val="pt-BR"/>
        </w:rPr>
        <w:t xml:space="preserve">⁻¹ </w:t>
      </w:r>
      <w:r w:rsidRPr="009C7F96">
        <w:rPr>
          <w:rFonts w:cs="Times New Roman"/>
          <w:szCs w:val="24"/>
        </w:rPr>
        <w:t>ΓᵢΔ</w:t>
      </w:r>
      <w:r w:rsidRPr="009C7F96">
        <w:rPr>
          <w:rFonts w:cs="Times New Roman"/>
          <w:szCs w:val="24"/>
          <w:lang w:val="pt-BR"/>
        </w:rPr>
        <w:t>Yₜ₋</w:t>
      </w:r>
      <w:r w:rsidRPr="009C7F96">
        <w:rPr>
          <w:rFonts w:cs="Times New Roman"/>
          <w:szCs w:val="24"/>
        </w:rPr>
        <w:t>ᵢ</w:t>
      </w:r>
      <w:r w:rsidRPr="009C7F96">
        <w:rPr>
          <w:rFonts w:cs="Times New Roman"/>
          <w:szCs w:val="24"/>
          <w:lang w:val="pt-BR"/>
        </w:rPr>
        <w:t xml:space="preserve"> + </w:t>
      </w:r>
      <w:r w:rsidRPr="009C7F96">
        <w:rPr>
          <w:rFonts w:cs="Times New Roman"/>
          <w:szCs w:val="24"/>
        </w:rPr>
        <w:t>ε</w:t>
      </w:r>
      <w:r w:rsidRPr="009C7F96">
        <w:rPr>
          <w:rFonts w:cs="Times New Roman"/>
          <w:szCs w:val="24"/>
          <w:lang w:val="pt-BR"/>
        </w:rPr>
        <w:t xml:space="preserve">ₜ     </w:t>
      </w:r>
      <w:proofErr w:type="gramStart"/>
      <w:r w:rsidRPr="009C7F96">
        <w:rPr>
          <w:rFonts w:cs="Times New Roman"/>
          <w:szCs w:val="24"/>
          <w:lang w:val="pt-BR"/>
        </w:rPr>
        <w:t xml:space="preserve">   (</w:t>
      </w:r>
      <w:proofErr w:type="gramEnd"/>
      <w:r w:rsidRPr="009C7F96">
        <w:rPr>
          <w:rFonts w:cs="Times New Roman"/>
          <w:szCs w:val="24"/>
          <w:lang w:val="pt-BR"/>
        </w:rPr>
        <w:t>6)</w:t>
      </w:r>
    </w:p>
    <w:p w14:paraId="3726A3C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posto da matriz </w:t>
      </w:r>
      <w:r w:rsidRPr="009C7F96">
        <w:rPr>
          <w:rFonts w:cs="Times New Roman"/>
          <w:szCs w:val="24"/>
        </w:rPr>
        <w:t>Π</w:t>
      </w:r>
      <w:r w:rsidRPr="009C7F96">
        <w:rPr>
          <w:rFonts w:cs="Times New Roman"/>
          <w:szCs w:val="24"/>
          <w:lang w:val="pt-BR"/>
        </w:rPr>
        <w:t xml:space="preserve"> informa o número de relações de </w:t>
      </w:r>
      <w:proofErr w:type="spellStart"/>
      <w:r w:rsidRPr="009C7F96">
        <w:rPr>
          <w:rFonts w:cs="Times New Roman"/>
          <w:szCs w:val="24"/>
          <w:lang w:val="pt-BR"/>
        </w:rPr>
        <w:t>cointegração</w:t>
      </w:r>
      <w:proofErr w:type="spellEnd"/>
      <w:r w:rsidRPr="009C7F96">
        <w:rPr>
          <w:rFonts w:cs="Times New Roman"/>
          <w:szCs w:val="24"/>
          <w:lang w:val="pt-BR"/>
        </w:rPr>
        <w:t xml:space="preserve">. Como o objetivo principal do trabalho é analisar respostas dinâmicas de curto e médio prazo, a evidência de </w:t>
      </w:r>
      <w:proofErr w:type="spellStart"/>
      <w:r w:rsidRPr="009C7F96">
        <w:rPr>
          <w:rFonts w:cs="Times New Roman"/>
          <w:szCs w:val="24"/>
          <w:lang w:val="pt-BR"/>
        </w:rPr>
        <w:t>cointegração</w:t>
      </w:r>
      <w:proofErr w:type="spellEnd"/>
      <w:r w:rsidRPr="009C7F96">
        <w:rPr>
          <w:rFonts w:cs="Times New Roman"/>
          <w:szCs w:val="24"/>
          <w:lang w:val="pt-BR"/>
        </w:rPr>
        <w:t xml:space="preserve"> é tratada como diagnóstico complementar e não como substituição automática das especificações em diferenças.</w:t>
      </w:r>
    </w:p>
    <w:p w14:paraId="6064E772" w14:textId="77777777" w:rsidR="008E44CC" w:rsidRPr="009C7F96" w:rsidRDefault="008E44CC" w:rsidP="008E44CC">
      <w:pPr>
        <w:pStyle w:val="Heading2"/>
        <w:spacing w:before="120" w:after="120"/>
        <w:jc w:val="both"/>
        <w:rPr>
          <w:rFonts w:cs="Times New Roman"/>
          <w:szCs w:val="24"/>
        </w:rPr>
      </w:pPr>
      <w:bookmarkStart w:id="20" w:name="_Toc229695947"/>
      <w:r w:rsidRPr="009C7F96">
        <w:rPr>
          <w:rFonts w:ascii="Times New Roman" w:eastAsia="Times New Roman" w:hAnsi="Times New Roman" w:cs="Times New Roman"/>
          <w:szCs w:val="24"/>
        </w:rPr>
        <w:t xml:space="preserve">3.4 Modelo principal: Local </w:t>
      </w:r>
      <w:proofErr w:type="spellStart"/>
      <w:r w:rsidRPr="009C7F96">
        <w:rPr>
          <w:rFonts w:ascii="Times New Roman" w:eastAsia="Times New Roman" w:hAnsi="Times New Roman" w:cs="Times New Roman"/>
          <w:szCs w:val="24"/>
        </w:rPr>
        <w:t>Projections</w:t>
      </w:r>
      <w:bookmarkEnd w:id="20"/>
      <w:proofErr w:type="spellEnd"/>
    </w:p>
    <w:p w14:paraId="1A0FF36E"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Local </w:t>
      </w:r>
      <w:proofErr w:type="spellStart"/>
      <w:r w:rsidRPr="009C7F96">
        <w:rPr>
          <w:rFonts w:cs="Times New Roman"/>
          <w:szCs w:val="24"/>
          <w:lang w:val="pt-BR"/>
        </w:rPr>
        <w:t>Projections</w:t>
      </w:r>
      <w:proofErr w:type="spellEnd"/>
      <w:r w:rsidRPr="009C7F96">
        <w:rPr>
          <w:rFonts w:cs="Times New Roman"/>
          <w:szCs w:val="24"/>
          <w:lang w:val="pt-BR"/>
        </w:rPr>
        <w:t xml:space="preserve"> estimam uma regressão separada para cada horizonte de resposta. Essa é a diferença central em relação a modelos de sistema, como o VAR. Em vez de estimar uma única estrutura dinâmica e derivar dela todas as respostas futuras, a Local </w:t>
      </w:r>
      <w:proofErr w:type="spellStart"/>
      <w:r w:rsidRPr="009C7F96">
        <w:rPr>
          <w:rFonts w:cs="Times New Roman"/>
          <w:szCs w:val="24"/>
          <w:lang w:val="pt-BR"/>
        </w:rPr>
        <w:t>Projection</w:t>
      </w:r>
      <w:proofErr w:type="spellEnd"/>
      <w:r w:rsidRPr="009C7F96">
        <w:rPr>
          <w:rFonts w:cs="Times New Roman"/>
          <w:szCs w:val="24"/>
          <w:lang w:val="pt-BR"/>
        </w:rPr>
        <w:t xml:space="preserve"> estima diretamente o efeito do choque em cada horizonte h. Isso torna o método flexível e adequado para avaliar a transmissão do petróleo para combustíveis e inflação ao longo do tempo.</w:t>
      </w:r>
    </w:p>
    <w:p w14:paraId="70FA95D4" w14:textId="77777777" w:rsidR="008E44CC" w:rsidRPr="009C7F96" w:rsidRDefault="008E44CC" w:rsidP="008E44CC">
      <w:pPr>
        <w:spacing w:after="120"/>
        <w:rPr>
          <w:rFonts w:cs="Times New Roman"/>
          <w:szCs w:val="24"/>
          <w:lang w:val="pt-BR"/>
        </w:rPr>
      </w:pPr>
      <w:r w:rsidRPr="009C7F96">
        <w:rPr>
          <w:rFonts w:cs="Times New Roman"/>
          <w:szCs w:val="24"/>
          <w:lang w:val="pt-BR"/>
        </w:rPr>
        <w:t>A especificação pontual geral é dada por:</w:t>
      </w:r>
    </w:p>
    <w:p w14:paraId="5852E22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yₜ₊ₕ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ₕ(L)Zₜ + uₜ₊ₕ⁽ʰ</w:t>
      </w:r>
      <w:proofErr w:type="gramStart"/>
      <w:r w:rsidRPr="009C7F96">
        <w:rPr>
          <w:rFonts w:cs="Times New Roman"/>
          <w:szCs w:val="24"/>
          <w:lang w:val="pt-BR"/>
        </w:rPr>
        <w:t xml:space="preserve">⁾,   </w:t>
      </w:r>
      <w:proofErr w:type="gramEnd"/>
      <w:r w:rsidRPr="009C7F96">
        <w:rPr>
          <w:rFonts w:cs="Times New Roman"/>
          <w:szCs w:val="24"/>
          <w:lang w:val="pt-BR"/>
        </w:rPr>
        <w:t xml:space="preserve"> h = 0, 1, ..., H     </w:t>
      </w:r>
      <w:proofErr w:type="gramStart"/>
      <w:r w:rsidRPr="009C7F96">
        <w:rPr>
          <w:rFonts w:cs="Times New Roman"/>
          <w:szCs w:val="24"/>
          <w:lang w:val="pt-BR"/>
        </w:rPr>
        <w:t xml:space="preserve">   (</w:t>
      </w:r>
      <w:proofErr w:type="gramEnd"/>
      <w:r w:rsidRPr="009C7F96">
        <w:rPr>
          <w:rFonts w:cs="Times New Roman"/>
          <w:szCs w:val="24"/>
          <w:lang w:val="pt-BR"/>
        </w:rPr>
        <w:t>7)</w:t>
      </w:r>
    </w:p>
    <w:p w14:paraId="7EBB8B12" w14:textId="77777777" w:rsidR="008E44CC" w:rsidRPr="009C7F96" w:rsidRDefault="008E44CC" w:rsidP="008E44CC">
      <w:pPr>
        <w:spacing w:after="120"/>
        <w:rPr>
          <w:rFonts w:cs="Times New Roman"/>
          <w:szCs w:val="24"/>
          <w:lang w:val="pt-BR"/>
        </w:rPr>
      </w:pPr>
      <w:r w:rsidRPr="009C7F96">
        <w:rPr>
          <w:rFonts w:cs="Times New Roman"/>
          <w:szCs w:val="24"/>
          <w:lang w:val="pt-BR"/>
        </w:rPr>
        <w:t>Nessa equação, y_{</w:t>
      </w:r>
      <w:proofErr w:type="spellStart"/>
      <w:r w:rsidRPr="009C7F96">
        <w:rPr>
          <w:rFonts w:cs="Times New Roman"/>
          <w:szCs w:val="24"/>
          <w:lang w:val="pt-BR"/>
        </w:rPr>
        <w:t>t+h</w:t>
      </w:r>
      <w:proofErr w:type="spellEnd"/>
      <w:r w:rsidRPr="009C7F96">
        <w:rPr>
          <w:rFonts w:cs="Times New Roman"/>
          <w:szCs w:val="24"/>
          <w:lang w:val="pt-BR"/>
        </w:rPr>
        <w:t xml:space="preserve">} é a variável de resposta no horizonte h, </w:t>
      </w:r>
      <w:proofErr w:type="spellStart"/>
      <w:r w:rsidRPr="009C7F96">
        <w:rPr>
          <w:rFonts w:cs="Times New Roman"/>
          <w:szCs w:val="24"/>
          <w:lang w:val="pt-BR"/>
        </w:rPr>
        <w:t>shock_t</w:t>
      </w:r>
      <w:proofErr w:type="spellEnd"/>
      <w:r w:rsidRPr="009C7F96">
        <w:rPr>
          <w:rFonts w:cs="Times New Roman"/>
          <w:szCs w:val="24"/>
          <w:lang w:val="pt-BR"/>
        </w:rPr>
        <w:t>^{</w:t>
      </w:r>
      <w:proofErr w:type="spellStart"/>
      <w:r w:rsidRPr="009C7F96">
        <w:rPr>
          <w:rFonts w:cs="Times New Roman"/>
          <w:szCs w:val="24"/>
          <w:lang w:val="pt-BR"/>
        </w:rPr>
        <w:t>std</w:t>
      </w:r>
      <w:proofErr w:type="spellEnd"/>
      <w:r w:rsidRPr="009C7F96">
        <w:rPr>
          <w:rFonts w:cs="Times New Roman"/>
          <w:szCs w:val="24"/>
          <w:lang w:val="pt-BR"/>
        </w:rPr>
        <w:t xml:space="preserve">} é o choque padronizado, </w:t>
      </w:r>
      <w:proofErr w:type="spellStart"/>
      <w:r w:rsidRPr="009C7F96">
        <w:rPr>
          <w:rFonts w:cs="Times New Roman"/>
          <w:szCs w:val="24"/>
          <w:lang w:val="pt-BR"/>
        </w:rPr>
        <w:t>Z_t</w:t>
      </w:r>
      <w:proofErr w:type="spellEnd"/>
      <w:r w:rsidRPr="009C7F96">
        <w:rPr>
          <w:rFonts w:cs="Times New Roman"/>
          <w:szCs w:val="24"/>
          <w:lang w:val="pt-BR"/>
        </w:rPr>
        <w:t xml:space="preserve"> reúne controles e defasagens, e </w:t>
      </w:r>
      <w:r w:rsidRPr="009C7F96">
        <w:rPr>
          <w:rFonts w:cs="Times New Roman"/>
          <w:szCs w:val="24"/>
        </w:rPr>
        <w:t>β</w:t>
      </w:r>
      <w:r w:rsidRPr="009C7F96">
        <w:rPr>
          <w:rFonts w:cs="Times New Roman"/>
          <w:szCs w:val="24"/>
          <w:lang w:val="pt-BR"/>
        </w:rPr>
        <w:t xml:space="preserve">_h mede a resposta da variável dependente ao choque no horizonte analisado. Como cada horizonte possui sua própria regressão, o coeficiente </w:t>
      </w:r>
      <w:r w:rsidRPr="009C7F96">
        <w:rPr>
          <w:rFonts w:cs="Times New Roman"/>
          <w:szCs w:val="24"/>
        </w:rPr>
        <w:t>β</w:t>
      </w:r>
      <w:r w:rsidRPr="009C7F96">
        <w:rPr>
          <w:rFonts w:cs="Times New Roman"/>
          <w:szCs w:val="24"/>
          <w:lang w:val="pt-BR"/>
        </w:rPr>
        <w:t>_h pode variar livremente ao longo do tempo, sem impor que a trajetória siga a estrutura de um sistema autorregressivo único.</w:t>
      </w:r>
    </w:p>
    <w:p w14:paraId="7BD3309D" w14:textId="77777777" w:rsidR="008E44CC" w:rsidRPr="009C7F96" w:rsidRDefault="008E44CC" w:rsidP="008E44CC">
      <w:pPr>
        <w:spacing w:after="120"/>
        <w:rPr>
          <w:rFonts w:cs="Times New Roman"/>
          <w:szCs w:val="24"/>
          <w:lang w:val="pt-BR"/>
        </w:rPr>
      </w:pPr>
      <w:r w:rsidRPr="009C7F96">
        <w:rPr>
          <w:rFonts w:cs="Times New Roman"/>
          <w:szCs w:val="24"/>
          <w:lang w:val="pt-BR"/>
        </w:rPr>
        <w:t>Além da resposta pontual, o trabalho estima respostas acumuladas. Essa forma é especialmente útil para inflação, porque o interesse empírico não é apenas saber se o choque afeta um mês específico, mas quanto do efeito se acumula ao longo dos meses após o choque. A variável acumulada é dada por:</w:t>
      </w:r>
    </w:p>
    <w:p w14:paraId="6FFCF9A2" w14:textId="77777777" w:rsidR="008E44CC" w:rsidRPr="009C7F96" w:rsidRDefault="008E44CC" w:rsidP="008E44CC">
      <w:pPr>
        <w:spacing w:after="120"/>
        <w:rPr>
          <w:rFonts w:cs="Times New Roman"/>
          <w:szCs w:val="24"/>
          <w:lang w:val="pt-BR"/>
        </w:rPr>
      </w:pPr>
      <w:proofErr w:type="gramStart"/>
      <w:r w:rsidRPr="009C7F96">
        <w:rPr>
          <w:rFonts w:cs="Times New Roman"/>
          <w:szCs w:val="24"/>
          <w:lang w:val="pt-BR"/>
        </w:rPr>
        <w:t>Yₜ,ₕ</w:t>
      </w:r>
      <w:r w:rsidRPr="009C7F96">
        <w:rPr>
          <w:rFonts w:cs="Times New Roman"/>
          <w:szCs w:val="24"/>
        </w:rPr>
        <w:t>ᵃᶜᵘᵐ</w:t>
      </w:r>
      <w:proofErr w:type="gramEnd"/>
      <w:r w:rsidRPr="009C7F96">
        <w:rPr>
          <w:rFonts w:cs="Times New Roman"/>
          <w:szCs w:val="24"/>
          <w:lang w:val="pt-BR"/>
        </w:rPr>
        <w:t xml:space="preserve"> = </w:t>
      </w: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8)</w:t>
      </w:r>
    </w:p>
    <w:p w14:paraId="5701ACC4"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 especificação acumulada pode ser escrita como:</w:t>
      </w:r>
    </w:p>
    <w:p w14:paraId="764DD136"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proofErr w:type="spellStart"/>
      <w:r w:rsidRPr="009C7F96">
        <w:rPr>
          <w:rFonts w:cs="Times New Roman"/>
          <w:szCs w:val="24"/>
          <w:lang w:val="pt-BR"/>
        </w:rPr>
        <w:t>shockₜˢ</w:t>
      </w:r>
      <w:proofErr w:type="spellEnd"/>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uₜ₊ₕ⁽ʰ⁾     </w:t>
      </w:r>
      <w:proofErr w:type="gramStart"/>
      <w:r w:rsidRPr="009C7F96">
        <w:rPr>
          <w:rFonts w:cs="Times New Roman"/>
          <w:szCs w:val="24"/>
          <w:lang w:val="pt-BR"/>
        </w:rPr>
        <w:t xml:space="preserve">   (</w:t>
      </w:r>
      <w:proofErr w:type="gramEnd"/>
      <w:r w:rsidRPr="009C7F96">
        <w:rPr>
          <w:rFonts w:cs="Times New Roman"/>
          <w:szCs w:val="24"/>
          <w:lang w:val="pt-BR"/>
        </w:rPr>
        <w:t>9)</w:t>
      </w:r>
    </w:p>
    <w:p w14:paraId="2260080B" w14:textId="77777777" w:rsidR="008E44CC" w:rsidRPr="009C7F96" w:rsidRDefault="008E44CC" w:rsidP="008E44CC">
      <w:pPr>
        <w:spacing w:after="120"/>
        <w:rPr>
          <w:rFonts w:cs="Times New Roman"/>
          <w:szCs w:val="24"/>
          <w:lang w:val="pt-BR"/>
        </w:rPr>
      </w:pPr>
      <w:r w:rsidRPr="009C7F96">
        <w:rPr>
          <w:rFonts w:cs="Times New Roman"/>
          <w:szCs w:val="24"/>
          <w:lang w:val="pt-BR"/>
        </w:rPr>
        <w:t>O horizonte máximo estimado é de 24 meses, mas a interpretação principal concentra-se até 12 meses. Essa escolha evita dar peso excessivo a horizontes muito longos, nos quais os intervalos de confiança tendem a se ampliar e a incerteza estatística aumenta.</w:t>
      </w:r>
    </w:p>
    <w:p w14:paraId="5921588C" w14:textId="77777777" w:rsidR="008E44CC" w:rsidRPr="009C7F96" w:rsidRDefault="008E44CC" w:rsidP="008E44CC">
      <w:pPr>
        <w:pStyle w:val="Heading2"/>
        <w:spacing w:before="120" w:after="120"/>
        <w:jc w:val="both"/>
        <w:rPr>
          <w:rFonts w:cs="Times New Roman"/>
          <w:szCs w:val="24"/>
        </w:rPr>
      </w:pPr>
      <w:bookmarkStart w:id="21" w:name="_Toc229695948"/>
      <w:r w:rsidRPr="009C7F96">
        <w:rPr>
          <w:rFonts w:ascii="Times New Roman" w:eastAsia="Times New Roman" w:hAnsi="Times New Roman" w:cs="Times New Roman"/>
          <w:szCs w:val="24"/>
        </w:rPr>
        <w:t xml:space="preserve">3.5 Controles, defasagens e inferência nas Local </w:t>
      </w:r>
      <w:proofErr w:type="spellStart"/>
      <w:r w:rsidRPr="009C7F96">
        <w:rPr>
          <w:rFonts w:ascii="Times New Roman" w:eastAsia="Times New Roman" w:hAnsi="Times New Roman" w:cs="Times New Roman"/>
          <w:szCs w:val="24"/>
        </w:rPr>
        <w:t>Projections</w:t>
      </w:r>
      <w:bookmarkEnd w:id="21"/>
      <w:proofErr w:type="spellEnd"/>
    </w:p>
    <w:p w14:paraId="6F4EE8C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 matriz de controles das Local </w:t>
      </w:r>
      <w:proofErr w:type="spellStart"/>
      <w:r w:rsidRPr="009C7F96">
        <w:rPr>
          <w:rFonts w:cs="Times New Roman"/>
          <w:szCs w:val="24"/>
          <w:lang w:val="pt-BR"/>
        </w:rPr>
        <w:t>Projections</w:t>
      </w:r>
      <w:proofErr w:type="spellEnd"/>
      <w:r w:rsidRPr="009C7F96">
        <w:rPr>
          <w:rFonts w:cs="Times New Roman"/>
          <w:szCs w:val="24"/>
          <w:lang w:val="pt-BR"/>
        </w:rPr>
        <w:t xml:space="preserve"> inclui defasagens da variável dependente, defasagens do choque, defasagens dos controles macroeconômicos, </w:t>
      </w:r>
      <w:proofErr w:type="spellStart"/>
      <w:r w:rsidRPr="009C7F96">
        <w:rPr>
          <w:rFonts w:cs="Times New Roman"/>
          <w:szCs w:val="24"/>
          <w:lang w:val="pt-BR"/>
        </w:rPr>
        <w:t>dummies</w:t>
      </w:r>
      <w:proofErr w:type="spellEnd"/>
      <w:r w:rsidRPr="009C7F96">
        <w:rPr>
          <w:rFonts w:cs="Times New Roman"/>
          <w:szCs w:val="24"/>
          <w:lang w:val="pt-BR"/>
        </w:rPr>
        <w:t xml:space="preserve"> mensais e variáveis associadas a eventos específicos, como a pandemia. A estrutura geral dos controles pode ser representada por:</w:t>
      </w:r>
    </w:p>
    <w:p w14:paraId="4145B034"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Zₜ = [yₜ₋₁, ..., yₜ₋ₚ; </w:t>
      </w:r>
      <w:proofErr w:type="spellStart"/>
      <w:r w:rsidRPr="009C7F96">
        <w:rPr>
          <w:rFonts w:cs="Times New Roman"/>
          <w:szCs w:val="24"/>
          <w:lang w:val="pt-BR"/>
        </w:rPr>
        <w:t>shock</w:t>
      </w:r>
      <w:proofErr w:type="spellEnd"/>
      <w:r w:rsidRPr="009C7F96">
        <w:rPr>
          <w:rFonts w:cs="Times New Roman"/>
          <w:szCs w:val="24"/>
          <w:lang w:val="pt-BR"/>
        </w:rPr>
        <w:t xml:space="preserve">ₜ₋₁, ..., </w:t>
      </w:r>
      <w:proofErr w:type="spellStart"/>
      <w:r w:rsidRPr="009C7F96">
        <w:rPr>
          <w:rFonts w:cs="Times New Roman"/>
          <w:szCs w:val="24"/>
          <w:lang w:val="pt-BR"/>
        </w:rPr>
        <w:t>shock</w:t>
      </w:r>
      <w:proofErr w:type="spellEnd"/>
      <w:r w:rsidRPr="009C7F96">
        <w:rPr>
          <w:rFonts w:cs="Times New Roman"/>
          <w:szCs w:val="24"/>
          <w:lang w:val="pt-BR"/>
        </w:rPr>
        <w:t xml:space="preserve">ₜ₋ₚ; Xₜ, Xₜ₋₁, ..., Xₜ₋ₚ; Dₘ]     </w:t>
      </w:r>
      <w:proofErr w:type="gramStart"/>
      <w:r w:rsidRPr="009C7F96">
        <w:rPr>
          <w:rFonts w:cs="Times New Roman"/>
          <w:szCs w:val="24"/>
          <w:lang w:val="pt-BR"/>
        </w:rPr>
        <w:t xml:space="preserve">   (</w:t>
      </w:r>
      <w:proofErr w:type="gramEnd"/>
      <w:r w:rsidRPr="009C7F96">
        <w:rPr>
          <w:rFonts w:cs="Times New Roman"/>
          <w:szCs w:val="24"/>
          <w:lang w:val="pt-BR"/>
        </w:rPr>
        <w:t>10)</w:t>
      </w:r>
    </w:p>
    <w:p w14:paraId="2985897E" w14:textId="77777777" w:rsidR="008E44CC" w:rsidRPr="009C7F96" w:rsidRDefault="008E44CC" w:rsidP="008E44CC">
      <w:pPr>
        <w:spacing w:after="120"/>
        <w:rPr>
          <w:rFonts w:cs="Times New Roman"/>
          <w:szCs w:val="24"/>
          <w:lang w:val="pt-BR"/>
        </w:rPr>
      </w:pPr>
      <w:r w:rsidRPr="00CA3657">
        <w:rPr>
          <w:lang w:val="pt-BR"/>
        </w:rPr>
        <w:t xml:space="preserve">No modelo principal, utilizam-se três defasagens como especificação de referência. Essa escolha é parcimoniosa e busca equilibrar a captura da dinâmica mensal de curto prazo com a preservação de graus de liberdade, especialmente porque as respostas são estimadas separadamente para cada horizonte e porque algumas especificações são divididas por regimes. A escolha, porém, não deve ser interpretada como uma afirmação de que toda a inércia inflacionária brasileira se esgota em três meses. Por esse motivo, a especificação inclui </w:t>
      </w:r>
      <w:proofErr w:type="spellStart"/>
      <w:r w:rsidRPr="00CA3657">
        <w:rPr>
          <w:lang w:val="pt-BR"/>
        </w:rPr>
        <w:t>dummies</w:t>
      </w:r>
      <w:proofErr w:type="spellEnd"/>
      <w:r w:rsidRPr="00CA3657">
        <w:rPr>
          <w:lang w:val="pt-BR"/>
        </w:rPr>
        <w:t xml:space="preserve"> mensais, defasagens da variável dependente, defasagens do choque e controles macroeconômicos, além de inferência HAC/Newey-West. Em uma versão de submissão ou em extensões futuras, especificações com seis e doze defasagens devem ser reportadas como teste de sensibilidade, sobretudo para avaliar se a autocorrelação residual das Local </w:t>
      </w:r>
      <w:proofErr w:type="spellStart"/>
      <w:r w:rsidRPr="00CA3657">
        <w:rPr>
          <w:lang w:val="pt-BR"/>
        </w:rPr>
        <w:t>Projections</w:t>
      </w:r>
      <w:proofErr w:type="spellEnd"/>
      <w:r w:rsidRPr="00CA3657">
        <w:rPr>
          <w:lang w:val="pt-BR"/>
        </w:rPr>
        <w:t xml:space="preserve"> altera a significância dos resultados principais.</w:t>
      </w:r>
    </w:p>
    <w:p w14:paraId="02F86F02" w14:textId="77777777" w:rsidR="008E44CC" w:rsidRPr="009C7F96" w:rsidRDefault="008E44CC" w:rsidP="008E44CC">
      <w:pPr>
        <w:spacing w:after="120"/>
        <w:rPr>
          <w:rFonts w:cs="Times New Roman"/>
          <w:szCs w:val="24"/>
          <w:lang w:val="pt-BR"/>
        </w:rPr>
      </w:pPr>
      <w:r w:rsidRPr="00CA3657">
        <w:rPr>
          <w:lang w:val="pt-BR"/>
        </w:rPr>
        <w:t xml:space="preserve">A inferência é realizada com erros-padrão robustos do tipo HAC/Newey-West. Essa escolha é apropriada porque, em Local </w:t>
      </w:r>
      <w:proofErr w:type="spellStart"/>
      <w:r w:rsidRPr="00CA3657">
        <w:rPr>
          <w:lang w:val="pt-BR"/>
        </w:rPr>
        <w:t>Projections</w:t>
      </w:r>
      <w:proofErr w:type="spellEnd"/>
      <w:r w:rsidRPr="00CA3657">
        <w:rPr>
          <w:lang w:val="pt-BR"/>
        </w:rPr>
        <w:t>, os resíduos podem apresentar autocorrelação, principalmente quando a variável dependente é construída em horizontes futuros ou como resposta acumulada. O uso de HAC não substitui a necessidade de especificações bem escolhidas, mas reduz o risco de inferência excessivamente otimista diante de correlação serial remanescente. Assim, a leitura dos resultados combina sinal econômico, intervalo de confiança, estabilidade da trajetória e coerência entre especificações alternativas. O intervalo de confiança de 90% é dado por:</w:t>
      </w:r>
    </w:p>
    <w:p w14:paraId="0FC7571A"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ICₕ = </w:t>
      </w:r>
      <w:r w:rsidRPr="009C7F96">
        <w:rPr>
          <w:rFonts w:cs="Times New Roman"/>
          <w:szCs w:val="24"/>
        </w:rPr>
        <w:t>β</w:t>
      </w:r>
      <w:r w:rsidRPr="009C7F96">
        <w:rPr>
          <w:rFonts w:cs="Times New Roman"/>
          <w:szCs w:val="24"/>
          <w:lang w:val="pt-BR"/>
        </w:rPr>
        <w:t>̂ₕ ± 1,645 · SE_</w:t>
      </w:r>
      <w:proofErr w:type="gramStart"/>
      <w:r w:rsidRPr="009C7F96">
        <w:rPr>
          <w:rFonts w:cs="Times New Roman"/>
          <w:szCs w:val="24"/>
          <w:lang w:val="pt-BR"/>
        </w:rPr>
        <w:t>HAC(</w:t>
      </w:r>
      <w:r w:rsidRPr="009C7F96">
        <w:rPr>
          <w:rFonts w:cs="Times New Roman"/>
          <w:szCs w:val="24"/>
        </w:rPr>
        <w:t>β</w:t>
      </w:r>
      <w:r w:rsidRPr="009C7F96">
        <w:rPr>
          <w:rFonts w:cs="Times New Roman"/>
          <w:szCs w:val="24"/>
          <w:lang w:val="pt-BR"/>
        </w:rPr>
        <w:t xml:space="preserve">̂ₕ)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11)</w:t>
      </w:r>
    </w:p>
    <w:p w14:paraId="6D653CD6"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Os resultados devem ser avaliados por coeficiente, erro-padrão, estatística t, p-valor, intervalo de confiança e número de observações. Um resultado é considerado mais forte quando o intervalo de confiança não cruza zero, quando o sinal é compatível com a teoria econômica e quando a trajetória estimada não apresenta explosões sem justificativa econômica.</w:t>
      </w:r>
    </w:p>
    <w:p w14:paraId="5FDBDE05" w14:textId="77777777" w:rsidR="008E44CC" w:rsidRPr="009C7F96" w:rsidRDefault="008E44CC" w:rsidP="008E44CC">
      <w:pPr>
        <w:pStyle w:val="Heading2"/>
        <w:spacing w:before="120" w:after="120"/>
        <w:jc w:val="both"/>
        <w:rPr>
          <w:rFonts w:cs="Times New Roman"/>
          <w:szCs w:val="24"/>
        </w:rPr>
      </w:pPr>
      <w:bookmarkStart w:id="22" w:name="_Toc229695949"/>
      <w:r w:rsidRPr="009C7F96">
        <w:rPr>
          <w:rFonts w:ascii="Times New Roman" w:eastAsia="Times New Roman" w:hAnsi="Times New Roman" w:cs="Times New Roman"/>
          <w:szCs w:val="24"/>
        </w:rPr>
        <w:t xml:space="preserve">3.6 Blocos de transmissão nas Local </w:t>
      </w:r>
      <w:proofErr w:type="spellStart"/>
      <w:r w:rsidRPr="009C7F96">
        <w:rPr>
          <w:rFonts w:ascii="Times New Roman" w:eastAsia="Times New Roman" w:hAnsi="Times New Roman" w:cs="Times New Roman"/>
          <w:szCs w:val="24"/>
        </w:rPr>
        <w:t>Projections</w:t>
      </w:r>
      <w:bookmarkEnd w:id="22"/>
      <w:proofErr w:type="spellEnd"/>
    </w:p>
    <w:p w14:paraId="10E13E7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As estimações por Local </w:t>
      </w:r>
      <w:proofErr w:type="spellStart"/>
      <w:r w:rsidRPr="009C7F96">
        <w:rPr>
          <w:rFonts w:cs="Times New Roman"/>
          <w:szCs w:val="24"/>
          <w:lang w:val="pt-BR"/>
        </w:rPr>
        <w:t>Projections</w:t>
      </w:r>
      <w:proofErr w:type="spellEnd"/>
      <w:r w:rsidRPr="009C7F96">
        <w:rPr>
          <w:rFonts w:cs="Times New Roman"/>
          <w:szCs w:val="24"/>
          <w:lang w:val="pt-BR"/>
        </w:rPr>
        <w:t xml:space="preserve"> foram organizadas em quatro blocos. Essa divisão transforma os resultados em uma sequência econômica de transmissão, evitando que os gráficos sejam interpretados como relações isoladas.</w:t>
      </w:r>
    </w:p>
    <w:p w14:paraId="2C25E3C6" w14:textId="77777777" w:rsidR="008E44CC" w:rsidRPr="009C7F96" w:rsidRDefault="008E44CC" w:rsidP="008E44CC">
      <w:pPr>
        <w:spacing w:after="120"/>
        <w:rPr>
          <w:rFonts w:cs="Times New Roman"/>
          <w:szCs w:val="24"/>
          <w:lang w:val="pt-BR"/>
        </w:rPr>
      </w:pPr>
      <w:r w:rsidRPr="009C7F96">
        <w:rPr>
          <w:rFonts w:cs="Times New Roman"/>
          <w:szCs w:val="24"/>
          <w:lang w:val="pt-BR"/>
        </w:rPr>
        <w:t>O Bloco A estima a transmissão do petróleo para os combustíveis domésticos:</w:t>
      </w:r>
    </w:p>
    <w:p w14:paraId="449FF188"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w:t>
      </w:r>
      <w:r w:rsidRPr="009C7F96">
        <w:rPr>
          <w:rFonts w:cs="Times New Roman"/>
          <w:szCs w:val="24"/>
        </w:rPr>
        <w:t>ε</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12)</w:t>
      </w:r>
    </w:p>
    <w:p w14:paraId="4701B6A3" w14:textId="77777777" w:rsidR="008E44CC" w:rsidRPr="009C7F96" w:rsidRDefault="008E44CC" w:rsidP="008E44CC">
      <w:pPr>
        <w:spacing w:after="120"/>
        <w:rPr>
          <w:rFonts w:cs="Times New Roman"/>
          <w:szCs w:val="24"/>
          <w:lang w:val="pt-BR"/>
        </w:rPr>
      </w:pPr>
      <w:r w:rsidRPr="009C7F96">
        <w:rPr>
          <w:rFonts w:cs="Times New Roman"/>
          <w:szCs w:val="24"/>
          <w:lang w:val="pt-BR"/>
        </w:rPr>
        <w:t>O Bloco B estima o efeito dos combustíveis sobre a inflação:</w:t>
      </w:r>
    </w:p>
    <w:p w14:paraId="27C868F4"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θ</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w:t>
      </w:r>
      <w:r w:rsidRPr="009C7F96">
        <w:rPr>
          <w:rFonts w:cs="Times New Roman"/>
          <w:szCs w:val="24"/>
        </w:rPr>
        <w:t>υ</w:t>
      </w:r>
      <w:r w:rsidRPr="009C7F96">
        <w:rPr>
          <w:rFonts w:cs="Times New Roman"/>
          <w:szCs w:val="24"/>
          <w:lang w:val="pt-BR"/>
        </w:rPr>
        <w:t xml:space="preserve">ₜ₊ₕ⁽ʰ⁾     </w:t>
      </w:r>
      <w:proofErr w:type="gramStart"/>
      <w:r w:rsidRPr="009C7F96">
        <w:rPr>
          <w:rFonts w:cs="Times New Roman"/>
          <w:szCs w:val="24"/>
          <w:lang w:val="pt-BR"/>
        </w:rPr>
        <w:t xml:space="preserve">   (</w:t>
      </w:r>
      <w:proofErr w:type="gramEnd"/>
      <w:r w:rsidRPr="009C7F96">
        <w:rPr>
          <w:rFonts w:cs="Times New Roman"/>
          <w:szCs w:val="24"/>
          <w:lang w:val="pt-BR"/>
        </w:rPr>
        <w:t>13)</w:t>
      </w:r>
    </w:p>
    <w:p w14:paraId="4E6F150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Nessa equação, </w:t>
      </w:r>
      <w:r w:rsidRPr="009C7F96">
        <w:rPr>
          <w:rFonts w:cs="Times New Roman"/>
          <w:szCs w:val="24"/>
        </w:rPr>
        <w:t>π</w:t>
      </w:r>
      <w:r w:rsidRPr="009C7F96">
        <w:rPr>
          <w:rFonts w:cs="Times New Roman"/>
          <w:szCs w:val="24"/>
          <w:lang w:val="pt-BR"/>
        </w:rPr>
        <w:t>_</w:t>
      </w:r>
      <w:proofErr w:type="spellStart"/>
      <w:r w:rsidRPr="009C7F96">
        <w:rPr>
          <w:rFonts w:cs="Times New Roman"/>
          <w:szCs w:val="24"/>
          <w:lang w:val="pt-BR"/>
        </w:rPr>
        <w:t>t^k</w:t>
      </w:r>
      <w:proofErr w:type="spellEnd"/>
      <w:r w:rsidRPr="009C7F96">
        <w:rPr>
          <w:rFonts w:cs="Times New Roman"/>
          <w:szCs w:val="24"/>
          <w:lang w:val="pt-BR"/>
        </w:rPr>
        <w:t xml:space="preserve"> representa o IPCA Geral ou o IPCA Transportes. A comparação entre essas duas respostas é central para o trabalho, pois o canal dos combustíveis deve aparecer com maior força no IPCA Transportes do que no índice agregado.</w:t>
      </w:r>
    </w:p>
    <w:p w14:paraId="1686BD2F" w14:textId="77777777" w:rsidR="008E44CC" w:rsidRPr="009C7F96" w:rsidRDefault="008E44CC" w:rsidP="008E44CC">
      <w:pPr>
        <w:spacing w:after="120"/>
        <w:rPr>
          <w:rFonts w:cs="Times New Roman"/>
          <w:szCs w:val="24"/>
          <w:lang w:val="pt-BR"/>
        </w:rPr>
      </w:pPr>
      <w:r w:rsidRPr="009C7F96">
        <w:rPr>
          <w:rFonts w:cs="Times New Roman"/>
          <w:szCs w:val="24"/>
          <w:lang w:val="pt-BR"/>
        </w:rPr>
        <w:t>O Bloco C estima o efeito do petróleo sobre a inflação com e sem controle pelos combustíveis. Primeiro, estima-se o efeito total:</w:t>
      </w:r>
    </w:p>
    <w:p w14:paraId="4A146F6B"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Γ</w:t>
      </w:r>
      <w:r w:rsidRPr="009C7F96">
        <w:rPr>
          <w:rFonts w:cs="Times New Roman"/>
          <w:szCs w:val="24"/>
          <w:lang w:val="pt-BR"/>
        </w:rPr>
        <w:t xml:space="preserve">ₕ(L)Zₜ + eₜ₊ₕ⁽ʰ⁾     </w:t>
      </w:r>
      <w:proofErr w:type="gramStart"/>
      <w:r w:rsidRPr="009C7F96">
        <w:rPr>
          <w:rFonts w:cs="Times New Roman"/>
          <w:szCs w:val="24"/>
          <w:lang w:val="pt-BR"/>
        </w:rPr>
        <w:t xml:space="preserve">   (</w:t>
      </w:r>
      <w:proofErr w:type="gramEnd"/>
      <w:r w:rsidRPr="009C7F96">
        <w:rPr>
          <w:rFonts w:cs="Times New Roman"/>
          <w:szCs w:val="24"/>
          <w:lang w:val="pt-BR"/>
        </w:rPr>
        <w:t>14)</w:t>
      </w:r>
    </w:p>
    <w:p w14:paraId="0D033052" w14:textId="77777777" w:rsidR="008E44CC" w:rsidRPr="009C7F96" w:rsidRDefault="008E44CC" w:rsidP="008E44CC">
      <w:pPr>
        <w:spacing w:after="120"/>
        <w:rPr>
          <w:rFonts w:cs="Times New Roman"/>
          <w:szCs w:val="24"/>
          <w:lang w:val="pt-BR"/>
        </w:rPr>
      </w:pPr>
      <w:r w:rsidRPr="009C7F96">
        <w:rPr>
          <w:rFonts w:cs="Times New Roman"/>
          <w:szCs w:val="24"/>
          <w:lang w:val="pt-BR"/>
        </w:rPr>
        <w:t>Em seguida, inclui-se o combustível como controle para verificar se parte do efeito do petróleo passa por esse canal:</w:t>
      </w:r>
    </w:p>
    <w:p w14:paraId="4E61621A"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 xml:space="preserve">₌₀ʰ </w:t>
      </w:r>
      <w:r w:rsidRPr="009C7F96">
        <w:rPr>
          <w:rFonts w:cs="Times New Roman"/>
          <w:szCs w:val="24"/>
        </w:rPr>
        <w:t>π</w:t>
      </w:r>
      <w:r w:rsidRPr="009C7F96">
        <w:rPr>
          <w:rFonts w:cs="Times New Roman"/>
          <w:szCs w:val="24"/>
          <w:lang w:val="pt-BR"/>
        </w:rPr>
        <w:t>ₜ₊</w:t>
      </w:r>
      <w:r w:rsidRPr="009C7F96">
        <w:rPr>
          <w:rFonts w:cs="Times New Roman"/>
          <w:szCs w:val="24"/>
        </w:rPr>
        <w:t>ⱼᵏ</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ₜ)ˢ</w:t>
      </w:r>
      <w:r w:rsidRPr="009C7F96">
        <w:rPr>
          <w:rFonts w:cs="Times New Roman"/>
          <w:szCs w:val="24"/>
        </w:rPr>
        <w:t>ᵗᵈ</w:t>
      </w:r>
      <w:r w:rsidRPr="009C7F96">
        <w:rPr>
          <w:rFonts w:cs="Times New Roman"/>
          <w:szCs w:val="24"/>
          <w:lang w:val="pt-BR"/>
        </w:rPr>
        <w:t xml:space="preserve"> + </w:t>
      </w:r>
      <w:r w:rsidRPr="009C7F96">
        <w:rPr>
          <w:rFonts w:cs="Times New Roman"/>
          <w:szCs w:val="24"/>
        </w:rPr>
        <w:t>δ</w:t>
      </w:r>
      <w:r w:rsidRPr="009C7F96">
        <w:rPr>
          <w:rFonts w:cs="Times New Roman"/>
          <w:szCs w:val="24"/>
          <w:lang w:val="pt-BR"/>
        </w:rPr>
        <w:t>ₕ</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ₕ(L)Zₜ + eₜ₊ₕ⁽ʰ⁾     </w:t>
      </w:r>
      <w:proofErr w:type="gramStart"/>
      <w:r w:rsidRPr="009C7F96">
        <w:rPr>
          <w:rFonts w:cs="Times New Roman"/>
          <w:szCs w:val="24"/>
          <w:lang w:val="pt-BR"/>
        </w:rPr>
        <w:t xml:space="preserve">   (</w:t>
      </w:r>
      <w:proofErr w:type="gramEnd"/>
      <w:r w:rsidRPr="009C7F96">
        <w:rPr>
          <w:rFonts w:cs="Times New Roman"/>
          <w:szCs w:val="24"/>
          <w:lang w:val="pt-BR"/>
        </w:rPr>
        <w:t>15)</w:t>
      </w:r>
    </w:p>
    <w:p w14:paraId="08FD4EA6"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Se o coeficiente </w:t>
      </w:r>
      <w:r w:rsidRPr="009C7F96">
        <w:rPr>
          <w:rFonts w:cs="Times New Roman"/>
          <w:szCs w:val="24"/>
        </w:rPr>
        <w:t>β</w:t>
      </w:r>
      <w:r w:rsidRPr="009C7F96">
        <w:rPr>
          <w:rFonts w:cs="Times New Roman"/>
          <w:szCs w:val="24"/>
          <w:lang w:val="pt-BR"/>
        </w:rPr>
        <w:t>_h diminuir após a inclusão do combustível, há evidência de que parte do impacto do petróleo sobre a inflação é mediada pelos preços domésticos dos combustíveis.</w:t>
      </w:r>
    </w:p>
    <w:p w14:paraId="78BEE98D" w14:textId="77777777" w:rsidR="008E44CC" w:rsidRPr="009C7F96" w:rsidRDefault="008E44CC" w:rsidP="008E44CC">
      <w:pPr>
        <w:spacing w:after="120"/>
        <w:rPr>
          <w:rFonts w:cs="Times New Roman"/>
          <w:szCs w:val="24"/>
          <w:lang w:val="pt-BR"/>
        </w:rPr>
      </w:pPr>
      <w:r w:rsidRPr="009C7F96">
        <w:rPr>
          <w:rFonts w:cs="Times New Roman"/>
          <w:szCs w:val="24"/>
          <w:lang w:val="pt-BR"/>
        </w:rPr>
        <w:t>O Bloco D compara regimes associados à política de preços da Petrobras. A forma geral é:</w:t>
      </w:r>
    </w:p>
    <w:p w14:paraId="4F12CFB7" w14:textId="77777777" w:rsidR="008E44CC" w:rsidRPr="009C7F96" w:rsidRDefault="008E44CC" w:rsidP="008E44CC">
      <w:pPr>
        <w:spacing w:after="120"/>
        <w:rPr>
          <w:rFonts w:cs="Times New Roman"/>
          <w:szCs w:val="24"/>
          <w:lang w:val="pt-BR"/>
        </w:rPr>
      </w:pPr>
      <w:r w:rsidRPr="009C7F96">
        <w:rPr>
          <w:rFonts w:cs="Times New Roman"/>
          <w:szCs w:val="24"/>
        </w:rPr>
        <w:t>Σⱼ</w:t>
      </w:r>
      <w:r w:rsidRPr="009C7F96">
        <w:rPr>
          <w:rFonts w:cs="Times New Roman"/>
          <w:szCs w:val="24"/>
          <w:lang w:val="pt-BR"/>
        </w:rPr>
        <w:t>₌₀ʰ yₜ₊</w:t>
      </w:r>
      <w:r w:rsidRPr="009C7F96">
        <w:rPr>
          <w:rFonts w:cs="Times New Roman"/>
          <w:szCs w:val="24"/>
        </w:rPr>
        <w:t>ⱼ</w:t>
      </w:r>
      <w:r w:rsidRPr="009C7F96">
        <w:rPr>
          <w:rFonts w:cs="Times New Roman"/>
          <w:szCs w:val="24"/>
          <w:lang w:val="pt-BR"/>
        </w:rPr>
        <w:t xml:space="preserve"> = </w:t>
      </w:r>
      <w:r w:rsidRPr="009C7F96">
        <w:rPr>
          <w:rFonts w:cs="Times New Roman"/>
          <w:szCs w:val="24"/>
        </w:rPr>
        <w:t>α</w:t>
      </w:r>
      <w:r w:rsidRPr="009C7F96">
        <w:rPr>
          <w:rFonts w:cs="Times New Roman"/>
          <w:szCs w:val="24"/>
          <w:lang w:val="pt-BR"/>
        </w:rPr>
        <w:t xml:space="preserve">ₕ + </w:t>
      </w:r>
      <w:r w:rsidRPr="009C7F96">
        <w:rPr>
          <w:rFonts w:cs="Times New Roman"/>
          <w:szCs w:val="24"/>
        </w:rPr>
        <w:t>β</w:t>
      </w:r>
      <w:r w:rsidRPr="009C7F96">
        <w:rPr>
          <w:rFonts w:cs="Times New Roman"/>
          <w:szCs w:val="24"/>
          <w:lang w:val="pt-BR"/>
        </w:rPr>
        <w:t>ₕ</w:t>
      </w:r>
      <w:r w:rsidRPr="009C7F96">
        <w:rPr>
          <w:rFonts w:cs="Times New Roman"/>
          <w:szCs w:val="24"/>
        </w:rPr>
        <w:t>ᵖ</w:t>
      </w:r>
      <w:r w:rsidRPr="009C7F96">
        <w:rPr>
          <w:rFonts w:cs="Times New Roman"/>
          <w:szCs w:val="24"/>
          <w:lang w:val="pt-BR"/>
        </w:rPr>
        <w:t>ʳ</w:t>
      </w:r>
      <w:r w:rsidRPr="009C7F96">
        <w:rPr>
          <w:rFonts w:cs="Times New Roman"/>
          <w:szCs w:val="24"/>
        </w:rPr>
        <w:t>ᵉ</w:t>
      </w:r>
      <w:r w:rsidRPr="009C7F96">
        <w:rPr>
          <w:rFonts w:cs="Times New Roman"/>
          <w:szCs w:val="24"/>
          <w:lang w:val="pt-BR"/>
        </w:rPr>
        <w:t>(1−</w:t>
      </w:r>
      <w:proofErr w:type="gramStart"/>
      <w:r w:rsidRPr="009C7F96">
        <w:rPr>
          <w:rFonts w:cs="Times New Roman"/>
          <w:szCs w:val="24"/>
          <w:lang w:val="pt-BR"/>
        </w:rPr>
        <w:t>Dₜ)</w:t>
      </w:r>
      <w:proofErr w:type="spellStart"/>
      <w:r w:rsidRPr="009C7F96">
        <w:rPr>
          <w:rFonts w:cs="Times New Roman"/>
          <w:szCs w:val="24"/>
          <w:lang w:val="pt-BR"/>
        </w:rPr>
        <w:t>shock</w:t>
      </w:r>
      <w:proofErr w:type="spellEnd"/>
      <w:proofErr w:type="gramEnd"/>
      <w:r w:rsidRPr="009C7F96">
        <w:rPr>
          <w:rFonts w:cs="Times New Roman"/>
          <w:szCs w:val="24"/>
          <w:lang w:val="pt-BR"/>
        </w:rPr>
        <w:t xml:space="preserve">ₜ + </w:t>
      </w:r>
      <w:r w:rsidRPr="009C7F96">
        <w:rPr>
          <w:rFonts w:cs="Times New Roman"/>
          <w:szCs w:val="24"/>
        </w:rPr>
        <w:t>β</w:t>
      </w:r>
      <w:r w:rsidRPr="009C7F96">
        <w:rPr>
          <w:rFonts w:cs="Times New Roman"/>
          <w:szCs w:val="24"/>
          <w:lang w:val="pt-BR"/>
        </w:rPr>
        <w:t>ₕ</w:t>
      </w:r>
      <w:r w:rsidRPr="009C7F96">
        <w:rPr>
          <w:rFonts w:cs="Times New Roman"/>
          <w:szCs w:val="24"/>
        </w:rPr>
        <w:t>ᵖᵒ</w:t>
      </w:r>
      <w:r w:rsidRPr="009C7F96">
        <w:rPr>
          <w:rFonts w:cs="Times New Roman"/>
          <w:szCs w:val="24"/>
          <w:lang w:val="pt-BR"/>
        </w:rPr>
        <w:t>ˢ</w:t>
      </w:r>
      <w:r w:rsidRPr="009C7F96">
        <w:rPr>
          <w:rFonts w:cs="Times New Roman"/>
          <w:szCs w:val="24"/>
        </w:rPr>
        <w:t>ᵗ</w:t>
      </w:r>
      <w:proofErr w:type="spellStart"/>
      <w:r w:rsidRPr="009C7F96">
        <w:rPr>
          <w:rFonts w:cs="Times New Roman"/>
          <w:szCs w:val="24"/>
          <w:lang w:val="pt-BR"/>
        </w:rPr>
        <w:t>Dₜshock</w:t>
      </w:r>
      <w:proofErr w:type="spellEnd"/>
      <w:r w:rsidRPr="009C7F96">
        <w:rPr>
          <w:rFonts w:cs="Times New Roman"/>
          <w:szCs w:val="24"/>
          <w:lang w:val="pt-BR"/>
        </w:rPr>
        <w:t xml:space="preserve">ₜ + </w:t>
      </w:r>
      <w:r w:rsidRPr="009C7F96">
        <w:rPr>
          <w:rFonts w:cs="Times New Roman"/>
          <w:szCs w:val="24"/>
        </w:rPr>
        <w:t>Γ</w:t>
      </w:r>
      <w:r w:rsidRPr="009C7F96">
        <w:rPr>
          <w:rFonts w:cs="Times New Roman"/>
          <w:szCs w:val="24"/>
          <w:lang w:val="pt-BR"/>
        </w:rPr>
        <w:t xml:space="preserve">ₕ(L)Zₜ + uₜ₊ₕ⁽ʰ⁾     </w:t>
      </w:r>
      <w:proofErr w:type="gramStart"/>
      <w:r w:rsidRPr="009C7F96">
        <w:rPr>
          <w:rFonts w:cs="Times New Roman"/>
          <w:szCs w:val="24"/>
          <w:lang w:val="pt-BR"/>
        </w:rPr>
        <w:t xml:space="preserve">   (</w:t>
      </w:r>
      <w:proofErr w:type="gramEnd"/>
      <w:r w:rsidRPr="009C7F96">
        <w:rPr>
          <w:rFonts w:cs="Times New Roman"/>
          <w:szCs w:val="24"/>
          <w:lang w:val="pt-BR"/>
        </w:rPr>
        <w:t>16)</w:t>
      </w:r>
    </w:p>
    <w:p w14:paraId="1FB7854F"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 xml:space="preserve">A variável </w:t>
      </w:r>
      <w:proofErr w:type="spellStart"/>
      <w:r w:rsidRPr="009C7F96">
        <w:rPr>
          <w:rFonts w:cs="Times New Roman"/>
          <w:szCs w:val="24"/>
          <w:lang w:val="pt-BR"/>
        </w:rPr>
        <w:t>D_t</w:t>
      </w:r>
      <w:proofErr w:type="spellEnd"/>
      <w:r w:rsidRPr="009C7F96">
        <w:rPr>
          <w:rFonts w:cs="Times New Roman"/>
          <w:szCs w:val="24"/>
          <w:lang w:val="pt-BR"/>
        </w:rPr>
        <w:t xml:space="preserve"> identifica o período posterior à mudança de regime. A comparação entre </w:t>
      </w:r>
      <w:r w:rsidRPr="009C7F96">
        <w:rPr>
          <w:rFonts w:cs="Times New Roman"/>
          <w:szCs w:val="24"/>
        </w:rPr>
        <w:t>β</w:t>
      </w:r>
      <w:r w:rsidRPr="009C7F96">
        <w:rPr>
          <w:rFonts w:cs="Times New Roman"/>
          <w:szCs w:val="24"/>
          <w:lang w:val="pt-BR"/>
        </w:rPr>
        <w:t>_h^{</w:t>
      </w:r>
      <w:proofErr w:type="spellStart"/>
      <w:r w:rsidRPr="009C7F96">
        <w:rPr>
          <w:rFonts w:cs="Times New Roman"/>
          <w:szCs w:val="24"/>
          <w:lang w:val="pt-BR"/>
        </w:rPr>
        <w:t>pre</w:t>
      </w:r>
      <w:proofErr w:type="spellEnd"/>
      <w:r w:rsidRPr="009C7F96">
        <w:rPr>
          <w:rFonts w:cs="Times New Roman"/>
          <w:szCs w:val="24"/>
          <w:lang w:val="pt-BR"/>
        </w:rPr>
        <w:t xml:space="preserve">} e </w:t>
      </w:r>
      <w:r w:rsidRPr="009C7F96">
        <w:rPr>
          <w:rFonts w:cs="Times New Roman"/>
          <w:szCs w:val="24"/>
        </w:rPr>
        <w:t>β</w:t>
      </w:r>
      <w:r w:rsidRPr="009C7F96">
        <w:rPr>
          <w:rFonts w:cs="Times New Roman"/>
          <w:szCs w:val="24"/>
          <w:lang w:val="pt-BR"/>
        </w:rPr>
        <w:t>_h^{post} permite avaliar se a intensidade do repasse se altera entre períodos de maior contenção e períodos de maior alinhamento aos preços internacionais.</w:t>
      </w:r>
    </w:p>
    <w:p w14:paraId="5E81FBC4" w14:textId="77777777" w:rsidR="008E44CC" w:rsidRPr="009C7F96" w:rsidRDefault="008E44CC" w:rsidP="008E44CC">
      <w:pPr>
        <w:spacing w:before="120" w:after="60"/>
        <w:ind w:firstLine="0"/>
        <w:jc w:val="center"/>
        <w:rPr>
          <w:rFonts w:cs="Times New Roman"/>
          <w:szCs w:val="24"/>
          <w:lang w:val="pt-BR"/>
        </w:rPr>
      </w:pPr>
      <w:r w:rsidRPr="009C7F96">
        <w:rPr>
          <w:rFonts w:cs="Times New Roman"/>
          <w:b/>
          <w:sz w:val="20"/>
          <w:szCs w:val="24"/>
          <w:lang w:val="pt-BR"/>
        </w:rPr>
        <w:t xml:space="preserve">Quadro 2 - Blocos de estimação das Local </w:t>
      </w:r>
      <w:proofErr w:type="spellStart"/>
      <w:r w:rsidRPr="009C7F96">
        <w:rPr>
          <w:rFonts w:cs="Times New Roman"/>
          <w:b/>
          <w:sz w:val="20"/>
          <w:szCs w:val="24"/>
          <w:lang w:val="pt-BR"/>
        </w:rPr>
        <w:t>Projections</w:t>
      </w:r>
      <w:proofErr w:type="spellEnd"/>
    </w:p>
    <w:tbl>
      <w:tblPr>
        <w:tblStyle w:val="TableGrid"/>
        <w:tblW w:w="0" w:type="auto"/>
        <w:jc w:val="center"/>
        <w:tblLayout w:type="autofit"/>
        <w:tblLook w:val="04A0" w:firstRow="1" w:lastRow="0" w:firstColumn="1" w:lastColumn="0" w:noHBand="0" w:noVBand="1"/>
      </w:tblPr>
      <w:tblGrid>
        <w:gridCol w:w="3131"/>
        <w:gridCol w:w="3132"/>
        <w:gridCol w:w="3132"/>
      </w:tblGrid>
      <w:tr w:rsidR="008E44CC" w:rsidRPr="009C7F96" w14:paraId="7EF54EF2" w14:textId="77777777" w:rsidTr="00AB4120">
        <w:trPr>
          <w:jc w:val="center"/>
        </w:trPr>
        <w:tc>
          <w:tcPr>
            <w:tcW w:w="3135" w:type="dxa"/>
            <w:shd w:val="clear" w:color="auto" w:fill="D9EAF7"/>
            <w:tcMar>
              <w:top w:w="30" w:type="dxa"/>
              <w:start w:w="30" w:type="dxa"/>
              <w:bottom w:w="30" w:type="dxa"/>
              <w:end w:w="30" w:type="dxa"/>
            </w:tcMar>
          </w:tcPr>
          <w:p w14:paraId="3BA486C3" w14:textId="77777777" w:rsidR="008E44CC" w:rsidRPr="009C7F96" w:rsidRDefault="008E44CC" w:rsidP="00AB4120">
            <w:pPr>
              <w:spacing w:after="0" w:before="0" w:line="240" w:lineRule="auto"/>
              <w:jc w:val="center"/>
              <w:rPr>
                <w:rFonts w:cs="Times New Roman"/>
                <w:szCs w:val="24"/>
              </w:rPr>
            </w:pPr>
            <w:r w:rsidRPr="009C7F96">
              <w:rPr>
                <w:rFonts w:cs="Times New Roman"/>
                <w:b/>
                <w:sz w:val="14"/>
                <w:szCs w:val="24"/>
              </w:rPr>
              <w:t>Bloco</w:t>
            </w:r>
          </w:p>
        </w:tc>
        <w:tc>
          <w:tcPr>
            <w:tcW w:w="3135" w:type="dxa"/>
            <w:shd w:val="clear" w:color="auto" w:fill="D9EAF7"/>
            <w:tcMar>
              <w:top w:w="30" w:type="dxa"/>
              <w:start w:w="30" w:type="dxa"/>
              <w:bottom w:w="30" w:type="dxa"/>
              <w:end w:w="30" w:type="dxa"/>
            </w:tcMar>
          </w:tcPr>
          <w:p w14:paraId="31D2CAA5"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Pergunta</w:t>
            </w:r>
            <w:proofErr w:type="spellEnd"/>
            <w:r w:rsidRPr="009C7F96">
              <w:rPr>
                <w:rFonts w:cs="Times New Roman"/>
                <w:b/>
                <w:sz w:val="14"/>
                <w:szCs w:val="24"/>
              </w:rPr>
              <w:t xml:space="preserve"> </w:t>
            </w:r>
            <w:proofErr w:type="spellStart"/>
            <w:r w:rsidRPr="009C7F96">
              <w:rPr>
                <w:rFonts w:cs="Times New Roman"/>
                <w:b/>
                <w:sz w:val="14"/>
                <w:szCs w:val="24"/>
              </w:rPr>
              <w:t>econômica</w:t>
            </w:r>
            <w:proofErr w:type="spellEnd"/>
          </w:p>
        </w:tc>
        <w:tc>
          <w:tcPr>
            <w:tcW w:w="3135" w:type="dxa"/>
            <w:shd w:val="clear" w:color="auto" w:fill="D9EAF7"/>
            <w:tcMar>
              <w:top w:w="30" w:type="dxa"/>
              <w:start w:w="30" w:type="dxa"/>
              <w:bottom w:w="30" w:type="dxa"/>
              <w:end w:w="30" w:type="dxa"/>
            </w:tcMar>
          </w:tcPr>
          <w:p w14:paraId="7EB4F3AE"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Relação</w:t>
            </w:r>
            <w:proofErr w:type="spellEnd"/>
            <w:r w:rsidRPr="009C7F96">
              <w:rPr>
                <w:rFonts w:cs="Times New Roman"/>
                <w:b/>
                <w:sz w:val="14"/>
                <w:szCs w:val="24"/>
              </w:rPr>
              <w:t xml:space="preserve"> </w:t>
            </w:r>
            <w:proofErr w:type="spellStart"/>
            <w:r w:rsidRPr="009C7F96">
              <w:rPr>
                <w:rFonts w:cs="Times New Roman"/>
                <w:b/>
                <w:sz w:val="14"/>
                <w:szCs w:val="24"/>
              </w:rPr>
              <w:t>estimada</w:t>
            </w:r>
            <w:proofErr w:type="spellEnd"/>
          </w:p>
        </w:tc>
      </w:tr>
      <w:tr w:rsidR="008E44CC" w:rsidRPr="00CA3657" w14:paraId="6F021813" w14:textId="77777777" w:rsidTr="00AB4120">
        <w:trPr>
          <w:jc w:val="center"/>
        </w:trPr>
        <w:tc>
          <w:tcPr>
            <w:tcW w:w="3135" w:type="dxa"/>
            <w:tcMar>
              <w:top w:w="30" w:type="dxa"/>
              <w:start w:w="30" w:type="dxa"/>
              <w:bottom w:w="30" w:type="dxa"/>
              <w:end w:w="30" w:type="dxa"/>
            </w:tcMar>
          </w:tcPr>
          <w:p w14:paraId="23E29A1E"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A</w:t>
            </w:r>
          </w:p>
        </w:tc>
        <w:tc>
          <w:tcPr>
            <w:tcW w:w="3135" w:type="dxa"/>
            <w:tcMar>
              <w:top w:w="30" w:type="dxa"/>
              <w:start w:w="30" w:type="dxa"/>
              <w:bottom w:w="30" w:type="dxa"/>
              <w:end w:w="30" w:type="dxa"/>
            </w:tcMar>
          </w:tcPr>
          <w:p w14:paraId="473F42A5"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O petróleo internacional afeta combustíveis domésticos?</w:t>
            </w:r>
          </w:p>
        </w:tc>
        <w:tc>
          <w:tcPr>
            <w:tcW w:w="3135" w:type="dxa"/>
            <w:tcMar>
              <w:top w:w="30" w:type="dxa"/>
              <w:start w:w="30" w:type="dxa"/>
              <w:bottom w:w="30" w:type="dxa"/>
              <w:end w:w="30" w:type="dxa"/>
            </w:tcMar>
          </w:tcPr>
          <w:p w14:paraId="60EC944C"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Petróleo → gasolina, etanol, diesel e gasolina na refinaria</w:t>
            </w:r>
          </w:p>
        </w:tc>
      </w:tr>
      <w:tr w:rsidR="008E44CC" w:rsidRPr="00CA3657" w14:paraId="112AD406" w14:textId="77777777" w:rsidTr="00AB4120">
        <w:trPr>
          <w:jc w:val="center"/>
        </w:trPr>
        <w:tc>
          <w:tcPr>
            <w:tcW w:w="3135" w:type="dxa"/>
            <w:tcMar>
              <w:top w:w="30" w:type="dxa"/>
              <w:start w:w="30" w:type="dxa"/>
              <w:bottom w:w="30" w:type="dxa"/>
              <w:end w:w="30" w:type="dxa"/>
            </w:tcMar>
          </w:tcPr>
          <w:p w14:paraId="3E628365"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B</w:t>
            </w:r>
          </w:p>
        </w:tc>
        <w:tc>
          <w:tcPr>
            <w:tcW w:w="3135" w:type="dxa"/>
            <w:tcMar>
              <w:top w:w="30" w:type="dxa"/>
              <w:start w:w="30" w:type="dxa"/>
              <w:bottom w:w="30" w:type="dxa"/>
              <w:end w:w="30" w:type="dxa"/>
            </w:tcMar>
          </w:tcPr>
          <w:p w14:paraId="64578225"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Combustíveis</w:t>
            </w:r>
            <w:proofErr w:type="spellEnd"/>
            <w:r w:rsidRPr="009C7F96">
              <w:rPr>
                <w:rFonts w:cs="Times New Roman"/>
                <w:sz w:val="14"/>
                <w:szCs w:val="24"/>
              </w:rPr>
              <w:t xml:space="preserve"> </w:t>
            </w:r>
            <w:proofErr w:type="spellStart"/>
            <w:r w:rsidRPr="009C7F96">
              <w:rPr>
                <w:rFonts w:cs="Times New Roman"/>
                <w:sz w:val="14"/>
                <w:szCs w:val="24"/>
              </w:rPr>
              <w:t>afetam</w:t>
            </w:r>
            <w:proofErr w:type="spellEnd"/>
            <w:r w:rsidRPr="009C7F96">
              <w:rPr>
                <w:rFonts w:cs="Times New Roman"/>
                <w:sz w:val="14"/>
                <w:szCs w:val="24"/>
              </w:rPr>
              <w:t xml:space="preserve"> </w:t>
            </w:r>
            <w:proofErr w:type="spellStart"/>
            <w:r w:rsidRPr="009C7F96">
              <w:rPr>
                <w:rFonts w:cs="Times New Roman"/>
                <w:sz w:val="14"/>
                <w:szCs w:val="24"/>
              </w:rPr>
              <w:t>inflação</w:t>
            </w:r>
            <w:proofErr w:type="spellEnd"/>
            <w:r w:rsidRPr="009C7F96">
              <w:rPr>
                <w:rFonts w:cs="Times New Roman"/>
                <w:sz w:val="14"/>
                <w:szCs w:val="24"/>
              </w:rPr>
              <w:t>?</w:t>
            </w:r>
          </w:p>
        </w:tc>
        <w:tc>
          <w:tcPr>
            <w:tcW w:w="3135" w:type="dxa"/>
            <w:tcMar>
              <w:top w:w="30" w:type="dxa"/>
              <w:start w:w="30" w:type="dxa"/>
              <w:bottom w:w="30" w:type="dxa"/>
              <w:end w:w="30" w:type="dxa"/>
            </w:tcMar>
          </w:tcPr>
          <w:p w14:paraId="0C28B816"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Combustíveis → IPCA Geral e IPCA Transportes</w:t>
            </w:r>
          </w:p>
        </w:tc>
      </w:tr>
      <w:tr w:rsidR="008E44CC" w:rsidRPr="00CA3657" w14:paraId="1B18CCB2" w14:textId="77777777" w:rsidTr="00AB4120">
        <w:trPr>
          <w:jc w:val="center"/>
        </w:trPr>
        <w:tc>
          <w:tcPr>
            <w:tcW w:w="3135" w:type="dxa"/>
            <w:tcMar>
              <w:top w:w="30" w:type="dxa"/>
              <w:start w:w="30" w:type="dxa"/>
              <w:bottom w:w="30" w:type="dxa"/>
              <w:end w:w="30" w:type="dxa"/>
            </w:tcMar>
          </w:tcPr>
          <w:p w14:paraId="3314AE37"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C</w:t>
            </w:r>
          </w:p>
        </w:tc>
        <w:tc>
          <w:tcPr>
            <w:tcW w:w="3135" w:type="dxa"/>
            <w:tcMar>
              <w:top w:w="30" w:type="dxa"/>
              <w:start w:w="30" w:type="dxa"/>
              <w:bottom w:w="30" w:type="dxa"/>
              <w:end w:w="30" w:type="dxa"/>
            </w:tcMar>
          </w:tcPr>
          <w:p w14:paraId="3B6C4B1F"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O efeito do petróleo passa pelos combustíveis?</w:t>
            </w:r>
          </w:p>
        </w:tc>
        <w:tc>
          <w:tcPr>
            <w:tcW w:w="3135" w:type="dxa"/>
            <w:tcMar>
              <w:top w:w="30" w:type="dxa"/>
              <w:start w:w="30" w:type="dxa"/>
              <w:bottom w:w="30" w:type="dxa"/>
              <w:end w:w="30" w:type="dxa"/>
            </w:tcMar>
          </w:tcPr>
          <w:p w14:paraId="448AC79E"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Petróleo → inflação com e sem controle por combustíveis</w:t>
            </w:r>
          </w:p>
        </w:tc>
      </w:tr>
      <w:tr w:rsidR="008E44CC" w:rsidRPr="00CA3657" w14:paraId="6FD03C31" w14:textId="77777777" w:rsidTr="00AB4120">
        <w:trPr>
          <w:jc w:val="center"/>
        </w:trPr>
        <w:tc>
          <w:tcPr>
            <w:tcW w:w="3135" w:type="dxa"/>
            <w:tcMar>
              <w:top w:w="30" w:type="dxa"/>
              <w:start w:w="30" w:type="dxa"/>
              <w:bottom w:w="30" w:type="dxa"/>
              <w:end w:w="30" w:type="dxa"/>
            </w:tcMar>
          </w:tcPr>
          <w:p w14:paraId="21718968"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D</w:t>
            </w:r>
          </w:p>
        </w:tc>
        <w:tc>
          <w:tcPr>
            <w:tcW w:w="3135" w:type="dxa"/>
            <w:tcMar>
              <w:top w:w="30" w:type="dxa"/>
              <w:start w:w="30" w:type="dxa"/>
              <w:bottom w:w="30" w:type="dxa"/>
              <w:end w:w="30" w:type="dxa"/>
            </w:tcMar>
          </w:tcPr>
          <w:p w14:paraId="1BB10BDD"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O repasse muda por regime de preços?</w:t>
            </w:r>
          </w:p>
        </w:tc>
        <w:tc>
          <w:tcPr>
            <w:tcW w:w="3135" w:type="dxa"/>
            <w:tcMar>
              <w:top w:w="30" w:type="dxa"/>
              <w:start w:w="30" w:type="dxa"/>
              <w:bottom w:w="30" w:type="dxa"/>
              <w:end w:w="30" w:type="dxa"/>
            </w:tcMar>
          </w:tcPr>
          <w:p w14:paraId="7220CFC9"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Comparação entre subperíodos associados à Petrobras</w:t>
            </w:r>
          </w:p>
        </w:tc>
      </w:tr>
    </w:tbl>
    <w:p w14:paraId="22A20C7A"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Fonte: Elaboração própria.</w:t>
      </w:r>
    </w:p>
    <w:p w14:paraId="3DC574B8" w14:textId="0A63B0D9" w:rsidR="008E44CC" w:rsidRPr="009C7F96" w:rsidRDefault="008E44CC" w:rsidP="008E44CC">
      <w:pPr>
        <w:pStyle w:val="Heading2"/>
        <w:spacing w:before="120" w:after="120"/>
        <w:jc w:val="both"/>
        <w:rPr>
          <w:rFonts w:cs="Times New Roman"/>
          <w:szCs w:val="24"/>
        </w:rPr>
      </w:pPr>
      <w:bookmarkStart w:id="23" w:name="_Toc229695950"/>
      <w:r w:rsidRPr="009C7F96">
        <w:rPr>
          <w:rFonts w:ascii="Times New Roman" w:eastAsia="Times New Roman" w:hAnsi="Times New Roman" w:cs="Times New Roman"/>
          <w:szCs w:val="24"/>
        </w:rPr>
        <w:t>3.7 Modelo VAR como exercício de robustez</w:t>
      </w:r>
      <w:bookmarkEnd w:id="23"/>
    </w:p>
    <w:p w14:paraId="5B1B8CDC" w14:textId="4047E4AD" w:rsidR="008E44CC" w:rsidRPr="009C7F96" w:rsidRDefault="008E44CC" w:rsidP="008E44CC">
      <w:pPr>
        <w:spacing w:after="120"/>
        <w:rPr>
          <w:rFonts w:cs="Times New Roman"/>
          <w:szCs w:val="24"/>
          <w:lang w:val="pt-BR"/>
        </w:rPr>
      </w:pPr>
      <w:r w:rsidRPr="009C7F96">
        <w:rPr>
          <w:rFonts w:cs="Times New Roman"/>
          <w:szCs w:val="24"/>
          <w:lang w:val="pt-BR"/>
        </w:rPr>
        <w:t>O VAR é utilizado como exercício de robustez. A sigla VAR significa Vetor Autorregressivo. Diferentemente de uma regressão de equação única, o VAR estima um sistema no qual todas as variáveis endógenas são explicadas por suas próprias defasagens e pelas defasagens das demais variáveis do sistema. Assim, o modelo permite analisar interações dinâmicas entre petróleo, câmbio, combustíveis, atividade, expectativas, Selic e inflação.</w:t>
      </w:r>
    </w:p>
    <w:p w14:paraId="4AF7C1D7" w14:textId="77777777" w:rsidR="008E44CC" w:rsidRPr="009C7F96" w:rsidRDefault="008E44CC" w:rsidP="008E44CC">
      <w:pPr>
        <w:spacing w:after="120"/>
        <w:rPr>
          <w:rFonts w:cs="Times New Roman"/>
          <w:szCs w:val="24"/>
          <w:lang w:val="pt-BR"/>
        </w:rPr>
      </w:pPr>
      <w:r w:rsidRPr="009C7F96">
        <w:rPr>
          <w:rFonts w:cs="Times New Roman"/>
          <w:szCs w:val="24"/>
          <w:lang w:val="pt-BR"/>
        </w:rPr>
        <w:t>A forma geral de um VAR(p) com controles exógenos é:</w:t>
      </w:r>
    </w:p>
    <w:p w14:paraId="1DD440D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Yₜ = c + A₁Yₜ₋₁ + A₂Yₜ₋₂ + ... + AₚYₜ₋ₚ + BXₜ + uₜ     </w:t>
      </w:r>
      <w:proofErr w:type="gramStart"/>
      <w:r w:rsidRPr="009C7F96">
        <w:rPr>
          <w:rFonts w:cs="Times New Roman"/>
          <w:szCs w:val="24"/>
          <w:lang w:val="pt-BR"/>
        </w:rPr>
        <w:t xml:space="preserve">   (</w:t>
      </w:r>
      <w:proofErr w:type="gramEnd"/>
      <w:r w:rsidRPr="009C7F96">
        <w:rPr>
          <w:rFonts w:cs="Times New Roman"/>
          <w:szCs w:val="24"/>
          <w:lang w:val="pt-BR"/>
        </w:rPr>
        <w:t>17)</w:t>
      </w:r>
    </w:p>
    <w:p w14:paraId="72C8CCAD" w14:textId="608F8D4F" w:rsidR="008E44CC" w:rsidRPr="009C7F96" w:rsidRDefault="008E44CC" w:rsidP="008E44CC">
      <w:pPr>
        <w:spacing w:after="120"/>
        <w:rPr>
          <w:rFonts w:cs="Times New Roman"/>
          <w:szCs w:val="24"/>
          <w:lang w:val="pt-BR"/>
        </w:rPr>
      </w:pPr>
      <w:r w:rsidRPr="009C7F96">
        <w:rPr>
          <w:rFonts w:cs="Times New Roman"/>
          <w:szCs w:val="24"/>
          <w:lang w:val="pt-BR"/>
        </w:rPr>
        <w:t xml:space="preserve">Em que </w:t>
      </w:r>
      <w:proofErr w:type="spellStart"/>
      <w:r w:rsidRPr="009C7F96">
        <w:rPr>
          <w:rFonts w:cs="Times New Roman"/>
          <w:szCs w:val="24"/>
          <w:lang w:val="pt-BR"/>
        </w:rPr>
        <w:t>Y_t</w:t>
      </w:r>
      <w:proofErr w:type="spellEnd"/>
      <w:r w:rsidRPr="009C7F96">
        <w:rPr>
          <w:rFonts w:cs="Times New Roman"/>
          <w:szCs w:val="24"/>
          <w:lang w:val="pt-BR"/>
        </w:rPr>
        <w:t xml:space="preserve"> é o vetor de variáveis endógenas, c é o vetor de constantes, </w:t>
      </w:r>
      <w:proofErr w:type="spellStart"/>
      <w:r w:rsidRPr="009C7F96">
        <w:rPr>
          <w:rFonts w:cs="Times New Roman"/>
          <w:szCs w:val="24"/>
          <w:lang w:val="pt-BR"/>
        </w:rPr>
        <w:t>A_i</w:t>
      </w:r>
      <w:proofErr w:type="spellEnd"/>
      <w:r w:rsidRPr="009C7F96">
        <w:rPr>
          <w:rFonts w:cs="Times New Roman"/>
          <w:szCs w:val="24"/>
          <w:lang w:val="pt-BR"/>
        </w:rPr>
        <w:t xml:space="preserve"> são matrizes de coeficientes autorregressivos, </w:t>
      </w:r>
      <w:proofErr w:type="spellStart"/>
      <w:r w:rsidRPr="009C7F96">
        <w:rPr>
          <w:rFonts w:cs="Times New Roman"/>
          <w:szCs w:val="24"/>
          <w:lang w:val="pt-BR"/>
        </w:rPr>
        <w:t>X_t</w:t>
      </w:r>
      <w:proofErr w:type="spellEnd"/>
      <w:r w:rsidRPr="009C7F96">
        <w:rPr>
          <w:rFonts w:cs="Times New Roman"/>
          <w:szCs w:val="24"/>
          <w:lang w:val="pt-BR"/>
        </w:rPr>
        <w:t xml:space="preserve"> representa variáveis exógenas, B é a matriz associada a esses controles e </w:t>
      </w:r>
      <w:proofErr w:type="spellStart"/>
      <w:r w:rsidRPr="009C7F96">
        <w:rPr>
          <w:rFonts w:cs="Times New Roman"/>
          <w:szCs w:val="24"/>
          <w:lang w:val="pt-BR"/>
        </w:rPr>
        <w:t>u_t</w:t>
      </w:r>
      <w:proofErr w:type="spellEnd"/>
      <w:r w:rsidRPr="009C7F96">
        <w:rPr>
          <w:rFonts w:cs="Times New Roman"/>
          <w:szCs w:val="24"/>
          <w:lang w:val="pt-BR"/>
        </w:rPr>
        <w:t xml:space="preserve"> é o vetor de resíduos. No VAR, o vetor endógeno básico é organizado como:</w:t>
      </w:r>
    </w:p>
    <w:p w14:paraId="1C60EEC1" w14:textId="77777777" w:rsidR="008E44CC" w:rsidRPr="009C7F96" w:rsidRDefault="008E44CC" w:rsidP="008E44CC">
      <w:pPr>
        <w:spacing w:after="120"/>
        <w:rPr>
          <w:rFonts w:cs="Times New Roman"/>
          <w:szCs w:val="24"/>
          <w:lang w:val="pt-BR"/>
        </w:rPr>
      </w:pPr>
      <w:r w:rsidRPr="009C7F96">
        <w:rPr>
          <w:rFonts w:cs="Times New Roman"/>
          <w:szCs w:val="24"/>
          <w:lang w:val="pt-BR"/>
        </w:rPr>
        <w:t>Yₜ =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oil</w:t>
      </w:r>
      <w:proofErr w:type="spellEnd"/>
      <w:r w:rsidRPr="009C7F96">
        <w:rPr>
          <w:rFonts w:cs="Times New Roman"/>
          <w:szCs w:val="24"/>
          <w:lang w:val="pt-BR"/>
        </w:rPr>
        <w:t xml:space="preserv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(cambioₜ),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w:t>
      </w:r>
      <w:proofErr w:type="spellStart"/>
      <w:r w:rsidRPr="009C7F96">
        <w:rPr>
          <w:rFonts w:cs="Times New Roman"/>
          <w:szCs w:val="24"/>
          <w:lang w:val="pt-BR"/>
        </w:rPr>
        <w:t>fuel</w:t>
      </w:r>
      <w:proofErr w:type="spellEnd"/>
      <w:r w:rsidRPr="009C7F96">
        <w:rPr>
          <w:rFonts w:cs="Times New Roman"/>
          <w:szCs w:val="24"/>
          <w:lang w:val="pt-BR"/>
        </w:rPr>
        <w:t xml:space="preserv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(atividadeₜ), </w:t>
      </w:r>
      <w:r w:rsidRPr="009C7F96">
        <w:rPr>
          <w:rFonts w:cs="Times New Roman"/>
          <w:szCs w:val="24"/>
        </w:rPr>
        <w:t>Δ</w:t>
      </w:r>
      <w:proofErr w:type="spellStart"/>
      <w:r w:rsidRPr="009C7F96">
        <w:rPr>
          <w:rFonts w:cs="Times New Roman"/>
          <w:szCs w:val="24"/>
          <w:lang w:val="pt-BR"/>
        </w:rPr>
        <w:t>ln</w:t>
      </w:r>
      <w:proofErr w:type="spellEnd"/>
      <w:r w:rsidRPr="009C7F96">
        <w:rPr>
          <w:rFonts w:cs="Times New Roman"/>
          <w:szCs w:val="24"/>
          <w:lang w:val="pt-BR"/>
        </w:rPr>
        <w:t xml:space="preserve">(expectativaₜ), </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 xml:space="preserve">Selicₜ), </w:t>
      </w:r>
      <w:r w:rsidRPr="009C7F96">
        <w:rPr>
          <w:rFonts w:cs="Times New Roman"/>
          <w:szCs w:val="24"/>
        </w:rPr>
        <w:t>Δ</w:t>
      </w:r>
      <w:proofErr w:type="spellStart"/>
      <w:proofErr w:type="gramStart"/>
      <w:r w:rsidRPr="009C7F96">
        <w:rPr>
          <w:rFonts w:cs="Times New Roman"/>
          <w:szCs w:val="24"/>
          <w:lang w:val="pt-BR"/>
        </w:rPr>
        <w:t>ln</w:t>
      </w:r>
      <w:proofErr w:type="spellEnd"/>
      <w:r w:rsidRPr="009C7F96">
        <w:rPr>
          <w:rFonts w:cs="Times New Roman"/>
          <w:szCs w:val="24"/>
          <w:lang w:val="pt-BR"/>
        </w:rPr>
        <w:t>(</w:t>
      </w:r>
      <w:proofErr w:type="gramEnd"/>
      <w:r w:rsidRPr="009C7F96">
        <w:rPr>
          <w:rFonts w:cs="Times New Roman"/>
          <w:szCs w:val="24"/>
          <w:lang w:val="pt-BR"/>
        </w:rPr>
        <w:t>IPCAₜ</w:t>
      </w:r>
      <w:proofErr w:type="gramStart"/>
      <w:r w:rsidRPr="009C7F96">
        <w:rPr>
          <w:rFonts w:cs="Times New Roman"/>
          <w:szCs w:val="24"/>
          <w:lang w:val="pt-BR"/>
        </w:rPr>
        <w:t>)]′</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18)</w:t>
      </w:r>
    </w:p>
    <w:p w14:paraId="4DB416CA"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O combustível e a medida de inflação variam conforme a especificação. Assim, são estimados sistemas para gasolina, etanol, diesel e gasolina na refinaria, combinados com IPCA Geral e IPCA Transportes. O modelo também é estimado nas subamostras 2003-2014 e 2015-2026, permitindo avaliar diferenças associadas aos regimes de precificação da Petrobras.</w:t>
      </w:r>
    </w:p>
    <w:p w14:paraId="10DB1176" w14:textId="77777777" w:rsidR="008E44CC" w:rsidRPr="009C7F96" w:rsidRDefault="008E44CC" w:rsidP="008E44CC">
      <w:pPr>
        <w:spacing w:after="120"/>
        <w:rPr>
          <w:rFonts w:cs="Times New Roman"/>
          <w:szCs w:val="24"/>
          <w:lang w:val="pt-BR"/>
        </w:rPr>
      </w:pPr>
      <w:r w:rsidRPr="009C7F96">
        <w:rPr>
          <w:rFonts w:cs="Times New Roman"/>
          <w:szCs w:val="24"/>
          <w:lang w:val="pt-BR"/>
        </w:rPr>
        <w:t>A escolha do número de defasagens é feita por critérios de informação, com limite máximo de 12 defasagens. A regra geral pode ser representada por:</w:t>
      </w:r>
    </w:p>
    <w:p w14:paraId="3F3999A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 = </w:t>
      </w:r>
      <w:proofErr w:type="spellStart"/>
      <w:r w:rsidRPr="009C7F96">
        <w:rPr>
          <w:rFonts w:cs="Times New Roman"/>
          <w:szCs w:val="24"/>
          <w:lang w:val="pt-BR"/>
        </w:rPr>
        <w:t>arg</w:t>
      </w:r>
      <w:proofErr w:type="spellEnd"/>
      <w:r w:rsidRPr="009C7F96">
        <w:rPr>
          <w:rFonts w:cs="Times New Roman"/>
          <w:szCs w:val="24"/>
          <w:lang w:val="pt-BR"/>
        </w:rPr>
        <w:t xml:space="preserve"> minₚ IC(p</w:t>
      </w:r>
      <w:proofErr w:type="gramStart"/>
      <w:r w:rsidRPr="009C7F96">
        <w:rPr>
          <w:rFonts w:cs="Times New Roman"/>
          <w:szCs w:val="24"/>
          <w:lang w:val="pt-BR"/>
        </w:rPr>
        <w:t xml:space="preserve">),   </w:t>
      </w:r>
      <w:proofErr w:type="gramEnd"/>
      <w:r w:rsidRPr="009C7F96">
        <w:rPr>
          <w:rFonts w:cs="Times New Roman"/>
          <w:szCs w:val="24"/>
          <w:lang w:val="pt-BR"/>
        </w:rPr>
        <w:t xml:space="preserve"> IC(p) </w:t>
      </w:r>
      <w:r w:rsidRPr="009C7F96">
        <w:rPr>
          <w:rFonts w:cs="Cambria Math"/>
          <w:szCs w:val="24"/>
          <w:lang w:val="pt-BR"/>
        </w:rPr>
        <w:t>∈</w:t>
      </w:r>
      <w:r w:rsidRPr="009C7F96">
        <w:rPr>
          <w:rFonts w:cs="Times New Roman"/>
          <w:szCs w:val="24"/>
          <w:lang w:val="pt-BR"/>
        </w:rPr>
        <w:t xml:space="preserve"> {AIC, BIC, </w:t>
      </w:r>
      <w:proofErr w:type="gramStart"/>
      <w:r w:rsidRPr="009C7F96">
        <w:rPr>
          <w:rFonts w:cs="Times New Roman"/>
          <w:szCs w:val="24"/>
          <w:lang w:val="pt-BR"/>
        </w:rPr>
        <w:t xml:space="preserve">HQ}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19)</w:t>
      </w:r>
    </w:p>
    <w:p w14:paraId="1FC9A2CC" w14:textId="1C4A41D5" w:rsidR="008E44CC" w:rsidRPr="009C7F96" w:rsidRDefault="008E44CC" w:rsidP="008E44CC">
      <w:pPr>
        <w:spacing w:after="120"/>
        <w:rPr>
          <w:rFonts w:cs="Times New Roman"/>
          <w:szCs w:val="24"/>
          <w:lang w:val="pt-BR"/>
        </w:rPr>
      </w:pPr>
      <w:r w:rsidRPr="009C7F96">
        <w:rPr>
          <w:rFonts w:cs="Times New Roman"/>
          <w:szCs w:val="24"/>
          <w:lang w:val="pt-BR"/>
        </w:rPr>
        <w:t>É importante destacar que o termo VAR identifica a versão do modelo utilizada neste trabalho, e não necessariamente um VAR com dez defasagens. O número efetivo de defasagens é selecionado por critério de informação em cada especificação, respeitando a disponibilidade de observações e a estabilidade do sistema.</w:t>
      </w:r>
    </w:p>
    <w:p w14:paraId="157725E2" w14:textId="241DAFD5" w:rsidR="008E44CC" w:rsidRPr="009C7F96" w:rsidRDefault="008E44CC" w:rsidP="008E44CC">
      <w:pPr>
        <w:spacing w:before="120" w:after="60"/>
        <w:ind w:firstLine="0"/>
        <w:jc w:val="center"/>
        <w:rPr>
          <w:rFonts w:cs="Times New Roman"/>
          <w:szCs w:val="24"/>
        </w:rPr>
      </w:pPr>
      <w:r w:rsidRPr="009C7F96">
        <w:rPr>
          <w:rFonts w:cs="Times New Roman"/>
          <w:b/>
          <w:sz w:val="20"/>
          <w:szCs w:val="24"/>
        </w:rPr>
        <w:t xml:space="preserve">Quadro 3 - </w:t>
      </w:r>
      <w:proofErr w:type="spellStart"/>
      <w:r w:rsidRPr="009C7F96">
        <w:rPr>
          <w:rFonts w:cs="Times New Roman"/>
          <w:b/>
          <w:sz w:val="20"/>
          <w:szCs w:val="24"/>
        </w:rPr>
        <w:t>Características</w:t>
      </w:r>
      <w:proofErr w:type="spellEnd"/>
      <w:r w:rsidRPr="009C7F96">
        <w:rPr>
          <w:rFonts w:cs="Times New Roman"/>
          <w:b/>
          <w:sz w:val="20"/>
          <w:szCs w:val="24"/>
        </w:rPr>
        <w:t xml:space="preserve"> do VAR</w:t>
      </w:r>
    </w:p>
    <w:tbl>
      <w:tblPr>
        <w:tblStyle w:val="TableGrid"/>
        <w:tblW w:w="0" w:type="auto"/>
        <w:jc w:val="center"/>
        <w:tblLayout w:type="autofit"/>
        <w:tblLook w:val="04A0" w:firstRow="1" w:lastRow="0" w:firstColumn="1" w:lastColumn="0" w:noHBand="0" w:noVBand="1"/>
      </w:tblPr>
      <w:tblGrid>
        <w:gridCol w:w="4698"/>
        <w:gridCol w:w="4697"/>
      </w:tblGrid>
      <w:tr w:rsidR="008E44CC" w:rsidRPr="009C7F96" w14:paraId="77DA5A8F" w14:textId="77777777" w:rsidTr="00AB4120">
        <w:trPr>
          <w:jc w:val="center"/>
        </w:trPr>
        <w:tc>
          <w:tcPr>
            <w:tcW w:w="4702" w:type="dxa"/>
            <w:shd w:val="clear" w:color="auto" w:fill="D9EAF7"/>
            <w:tcMar>
              <w:top w:w="30" w:type="dxa"/>
              <w:start w:w="30" w:type="dxa"/>
              <w:bottom w:w="30" w:type="dxa"/>
              <w:end w:w="30" w:type="dxa"/>
            </w:tcMar>
          </w:tcPr>
          <w:p w14:paraId="16F5044E"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Elemento</w:t>
            </w:r>
            <w:proofErr w:type="spellEnd"/>
          </w:p>
        </w:tc>
        <w:tc>
          <w:tcPr>
            <w:tcW w:w="4702" w:type="dxa"/>
            <w:shd w:val="clear" w:color="auto" w:fill="D9EAF7"/>
            <w:tcMar>
              <w:top w:w="30" w:type="dxa"/>
              <w:start w:w="30" w:type="dxa"/>
              <w:bottom w:w="30" w:type="dxa"/>
              <w:end w:w="30" w:type="dxa"/>
            </w:tcMar>
          </w:tcPr>
          <w:p w14:paraId="50B2D676"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Descrição</w:t>
            </w:r>
            <w:proofErr w:type="spellEnd"/>
            <w:r w:rsidRPr="009C7F96">
              <w:rPr>
                <w:rFonts w:cs="Times New Roman"/>
                <w:b/>
                <w:sz w:val="14"/>
                <w:szCs w:val="24"/>
              </w:rPr>
              <w:t xml:space="preserve"> </w:t>
            </w:r>
            <w:proofErr w:type="spellStart"/>
            <w:r w:rsidRPr="009C7F96">
              <w:rPr>
                <w:rFonts w:cs="Times New Roman"/>
                <w:b/>
                <w:sz w:val="14"/>
                <w:szCs w:val="24"/>
              </w:rPr>
              <w:t>metodológica</w:t>
            </w:r>
            <w:proofErr w:type="spellEnd"/>
          </w:p>
        </w:tc>
      </w:tr>
      <w:tr w:rsidR="008E44CC" w:rsidRPr="00CA3657" w14:paraId="61DEEABD" w14:textId="77777777" w:rsidTr="00AB4120">
        <w:trPr>
          <w:jc w:val="center"/>
        </w:trPr>
        <w:tc>
          <w:tcPr>
            <w:tcW w:w="4702" w:type="dxa"/>
            <w:tcMar>
              <w:top w:w="30" w:type="dxa"/>
              <w:start w:w="30" w:type="dxa"/>
              <w:bottom w:w="30" w:type="dxa"/>
              <w:end w:w="30" w:type="dxa"/>
            </w:tcMar>
          </w:tcPr>
          <w:p w14:paraId="0ED11D28"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 xml:space="preserve">Papel no </w:t>
            </w:r>
            <w:proofErr w:type="spellStart"/>
            <w:r w:rsidRPr="009C7F96">
              <w:rPr>
                <w:rFonts w:cs="Times New Roman"/>
                <w:sz w:val="14"/>
                <w:szCs w:val="24"/>
              </w:rPr>
              <w:t>trabalho</w:t>
            </w:r>
            <w:proofErr w:type="spellEnd"/>
          </w:p>
        </w:tc>
        <w:tc>
          <w:tcPr>
            <w:tcW w:w="4702" w:type="dxa"/>
            <w:tcMar>
              <w:top w:w="30" w:type="dxa"/>
              <w:start w:w="30" w:type="dxa"/>
              <w:bottom w:w="30" w:type="dxa"/>
              <w:end w:w="30" w:type="dxa"/>
            </w:tcMar>
          </w:tcPr>
          <w:p w14:paraId="07584F17"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 xml:space="preserve">Exercício de robustez em relação ao modelo principal de Local </w:t>
            </w:r>
            <w:proofErr w:type="spellStart"/>
            <w:r w:rsidRPr="009C7F96">
              <w:rPr>
                <w:rFonts w:cs="Times New Roman"/>
                <w:sz w:val="14"/>
                <w:szCs w:val="24"/>
                <w:lang w:val="pt-BR"/>
              </w:rPr>
              <w:t>Projections</w:t>
            </w:r>
            <w:proofErr w:type="spellEnd"/>
          </w:p>
        </w:tc>
      </w:tr>
      <w:tr w:rsidR="008E44CC" w:rsidRPr="00CA3657" w14:paraId="20BBC039" w14:textId="77777777" w:rsidTr="00AB4120">
        <w:trPr>
          <w:jc w:val="center"/>
        </w:trPr>
        <w:tc>
          <w:tcPr>
            <w:tcW w:w="4702" w:type="dxa"/>
            <w:tcMar>
              <w:top w:w="30" w:type="dxa"/>
              <w:start w:w="30" w:type="dxa"/>
              <w:bottom w:w="30" w:type="dxa"/>
              <w:end w:w="30" w:type="dxa"/>
            </w:tcMar>
          </w:tcPr>
          <w:p w14:paraId="3FE03624"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Tratamento</w:t>
            </w:r>
            <w:proofErr w:type="spellEnd"/>
            <w:r w:rsidRPr="009C7F96">
              <w:rPr>
                <w:rFonts w:cs="Times New Roman"/>
                <w:sz w:val="14"/>
                <w:szCs w:val="24"/>
              </w:rPr>
              <w:t xml:space="preserve"> da Selic</w:t>
            </w:r>
          </w:p>
        </w:tc>
        <w:tc>
          <w:tcPr>
            <w:tcW w:w="4702" w:type="dxa"/>
            <w:tcMar>
              <w:top w:w="30" w:type="dxa"/>
              <w:start w:w="30" w:type="dxa"/>
              <w:bottom w:w="30" w:type="dxa"/>
              <w:end w:w="30" w:type="dxa"/>
            </w:tcMar>
          </w:tcPr>
          <w:p w14:paraId="1789E8FC"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Meta Selic diária convertida em média mensal e utilizada em log de nível</w:t>
            </w:r>
          </w:p>
        </w:tc>
      </w:tr>
      <w:tr w:rsidR="008E44CC" w:rsidRPr="00CA3657" w14:paraId="15CBA9F7" w14:textId="77777777" w:rsidTr="00AB4120">
        <w:trPr>
          <w:jc w:val="center"/>
        </w:trPr>
        <w:tc>
          <w:tcPr>
            <w:tcW w:w="4702" w:type="dxa"/>
            <w:tcMar>
              <w:top w:w="30" w:type="dxa"/>
              <w:start w:w="30" w:type="dxa"/>
              <w:bottom w:w="30" w:type="dxa"/>
              <w:end w:w="30" w:type="dxa"/>
            </w:tcMar>
          </w:tcPr>
          <w:p w14:paraId="5DCA18C8"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Variáveis</w:t>
            </w:r>
            <w:proofErr w:type="spellEnd"/>
            <w:r w:rsidRPr="009C7F96">
              <w:rPr>
                <w:rFonts w:cs="Times New Roman"/>
                <w:sz w:val="14"/>
                <w:szCs w:val="24"/>
              </w:rPr>
              <w:t xml:space="preserve"> </w:t>
            </w:r>
            <w:proofErr w:type="spellStart"/>
            <w:r w:rsidRPr="009C7F96">
              <w:rPr>
                <w:rFonts w:cs="Times New Roman"/>
                <w:sz w:val="14"/>
                <w:szCs w:val="24"/>
              </w:rPr>
              <w:t>endógenas</w:t>
            </w:r>
            <w:proofErr w:type="spellEnd"/>
          </w:p>
        </w:tc>
        <w:tc>
          <w:tcPr>
            <w:tcW w:w="4702" w:type="dxa"/>
            <w:tcMar>
              <w:top w:w="30" w:type="dxa"/>
              <w:start w:w="30" w:type="dxa"/>
              <w:bottom w:w="30" w:type="dxa"/>
              <w:end w:w="30" w:type="dxa"/>
            </w:tcMar>
          </w:tcPr>
          <w:p w14:paraId="2D2594D6"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Petróleo, câmbio, combustível, atividade, expectativas, Selic e IPCA</w:t>
            </w:r>
          </w:p>
        </w:tc>
      </w:tr>
      <w:tr w:rsidR="008E44CC" w:rsidRPr="009C7F96" w14:paraId="20C7924E" w14:textId="77777777" w:rsidTr="00AB4120">
        <w:trPr>
          <w:jc w:val="center"/>
        </w:trPr>
        <w:tc>
          <w:tcPr>
            <w:tcW w:w="4702" w:type="dxa"/>
            <w:tcMar>
              <w:top w:w="30" w:type="dxa"/>
              <w:start w:w="30" w:type="dxa"/>
              <w:bottom w:w="30" w:type="dxa"/>
              <w:end w:w="30" w:type="dxa"/>
            </w:tcMar>
          </w:tcPr>
          <w:p w14:paraId="41442280"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Controles</w:t>
            </w:r>
            <w:proofErr w:type="spellEnd"/>
            <w:r w:rsidRPr="009C7F96">
              <w:rPr>
                <w:rFonts w:cs="Times New Roman"/>
                <w:sz w:val="14"/>
                <w:szCs w:val="24"/>
              </w:rPr>
              <w:t xml:space="preserve"> </w:t>
            </w:r>
            <w:proofErr w:type="spellStart"/>
            <w:r w:rsidRPr="009C7F96">
              <w:rPr>
                <w:rFonts w:cs="Times New Roman"/>
                <w:sz w:val="14"/>
                <w:szCs w:val="24"/>
              </w:rPr>
              <w:t>exógenos</w:t>
            </w:r>
            <w:proofErr w:type="spellEnd"/>
          </w:p>
        </w:tc>
        <w:tc>
          <w:tcPr>
            <w:tcW w:w="4702" w:type="dxa"/>
            <w:tcMar>
              <w:top w:w="30" w:type="dxa"/>
              <w:start w:w="30" w:type="dxa"/>
              <w:bottom w:w="30" w:type="dxa"/>
              <w:end w:w="30" w:type="dxa"/>
            </w:tcMar>
          </w:tcPr>
          <w:p w14:paraId="6DEC640F"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 xml:space="preserve">Dummies </w:t>
            </w:r>
            <w:proofErr w:type="spellStart"/>
            <w:r w:rsidRPr="009C7F96">
              <w:rPr>
                <w:rFonts w:cs="Times New Roman"/>
                <w:sz w:val="14"/>
                <w:szCs w:val="24"/>
              </w:rPr>
              <w:t>mensais</w:t>
            </w:r>
            <w:proofErr w:type="spellEnd"/>
            <w:r w:rsidRPr="009C7F96">
              <w:rPr>
                <w:rFonts w:cs="Times New Roman"/>
                <w:sz w:val="14"/>
                <w:szCs w:val="24"/>
              </w:rPr>
              <w:t xml:space="preserve"> e Stringency index</w:t>
            </w:r>
          </w:p>
        </w:tc>
      </w:tr>
      <w:tr w:rsidR="008E44CC" w:rsidRPr="00CA3657" w14:paraId="1EFB5C1B" w14:textId="77777777" w:rsidTr="00AB4120">
        <w:trPr>
          <w:jc w:val="center"/>
        </w:trPr>
        <w:tc>
          <w:tcPr>
            <w:tcW w:w="4702" w:type="dxa"/>
            <w:tcMar>
              <w:top w:w="30" w:type="dxa"/>
              <w:start w:w="30" w:type="dxa"/>
              <w:bottom w:w="30" w:type="dxa"/>
              <w:end w:w="30" w:type="dxa"/>
            </w:tcMar>
          </w:tcPr>
          <w:p w14:paraId="234481BF"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Amostras</w:t>
            </w:r>
            <w:proofErr w:type="spellEnd"/>
          </w:p>
        </w:tc>
        <w:tc>
          <w:tcPr>
            <w:tcW w:w="4702" w:type="dxa"/>
            <w:tcMar>
              <w:top w:w="30" w:type="dxa"/>
              <w:start w:w="30" w:type="dxa"/>
              <w:bottom w:w="30" w:type="dxa"/>
              <w:end w:w="30" w:type="dxa"/>
            </w:tcMar>
          </w:tcPr>
          <w:p w14:paraId="163233D6"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2003-2014 e 2015-2026, além da amostra completa quando aplicável</w:t>
            </w:r>
          </w:p>
        </w:tc>
      </w:tr>
      <w:tr w:rsidR="008E44CC" w:rsidRPr="00CA3657" w14:paraId="71FBE3AD" w14:textId="77777777" w:rsidTr="00AB4120">
        <w:trPr>
          <w:jc w:val="center"/>
        </w:trPr>
        <w:tc>
          <w:tcPr>
            <w:tcW w:w="4702" w:type="dxa"/>
            <w:tcMar>
              <w:top w:w="30" w:type="dxa"/>
              <w:start w:w="30" w:type="dxa"/>
              <w:bottom w:w="30" w:type="dxa"/>
              <w:end w:w="30" w:type="dxa"/>
            </w:tcMar>
          </w:tcPr>
          <w:p w14:paraId="2C09369A"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Resultados</w:t>
            </w:r>
            <w:proofErr w:type="spellEnd"/>
            <w:r w:rsidRPr="009C7F96">
              <w:rPr>
                <w:rFonts w:cs="Times New Roman"/>
                <w:sz w:val="14"/>
                <w:szCs w:val="24"/>
              </w:rPr>
              <w:t xml:space="preserve"> </w:t>
            </w:r>
            <w:proofErr w:type="spellStart"/>
            <w:r w:rsidRPr="009C7F96">
              <w:rPr>
                <w:rFonts w:cs="Times New Roman"/>
                <w:sz w:val="14"/>
                <w:szCs w:val="24"/>
              </w:rPr>
              <w:t>gerados</w:t>
            </w:r>
            <w:proofErr w:type="spellEnd"/>
          </w:p>
        </w:tc>
        <w:tc>
          <w:tcPr>
            <w:tcW w:w="4702" w:type="dxa"/>
            <w:tcMar>
              <w:top w:w="30" w:type="dxa"/>
              <w:start w:w="30" w:type="dxa"/>
              <w:bottom w:w="30" w:type="dxa"/>
              <w:end w:w="30" w:type="dxa"/>
            </w:tcMar>
          </w:tcPr>
          <w:p w14:paraId="78806DA9"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 xml:space="preserve">IRF, IRF acumulada, FEVD, causalidade de Granger, testes de resíduos e robustez de </w:t>
            </w:r>
            <w:proofErr w:type="spellStart"/>
            <w:r w:rsidRPr="009C7F96">
              <w:rPr>
                <w:rFonts w:cs="Times New Roman"/>
                <w:sz w:val="14"/>
                <w:szCs w:val="24"/>
                <w:lang w:val="pt-BR"/>
              </w:rPr>
              <w:t>Cholesky</w:t>
            </w:r>
            <w:proofErr w:type="spellEnd"/>
          </w:p>
        </w:tc>
      </w:tr>
    </w:tbl>
    <w:p w14:paraId="675A6AA4"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Fonte: Elaboração própria.</w:t>
      </w:r>
    </w:p>
    <w:p w14:paraId="12BA0D18" w14:textId="5EBCA5B7" w:rsidR="008E44CC" w:rsidRPr="009C7F96" w:rsidRDefault="008E44CC" w:rsidP="008E44CC">
      <w:pPr>
        <w:pStyle w:val="Heading2"/>
        <w:spacing w:before="120" w:after="120"/>
        <w:jc w:val="both"/>
        <w:rPr>
          <w:rFonts w:cs="Times New Roman"/>
          <w:szCs w:val="24"/>
        </w:rPr>
      </w:pPr>
      <w:bookmarkStart w:id="24" w:name="_Toc229695951"/>
      <w:r w:rsidRPr="009C7F96">
        <w:rPr>
          <w:rFonts w:ascii="Times New Roman" w:eastAsia="Times New Roman" w:hAnsi="Times New Roman" w:cs="Times New Roman"/>
          <w:szCs w:val="24"/>
        </w:rPr>
        <w:t xml:space="preserve">3.8 Identificação, </w:t>
      </w:r>
      <w:proofErr w:type="spellStart"/>
      <w:r w:rsidRPr="009C7F96">
        <w:rPr>
          <w:rFonts w:ascii="Times New Roman" w:eastAsia="Times New Roman" w:hAnsi="Times New Roman" w:cs="Times New Roman"/>
          <w:szCs w:val="24"/>
        </w:rPr>
        <w:t>Cholesky</w:t>
      </w:r>
      <w:proofErr w:type="spellEnd"/>
      <w:r w:rsidRPr="009C7F96">
        <w:rPr>
          <w:rFonts w:ascii="Times New Roman" w:eastAsia="Times New Roman" w:hAnsi="Times New Roman" w:cs="Times New Roman"/>
          <w:szCs w:val="24"/>
        </w:rPr>
        <w:t xml:space="preserve"> e funções impulso-resposta no VAR</w:t>
      </w:r>
      <w:bookmarkEnd w:id="24"/>
    </w:p>
    <w:p w14:paraId="0694FA55"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Para transformar os resíduos do VAR em choques interpretáveis, utiliza-se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da matriz de variância-covariância dos resíduos. Essa decomposição pode ser escrita como:</w:t>
      </w:r>
    </w:p>
    <w:p w14:paraId="1C545397" w14:textId="77777777" w:rsidR="008E44CC" w:rsidRPr="009C7F96" w:rsidRDefault="008E44CC" w:rsidP="008E44CC">
      <w:pPr>
        <w:spacing w:after="120"/>
        <w:rPr>
          <w:rFonts w:cs="Times New Roman"/>
          <w:szCs w:val="24"/>
          <w:lang w:val="pt-BR"/>
        </w:rPr>
      </w:pPr>
      <w:r w:rsidRPr="009C7F96">
        <w:rPr>
          <w:rFonts w:cs="Times New Roman"/>
          <w:szCs w:val="24"/>
        </w:rPr>
        <w:lastRenderedPageBreak/>
        <w:t>Σᵤ</w:t>
      </w:r>
      <w:r w:rsidRPr="009C7F96">
        <w:rPr>
          <w:rFonts w:cs="Times New Roman"/>
          <w:szCs w:val="24"/>
          <w:lang w:val="pt-BR"/>
        </w:rPr>
        <w:t xml:space="preserve"> = PP′     </w:t>
      </w:r>
      <w:proofErr w:type="gramStart"/>
      <w:r w:rsidRPr="009C7F96">
        <w:rPr>
          <w:rFonts w:cs="Times New Roman"/>
          <w:szCs w:val="24"/>
          <w:lang w:val="pt-BR"/>
        </w:rPr>
        <w:t xml:space="preserve">   (</w:t>
      </w:r>
      <w:proofErr w:type="gramEnd"/>
      <w:r w:rsidRPr="009C7F96">
        <w:rPr>
          <w:rFonts w:cs="Times New Roman"/>
          <w:szCs w:val="24"/>
          <w:lang w:val="pt-BR"/>
        </w:rPr>
        <w:t>20)</w:t>
      </w:r>
    </w:p>
    <w:p w14:paraId="6A1790F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que P é uma matriz triangular inferior. A decomposição de </w:t>
      </w:r>
      <w:proofErr w:type="spellStart"/>
      <w:r w:rsidRPr="009C7F96">
        <w:rPr>
          <w:rFonts w:cs="Times New Roman"/>
          <w:szCs w:val="24"/>
          <w:lang w:val="pt-BR"/>
        </w:rPr>
        <w:t>Cholesky</w:t>
      </w:r>
      <w:proofErr w:type="spellEnd"/>
      <w:r w:rsidRPr="009C7F96">
        <w:rPr>
          <w:rFonts w:cs="Times New Roman"/>
          <w:szCs w:val="24"/>
          <w:lang w:val="pt-BR"/>
        </w:rPr>
        <w:t xml:space="preserve"> gera choques ortogonais, mas depende da ordenação das variáveis. A ordenação base segue a lógica econômica de que o petróleo internacional é mais exógeno no curto prazo, seguido pelo câmbio, pelos combustíveis, pelas condições domésticas e pela inflação:</w:t>
      </w:r>
    </w:p>
    <w:p w14:paraId="2521F82D" w14:textId="77777777" w:rsidR="008E44CC" w:rsidRPr="009C7F96" w:rsidRDefault="008E44CC" w:rsidP="008E44CC">
      <w:pPr>
        <w:spacing w:after="120"/>
        <w:rPr>
          <w:rFonts w:cs="Times New Roman"/>
          <w:szCs w:val="24"/>
          <w:lang w:val="pt-BR"/>
        </w:rPr>
      </w:pPr>
      <w:proofErr w:type="spellStart"/>
      <w:r w:rsidRPr="009C7F96">
        <w:rPr>
          <w:rFonts w:cs="Times New Roman"/>
          <w:szCs w:val="24"/>
          <w:lang w:val="pt-BR"/>
        </w:rPr>
        <w:t>oil</w:t>
      </w:r>
      <w:proofErr w:type="spellEnd"/>
      <w:r w:rsidRPr="009C7F96">
        <w:rPr>
          <w:rFonts w:cs="Times New Roman"/>
          <w:szCs w:val="24"/>
          <w:lang w:val="pt-BR"/>
        </w:rPr>
        <w:t xml:space="preserve"> → câmbio → combustível → atividade → expectativa → Selic → IPCA     </w:t>
      </w:r>
      <w:proofErr w:type="gramStart"/>
      <w:r w:rsidRPr="009C7F96">
        <w:rPr>
          <w:rFonts w:cs="Times New Roman"/>
          <w:szCs w:val="24"/>
          <w:lang w:val="pt-BR"/>
        </w:rPr>
        <w:t xml:space="preserve">   (</w:t>
      </w:r>
      <w:proofErr w:type="gramEnd"/>
      <w:r w:rsidRPr="009C7F96">
        <w:rPr>
          <w:rFonts w:cs="Times New Roman"/>
          <w:szCs w:val="24"/>
          <w:lang w:val="pt-BR"/>
        </w:rPr>
        <w:t>21)</w:t>
      </w:r>
    </w:p>
    <w:p w14:paraId="233AAE04" w14:textId="3A6B4427" w:rsidR="008E44CC" w:rsidRPr="009C7F96" w:rsidRDefault="008E44CC" w:rsidP="008E44CC">
      <w:pPr>
        <w:spacing w:after="120"/>
        <w:rPr>
          <w:rFonts w:cs="Times New Roman"/>
          <w:szCs w:val="24"/>
          <w:lang w:val="pt-BR"/>
        </w:rPr>
      </w:pPr>
      <w:r w:rsidRPr="009C7F96">
        <w:rPr>
          <w:rFonts w:cs="Times New Roman"/>
          <w:szCs w:val="24"/>
          <w:lang w:val="pt-BR"/>
        </w:rPr>
        <w:t xml:space="preserve">Como a ordenação pode influenciar as respostas, o VAR testa ordenações alternativas de </w:t>
      </w:r>
      <w:proofErr w:type="spellStart"/>
      <w:r w:rsidRPr="009C7F96">
        <w:rPr>
          <w:rFonts w:cs="Times New Roman"/>
          <w:szCs w:val="24"/>
          <w:lang w:val="pt-BR"/>
        </w:rPr>
        <w:t>Cholesky</w:t>
      </w:r>
      <w:proofErr w:type="spellEnd"/>
      <w:r w:rsidRPr="009C7F96">
        <w:rPr>
          <w:rFonts w:cs="Times New Roman"/>
          <w:szCs w:val="24"/>
          <w:lang w:val="pt-BR"/>
        </w:rPr>
        <w:t>. Esse procedimento é importante para verificar se os resultados principais dependem excessivamente de uma única hipótese de identificação contemporânea.</w:t>
      </w:r>
    </w:p>
    <w:p w14:paraId="1D3296DD" w14:textId="77777777" w:rsidR="008E44CC" w:rsidRPr="009C7F96" w:rsidRDefault="008E44CC" w:rsidP="008E44CC">
      <w:pPr>
        <w:spacing w:after="120"/>
        <w:rPr>
          <w:rFonts w:cs="Times New Roman"/>
          <w:szCs w:val="24"/>
          <w:lang w:val="pt-BR"/>
        </w:rPr>
      </w:pPr>
      <w:r w:rsidRPr="009C7F96">
        <w:rPr>
          <w:rFonts w:cs="Times New Roman"/>
          <w:szCs w:val="24"/>
          <w:lang w:val="pt-BR"/>
        </w:rPr>
        <w:t>Após a identificação dos choques, as funções impulso-resposta são obtidas pela representação em médias móveis do VAR:</w:t>
      </w:r>
    </w:p>
    <w:p w14:paraId="38D253BC"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Yₜ = </w:t>
      </w:r>
      <w:r w:rsidRPr="009C7F96">
        <w:rPr>
          <w:rFonts w:cs="Times New Roman"/>
          <w:szCs w:val="24"/>
        </w:rPr>
        <w:t>μ</w:t>
      </w:r>
      <w:r w:rsidRPr="009C7F96">
        <w:rPr>
          <w:rFonts w:cs="Times New Roman"/>
          <w:szCs w:val="24"/>
          <w:lang w:val="pt-BR"/>
        </w:rPr>
        <w:t xml:space="preserve"> + </w:t>
      </w:r>
      <w:r w:rsidRPr="009C7F96">
        <w:rPr>
          <w:rFonts w:cs="Times New Roman"/>
          <w:szCs w:val="24"/>
        </w:rPr>
        <w:t>Σ</w:t>
      </w:r>
      <w:r w:rsidRPr="009C7F96">
        <w:rPr>
          <w:rFonts w:cs="Times New Roman"/>
          <w:szCs w:val="24"/>
          <w:lang w:val="pt-BR"/>
        </w:rPr>
        <w:t xml:space="preserve">ₕ₌₀∞ </w:t>
      </w:r>
      <w:r w:rsidRPr="009C7F96">
        <w:rPr>
          <w:rFonts w:cs="Times New Roman"/>
          <w:szCs w:val="24"/>
        </w:rPr>
        <w:t>Ψ</w:t>
      </w:r>
      <w:r w:rsidRPr="009C7F96">
        <w:rPr>
          <w:rFonts w:cs="Times New Roman"/>
          <w:szCs w:val="24"/>
          <w:lang w:val="pt-BR"/>
        </w:rPr>
        <w:t>ₕ</w:t>
      </w:r>
      <w:r w:rsidRPr="009C7F96">
        <w:rPr>
          <w:rFonts w:cs="Times New Roman"/>
          <w:szCs w:val="24"/>
        </w:rPr>
        <w:t>ε</w:t>
      </w:r>
      <w:r w:rsidRPr="009C7F96">
        <w:rPr>
          <w:rFonts w:cs="Times New Roman"/>
          <w:szCs w:val="24"/>
          <w:lang w:val="pt-BR"/>
        </w:rPr>
        <w:t xml:space="preserve">ₜ₋ₕ     </w:t>
      </w:r>
      <w:proofErr w:type="gramStart"/>
      <w:r w:rsidRPr="009C7F96">
        <w:rPr>
          <w:rFonts w:cs="Times New Roman"/>
          <w:szCs w:val="24"/>
          <w:lang w:val="pt-BR"/>
        </w:rPr>
        <w:t xml:space="preserve">   (</w:t>
      </w:r>
      <w:proofErr w:type="gramEnd"/>
      <w:r w:rsidRPr="009C7F96">
        <w:rPr>
          <w:rFonts w:cs="Times New Roman"/>
          <w:szCs w:val="24"/>
          <w:lang w:val="pt-BR"/>
        </w:rPr>
        <w:t>22)</w:t>
      </w:r>
    </w:p>
    <w:p w14:paraId="77E316A8" w14:textId="77777777" w:rsidR="008E44CC" w:rsidRPr="009C7F96" w:rsidRDefault="008E44CC" w:rsidP="008E44CC">
      <w:pPr>
        <w:spacing w:after="120"/>
        <w:rPr>
          <w:rFonts w:cs="Times New Roman"/>
          <w:szCs w:val="24"/>
          <w:lang w:val="pt-BR"/>
        </w:rPr>
      </w:pPr>
      <w:r w:rsidRPr="009C7F96">
        <w:rPr>
          <w:rFonts w:cs="Times New Roman"/>
          <w:szCs w:val="24"/>
          <w:lang w:val="pt-BR"/>
        </w:rPr>
        <w:t>A resposta da variável i a um choque j no horizonte h é dada por:</w:t>
      </w:r>
    </w:p>
    <w:p w14:paraId="5DE9102F" w14:textId="77777777" w:rsidR="008E44CC" w:rsidRPr="009C7F96" w:rsidRDefault="008E44CC" w:rsidP="008E44CC">
      <w:pPr>
        <w:spacing w:after="120"/>
        <w:rPr>
          <w:rFonts w:cs="Times New Roman"/>
          <w:szCs w:val="24"/>
          <w:lang w:val="pt-BR"/>
        </w:rPr>
      </w:pPr>
      <w:r w:rsidRPr="009C7F96">
        <w:rPr>
          <w:rFonts w:cs="Times New Roman"/>
          <w:szCs w:val="24"/>
          <w:lang w:val="pt-BR"/>
        </w:rPr>
        <w:t>IRF</w:t>
      </w:r>
      <w:r w:rsidRPr="009C7F96">
        <w:rPr>
          <w:rFonts w:cs="Times New Roman"/>
          <w:szCs w:val="24"/>
        </w:rPr>
        <w:t>ᵢⱼ</w:t>
      </w:r>
      <w:r w:rsidRPr="009C7F96">
        <w:rPr>
          <w:rFonts w:cs="Times New Roman"/>
          <w:szCs w:val="24"/>
          <w:lang w:val="pt-BR"/>
        </w:rPr>
        <w:t>(h) = 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proofErr w:type="spellStart"/>
      <w:r w:rsidRPr="009C7F96">
        <w:rPr>
          <w:rFonts w:cs="Times New Roman"/>
          <w:szCs w:val="24"/>
          <w:lang w:val="pt-BR"/>
        </w:rPr>
        <w:t>Pe</w:t>
      </w:r>
      <w:proofErr w:type="spellEnd"/>
      <w:r w:rsidRPr="009C7F96">
        <w:rPr>
          <w:rFonts w:cs="Times New Roman"/>
          <w:szCs w:val="24"/>
        </w:rPr>
        <w:t>ⱼ</w:t>
      </w:r>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23)</w:t>
      </w:r>
    </w:p>
    <w:p w14:paraId="511EBD4E" w14:textId="03D83F15" w:rsidR="008E44CC" w:rsidRPr="009C7F96" w:rsidRDefault="008E44CC" w:rsidP="008E44CC">
      <w:pPr>
        <w:spacing w:after="120"/>
        <w:rPr>
          <w:rFonts w:cs="Times New Roman"/>
          <w:szCs w:val="24"/>
          <w:lang w:val="pt-BR"/>
        </w:rPr>
      </w:pPr>
      <w:r w:rsidRPr="009C7F96">
        <w:rPr>
          <w:rFonts w:cs="Times New Roman"/>
          <w:szCs w:val="24"/>
          <w:lang w:val="pt-BR"/>
        </w:rPr>
        <w:t xml:space="preserve">Além das respostas pontuais, o VAR calcula respostas acumuladas, aproximando a robustez VAR da lógica das Local </w:t>
      </w:r>
      <w:proofErr w:type="spellStart"/>
      <w:r w:rsidRPr="009C7F96">
        <w:rPr>
          <w:rFonts w:cs="Times New Roman"/>
          <w:szCs w:val="24"/>
          <w:lang w:val="pt-BR"/>
        </w:rPr>
        <w:t>Projections</w:t>
      </w:r>
      <w:proofErr w:type="spellEnd"/>
      <w:r w:rsidRPr="009C7F96">
        <w:rPr>
          <w:rFonts w:cs="Times New Roman"/>
          <w:szCs w:val="24"/>
          <w:lang w:val="pt-BR"/>
        </w:rPr>
        <w:t xml:space="preserve"> acumuladas:</w:t>
      </w:r>
    </w:p>
    <w:p w14:paraId="23513832" w14:textId="77777777" w:rsidR="008E44CC" w:rsidRPr="009C7F96" w:rsidRDefault="008E44CC" w:rsidP="008E44CC">
      <w:pPr>
        <w:spacing w:after="120"/>
        <w:rPr>
          <w:rFonts w:cs="Times New Roman"/>
          <w:szCs w:val="24"/>
          <w:lang w:val="pt-BR"/>
        </w:rPr>
      </w:pPr>
      <w:r w:rsidRPr="009C7F96">
        <w:rPr>
          <w:rFonts w:cs="Times New Roman"/>
          <w:szCs w:val="24"/>
          <w:lang w:val="pt-BR"/>
        </w:rPr>
        <w:t>IRF</w:t>
      </w:r>
      <w:r w:rsidRPr="009C7F96">
        <w:rPr>
          <w:rFonts w:cs="Times New Roman"/>
          <w:szCs w:val="24"/>
        </w:rPr>
        <w:t>ᵢⱼᵃᶜᵘᵐ</w:t>
      </w:r>
      <w:r w:rsidRPr="009C7F96">
        <w:rPr>
          <w:rFonts w:cs="Times New Roman"/>
          <w:szCs w:val="24"/>
          <w:lang w:val="pt-BR"/>
        </w:rPr>
        <w:t xml:space="preserve">(H)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 xml:space="preserve"> IRF</w:t>
      </w:r>
      <w:r w:rsidRPr="009C7F96">
        <w:rPr>
          <w:rFonts w:cs="Times New Roman"/>
          <w:szCs w:val="24"/>
        </w:rPr>
        <w:t>ᵢⱼ</w:t>
      </w:r>
      <w:r w:rsidRPr="009C7F96">
        <w:rPr>
          <w:rFonts w:cs="Times New Roman"/>
          <w:szCs w:val="24"/>
          <w:lang w:val="pt-BR"/>
        </w:rPr>
        <w:t>(</w:t>
      </w:r>
      <w:proofErr w:type="gramStart"/>
      <w:r w:rsidRPr="009C7F96">
        <w:rPr>
          <w:rFonts w:cs="Times New Roman"/>
          <w:szCs w:val="24"/>
          <w:lang w:val="pt-BR"/>
        </w:rPr>
        <w:t xml:space="preserve">h)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24)</w:t>
      </w:r>
    </w:p>
    <w:p w14:paraId="7DE5AE5A" w14:textId="75E50E85" w:rsidR="008E44CC" w:rsidRPr="009C7F96" w:rsidRDefault="008E44CC" w:rsidP="008E44CC">
      <w:pPr>
        <w:spacing w:after="120"/>
        <w:rPr>
          <w:rFonts w:cs="Times New Roman"/>
          <w:szCs w:val="24"/>
          <w:lang w:val="pt-BR"/>
        </w:rPr>
      </w:pPr>
      <w:r w:rsidRPr="009C7F96">
        <w:rPr>
          <w:rFonts w:cs="Times New Roman"/>
          <w:szCs w:val="24"/>
          <w:lang w:val="pt-BR"/>
        </w:rPr>
        <w:t>A comparação entre LP e VAR não exige igualdade exata de magnitude, pois os modelos possuem estruturas diferentes. O objetivo é verificar se o sinal, a persistência e a hierarquia econômica dos efeitos são compatíveis, especialmente se os combustíveis afetam mais o IPCA Transportes do que o IPCA Geral.</w:t>
      </w:r>
    </w:p>
    <w:p w14:paraId="6F5EAAE1" w14:textId="77777777" w:rsidR="008E44CC" w:rsidRPr="009C7F96" w:rsidRDefault="008E44CC" w:rsidP="008E44CC">
      <w:pPr>
        <w:pStyle w:val="Heading2"/>
        <w:spacing w:before="120" w:after="120"/>
        <w:jc w:val="both"/>
        <w:rPr>
          <w:rFonts w:cs="Times New Roman"/>
          <w:szCs w:val="24"/>
        </w:rPr>
      </w:pPr>
      <w:bookmarkStart w:id="25" w:name="_Toc229695952"/>
      <w:r w:rsidRPr="009C7F96">
        <w:rPr>
          <w:rFonts w:ascii="Times New Roman" w:eastAsia="Times New Roman" w:hAnsi="Times New Roman" w:cs="Times New Roman"/>
          <w:szCs w:val="24"/>
        </w:rPr>
        <w:t>3.9 Decomposição da variância do erro de previsão: FEVD</w:t>
      </w:r>
      <w:bookmarkEnd w:id="25"/>
    </w:p>
    <w:p w14:paraId="1DCE6111" w14:textId="789EC85E" w:rsidR="008E44CC" w:rsidRPr="009C7F96" w:rsidRDefault="008E44CC" w:rsidP="008E44CC">
      <w:pPr>
        <w:spacing w:after="120"/>
        <w:rPr>
          <w:rFonts w:cs="Times New Roman"/>
          <w:szCs w:val="24"/>
          <w:lang w:val="pt-BR"/>
        </w:rPr>
      </w:pPr>
      <w:r w:rsidRPr="009C7F96">
        <w:rPr>
          <w:rFonts w:cs="Times New Roman"/>
          <w:szCs w:val="24"/>
          <w:lang w:val="pt-BR"/>
        </w:rPr>
        <w:t>A decomposição da variância do erro de previsão, conhecida como FEVD, é utilizada no VAR para medir a importância relativa de cada choque na explicação da incerteza de previsão das variáveis do sistema. Enquanto a função impulso-resposta mostra a direção e a trajetória do efeito de um choque, a FEVD mostra a participação de cada choque na variância do erro de previsão.</w:t>
      </w:r>
    </w:p>
    <w:p w14:paraId="116E8F3D" w14:textId="77777777" w:rsidR="008E44CC" w:rsidRPr="009C7F96" w:rsidRDefault="008E44CC" w:rsidP="008E44CC">
      <w:pPr>
        <w:spacing w:after="120"/>
        <w:rPr>
          <w:rFonts w:cs="Times New Roman"/>
          <w:szCs w:val="24"/>
          <w:lang w:val="pt-BR"/>
        </w:rPr>
      </w:pPr>
      <w:r w:rsidRPr="009C7F96">
        <w:rPr>
          <w:rFonts w:cs="Times New Roman"/>
          <w:szCs w:val="24"/>
          <w:lang w:val="pt-BR"/>
        </w:rPr>
        <w:t>Para a variável i e o choque j, no horizonte H, a FEVD pode ser representada por:</w:t>
      </w:r>
    </w:p>
    <w:p w14:paraId="5979C444"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FEVD</w:t>
      </w:r>
      <w:r w:rsidRPr="009C7F96">
        <w:rPr>
          <w:rFonts w:cs="Times New Roman"/>
          <w:szCs w:val="24"/>
        </w:rPr>
        <w:t>ᵢ</w:t>
      </w:r>
      <w:r w:rsidRPr="009C7F96">
        <w:rPr>
          <w:rFonts w:cs="Times New Roman"/>
          <w:szCs w:val="24"/>
          <w:lang w:val="pt-BR"/>
        </w:rPr>
        <w:t>←</w:t>
      </w:r>
      <w:r w:rsidRPr="009C7F96">
        <w:rPr>
          <w:rFonts w:cs="Times New Roman"/>
          <w:szCs w:val="24"/>
        </w:rPr>
        <w:t>ⱼ</w:t>
      </w:r>
      <w:r w:rsidRPr="009C7F96">
        <w:rPr>
          <w:rFonts w:cs="Times New Roman"/>
          <w:szCs w:val="24"/>
          <w:lang w:val="pt-BR"/>
        </w:rPr>
        <w:t>(H)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proofErr w:type="spellStart"/>
      <w:proofErr w:type="gramStart"/>
      <w:r w:rsidRPr="009C7F96">
        <w:rPr>
          <w:rFonts w:cs="Times New Roman"/>
          <w:szCs w:val="24"/>
          <w:lang w:val="pt-BR"/>
        </w:rPr>
        <w:t>Pe</w:t>
      </w:r>
      <w:proofErr w:type="spellEnd"/>
      <w:r w:rsidRPr="009C7F96">
        <w:rPr>
          <w:rFonts w:cs="Times New Roman"/>
          <w:szCs w:val="24"/>
        </w:rPr>
        <w:t>ⱼ</w:t>
      </w:r>
      <w:r w:rsidRPr="009C7F96">
        <w:rPr>
          <w:rFonts w:cs="Times New Roman"/>
          <w:szCs w:val="24"/>
          <w:lang w:val="pt-BR"/>
        </w:rPr>
        <w:t>)²</w:t>
      </w:r>
      <w:proofErr w:type="gramEnd"/>
      <w:r w:rsidRPr="009C7F96">
        <w:rPr>
          <w:rFonts w:cs="Times New Roman"/>
          <w:szCs w:val="24"/>
          <w:lang w:val="pt-BR"/>
        </w:rPr>
        <w:t>] / [</w:t>
      </w:r>
      <w:r w:rsidRPr="009C7F96">
        <w:rPr>
          <w:rFonts w:cs="Times New Roman"/>
          <w:szCs w:val="24"/>
        </w:rPr>
        <w:t>Σ</w:t>
      </w:r>
      <w:r w:rsidRPr="009C7F96">
        <w:rPr>
          <w:rFonts w:cs="Times New Roman"/>
          <w:szCs w:val="24"/>
          <w:lang w:val="pt-BR"/>
        </w:rPr>
        <w:t>ₕ₌₀</w:t>
      </w:r>
      <w:r w:rsidRPr="009C7F96">
        <w:rPr>
          <w:rFonts w:cs="Times New Roman"/>
          <w:szCs w:val="24"/>
        </w:rPr>
        <w:t>ᴴ</w:t>
      </w:r>
      <w:r w:rsidRPr="009C7F96">
        <w:rPr>
          <w:rFonts w:cs="Times New Roman"/>
          <w:szCs w:val="24"/>
          <w:lang w:val="pt-BR"/>
        </w:rPr>
        <w:t>⁻¹e</w:t>
      </w:r>
      <w:r w:rsidRPr="009C7F96">
        <w:rPr>
          <w:rFonts w:cs="Times New Roman"/>
          <w:szCs w:val="24"/>
        </w:rPr>
        <w:t>ᵢ</w:t>
      </w:r>
      <w:r w:rsidRPr="009C7F96">
        <w:rPr>
          <w:rFonts w:cs="Times New Roman"/>
          <w:szCs w:val="24"/>
          <w:lang w:val="pt-BR"/>
        </w:rPr>
        <w:t>′</w:t>
      </w:r>
      <w:r w:rsidRPr="009C7F96">
        <w:rPr>
          <w:rFonts w:cs="Times New Roman"/>
          <w:szCs w:val="24"/>
        </w:rPr>
        <w:t>Ψ</w:t>
      </w:r>
      <w:r w:rsidRPr="009C7F96">
        <w:rPr>
          <w:rFonts w:cs="Times New Roman"/>
          <w:szCs w:val="24"/>
          <w:lang w:val="pt-BR"/>
        </w:rPr>
        <w:t>ₕ</w:t>
      </w:r>
      <w:r w:rsidRPr="009C7F96">
        <w:rPr>
          <w:rFonts w:cs="Times New Roman"/>
          <w:szCs w:val="24"/>
        </w:rPr>
        <w:t>ΣᵤΨ</w:t>
      </w:r>
      <w:r w:rsidRPr="009C7F96">
        <w:rPr>
          <w:rFonts w:cs="Times New Roman"/>
          <w:szCs w:val="24"/>
          <w:lang w:val="pt-BR"/>
        </w:rPr>
        <w:t>ₕ′</w:t>
      </w:r>
      <w:proofErr w:type="gramStart"/>
      <w:r w:rsidRPr="009C7F96">
        <w:rPr>
          <w:rFonts w:cs="Times New Roman"/>
          <w:szCs w:val="24"/>
          <w:lang w:val="pt-BR"/>
        </w:rPr>
        <w:t>e</w:t>
      </w:r>
      <w:r w:rsidRPr="009C7F96">
        <w:rPr>
          <w:rFonts w:cs="Times New Roman"/>
          <w:szCs w:val="24"/>
        </w:rPr>
        <w:t>ᵢ</w:t>
      </w:r>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25)</w:t>
      </w:r>
    </w:p>
    <w:p w14:paraId="2F6B4BE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No presente trabalho, a FEVD é usada para verificar quanto da variância do erro de previsão do IPCA Geral e do IPCA Transportes é explicada por choques no petróleo, no câmbio, nos combustíveis, na Selic, nas expectativas e na atividade. Ela complementa as </w:t>
      </w:r>
      <w:proofErr w:type="spellStart"/>
      <w:r w:rsidRPr="009C7F96">
        <w:rPr>
          <w:rFonts w:cs="Times New Roman"/>
          <w:szCs w:val="24"/>
          <w:lang w:val="pt-BR"/>
        </w:rPr>
        <w:t>IRFs</w:t>
      </w:r>
      <w:proofErr w:type="spellEnd"/>
      <w:r w:rsidRPr="009C7F96">
        <w:rPr>
          <w:rFonts w:cs="Times New Roman"/>
          <w:szCs w:val="24"/>
          <w:lang w:val="pt-BR"/>
        </w:rPr>
        <w:t xml:space="preserve"> porque permite avaliar se um choque economicamente relevante também possui peso quantitativo na previsão da inflação.</w:t>
      </w:r>
    </w:p>
    <w:p w14:paraId="424AD526" w14:textId="1D1B7061" w:rsidR="008E44CC" w:rsidRPr="009C7F96" w:rsidRDefault="008E44CC" w:rsidP="008E44CC">
      <w:pPr>
        <w:spacing w:after="120"/>
        <w:rPr>
          <w:rFonts w:cs="Times New Roman"/>
          <w:szCs w:val="24"/>
          <w:lang w:val="pt-BR"/>
        </w:rPr>
      </w:pPr>
      <w:r w:rsidRPr="009C7F96">
        <w:rPr>
          <w:rFonts w:cs="Times New Roman"/>
          <w:szCs w:val="24"/>
          <w:lang w:val="pt-BR"/>
        </w:rPr>
        <w:t xml:space="preserve">A FEVD será interpretada como evidência complementar, pois também depende da identificação estrutural adotada e da ordenação de </w:t>
      </w:r>
      <w:proofErr w:type="spellStart"/>
      <w:r w:rsidRPr="009C7F96">
        <w:rPr>
          <w:rFonts w:cs="Times New Roman"/>
          <w:szCs w:val="24"/>
          <w:lang w:val="pt-BR"/>
        </w:rPr>
        <w:t>Cholesky</w:t>
      </w:r>
      <w:proofErr w:type="spellEnd"/>
      <w:r w:rsidRPr="009C7F96">
        <w:rPr>
          <w:rFonts w:cs="Times New Roman"/>
          <w:szCs w:val="24"/>
          <w:lang w:val="pt-BR"/>
        </w:rPr>
        <w:t xml:space="preserve">. Por isso, sua função no trabalho é reforçar ou qualificar os resultados das Local </w:t>
      </w:r>
      <w:proofErr w:type="spellStart"/>
      <w:r w:rsidRPr="009C7F96">
        <w:rPr>
          <w:rFonts w:cs="Times New Roman"/>
          <w:szCs w:val="24"/>
          <w:lang w:val="pt-BR"/>
        </w:rPr>
        <w:t>Projections</w:t>
      </w:r>
      <w:proofErr w:type="spellEnd"/>
      <w:r w:rsidRPr="009C7F96">
        <w:rPr>
          <w:rFonts w:cs="Times New Roman"/>
          <w:szCs w:val="24"/>
          <w:lang w:val="pt-BR"/>
        </w:rPr>
        <w:t xml:space="preserve"> e das </w:t>
      </w:r>
      <w:proofErr w:type="spellStart"/>
      <w:r w:rsidRPr="009C7F96">
        <w:rPr>
          <w:rFonts w:cs="Times New Roman"/>
          <w:szCs w:val="24"/>
          <w:lang w:val="pt-BR"/>
        </w:rPr>
        <w:t>IRFs</w:t>
      </w:r>
      <w:proofErr w:type="spellEnd"/>
      <w:r w:rsidRPr="009C7F96">
        <w:rPr>
          <w:rFonts w:cs="Times New Roman"/>
          <w:szCs w:val="24"/>
          <w:lang w:val="pt-BR"/>
        </w:rPr>
        <w:t xml:space="preserve"> do VAR, não substituir a interpretação econômica do canal de transmissão.</w:t>
      </w:r>
    </w:p>
    <w:p w14:paraId="4BDFE78C" w14:textId="296CECB7" w:rsidR="008E44CC" w:rsidRPr="009C7F96" w:rsidRDefault="008E44CC" w:rsidP="008E44CC">
      <w:pPr>
        <w:pStyle w:val="Heading2"/>
        <w:spacing w:before="120" w:after="120"/>
        <w:jc w:val="both"/>
        <w:rPr>
          <w:rFonts w:cs="Times New Roman"/>
          <w:szCs w:val="24"/>
        </w:rPr>
      </w:pPr>
      <w:bookmarkStart w:id="26" w:name="_Toc229695953"/>
      <w:r w:rsidRPr="009C7F96">
        <w:rPr>
          <w:rFonts w:ascii="Times New Roman" w:eastAsia="Times New Roman" w:hAnsi="Times New Roman" w:cs="Times New Roman"/>
          <w:szCs w:val="24"/>
        </w:rPr>
        <w:t>3.10 Diagnósticos estatísticos do VAR</w:t>
      </w:r>
      <w:bookmarkEnd w:id="26"/>
    </w:p>
    <w:p w14:paraId="67C2D068" w14:textId="73E6433D" w:rsidR="008E44CC" w:rsidRPr="009C7F96" w:rsidRDefault="008E44CC" w:rsidP="008E44CC">
      <w:pPr>
        <w:spacing w:after="120"/>
        <w:rPr>
          <w:rFonts w:cs="Times New Roman"/>
          <w:szCs w:val="24"/>
          <w:lang w:val="pt-BR"/>
        </w:rPr>
      </w:pPr>
      <w:r w:rsidRPr="009C7F96">
        <w:rPr>
          <w:rFonts w:cs="Times New Roman"/>
          <w:szCs w:val="24"/>
          <w:lang w:val="pt-BR"/>
        </w:rPr>
        <w:t>Como o VAR é utilizado como robustez, seus diagnósticos estatísticos precisam ser reportados. O primeiro diagnóstico é a estabilidade do sistema. Para que as funções impulso-resposta sejam interpretáveis, as raízes do polinômio autorregressivo devem estar dentro do círculo unitário, o que no procedimento usual do software equivale a verificar se o sistema é estável:</w:t>
      </w:r>
    </w:p>
    <w:p w14:paraId="37C20ADC" w14:textId="77777777" w:rsidR="008E44CC" w:rsidRPr="009C7F96" w:rsidRDefault="008E44CC" w:rsidP="008E44CC">
      <w:pPr>
        <w:spacing w:after="120"/>
        <w:rPr>
          <w:rFonts w:cs="Times New Roman"/>
          <w:szCs w:val="24"/>
          <w:lang w:val="pt-BR"/>
        </w:rPr>
      </w:pPr>
      <w:r w:rsidRPr="009C7F96">
        <w:rPr>
          <w:rFonts w:cs="Times New Roman"/>
          <w:szCs w:val="24"/>
          <w:lang w:val="pt-BR"/>
        </w:rPr>
        <w:t>|</w:t>
      </w:r>
      <w:r w:rsidRPr="009C7F96">
        <w:rPr>
          <w:rFonts w:cs="Times New Roman"/>
          <w:szCs w:val="24"/>
        </w:rPr>
        <w:t>λᵢ</w:t>
      </w:r>
      <w:r w:rsidRPr="009C7F96">
        <w:rPr>
          <w:rFonts w:cs="Times New Roman"/>
          <w:szCs w:val="24"/>
          <w:lang w:val="pt-BR"/>
        </w:rPr>
        <w:t xml:space="preserve">| &lt; </w:t>
      </w:r>
      <w:proofErr w:type="gramStart"/>
      <w:r w:rsidRPr="009C7F96">
        <w:rPr>
          <w:rFonts w:cs="Times New Roman"/>
          <w:szCs w:val="24"/>
          <w:lang w:val="pt-BR"/>
        </w:rPr>
        <w:t xml:space="preserve">1,   </w:t>
      </w:r>
      <w:proofErr w:type="gramEnd"/>
      <w:r w:rsidRPr="009C7F96">
        <w:rPr>
          <w:rFonts w:cs="Times New Roman"/>
          <w:szCs w:val="24"/>
          <w:lang w:val="pt-BR"/>
        </w:rPr>
        <w:t xml:space="preserve"> para todo i     </w:t>
      </w:r>
      <w:proofErr w:type="gramStart"/>
      <w:r w:rsidRPr="009C7F96">
        <w:rPr>
          <w:rFonts w:cs="Times New Roman"/>
          <w:szCs w:val="24"/>
          <w:lang w:val="pt-BR"/>
        </w:rPr>
        <w:t xml:space="preserve">   (</w:t>
      </w:r>
      <w:proofErr w:type="gramEnd"/>
      <w:r w:rsidRPr="009C7F96">
        <w:rPr>
          <w:rFonts w:cs="Times New Roman"/>
          <w:szCs w:val="24"/>
          <w:lang w:val="pt-BR"/>
        </w:rPr>
        <w:t>26)</w:t>
      </w:r>
    </w:p>
    <w:p w14:paraId="2A277509" w14:textId="77777777" w:rsidR="008E44CC" w:rsidRPr="009C7F96" w:rsidRDefault="008E44CC" w:rsidP="008E44CC">
      <w:pPr>
        <w:spacing w:after="120"/>
        <w:rPr>
          <w:rFonts w:cs="Times New Roman"/>
          <w:szCs w:val="24"/>
          <w:lang w:val="pt-BR"/>
        </w:rPr>
      </w:pPr>
      <w:r w:rsidRPr="009C7F96">
        <w:rPr>
          <w:rFonts w:cs="Times New Roman"/>
          <w:szCs w:val="24"/>
          <w:lang w:val="pt-BR"/>
        </w:rPr>
        <w:t>Também são avaliados os resíduos do VAR. A ausência de autocorrelação serial é necessária para indicar que as defasagens escolhidas capturaram adequadamente a dinâmica temporal. A hipótese nula dos testes de autocorrelação pode ser expressa como:</w:t>
      </w:r>
    </w:p>
    <w:p w14:paraId="46C1AF50" w14:textId="77777777" w:rsidR="008E44CC" w:rsidRPr="009C7F96" w:rsidRDefault="008E44CC" w:rsidP="008E44CC">
      <w:pPr>
        <w:spacing w:after="120"/>
        <w:rPr>
          <w:rFonts w:cs="Times New Roman"/>
          <w:szCs w:val="24"/>
          <w:lang w:val="pt-BR"/>
        </w:rPr>
      </w:pPr>
      <w:r w:rsidRPr="009C7F96">
        <w:rPr>
          <w:rFonts w:cs="Times New Roman"/>
          <w:szCs w:val="24"/>
          <w:lang w:val="pt-BR"/>
        </w:rPr>
        <w:t>H₀: E(</w:t>
      </w:r>
      <w:proofErr w:type="spellStart"/>
      <w:r w:rsidRPr="009C7F96">
        <w:rPr>
          <w:rFonts w:cs="Times New Roman"/>
          <w:szCs w:val="24"/>
          <w:lang w:val="pt-BR"/>
        </w:rPr>
        <w:t>uₜu</w:t>
      </w:r>
      <w:proofErr w:type="spellEnd"/>
      <w:r w:rsidRPr="009C7F96">
        <w:rPr>
          <w:rFonts w:cs="Times New Roman"/>
          <w:szCs w:val="24"/>
          <w:lang w:val="pt-BR"/>
        </w:rPr>
        <w:t xml:space="preserve">ₜ₋ₖ) = </w:t>
      </w:r>
      <w:proofErr w:type="gramStart"/>
      <w:r w:rsidRPr="009C7F96">
        <w:rPr>
          <w:rFonts w:cs="Times New Roman"/>
          <w:szCs w:val="24"/>
          <w:lang w:val="pt-BR"/>
        </w:rPr>
        <w:t xml:space="preserve">0,   </w:t>
      </w:r>
      <w:proofErr w:type="gramEnd"/>
      <w:r w:rsidRPr="009C7F96">
        <w:rPr>
          <w:rFonts w:cs="Times New Roman"/>
          <w:szCs w:val="24"/>
          <w:lang w:val="pt-BR"/>
        </w:rPr>
        <w:t xml:space="preserve"> k = 1, ..., m     </w:t>
      </w:r>
      <w:proofErr w:type="gramStart"/>
      <w:r w:rsidRPr="009C7F96">
        <w:rPr>
          <w:rFonts w:cs="Times New Roman"/>
          <w:szCs w:val="24"/>
          <w:lang w:val="pt-BR"/>
        </w:rPr>
        <w:t xml:space="preserve">   (</w:t>
      </w:r>
      <w:proofErr w:type="gramEnd"/>
      <w:r w:rsidRPr="009C7F96">
        <w:rPr>
          <w:rFonts w:cs="Times New Roman"/>
          <w:szCs w:val="24"/>
          <w:lang w:val="pt-BR"/>
        </w:rPr>
        <w:t>27)</w:t>
      </w:r>
    </w:p>
    <w:p w14:paraId="0F6F7020" w14:textId="77777777" w:rsidR="008E44CC" w:rsidRPr="009C7F96" w:rsidRDefault="008E44CC" w:rsidP="008E44CC">
      <w:pPr>
        <w:spacing w:after="120"/>
        <w:rPr>
          <w:rFonts w:cs="Times New Roman"/>
          <w:szCs w:val="24"/>
          <w:lang w:val="pt-BR"/>
        </w:rPr>
      </w:pPr>
      <w:r w:rsidRPr="009C7F96">
        <w:rPr>
          <w:rFonts w:cs="Times New Roman"/>
          <w:szCs w:val="24"/>
          <w:lang w:val="pt-BR"/>
        </w:rPr>
        <w:t>O modelo também realiza testes de normalidade dos resíduos. A hipótese nula pode ser escrita como:</w:t>
      </w:r>
    </w:p>
    <w:p w14:paraId="412D29DB"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H₀: uₜ ~ </w:t>
      </w:r>
      <w:proofErr w:type="gramStart"/>
      <w:r w:rsidRPr="009C7F96">
        <w:rPr>
          <w:rFonts w:cs="Times New Roman"/>
          <w:szCs w:val="24"/>
          <w:lang w:val="pt-BR"/>
        </w:rPr>
        <w:t>N(</w:t>
      </w:r>
      <w:proofErr w:type="gramEnd"/>
      <w:r w:rsidRPr="009C7F96">
        <w:rPr>
          <w:rFonts w:cs="Times New Roman"/>
          <w:szCs w:val="24"/>
          <w:lang w:val="pt-BR"/>
        </w:rPr>
        <w:t xml:space="preserve">0, </w:t>
      </w:r>
      <w:proofErr w:type="gramStart"/>
      <w:r w:rsidRPr="009C7F96">
        <w:rPr>
          <w:rFonts w:cs="Times New Roman"/>
          <w:szCs w:val="24"/>
        </w:rPr>
        <w:t>Σ</w:t>
      </w:r>
      <w:r w:rsidRPr="009C7F96">
        <w:rPr>
          <w:rFonts w:cs="Times New Roman"/>
          <w:szCs w:val="24"/>
          <w:lang w:val="pt-BR"/>
        </w:rPr>
        <w:t xml:space="preserve">)   </w:t>
      </w:r>
      <w:proofErr w:type="gramEnd"/>
      <w:r w:rsidRPr="009C7F96">
        <w:rPr>
          <w:rFonts w:cs="Times New Roman"/>
          <w:szCs w:val="24"/>
          <w:lang w:val="pt-BR"/>
        </w:rPr>
        <w:t xml:space="preserve">  </w:t>
      </w:r>
      <w:proofErr w:type="gramStart"/>
      <w:r w:rsidRPr="009C7F96">
        <w:rPr>
          <w:rFonts w:cs="Times New Roman"/>
          <w:szCs w:val="24"/>
          <w:lang w:val="pt-BR"/>
        </w:rPr>
        <w:t xml:space="preserve">   (</w:t>
      </w:r>
      <w:proofErr w:type="gramEnd"/>
      <w:r w:rsidRPr="009C7F96">
        <w:rPr>
          <w:rFonts w:cs="Times New Roman"/>
          <w:szCs w:val="24"/>
          <w:lang w:val="pt-BR"/>
        </w:rPr>
        <w:t>28)</w:t>
      </w:r>
    </w:p>
    <w:p w14:paraId="7CAB932B" w14:textId="77777777" w:rsidR="008E44CC" w:rsidRPr="00B85826" w:rsidRDefault="008E44CC" w:rsidP="008E44CC">
      <w:pPr>
        <w:spacing w:after="120"/>
        <w:rPr>
          <w:rFonts w:cs="Times New Roman"/>
          <w:szCs w:val="24"/>
          <w:lang w:val="pt-BR"/>
        </w:rPr>
      </w:pPr>
      <w:r w:rsidRPr="009C7F96">
        <w:rPr>
          <w:rFonts w:cs="Times New Roman"/>
          <w:szCs w:val="24"/>
          <w:lang w:val="pt-BR"/>
        </w:rPr>
        <w:t xml:space="preserve">Embora a normalidade perfeita seja difícil em séries macroeconômicas, desvios muito fortes podem afetar a inferência em amostras finitas. Por fim, são avaliados efeitos ARCH, isto é, a presença de heterocedasticidade condicional nos resíduos. </w:t>
      </w:r>
      <w:r w:rsidRPr="00B85826">
        <w:rPr>
          <w:rFonts w:cs="Times New Roman"/>
          <w:szCs w:val="24"/>
          <w:lang w:val="pt-BR"/>
        </w:rPr>
        <w:t>A hipótese nula é:</w:t>
      </w:r>
    </w:p>
    <w:p w14:paraId="5D39C5F1" w14:textId="77777777" w:rsidR="008E44CC" w:rsidRPr="00B85826" w:rsidRDefault="008E44CC" w:rsidP="008E44CC">
      <w:pPr>
        <w:spacing w:after="120"/>
        <w:rPr>
          <w:rFonts w:cs="Times New Roman"/>
          <w:szCs w:val="24"/>
          <w:lang w:val="pt-BR"/>
        </w:rPr>
      </w:pPr>
      <w:r w:rsidRPr="00B85826">
        <w:rPr>
          <w:rFonts w:cs="Times New Roman"/>
          <w:szCs w:val="24"/>
          <w:lang w:val="pt-BR"/>
        </w:rPr>
        <w:t xml:space="preserve">H₀: </w:t>
      </w:r>
      <w:proofErr w:type="gramStart"/>
      <w:r w:rsidRPr="00B85826">
        <w:rPr>
          <w:rFonts w:cs="Times New Roman"/>
          <w:szCs w:val="24"/>
          <w:lang w:val="pt-BR"/>
        </w:rPr>
        <w:t>E(</w:t>
      </w:r>
      <w:proofErr w:type="gramEnd"/>
      <w:r w:rsidRPr="00B85826">
        <w:rPr>
          <w:rFonts w:cs="Times New Roman"/>
          <w:szCs w:val="24"/>
          <w:lang w:val="pt-BR"/>
        </w:rPr>
        <w:t xml:space="preserve">uₜ² | </w:t>
      </w:r>
      <w:r w:rsidRPr="009C7F96">
        <w:rPr>
          <w:rFonts w:cs="Times New Roman"/>
          <w:szCs w:val="24"/>
        </w:rPr>
        <w:t>Ω</w:t>
      </w:r>
      <w:r w:rsidRPr="00B85826">
        <w:rPr>
          <w:rFonts w:cs="Times New Roman"/>
          <w:szCs w:val="24"/>
          <w:lang w:val="pt-BR"/>
        </w:rPr>
        <w:t xml:space="preserve">ₜ₋₁) = </w:t>
      </w:r>
      <w:r w:rsidRPr="009C7F96">
        <w:rPr>
          <w:rFonts w:cs="Times New Roman"/>
          <w:szCs w:val="24"/>
        </w:rPr>
        <w:t>σ</w:t>
      </w:r>
      <w:r w:rsidRPr="00B85826">
        <w:rPr>
          <w:rFonts w:cs="Times New Roman"/>
          <w:szCs w:val="24"/>
          <w:lang w:val="pt-BR"/>
        </w:rPr>
        <w:t xml:space="preserve">²     </w:t>
      </w:r>
      <w:proofErr w:type="gramStart"/>
      <w:r w:rsidRPr="00B85826">
        <w:rPr>
          <w:rFonts w:cs="Times New Roman"/>
          <w:szCs w:val="24"/>
          <w:lang w:val="pt-BR"/>
        </w:rPr>
        <w:t xml:space="preserve">   (</w:t>
      </w:r>
      <w:proofErr w:type="gramEnd"/>
      <w:r w:rsidRPr="00B85826">
        <w:rPr>
          <w:rFonts w:cs="Times New Roman"/>
          <w:szCs w:val="24"/>
          <w:lang w:val="pt-BR"/>
        </w:rPr>
        <w:t>29)</w:t>
      </w:r>
    </w:p>
    <w:p w14:paraId="0C6B88FE" w14:textId="2917E0C3" w:rsidR="008E44CC" w:rsidRPr="009C7F96" w:rsidRDefault="008E44CC" w:rsidP="008E44CC">
      <w:pPr>
        <w:spacing w:after="120"/>
        <w:rPr>
          <w:rFonts w:cs="Times New Roman"/>
          <w:szCs w:val="24"/>
          <w:lang w:val="pt-BR"/>
        </w:rPr>
      </w:pPr>
      <w:r w:rsidRPr="009C7F96">
        <w:rPr>
          <w:rFonts w:cs="Times New Roman"/>
          <w:szCs w:val="24"/>
          <w:lang w:val="pt-BR"/>
        </w:rPr>
        <w:lastRenderedPageBreak/>
        <w:t>Além desses testes, o VAR calcula causalidade de Granger. Esse teste verifica se as defasagens de uma variável ajudam a prever outra variável, condicionalmente às demais variáveis do sistema. A hipótese nula é que os coeficientes defasados da variável causadora são conjuntamente iguais a zero:</w:t>
      </w:r>
    </w:p>
    <w:p w14:paraId="147334F8" w14:textId="77777777" w:rsidR="008E44CC" w:rsidRPr="009C7F96" w:rsidRDefault="008E44CC" w:rsidP="008E44CC">
      <w:pPr>
        <w:spacing w:after="120"/>
        <w:rPr>
          <w:rFonts w:cs="Times New Roman"/>
          <w:szCs w:val="24"/>
          <w:lang w:val="pt-BR"/>
        </w:rPr>
      </w:pPr>
      <w:r w:rsidRPr="009C7F96">
        <w:rPr>
          <w:rFonts w:cs="Times New Roman"/>
          <w:szCs w:val="24"/>
          <w:lang w:val="pt-BR"/>
        </w:rPr>
        <w:t>H₀: A</w:t>
      </w:r>
      <w:proofErr w:type="gramStart"/>
      <w:r w:rsidRPr="009C7F96">
        <w:rPr>
          <w:rFonts w:cs="Times New Roman"/>
          <w:szCs w:val="24"/>
          <w:lang w:val="pt-BR"/>
        </w:rPr>
        <w:t>₁,</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A</w:t>
      </w:r>
      <w:proofErr w:type="gramStart"/>
      <w:r w:rsidRPr="009C7F96">
        <w:rPr>
          <w:rFonts w:cs="Times New Roman"/>
          <w:szCs w:val="24"/>
          <w:lang w:val="pt-BR"/>
        </w:rPr>
        <w:t>₂,</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 = </w:t>
      </w:r>
      <w:proofErr w:type="gramStart"/>
      <w:r w:rsidRPr="009C7F96">
        <w:rPr>
          <w:rFonts w:cs="Times New Roman"/>
          <w:szCs w:val="24"/>
          <w:lang w:val="pt-BR"/>
        </w:rPr>
        <w:t>Aₚ,</w:t>
      </w:r>
      <w:proofErr w:type="spellStart"/>
      <w:r w:rsidRPr="009C7F96">
        <w:rPr>
          <w:rFonts w:cs="Times New Roman"/>
          <w:szCs w:val="24"/>
          <w:lang w:val="pt-BR"/>
        </w:rPr>
        <w:t>ij</w:t>
      </w:r>
      <w:proofErr w:type="spellEnd"/>
      <w:proofErr w:type="gramEnd"/>
      <w:r w:rsidRPr="009C7F96">
        <w:rPr>
          <w:rFonts w:cs="Times New Roman"/>
          <w:szCs w:val="24"/>
          <w:lang w:val="pt-BR"/>
        </w:rPr>
        <w:t xml:space="preserve"> = 0     </w:t>
      </w:r>
      <w:proofErr w:type="gramStart"/>
      <w:r w:rsidRPr="009C7F96">
        <w:rPr>
          <w:rFonts w:cs="Times New Roman"/>
          <w:szCs w:val="24"/>
          <w:lang w:val="pt-BR"/>
        </w:rPr>
        <w:t xml:space="preserve">   (</w:t>
      </w:r>
      <w:proofErr w:type="gramEnd"/>
      <w:r w:rsidRPr="009C7F96">
        <w:rPr>
          <w:rFonts w:cs="Times New Roman"/>
          <w:szCs w:val="24"/>
          <w:lang w:val="pt-BR"/>
        </w:rPr>
        <w:t>30)</w:t>
      </w:r>
    </w:p>
    <w:p w14:paraId="22C3C684" w14:textId="77777777" w:rsidR="008E44CC" w:rsidRPr="009C7F96" w:rsidRDefault="008E44CC" w:rsidP="008E44CC">
      <w:pPr>
        <w:spacing w:after="120"/>
        <w:rPr>
          <w:rFonts w:cs="Times New Roman"/>
          <w:szCs w:val="24"/>
          <w:lang w:val="pt-BR"/>
        </w:rPr>
      </w:pPr>
      <w:r w:rsidRPr="009C7F96">
        <w:rPr>
          <w:rFonts w:cs="Times New Roman"/>
          <w:szCs w:val="24"/>
          <w:lang w:val="pt-BR"/>
        </w:rPr>
        <w:t>A rejeição da hipótese nula indica precedência temporal preditiva, mas não deve ser interpretada isoladamente como causalidade estrutural. No trabalho, a causalidade de Granger é usada apenas como diagnóstico complementar do canal petróleo-combustíveis-inflação.</w:t>
      </w:r>
    </w:p>
    <w:p w14:paraId="4BA3872D" w14:textId="3968CF58" w:rsidR="008E44CC" w:rsidRPr="009C7F96" w:rsidRDefault="008E44CC" w:rsidP="008E44CC">
      <w:pPr>
        <w:spacing w:before="120" w:after="60"/>
        <w:ind w:firstLine="0"/>
        <w:jc w:val="center"/>
        <w:rPr>
          <w:rFonts w:cs="Times New Roman"/>
          <w:szCs w:val="24"/>
        </w:rPr>
      </w:pPr>
      <w:r w:rsidRPr="009C7F96">
        <w:rPr>
          <w:rFonts w:cs="Times New Roman"/>
          <w:b/>
          <w:sz w:val="20"/>
          <w:szCs w:val="24"/>
        </w:rPr>
        <w:t xml:space="preserve">Quadro 4 - </w:t>
      </w:r>
      <w:proofErr w:type="spellStart"/>
      <w:r w:rsidRPr="009C7F96">
        <w:rPr>
          <w:rFonts w:cs="Times New Roman"/>
          <w:b/>
          <w:sz w:val="20"/>
          <w:szCs w:val="24"/>
        </w:rPr>
        <w:t>Diagnósticos</w:t>
      </w:r>
      <w:proofErr w:type="spellEnd"/>
      <w:r w:rsidRPr="009C7F96">
        <w:rPr>
          <w:rFonts w:cs="Times New Roman"/>
          <w:b/>
          <w:sz w:val="20"/>
          <w:szCs w:val="24"/>
        </w:rPr>
        <w:t xml:space="preserve"> </w:t>
      </w:r>
      <w:proofErr w:type="spellStart"/>
      <w:r w:rsidRPr="009C7F96">
        <w:rPr>
          <w:rFonts w:cs="Times New Roman"/>
          <w:b/>
          <w:sz w:val="20"/>
          <w:szCs w:val="24"/>
        </w:rPr>
        <w:t>estatísticos</w:t>
      </w:r>
      <w:proofErr w:type="spellEnd"/>
      <w:r w:rsidRPr="009C7F96">
        <w:rPr>
          <w:rFonts w:cs="Times New Roman"/>
          <w:b/>
          <w:sz w:val="20"/>
          <w:szCs w:val="24"/>
        </w:rPr>
        <w:t xml:space="preserve"> do VAR</w:t>
      </w:r>
    </w:p>
    <w:tbl>
      <w:tblPr>
        <w:tblStyle w:val="TableGrid"/>
        <w:tblW w:w="0" w:type="auto"/>
        <w:jc w:val="center"/>
        <w:tblLayout w:type="autofit"/>
        <w:tblLook w:val="04A0" w:firstRow="1" w:lastRow="0" w:firstColumn="1" w:lastColumn="0" w:noHBand="0" w:noVBand="1"/>
      </w:tblPr>
      <w:tblGrid>
        <w:gridCol w:w="3332"/>
        <w:gridCol w:w="3022"/>
        <w:gridCol w:w="3041"/>
      </w:tblGrid>
      <w:tr w:rsidR="008E44CC" w:rsidRPr="009C7F96" w14:paraId="1C56A0FF" w14:textId="77777777" w:rsidTr="00AB4120">
        <w:trPr>
          <w:jc w:val="center"/>
        </w:trPr>
        <w:tc>
          <w:tcPr>
            <w:tcW w:w="3135" w:type="dxa"/>
            <w:shd w:val="clear" w:color="auto" w:fill="D9EAF7"/>
            <w:tcMar>
              <w:top w:w="30" w:type="dxa"/>
              <w:start w:w="30" w:type="dxa"/>
              <w:bottom w:w="30" w:type="dxa"/>
              <w:end w:w="30" w:type="dxa"/>
            </w:tcMar>
          </w:tcPr>
          <w:p w14:paraId="5B859F4A"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Diagnóstico</w:t>
            </w:r>
            <w:proofErr w:type="spellEnd"/>
          </w:p>
        </w:tc>
        <w:tc>
          <w:tcPr>
            <w:tcW w:w="3135" w:type="dxa"/>
            <w:shd w:val="clear" w:color="auto" w:fill="D9EAF7"/>
            <w:tcMar>
              <w:top w:w="30" w:type="dxa"/>
              <w:start w:w="30" w:type="dxa"/>
              <w:bottom w:w="30" w:type="dxa"/>
              <w:end w:w="30" w:type="dxa"/>
            </w:tcMar>
          </w:tcPr>
          <w:p w14:paraId="303CC0D6"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Hipótese</w:t>
            </w:r>
            <w:proofErr w:type="spellEnd"/>
            <w:r w:rsidRPr="009C7F96">
              <w:rPr>
                <w:rFonts w:cs="Times New Roman"/>
                <w:b/>
                <w:sz w:val="14"/>
                <w:szCs w:val="24"/>
              </w:rPr>
              <w:t xml:space="preserve"> </w:t>
            </w:r>
            <w:proofErr w:type="spellStart"/>
            <w:r w:rsidRPr="009C7F96">
              <w:rPr>
                <w:rFonts w:cs="Times New Roman"/>
                <w:b/>
                <w:sz w:val="14"/>
                <w:szCs w:val="24"/>
              </w:rPr>
              <w:t>ou</w:t>
            </w:r>
            <w:proofErr w:type="spellEnd"/>
            <w:r w:rsidRPr="009C7F96">
              <w:rPr>
                <w:rFonts w:cs="Times New Roman"/>
                <w:b/>
                <w:sz w:val="14"/>
                <w:szCs w:val="24"/>
              </w:rPr>
              <w:t xml:space="preserve"> </w:t>
            </w:r>
            <w:proofErr w:type="spellStart"/>
            <w:r w:rsidRPr="009C7F96">
              <w:rPr>
                <w:rFonts w:cs="Times New Roman"/>
                <w:b/>
                <w:sz w:val="14"/>
                <w:szCs w:val="24"/>
              </w:rPr>
              <w:t>objetivo</w:t>
            </w:r>
            <w:proofErr w:type="spellEnd"/>
          </w:p>
        </w:tc>
        <w:tc>
          <w:tcPr>
            <w:tcW w:w="3135" w:type="dxa"/>
            <w:shd w:val="clear" w:color="auto" w:fill="D9EAF7"/>
            <w:tcMar>
              <w:top w:w="30" w:type="dxa"/>
              <w:start w:w="30" w:type="dxa"/>
              <w:bottom w:w="30" w:type="dxa"/>
              <w:end w:w="30" w:type="dxa"/>
            </w:tcMar>
          </w:tcPr>
          <w:p w14:paraId="25BE9B40" w14:textId="77777777" w:rsidR="008E44CC" w:rsidRPr="009C7F96" w:rsidRDefault="008E44CC" w:rsidP="00AB4120">
            <w:pPr>
              <w:spacing w:after="0" w:before="0" w:line="240" w:lineRule="auto"/>
              <w:jc w:val="center"/>
              <w:rPr>
                <w:rFonts w:cs="Times New Roman"/>
                <w:szCs w:val="24"/>
              </w:rPr>
            </w:pPr>
            <w:proofErr w:type="spellStart"/>
            <w:r w:rsidRPr="009C7F96">
              <w:rPr>
                <w:rFonts w:cs="Times New Roman"/>
                <w:b/>
                <w:sz w:val="14"/>
                <w:szCs w:val="24"/>
              </w:rPr>
              <w:t>Interpretação</w:t>
            </w:r>
            <w:proofErr w:type="spellEnd"/>
            <w:r w:rsidRPr="009C7F96">
              <w:rPr>
                <w:rFonts w:cs="Times New Roman"/>
                <w:b/>
                <w:sz w:val="14"/>
                <w:szCs w:val="24"/>
              </w:rPr>
              <w:t xml:space="preserve"> </w:t>
            </w:r>
            <w:proofErr w:type="spellStart"/>
            <w:r w:rsidRPr="009C7F96">
              <w:rPr>
                <w:rFonts w:cs="Times New Roman"/>
                <w:b/>
                <w:sz w:val="14"/>
                <w:szCs w:val="24"/>
              </w:rPr>
              <w:t>esperada</w:t>
            </w:r>
            <w:proofErr w:type="spellEnd"/>
          </w:p>
        </w:tc>
      </w:tr>
      <w:tr w:rsidR="008E44CC" w:rsidRPr="00CA3657" w14:paraId="22134058" w14:textId="77777777" w:rsidTr="00AB4120">
        <w:trPr>
          <w:jc w:val="center"/>
        </w:trPr>
        <w:tc>
          <w:tcPr>
            <w:tcW w:w="3135" w:type="dxa"/>
            <w:tcMar>
              <w:top w:w="30" w:type="dxa"/>
              <w:start w:w="30" w:type="dxa"/>
              <w:bottom w:w="30" w:type="dxa"/>
              <w:end w:w="30" w:type="dxa"/>
            </w:tcMar>
          </w:tcPr>
          <w:p w14:paraId="426B19B3"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Estabilidade</w:t>
            </w:r>
            <w:proofErr w:type="spellEnd"/>
          </w:p>
        </w:tc>
        <w:tc>
          <w:tcPr>
            <w:tcW w:w="3135" w:type="dxa"/>
            <w:tcMar>
              <w:top w:w="30" w:type="dxa"/>
              <w:start w:w="30" w:type="dxa"/>
              <w:bottom w:w="30" w:type="dxa"/>
              <w:end w:w="30" w:type="dxa"/>
            </w:tcMar>
          </w:tcPr>
          <w:p w14:paraId="21C5B14F"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Raízes compatíveis com sistema estável</w:t>
            </w:r>
          </w:p>
        </w:tc>
        <w:tc>
          <w:tcPr>
            <w:tcW w:w="3135" w:type="dxa"/>
            <w:tcMar>
              <w:top w:w="30" w:type="dxa"/>
              <w:start w:w="30" w:type="dxa"/>
              <w:bottom w:w="30" w:type="dxa"/>
              <w:end w:w="30" w:type="dxa"/>
            </w:tcMar>
          </w:tcPr>
          <w:p w14:paraId="382FEFE7" w14:textId="77777777" w:rsidR="008E44CC" w:rsidRPr="009C7F96" w:rsidRDefault="008E44CC" w:rsidP="00AB4120">
            <w:pPr>
              <w:spacing w:after="0" w:before="0" w:line="240" w:lineRule="auto"/>
              <w:rPr>
                <w:rFonts w:cs="Times New Roman"/>
                <w:szCs w:val="24"/>
                <w:lang w:val="pt-BR"/>
              </w:rPr>
            </w:pPr>
            <w:proofErr w:type="spellStart"/>
            <w:r w:rsidRPr="009C7F96">
              <w:rPr>
                <w:rFonts w:cs="Times New Roman"/>
                <w:sz w:val="14"/>
                <w:szCs w:val="24"/>
                <w:lang w:val="pt-BR"/>
              </w:rPr>
              <w:t>IRFs</w:t>
            </w:r>
            <w:proofErr w:type="spellEnd"/>
            <w:r w:rsidRPr="009C7F96">
              <w:rPr>
                <w:rFonts w:cs="Times New Roman"/>
                <w:sz w:val="14"/>
                <w:szCs w:val="24"/>
                <w:lang w:val="pt-BR"/>
              </w:rPr>
              <w:t xml:space="preserve"> podem ser interpretadas de forma dinâmica</w:t>
            </w:r>
          </w:p>
        </w:tc>
      </w:tr>
      <w:tr w:rsidR="008E44CC" w:rsidRPr="00CA3657" w14:paraId="051374CB" w14:textId="77777777" w:rsidTr="00AB4120">
        <w:trPr>
          <w:jc w:val="center"/>
        </w:trPr>
        <w:tc>
          <w:tcPr>
            <w:tcW w:w="3135" w:type="dxa"/>
            <w:tcMar>
              <w:top w:w="30" w:type="dxa"/>
              <w:start w:w="30" w:type="dxa"/>
              <w:bottom w:w="30" w:type="dxa"/>
              <w:end w:w="30" w:type="dxa"/>
            </w:tcMar>
          </w:tcPr>
          <w:p w14:paraId="57983820"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Autocorrelação</w:t>
            </w:r>
            <w:proofErr w:type="spellEnd"/>
            <w:r w:rsidRPr="009C7F96">
              <w:rPr>
                <w:rFonts w:cs="Times New Roman"/>
                <w:sz w:val="14"/>
                <w:szCs w:val="24"/>
              </w:rPr>
              <w:t xml:space="preserve"> dos </w:t>
            </w:r>
            <w:proofErr w:type="spellStart"/>
            <w:r w:rsidRPr="009C7F96">
              <w:rPr>
                <w:rFonts w:cs="Times New Roman"/>
                <w:sz w:val="14"/>
                <w:szCs w:val="24"/>
              </w:rPr>
              <w:t>resíduos</w:t>
            </w:r>
            <w:proofErr w:type="spellEnd"/>
          </w:p>
        </w:tc>
        <w:tc>
          <w:tcPr>
            <w:tcW w:w="3135" w:type="dxa"/>
            <w:tcMar>
              <w:top w:w="30" w:type="dxa"/>
              <w:start w:w="30" w:type="dxa"/>
              <w:bottom w:w="30" w:type="dxa"/>
              <w:end w:w="30" w:type="dxa"/>
            </w:tcMar>
          </w:tcPr>
          <w:p w14:paraId="05ADFA65"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Ausência</w:t>
            </w:r>
            <w:proofErr w:type="spellEnd"/>
            <w:r w:rsidRPr="009C7F96">
              <w:rPr>
                <w:rFonts w:cs="Times New Roman"/>
                <w:sz w:val="14"/>
                <w:szCs w:val="24"/>
              </w:rPr>
              <w:t xml:space="preserve"> de </w:t>
            </w:r>
            <w:proofErr w:type="spellStart"/>
            <w:r w:rsidRPr="009C7F96">
              <w:rPr>
                <w:rFonts w:cs="Times New Roman"/>
                <w:sz w:val="14"/>
                <w:szCs w:val="24"/>
              </w:rPr>
              <w:t>correlação</w:t>
            </w:r>
            <w:proofErr w:type="spellEnd"/>
            <w:r w:rsidRPr="009C7F96">
              <w:rPr>
                <w:rFonts w:cs="Times New Roman"/>
                <w:sz w:val="14"/>
                <w:szCs w:val="24"/>
              </w:rPr>
              <w:t xml:space="preserve"> serial</w:t>
            </w:r>
          </w:p>
        </w:tc>
        <w:tc>
          <w:tcPr>
            <w:tcW w:w="3135" w:type="dxa"/>
            <w:tcMar>
              <w:top w:w="30" w:type="dxa"/>
              <w:start w:w="30" w:type="dxa"/>
              <w:bottom w:w="30" w:type="dxa"/>
              <w:end w:w="30" w:type="dxa"/>
            </w:tcMar>
          </w:tcPr>
          <w:p w14:paraId="7E6BB534"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Defasagens capturam a dinâmica temporal</w:t>
            </w:r>
          </w:p>
        </w:tc>
      </w:tr>
      <w:tr w:rsidR="008E44CC" w:rsidRPr="00CA3657" w14:paraId="6441B288" w14:textId="77777777" w:rsidTr="00AB4120">
        <w:trPr>
          <w:jc w:val="center"/>
        </w:trPr>
        <w:tc>
          <w:tcPr>
            <w:tcW w:w="3135" w:type="dxa"/>
            <w:tcMar>
              <w:top w:w="30" w:type="dxa"/>
              <w:start w:w="30" w:type="dxa"/>
              <w:bottom w:w="30" w:type="dxa"/>
              <w:end w:w="30" w:type="dxa"/>
            </w:tcMar>
          </w:tcPr>
          <w:p w14:paraId="56744E9C"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Normalidade</w:t>
            </w:r>
            <w:proofErr w:type="spellEnd"/>
            <w:r w:rsidRPr="009C7F96">
              <w:rPr>
                <w:rFonts w:cs="Times New Roman"/>
                <w:sz w:val="14"/>
                <w:szCs w:val="24"/>
              </w:rPr>
              <w:t xml:space="preserve"> dos </w:t>
            </w:r>
            <w:proofErr w:type="spellStart"/>
            <w:r w:rsidRPr="009C7F96">
              <w:rPr>
                <w:rFonts w:cs="Times New Roman"/>
                <w:sz w:val="14"/>
                <w:szCs w:val="24"/>
              </w:rPr>
              <w:t>resíduos</w:t>
            </w:r>
            <w:proofErr w:type="spellEnd"/>
          </w:p>
        </w:tc>
        <w:tc>
          <w:tcPr>
            <w:tcW w:w="3135" w:type="dxa"/>
            <w:tcMar>
              <w:top w:w="30" w:type="dxa"/>
              <w:start w:w="30" w:type="dxa"/>
              <w:bottom w:w="30" w:type="dxa"/>
              <w:end w:w="30" w:type="dxa"/>
            </w:tcMar>
          </w:tcPr>
          <w:p w14:paraId="46F89FB9"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Resíduos</w:t>
            </w:r>
            <w:proofErr w:type="spellEnd"/>
            <w:r w:rsidRPr="009C7F96">
              <w:rPr>
                <w:rFonts w:cs="Times New Roman"/>
                <w:sz w:val="14"/>
                <w:szCs w:val="24"/>
              </w:rPr>
              <w:t xml:space="preserve"> </w:t>
            </w:r>
            <w:proofErr w:type="spellStart"/>
            <w:r w:rsidRPr="009C7F96">
              <w:rPr>
                <w:rFonts w:cs="Times New Roman"/>
                <w:sz w:val="14"/>
                <w:szCs w:val="24"/>
              </w:rPr>
              <w:t>aproximadamente</w:t>
            </w:r>
            <w:proofErr w:type="spellEnd"/>
            <w:r w:rsidRPr="009C7F96">
              <w:rPr>
                <w:rFonts w:cs="Times New Roman"/>
                <w:sz w:val="14"/>
                <w:szCs w:val="24"/>
              </w:rPr>
              <w:t xml:space="preserve"> </w:t>
            </w:r>
            <w:proofErr w:type="spellStart"/>
            <w:r w:rsidRPr="009C7F96">
              <w:rPr>
                <w:rFonts w:cs="Times New Roman"/>
                <w:sz w:val="14"/>
                <w:szCs w:val="24"/>
              </w:rPr>
              <w:t>normais</w:t>
            </w:r>
            <w:proofErr w:type="spellEnd"/>
          </w:p>
        </w:tc>
        <w:tc>
          <w:tcPr>
            <w:tcW w:w="3135" w:type="dxa"/>
            <w:tcMar>
              <w:top w:w="30" w:type="dxa"/>
              <w:start w:w="30" w:type="dxa"/>
              <w:bottom w:w="30" w:type="dxa"/>
              <w:end w:w="30" w:type="dxa"/>
            </w:tcMar>
          </w:tcPr>
          <w:p w14:paraId="4B144902"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Inferência mais confiável em amostra finita</w:t>
            </w:r>
          </w:p>
        </w:tc>
      </w:tr>
      <w:tr w:rsidR="008E44CC" w:rsidRPr="009C7F96" w14:paraId="2106F478" w14:textId="77777777" w:rsidTr="00AB4120">
        <w:trPr>
          <w:jc w:val="center"/>
        </w:trPr>
        <w:tc>
          <w:tcPr>
            <w:tcW w:w="3135" w:type="dxa"/>
            <w:tcMar>
              <w:top w:w="30" w:type="dxa"/>
              <w:start w:w="30" w:type="dxa"/>
              <w:bottom w:w="30" w:type="dxa"/>
              <w:end w:w="30" w:type="dxa"/>
            </w:tcMar>
          </w:tcPr>
          <w:p w14:paraId="476AFF52"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ARCH/</w:t>
            </w:r>
            <w:proofErr w:type="spellStart"/>
            <w:r w:rsidRPr="009C7F96">
              <w:rPr>
                <w:rFonts w:cs="Times New Roman"/>
                <w:sz w:val="14"/>
                <w:szCs w:val="24"/>
              </w:rPr>
              <w:t>heterocedasticidade</w:t>
            </w:r>
            <w:proofErr w:type="spellEnd"/>
          </w:p>
        </w:tc>
        <w:tc>
          <w:tcPr>
            <w:tcW w:w="3135" w:type="dxa"/>
            <w:tcMar>
              <w:top w:w="30" w:type="dxa"/>
              <w:start w:w="30" w:type="dxa"/>
              <w:bottom w:w="30" w:type="dxa"/>
              <w:end w:w="30" w:type="dxa"/>
            </w:tcMar>
          </w:tcPr>
          <w:p w14:paraId="6ED1C68D"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Ausência</w:t>
            </w:r>
            <w:proofErr w:type="spellEnd"/>
            <w:r w:rsidRPr="009C7F96">
              <w:rPr>
                <w:rFonts w:cs="Times New Roman"/>
                <w:sz w:val="14"/>
                <w:szCs w:val="24"/>
              </w:rPr>
              <w:t xml:space="preserve"> de </w:t>
            </w:r>
            <w:proofErr w:type="spellStart"/>
            <w:r w:rsidRPr="009C7F96">
              <w:rPr>
                <w:rFonts w:cs="Times New Roman"/>
                <w:sz w:val="14"/>
                <w:szCs w:val="24"/>
              </w:rPr>
              <w:t>heterocedasticidade</w:t>
            </w:r>
            <w:proofErr w:type="spellEnd"/>
            <w:r w:rsidRPr="009C7F96">
              <w:rPr>
                <w:rFonts w:cs="Times New Roman"/>
                <w:sz w:val="14"/>
                <w:szCs w:val="24"/>
              </w:rPr>
              <w:t xml:space="preserve"> </w:t>
            </w:r>
            <w:proofErr w:type="spellStart"/>
            <w:r w:rsidRPr="009C7F96">
              <w:rPr>
                <w:rFonts w:cs="Times New Roman"/>
                <w:sz w:val="14"/>
                <w:szCs w:val="24"/>
              </w:rPr>
              <w:t>condicional</w:t>
            </w:r>
            <w:proofErr w:type="spellEnd"/>
          </w:p>
        </w:tc>
        <w:tc>
          <w:tcPr>
            <w:tcW w:w="3135" w:type="dxa"/>
            <w:tcMar>
              <w:top w:w="30" w:type="dxa"/>
              <w:start w:w="30" w:type="dxa"/>
              <w:bottom w:w="30" w:type="dxa"/>
              <w:end w:w="30" w:type="dxa"/>
            </w:tcMar>
          </w:tcPr>
          <w:p w14:paraId="00BB004B"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Variância</w:t>
            </w:r>
            <w:proofErr w:type="spellEnd"/>
            <w:r w:rsidRPr="009C7F96">
              <w:rPr>
                <w:rFonts w:cs="Times New Roman"/>
                <w:sz w:val="14"/>
                <w:szCs w:val="24"/>
              </w:rPr>
              <w:t xml:space="preserve"> residual </w:t>
            </w:r>
            <w:proofErr w:type="spellStart"/>
            <w:r w:rsidRPr="009C7F96">
              <w:rPr>
                <w:rFonts w:cs="Times New Roman"/>
                <w:sz w:val="14"/>
                <w:szCs w:val="24"/>
              </w:rPr>
              <w:t>menos</w:t>
            </w:r>
            <w:proofErr w:type="spellEnd"/>
            <w:r w:rsidRPr="009C7F96">
              <w:rPr>
                <w:rFonts w:cs="Times New Roman"/>
                <w:sz w:val="14"/>
                <w:szCs w:val="24"/>
              </w:rPr>
              <w:t xml:space="preserve"> </w:t>
            </w:r>
            <w:proofErr w:type="spellStart"/>
            <w:r w:rsidRPr="009C7F96">
              <w:rPr>
                <w:rFonts w:cs="Times New Roman"/>
                <w:sz w:val="14"/>
                <w:szCs w:val="24"/>
              </w:rPr>
              <w:t>instável</w:t>
            </w:r>
            <w:proofErr w:type="spellEnd"/>
          </w:p>
        </w:tc>
      </w:tr>
      <w:tr w:rsidR="008E44CC" w:rsidRPr="009C7F96" w14:paraId="181BD367" w14:textId="77777777" w:rsidTr="00AB4120">
        <w:trPr>
          <w:jc w:val="center"/>
        </w:trPr>
        <w:tc>
          <w:tcPr>
            <w:tcW w:w="3135" w:type="dxa"/>
            <w:tcMar>
              <w:top w:w="30" w:type="dxa"/>
              <w:start w:w="30" w:type="dxa"/>
              <w:bottom w:w="30" w:type="dxa"/>
              <w:end w:w="30" w:type="dxa"/>
            </w:tcMar>
          </w:tcPr>
          <w:p w14:paraId="22DD746A" w14:textId="77777777" w:rsidR="008E44CC" w:rsidRPr="009C7F96" w:rsidRDefault="008E44CC" w:rsidP="00AB4120">
            <w:pPr>
              <w:spacing w:after="0" w:before="0" w:line="240" w:lineRule="auto"/>
              <w:rPr>
                <w:rFonts w:cs="Times New Roman"/>
                <w:szCs w:val="24"/>
              </w:rPr>
            </w:pPr>
            <w:r w:rsidRPr="009C7F96">
              <w:rPr>
                <w:rFonts w:cs="Times New Roman"/>
                <w:sz w:val="14"/>
                <w:szCs w:val="24"/>
              </w:rPr>
              <w:t>Johansen</w:t>
            </w:r>
          </w:p>
        </w:tc>
        <w:tc>
          <w:tcPr>
            <w:tcW w:w="3135" w:type="dxa"/>
            <w:tcMar>
              <w:top w:w="30" w:type="dxa"/>
              <w:start w:w="30" w:type="dxa"/>
              <w:bottom w:w="30" w:type="dxa"/>
              <w:end w:w="30" w:type="dxa"/>
            </w:tcMar>
          </w:tcPr>
          <w:p w14:paraId="24C7DD2A"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Verificação de relações de longo prazo</w:t>
            </w:r>
          </w:p>
        </w:tc>
        <w:tc>
          <w:tcPr>
            <w:tcW w:w="3135" w:type="dxa"/>
            <w:tcMar>
              <w:top w:w="30" w:type="dxa"/>
              <w:start w:w="30" w:type="dxa"/>
              <w:bottom w:w="30" w:type="dxa"/>
              <w:end w:w="30" w:type="dxa"/>
            </w:tcMar>
          </w:tcPr>
          <w:p w14:paraId="227C5D81"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Diagnóstico</w:t>
            </w:r>
            <w:proofErr w:type="spellEnd"/>
            <w:r w:rsidRPr="009C7F96">
              <w:rPr>
                <w:rFonts w:cs="Times New Roman"/>
                <w:sz w:val="14"/>
                <w:szCs w:val="24"/>
              </w:rPr>
              <w:t xml:space="preserve"> </w:t>
            </w:r>
            <w:proofErr w:type="spellStart"/>
            <w:r w:rsidRPr="009C7F96">
              <w:rPr>
                <w:rFonts w:cs="Times New Roman"/>
                <w:sz w:val="14"/>
                <w:szCs w:val="24"/>
              </w:rPr>
              <w:t>complementar</w:t>
            </w:r>
            <w:proofErr w:type="spellEnd"/>
            <w:r w:rsidRPr="009C7F96">
              <w:rPr>
                <w:rFonts w:cs="Times New Roman"/>
                <w:sz w:val="14"/>
                <w:szCs w:val="24"/>
              </w:rPr>
              <w:t xml:space="preserve"> </w:t>
            </w:r>
            <w:proofErr w:type="spellStart"/>
            <w:r w:rsidRPr="009C7F96">
              <w:rPr>
                <w:rFonts w:cs="Times New Roman"/>
                <w:sz w:val="14"/>
                <w:szCs w:val="24"/>
              </w:rPr>
              <w:t>sobre</w:t>
            </w:r>
            <w:proofErr w:type="spellEnd"/>
            <w:r w:rsidRPr="009C7F96">
              <w:rPr>
                <w:rFonts w:cs="Times New Roman"/>
                <w:sz w:val="14"/>
                <w:szCs w:val="24"/>
              </w:rPr>
              <w:t xml:space="preserve"> </w:t>
            </w:r>
            <w:proofErr w:type="spellStart"/>
            <w:r w:rsidRPr="009C7F96">
              <w:rPr>
                <w:rFonts w:cs="Times New Roman"/>
                <w:sz w:val="14"/>
                <w:szCs w:val="24"/>
              </w:rPr>
              <w:t>cointegração</w:t>
            </w:r>
            <w:proofErr w:type="spellEnd"/>
          </w:p>
        </w:tc>
      </w:tr>
      <w:tr w:rsidR="008E44CC" w:rsidRPr="00CA3657" w14:paraId="34EFAA2E" w14:textId="77777777" w:rsidTr="00AB4120">
        <w:trPr>
          <w:jc w:val="center"/>
        </w:trPr>
        <w:tc>
          <w:tcPr>
            <w:tcW w:w="3135" w:type="dxa"/>
            <w:tcMar>
              <w:top w:w="30" w:type="dxa"/>
              <w:start w:w="30" w:type="dxa"/>
              <w:bottom w:w="30" w:type="dxa"/>
              <w:end w:w="30" w:type="dxa"/>
            </w:tcMar>
          </w:tcPr>
          <w:p w14:paraId="7E89D4B8"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Causalidade</w:t>
            </w:r>
            <w:proofErr w:type="spellEnd"/>
            <w:r w:rsidRPr="009C7F96">
              <w:rPr>
                <w:rFonts w:cs="Times New Roman"/>
                <w:sz w:val="14"/>
                <w:szCs w:val="24"/>
              </w:rPr>
              <w:t xml:space="preserve"> de Granger</w:t>
            </w:r>
          </w:p>
        </w:tc>
        <w:tc>
          <w:tcPr>
            <w:tcW w:w="3135" w:type="dxa"/>
            <w:tcMar>
              <w:top w:w="30" w:type="dxa"/>
              <w:start w:w="30" w:type="dxa"/>
              <w:bottom w:w="30" w:type="dxa"/>
              <w:end w:w="30" w:type="dxa"/>
            </w:tcMar>
          </w:tcPr>
          <w:p w14:paraId="08B2852E"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Defasagens de uma variável ajudam a prever outra</w:t>
            </w:r>
          </w:p>
        </w:tc>
        <w:tc>
          <w:tcPr>
            <w:tcW w:w="3135" w:type="dxa"/>
            <w:tcMar>
              <w:top w:w="30" w:type="dxa"/>
              <w:start w:w="30" w:type="dxa"/>
              <w:bottom w:w="30" w:type="dxa"/>
              <w:end w:w="30" w:type="dxa"/>
            </w:tcMar>
          </w:tcPr>
          <w:p w14:paraId="43ABE7FD" w14:textId="77777777" w:rsidR="008E44CC" w:rsidRPr="009C7F96" w:rsidRDefault="008E44CC" w:rsidP="00AB4120">
            <w:pPr>
              <w:spacing w:after="0" w:before="0" w:line="240" w:lineRule="auto"/>
              <w:rPr>
                <w:rFonts w:cs="Times New Roman"/>
                <w:szCs w:val="24"/>
                <w:lang w:val="pt-BR"/>
              </w:rPr>
            </w:pPr>
            <w:r w:rsidRPr="009C7F96">
              <w:rPr>
                <w:rFonts w:cs="Times New Roman"/>
                <w:sz w:val="14"/>
                <w:szCs w:val="24"/>
                <w:lang w:val="pt-BR"/>
              </w:rPr>
              <w:t>Evidência preditiva do canal de transmissão</w:t>
            </w:r>
          </w:p>
        </w:tc>
      </w:tr>
      <w:tr w:rsidR="008E44CC" w:rsidRPr="009C7F96" w14:paraId="6AFDE7F0" w14:textId="77777777" w:rsidTr="00AB4120">
        <w:trPr>
          <w:jc w:val="center"/>
        </w:trPr>
        <w:tc>
          <w:tcPr>
            <w:tcW w:w="3135" w:type="dxa"/>
            <w:tcMar>
              <w:top w:w="30" w:type="dxa"/>
              <w:start w:w="30" w:type="dxa"/>
              <w:bottom w:w="30" w:type="dxa"/>
              <w:end w:w="30" w:type="dxa"/>
            </w:tcMar>
          </w:tcPr>
          <w:p w14:paraId="6960754F"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Robustez</w:t>
            </w:r>
            <w:proofErr w:type="spellEnd"/>
            <w:r w:rsidRPr="009C7F96">
              <w:rPr>
                <w:rFonts w:cs="Times New Roman"/>
                <w:sz w:val="14"/>
                <w:szCs w:val="24"/>
              </w:rPr>
              <w:t xml:space="preserve"> Cholesky</w:t>
            </w:r>
          </w:p>
        </w:tc>
        <w:tc>
          <w:tcPr>
            <w:tcW w:w="3135" w:type="dxa"/>
            <w:tcMar>
              <w:top w:w="30" w:type="dxa"/>
              <w:start w:w="30" w:type="dxa"/>
              <w:bottom w:w="30" w:type="dxa"/>
              <w:end w:w="30" w:type="dxa"/>
            </w:tcMar>
          </w:tcPr>
          <w:p w14:paraId="3481464B"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Comparação</w:t>
            </w:r>
            <w:proofErr w:type="spellEnd"/>
            <w:r w:rsidRPr="009C7F96">
              <w:rPr>
                <w:rFonts w:cs="Times New Roman"/>
                <w:sz w:val="14"/>
                <w:szCs w:val="24"/>
              </w:rPr>
              <w:t xml:space="preserve"> entre </w:t>
            </w:r>
            <w:proofErr w:type="spellStart"/>
            <w:r w:rsidRPr="009C7F96">
              <w:rPr>
                <w:rFonts w:cs="Times New Roman"/>
                <w:sz w:val="14"/>
                <w:szCs w:val="24"/>
              </w:rPr>
              <w:t>ordenações</w:t>
            </w:r>
            <w:proofErr w:type="spellEnd"/>
            <w:r w:rsidRPr="009C7F96">
              <w:rPr>
                <w:rFonts w:cs="Times New Roman"/>
                <w:sz w:val="14"/>
                <w:szCs w:val="24"/>
              </w:rPr>
              <w:t xml:space="preserve"> </w:t>
            </w:r>
            <w:proofErr w:type="spellStart"/>
            <w:r w:rsidRPr="009C7F96">
              <w:rPr>
                <w:rFonts w:cs="Times New Roman"/>
                <w:sz w:val="14"/>
                <w:szCs w:val="24"/>
              </w:rPr>
              <w:t>alternativas</w:t>
            </w:r>
            <w:proofErr w:type="spellEnd"/>
          </w:p>
        </w:tc>
        <w:tc>
          <w:tcPr>
            <w:tcW w:w="3135" w:type="dxa"/>
            <w:tcMar>
              <w:top w:w="30" w:type="dxa"/>
              <w:start w:w="30" w:type="dxa"/>
              <w:bottom w:w="30" w:type="dxa"/>
              <w:end w:w="30" w:type="dxa"/>
            </w:tcMar>
          </w:tcPr>
          <w:p w14:paraId="5E7288FB" w14:textId="77777777" w:rsidR="008E44CC" w:rsidRPr="009C7F96" w:rsidRDefault="008E44CC" w:rsidP="00AB4120">
            <w:pPr>
              <w:spacing w:after="0" w:before="0" w:line="240" w:lineRule="auto"/>
              <w:rPr>
                <w:rFonts w:cs="Times New Roman"/>
                <w:szCs w:val="24"/>
              </w:rPr>
            </w:pPr>
            <w:proofErr w:type="spellStart"/>
            <w:r w:rsidRPr="009C7F96">
              <w:rPr>
                <w:rFonts w:cs="Times New Roman"/>
                <w:sz w:val="14"/>
                <w:szCs w:val="24"/>
              </w:rPr>
              <w:t>Verifica</w:t>
            </w:r>
            <w:proofErr w:type="spellEnd"/>
            <w:r w:rsidRPr="009C7F96">
              <w:rPr>
                <w:rFonts w:cs="Times New Roman"/>
                <w:sz w:val="14"/>
                <w:szCs w:val="24"/>
              </w:rPr>
              <w:t xml:space="preserve"> </w:t>
            </w:r>
            <w:proofErr w:type="spellStart"/>
            <w:r w:rsidRPr="009C7F96">
              <w:rPr>
                <w:rFonts w:cs="Times New Roman"/>
                <w:sz w:val="14"/>
                <w:szCs w:val="24"/>
              </w:rPr>
              <w:t>sensibilidade</w:t>
            </w:r>
            <w:proofErr w:type="spellEnd"/>
            <w:r w:rsidRPr="009C7F96">
              <w:rPr>
                <w:rFonts w:cs="Times New Roman"/>
                <w:sz w:val="14"/>
                <w:szCs w:val="24"/>
              </w:rPr>
              <w:t xml:space="preserve"> da </w:t>
            </w:r>
            <w:proofErr w:type="spellStart"/>
            <w:r w:rsidRPr="009C7F96">
              <w:rPr>
                <w:rFonts w:cs="Times New Roman"/>
                <w:sz w:val="14"/>
                <w:szCs w:val="24"/>
              </w:rPr>
              <w:t>identificação</w:t>
            </w:r>
            <w:proofErr w:type="spellEnd"/>
          </w:p>
        </w:tc>
      </w:tr>
    </w:tbl>
    <w:p w14:paraId="29B7CB77" w14:textId="77777777" w:rsidR="008E44CC" w:rsidRPr="009C7F96" w:rsidRDefault="008E44CC" w:rsidP="008E44CC">
      <w:pPr>
        <w:spacing w:after="120" w:line="240" w:lineRule="auto"/>
        <w:ind w:firstLine="0"/>
        <w:jc w:val="center"/>
        <w:rPr>
          <w:rFonts w:cs="Times New Roman"/>
          <w:szCs w:val="24"/>
        </w:rPr>
      </w:pPr>
      <w:r w:rsidRPr="009C7F96">
        <w:rPr>
          <w:rFonts w:cs="Times New Roman"/>
          <w:sz w:val="20"/>
          <w:szCs w:val="24"/>
        </w:rPr>
        <w:t xml:space="preserve">Fonte: </w:t>
      </w:r>
      <w:proofErr w:type="spellStart"/>
      <w:r w:rsidRPr="009C7F96">
        <w:rPr>
          <w:rFonts w:cs="Times New Roman"/>
          <w:sz w:val="20"/>
          <w:szCs w:val="24"/>
        </w:rPr>
        <w:t>Elaboração</w:t>
      </w:r>
      <w:proofErr w:type="spellEnd"/>
      <w:r w:rsidRPr="009C7F96">
        <w:rPr>
          <w:rFonts w:cs="Times New Roman"/>
          <w:sz w:val="20"/>
          <w:szCs w:val="24"/>
        </w:rPr>
        <w:t xml:space="preserve"> </w:t>
      </w:r>
      <w:proofErr w:type="spellStart"/>
      <w:r w:rsidRPr="009C7F96">
        <w:rPr>
          <w:rFonts w:cs="Times New Roman"/>
          <w:sz w:val="20"/>
          <w:szCs w:val="24"/>
        </w:rPr>
        <w:t>própria</w:t>
      </w:r>
      <w:proofErr w:type="spellEnd"/>
      <w:r w:rsidRPr="009C7F96">
        <w:rPr>
          <w:rFonts w:cs="Times New Roman"/>
          <w:sz w:val="20"/>
          <w:szCs w:val="24"/>
        </w:rPr>
        <w:t>.</w:t>
      </w:r>
    </w:p>
    <w:p w14:paraId="0B054FA7" w14:textId="35CCC61B" w:rsidR="008E44CC" w:rsidRPr="009C7F96" w:rsidRDefault="008E44CC" w:rsidP="008E44CC">
      <w:pPr>
        <w:pStyle w:val="Heading2"/>
        <w:spacing w:before="120" w:after="120"/>
        <w:jc w:val="both"/>
        <w:rPr>
          <w:rFonts w:cs="Times New Roman"/>
          <w:szCs w:val="24"/>
        </w:rPr>
      </w:pPr>
      <w:bookmarkStart w:id="27" w:name="_Toc229695954"/>
      <w:r w:rsidRPr="009C7F96">
        <w:rPr>
          <w:rFonts w:ascii="Times New Roman" w:eastAsia="Times New Roman" w:hAnsi="Times New Roman" w:cs="Times New Roman"/>
          <w:szCs w:val="24"/>
        </w:rPr>
        <w:t xml:space="preserve">3.11 Critérios de comparação entre Local </w:t>
      </w:r>
      <w:proofErr w:type="spellStart"/>
      <w:r w:rsidRPr="009C7F96">
        <w:rPr>
          <w:rFonts w:ascii="Times New Roman" w:eastAsia="Times New Roman" w:hAnsi="Times New Roman" w:cs="Times New Roman"/>
          <w:szCs w:val="24"/>
        </w:rPr>
        <w:t>Projections</w:t>
      </w:r>
      <w:proofErr w:type="spellEnd"/>
      <w:r w:rsidRPr="009C7F96">
        <w:rPr>
          <w:rFonts w:ascii="Times New Roman" w:eastAsia="Times New Roman" w:hAnsi="Times New Roman" w:cs="Times New Roman"/>
          <w:szCs w:val="24"/>
        </w:rPr>
        <w:t xml:space="preserve"> e VAR</w:t>
      </w:r>
      <w:bookmarkEnd w:id="27"/>
    </w:p>
    <w:p w14:paraId="65CD6EB7" w14:textId="165C4E94" w:rsidR="008E44CC" w:rsidRPr="009C7F96" w:rsidRDefault="008E44CC" w:rsidP="008E44CC">
      <w:pPr>
        <w:spacing w:after="120"/>
        <w:rPr>
          <w:rFonts w:cs="Times New Roman"/>
          <w:szCs w:val="24"/>
          <w:lang w:val="pt-BR"/>
        </w:rPr>
      </w:pPr>
      <w:r w:rsidRPr="009C7F96">
        <w:rPr>
          <w:rFonts w:cs="Times New Roman"/>
          <w:szCs w:val="24"/>
          <w:lang w:val="pt-BR"/>
        </w:rPr>
        <w:t xml:space="preserve">A comparação entre Local </w:t>
      </w:r>
      <w:proofErr w:type="spellStart"/>
      <w:r w:rsidRPr="009C7F96">
        <w:rPr>
          <w:rFonts w:cs="Times New Roman"/>
          <w:szCs w:val="24"/>
          <w:lang w:val="pt-BR"/>
        </w:rPr>
        <w:t>Projections</w:t>
      </w:r>
      <w:proofErr w:type="spellEnd"/>
      <w:r w:rsidRPr="009C7F96">
        <w:rPr>
          <w:rFonts w:cs="Times New Roman"/>
          <w:szCs w:val="24"/>
          <w:lang w:val="pt-BR"/>
        </w:rPr>
        <w:t xml:space="preserve"> e VAR será feita por critérios estatísticos e econômicos. Do ponto de vista estatístico, observa-se se o intervalo de confiança cruza zero, se os resultados são mais fortes nos horizontes economicamente relevantes e se as trajetórias estimadas </w:t>
      </w:r>
      <w:r w:rsidRPr="009C7F96">
        <w:rPr>
          <w:rFonts w:cs="Times New Roman"/>
          <w:szCs w:val="24"/>
          <w:lang w:val="pt-BR"/>
        </w:rPr>
        <w:lastRenderedPageBreak/>
        <w:t>são estáveis. Do ponto de vista econômico, avalia-se se os sinais são compatíveis com o mecanismo esperado de transmissão.</w:t>
      </w:r>
    </w:p>
    <w:p w14:paraId="151D5366" w14:textId="09CCBBFC" w:rsidR="008E44CC" w:rsidRPr="009C7F96" w:rsidRDefault="008E44CC" w:rsidP="008E44CC">
      <w:pPr>
        <w:spacing w:after="120"/>
        <w:rPr>
          <w:rFonts w:cs="Times New Roman"/>
          <w:szCs w:val="24"/>
          <w:lang w:val="pt-BR"/>
        </w:rPr>
      </w:pPr>
      <w:r w:rsidRPr="009C7F96">
        <w:rPr>
          <w:rFonts w:cs="Times New Roman"/>
          <w:szCs w:val="24"/>
          <w:lang w:val="pt-BR"/>
        </w:rPr>
        <w:t xml:space="preserve">O resultado será considerado mais robusto quando as duas abordagens indicarem: resposta positiva dos combustíveis a choques no petróleo, maior sensibilidade do IPCA Transportes em relação ao IPCA Geral, trajetória compatível nos primeiros 12 meses e ausência de respostas explosivas sem justificativa econômica. Assim, o VAR funciona como uma verificação complementar da narrativa principal construída pelas Local </w:t>
      </w:r>
      <w:proofErr w:type="spellStart"/>
      <w:r w:rsidRPr="009C7F96">
        <w:rPr>
          <w:rFonts w:cs="Times New Roman"/>
          <w:szCs w:val="24"/>
          <w:lang w:val="pt-BR"/>
        </w:rPr>
        <w:t>Projections</w:t>
      </w:r>
      <w:proofErr w:type="spellEnd"/>
      <w:r w:rsidRPr="009C7F96">
        <w:rPr>
          <w:rFonts w:cs="Times New Roman"/>
          <w:szCs w:val="24"/>
          <w:lang w:val="pt-BR"/>
        </w:rPr>
        <w:t>.</w:t>
      </w:r>
    </w:p>
    <w:p w14:paraId="21153FA1" w14:textId="311C4612" w:rsidR="008E44CC" w:rsidRPr="009C7F96" w:rsidRDefault="008E44CC" w:rsidP="008E44CC">
      <w:pPr>
        <w:spacing w:after="120"/>
        <w:rPr>
          <w:rFonts w:cs="Times New Roman"/>
          <w:szCs w:val="24"/>
          <w:lang w:val="pt-BR"/>
        </w:rPr>
      </w:pPr>
      <w:r w:rsidRPr="009C7F96">
        <w:rPr>
          <w:rFonts w:cs="Times New Roman"/>
          <w:szCs w:val="24"/>
          <w:lang w:val="pt-BR"/>
        </w:rPr>
        <w:t xml:space="preserve">A metodologia, portanto, combina a flexibilidade das Local </w:t>
      </w:r>
      <w:proofErr w:type="spellStart"/>
      <w:r w:rsidRPr="009C7F96">
        <w:rPr>
          <w:rFonts w:cs="Times New Roman"/>
          <w:szCs w:val="24"/>
          <w:lang w:val="pt-BR"/>
        </w:rPr>
        <w:t>Projections</w:t>
      </w:r>
      <w:proofErr w:type="spellEnd"/>
      <w:r w:rsidRPr="009C7F96">
        <w:rPr>
          <w:rFonts w:cs="Times New Roman"/>
          <w:szCs w:val="24"/>
          <w:lang w:val="pt-BR"/>
        </w:rPr>
        <w:t xml:space="preserve"> com a estrutura sistêmica do VAR. As Local </w:t>
      </w:r>
      <w:proofErr w:type="spellStart"/>
      <w:r w:rsidRPr="009C7F96">
        <w:rPr>
          <w:rFonts w:cs="Times New Roman"/>
          <w:szCs w:val="24"/>
          <w:lang w:val="pt-BR"/>
        </w:rPr>
        <w:t>Projections</w:t>
      </w:r>
      <w:proofErr w:type="spellEnd"/>
      <w:r w:rsidRPr="009C7F96">
        <w:rPr>
          <w:rFonts w:cs="Times New Roman"/>
          <w:szCs w:val="24"/>
          <w:lang w:val="pt-BR"/>
        </w:rPr>
        <w:t xml:space="preserve"> são usadas para estimar diretamente as respostas acumuladas por horizonte e separar os blocos de transmissão. O VAR é usado para verificar a consistência dinâmica dos resultados em um sistema multivariado, incorporando </w:t>
      </w:r>
      <w:proofErr w:type="spellStart"/>
      <w:r w:rsidRPr="009C7F96">
        <w:rPr>
          <w:rFonts w:cs="Times New Roman"/>
          <w:szCs w:val="24"/>
          <w:lang w:val="pt-BR"/>
        </w:rPr>
        <w:t>IRFs</w:t>
      </w:r>
      <w:proofErr w:type="spellEnd"/>
      <w:r w:rsidRPr="009C7F96">
        <w:rPr>
          <w:rFonts w:cs="Times New Roman"/>
          <w:szCs w:val="24"/>
          <w:lang w:val="pt-BR"/>
        </w:rPr>
        <w:t xml:space="preserve">, </w:t>
      </w:r>
      <w:proofErr w:type="spellStart"/>
      <w:r w:rsidRPr="009C7F96">
        <w:rPr>
          <w:rFonts w:cs="Times New Roman"/>
          <w:szCs w:val="24"/>
          <w:lang w:val="pt-BR"/>
        </w:rPr>
        <w:t>IRFs</w:t>
      </w:r>
      <w:proofErr w:type="spellEnd"/>
      <w:r w:rsidRPr="009C7F96">
        <w:rPr>
          <w:rFonts w:cs="Times New Roman"/>
          <w:szCs w:val="24"/>
          <w:lang w:val="pt-BR"/>
        </w:rPr>
        <w:t xml:space="preserve"> acumuladas, FEVD, diagnósticos de resíduos, causalidade de Granger e testes de robustez da identificação por </w:t>
      </w:r>
      <w:proofErr w:type="spellStart"/>
      <w:r w:rsidRPr="009C7F96">
        <w:rPr>
          <w:rFonts w:cs="Times New Roman"/>
          <w:szCs w:val="24"/>
          <w:lang w:val="pt-BR"/>
        </w:rPr>
        <w:t>Cholesky</w:t>
      </w:r>
      <w:proofErr w:type="spellEnd"/>
      <w:r w:rsidRPr="009C7F96">
        <w:rPr>
          <w:rFonts w:cs="Times New Roman"/>
          <w:szCs w:val="24"/>
          <w:lang w:val="pt-BR"/>
        </w:rPr>
        <w:t>.</w:t>
      </w:r>
    </w:p>
    <w:p w14:paraId="4736D995" w14:textId="77777777" w:rsidR="008E44CC" w:rsidRPr="009C7F96" w:rsidRDefault="008E44CC" w:rsidP="008E44CC">
      <w:pPr>
        <w:pStyle w:val="Heading1"/>
        <w:spacing w:after="120"/>
        <w:rPr>
          <w:rFonts w:cs="Times New Roman"/>
          <w:szCs w:val="24"/>
        </w:rPr>
      </w:pPr>
      <w:bookmarkStart w:id="28" w:name="_Toc229695955"/>
      <w:r w:rsidRPr="009C7F96">
        <w:rPr>
          <w:rFonts w:ascii="Times New Roman" w:eastAsia="Times New Roman" w:hAnsi="Times New Roman" w:cs="Times New Roman"/>
          <w:szCs w:val="24"/>
        </w:rPr>
        <w:t>4 RESULTADOS</w:t>
      </w:r>
      <w:bookmarkEnd w:id="28"/>
    </w:p>
    <w:p w14:paraId="1E45F7A8"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Esta seção apresenta os resultados empíricos obtidos a partir do modelo principal de Local </w:t>
      </w:r>
      <w:proofErr w:type="spellStart"/>
      <w:r w:rsidRPr="009C7F96">
        <w:rPr>
          <w:rFonts w:cs="Times New Roman"/>
          <w:szCs w:val="24"/>
          <w:lang w:val="pt-BR"/>
        </w:rPr>
        <w:t>Projections</w:t>
      </w:r>
      <w:proofErr w:type="spellEnd"/>
      <w:r w:rsidRPr="009C7F96">
        <w:rPr>
          <w:rFonts w:cs="Times New Roman"/>
          <w:szCs w:val="24"/>
          <w:lang w:val="pt-BR"/>
        </w:rPr>
        <w:t>. A análise privilegia as respostas acumuladas, pois elas sintetizam o efeito total do choque ao longo do horizonte considerado e dialogam diretamente com a pergunta do trabalho: em que medida choques no preço internacional do petróleo são transmitidos aos preços domésticos dos combustíveis e à inflação brasileira. O horizonte de 12 meses é tratado como referência principal, enquanto o horizonte de 24 meses é lido como exercício complementar, já que a incerteza tende a aumentar nos horizontes mais longos.</w:t>
      </w:r>
    </w:p>
    <w:p w14:paraId="7D3AA94A" w14:textId="77777777" w:rsidR="008E44CC" w:rsidRPr="009C7F96" w:rsidRDefault="008E44CC" w:rsidP="008E44CC">
      <w:pPr>
        <w:spacing w:after="120"/>
        <w:rPr>
          <w:rFonts w:cs="Times New Roman"/>
          <w:szCs w:val="24"/>
          <w:lang w:val="pt-BR"/>
        </w:rPr>
      </w:pPr>
      <w:r w:rsidRPr="009C7F96">
        <w:rPr>
          <w:rFonts w:cs="Times New Roman"/>
          <w:szCs w:val="24"/>
          <w:lang w:val="pt-BR"/>
        </w:rPr>
        <w:t>A interpretação dos gráficos considera três critérios. Primeiro, verifica-se se o sinal do coeficiente está de acordo com o mecanismo econômico esperado. Segundo, observa-se se o intervalo de confiança de 90% cruza ou não a linha zero. Terceiro, compara-se a magnitude do efeito no IPCA Transporte e no IPCA Geral. Em um resultado coerente com a hipótese do trabalho, espera-se que o impacto seja mais forte e mais preciso no IPCA Transporte, uma vez que esse grupo é diretamente afetado pelos preços dos combustíveis.</w:t>
      </w:r>
    </w:p>
    <w:p w14:paraId="4E7D841A" w14:textId="77777777" w:rsidR="008E44CC" w:rsidRPr="009C7F96" w:rsidRDefault="008E44CC" w:rsidP="008E44CC">
      <w:pPr>
        <w:pStyle w:val="Heading2"/>
        <w:spacing w:before="240" w:after="120"/>
        <w:jc w:val="both"/>
        <w:rPr>
          <w:rFonts w:cs="Times New Roman"/>
          <w:szCs w:val="24"/>
        </w:rPr>
      </w:pPr>
      <w:bookmarkStart w:id="29" w:name="_Toc229695956"/>
      <w:r w:rsidRPr="009C7F96">
        <w:rPr>
          <w:rFonts w:ascii="Times New Roman" w:eastAsia="Times New Roman" w:hAnsi="Times New Roman" w:cs="Times New Roman"/>
          <w:szCs w:val="24"/>
        </w:rPr>
        <w:lastRenderedPageBreak/>
        <w:t>4.1 Comparação entre as especificações estimadas</w:t>
      </w:r>
      <w:bookmarkEnd w:id="29"/>
    </w:p>
    <w:p w14:paraId="4041BBFA" w14:textId="77777777" w:rsidR="008E44CC" w:rsidRPr="009C7F96" w:rsidRDefault="008E44CC" w:rsidP="008E44CC">
      <w:pPr>
        <w:spacing w:after="120"/>
        <w:rPr>
          <w:rFonts w:cs="Times New Roman"/>
          <w:szCs w:val="24"/>
          <w:lang w:val="pt-BR"/>
        </w:rPr>
      </w:pPr>
      <w:r w:rsidRPr="00CA3657">
        <w:rPr>
          <w:lang w:val="pt-BR"/>
        </w:rPr>
        <w:t>Antes de discutir os resultados principais, é importante registrar que foram estimadas diferentes versões de Local Projections ao longo do desenvolvimento do trabalho. A versão utilizada como referência nesta redação é o Modelo 5, pois ele incorpora o Brent em reais, mantém a estrutura principal de respostas acumuladas, preserva controles macroeconômicos essenciais e permite comparar os canais petróleo-combustíveis-inflação com exercícios de robustez, incluindo regimes Petrobras e LP-IV com Oil Supply News Shock. A escolha da especificação de referência não se baseia na aparência dos gráficos nem na conveniência dos sinais estimados. Ela decorre da combinação entre parcimônia, coerência econômica e capacidade de organizar o canal central do TCC: petróleo, combustíveis, Petrobras e inflação.</w:t>
      </w:r>
      <w:proofErr w:type="spellStart"/>
      <w:r w:rsidRPr="00CA3657">
        <w:rPr>
          <w:lang w:val="pt-BR"/>
        </w:rPr>
      </w:r>
      <w:proofErr w:type="spellEnd"/>
      <w:r w:rsidRPr="00CA3657">
        <w:rPr>
          <w:lang w:val="pt-BR"/>
        </w:rPr>
      </w:r>
    </w:p>
    <w:p w14:paraId="34D53A31" w14:textId="634E1C3E" w:rsidR="008E44CC" w:rsidRPr="009C7F96" w:rsidRDefault="008E44CC" w:rsidP="008E44CC">
      <w:pPr>
        <w:spacing w:after="120"/>
        <w:rPr>
          <w:rFonts w:cs="Times New Roman"/>
          <w:szCs w:val="24"/>
          <w:lang w:val="pt-BR"/>
        </w:rPr>
      </w:pPr>
      <w:r w:rsidRPr="00CA3657">
        <w:rPr>
          <w:lang w:val="pt-BR"/>
        </w:rPr>
        <w:t>O Modelo 5 é adotado como especificação de referência por critérios de parcimônia, consistência dinâmica e comparabilidade entre os blocos de transmissão. Ele preserva os controles essenciais, mantém a mesma lógica de transformação das variáveis, evita sobreparametrização e permite comparar petróleo em reais, combustíveis, IPCA Geral e IPCA Transportes em uma estrutura comum. A decisão, portanto, não significa descartar resultados inconvenientes, mas selecionar a especificação que melhor equilibra identificação do canal, graus de liberdade e estabilidade estatística. As versões anteriores permanecem relevantes como exercícios de desenvolvimento e checagem exploratória, enquanto a robustez final é avaliada por regimes Petrobras, LP-IV com choque externo de oferta e VAR.</w:t>
      </w:r>
      <w:proofErr w:type="gramStart"/>
      <w:r w:rsidRPr="00CA3657">
        <w:rPr>
          <w:lang w:val="pt-BR"/>
        </w:rPr>
      </w:r>
      <w:proofErr w:type="gramEnd"/>
      <w:r w:rsidRPr="00CA3657">
        <w:rPr>
          <w:lang w:val="pt-BR"/>
        </w:rPr>
      </w:r>
      <w:proofErr w:type="spellStart"/>
      <w:r w:rsidRPr="00CA3657">
        <w:rPr>
          <w:lang w:val="pt-BR"/>
        </w:rPr>
      </w:r>
      <w:proofErr w:type="spellEnd"/>
      <w:r w:rsidRPr="00CA3657">
        <w:rPr>
          <w:lang w:val="pt-BR"/>
        </w:rPr>
      </w:r>
    </w:p>
    <w:p w14:paraId="73263181" w14:textId="77777777" w:rsidR="008E44CC" w:rsidRPr="009C7F96" w:rsidRDefault="008E44CC" w:rsidP="008E44CC">
      <w:pPr>
        <w:pStyle w:val="Heading2"/>
        <w:spacing w:before="240" w:after="120"/>
        <w:jc w:val="both"/>
        <w:rPr>
          <w:rFonts w:cs="Times New Roman"/>
          <w:szCs w:val="24"/>
        </w:rPr>
      </w:pPr>
      <w:bookmarkStart w:id="30" w:name="_Toc229695957"/>
      <w:r w:rsidRPr="009C7F96">
        <w:rPr>
          <w:rFonts w:ascii="Times New Roman" w:eastAsia="Times New Roman" w:hAnsi="Times New Roman" w:cs="Times New Roman"/>
          <w:szCs w:val="24"/>
        </w:rPr>
        <w:t>4.2 Choques do petróleo e preços dos combustíveis</w:t>
      </w:r>
      <w:bookmarkEnd w:id="30"/>
    </w:p>
    <w:p w14:paraId="1B461B8D" w14:textId="77777777" w:rsidR="008E44CC" w:rsidRPr="009C7F96" w:rsidRDefault="008E44CC" w:rsidP="008E44CC">
      <w:pPr>
        <w:spacing w:after="120"/>
        <w:rPr>
          <w:rFonts w:cs="Times New Roman"/>
          <w:szCs w:val="24"/>
          <w:lang w:val="pt-BR"/>
        </w:rPr>
      </w:pPr>
      <w:r w:rsidRPr="009C7F96">
        <w:rPr>
          <w:rFonts w:cs="Times New Roman"/>
          <w:szCs w:val="24"/>
          <w:lang w:val="pt-BR"/>
        </w:rPr>
        <w:t>O primeiro bloco de resultados avalia se choques no preço internacional do petróleo são transmitidos aos preços domésticos dos combustíveis. Essa etapa é essencial porque o canal principal do trabalho depende da existência de uma relação entre petróleo e combustíveis. Caso o petróleo não afetasse os combustíveis, seria mais difícil sustentar que a inflação brasileira reage ao choque externo por meio desse canal.</w:t>
      </w:r>
    </w:p>
    <w:p w14:paraId="6B9BA319"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Os resultados indicam que o choque de petróleo tem efeito positivo sobre os combustíveis, especialmente sobre o diesel e a gasolina de refinaria. No horizonte de 12 meses, a resposta acumulada do diesel é positiva e estatisticamente significativa, com coeficiente de 2,771 e intervalo de confiança acima de zero. A gasolina de refinaria também apresenta resposta positiva e </w:t>
      </w:r>
      <w:r w:rsidRPr="009C7F96">
        <w:rPr>
          <w:rFonts w:cs="Times New Roman"/>
          <w:szCs w:val="24"/>
          <w:lang w:val="pt-BR"/>
        </w:rPr>
        <w:lastRenderedPageBreak/>
        <w:t>significativa no mesmo horizonte, com coeficiente de 1,768. Esses dois resultados são economicamente relevantes, pois o diesel é fortemente associado a custos de transporte e logística, enquanto a gasolina de refinaria representa uma etapa intermediária entre o preço internacional do petróleo e o preço final ao consumidor.</w:t>
      </w:r>
    </w:p>
    <w:p w14:paraId="4CCCDCBC"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b/>
          <w:i/>
          <w:sz w:val="20"/>
          <w:szCs w:val="24"/>
          <w:lang w:val="pt-BR"/>
        </w:rPr>
        <w:t>Tabela 1 - Respostas acumuladas do petróleo sobre combustíveis selecionados</w:t>
      </w:r>
    </w:p>
    <w:tbl>
      <w:tblPr>
        <w:tblStyle w:val="TableGrid"/>
        <w:tblW w:w="0" w:type="auto"/>
        <w:jc w:val="center"/>
        <w:tblLayout w:type="autofit"/>
        <w:tblLook w:val="04A0" w:firstRow="1" w:lastRow="0" w:firstColumn="1" w:lastColumn="0" w:noHBand="0" w:noVBand="1"/>
      </w:tblPr>
      <w:tblGrid>
        <w:gridCol w:w="1610"/>
        <w:gridCol w:w="1297"/>
        <w:gridCol w:w="1409"/>
        <w:gridCol w:w="1418"/>
        <w:gridCol w:w="1182"/>
        <w:gridCol w:w="1297"/>
        <w:gridCol w:w="1182"/>
      </w:tblGrid>
      <w:tr w:rsidR="008E44CC" w:rsidRPr="009C7F96" w14:paraId="43818132" w14:textId="77777777" w:rsidTr="00AB4120">
        <w:trPr>
          <w:jc w:val="center"/>
        </w:trPr>
        <w:tc>
          <w:tcPr>
            <w:tcW w:w="1344" w:type="dxa"/>
            <w:shd w:val="clear" w:color="auto" w:fill="D9EAF7"/>
            <w:vAlign w:val="center"/>
            <w:tcMar>
              <w:top w:w="30" w:type="dxa"/>
              <w:start w:w="30" w:type="dxa"/>
              <w:bottom w:w="30" w:type="dxa"/>
              <w:end w:w="30" w:type="dxa"/>
            </w:tcMar>
          </w:tcPr>
          <w:p w14:paraId="6A3CEC70"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b/>
                <w:sz w:val="14"/>
                <w:szCs w:val="24"/>
              </w:rPr>
              <w:t>Resposta</w:t>
            </w:r>
            <w:proofErr w:type="spellEnd"/>
          </w:p>
        </w:tc>
        <w:tc>
          <w:tcPr>
            <w:tcW w:w="1344" w:type="dxa"/>
            <w:shd w:val="clear" w:color="auto" w:fill="D9EAF7"/>
            <w:vAlign w:val="center"/>
            <w:tcMar>
              <w:top w:w="30" w:type="dxa"/>
              <w:start w:w="30" w:type="dxa"/>
              <w:bottom w:w="30" w:type="dxa"/>
              <w:end w:w="30" w:type="dxa"/>
            </w:tcMar>
          </w:tcPr>
          <w:p w14:paraId="3E478437"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Coef. h=12</w:t>
            </w:r>
          </w:p>
        </w:tc>
        <w:tc>
          <w:tcPr>
            <w:tcW w:w="1344" w:type="dxa"/>
            <w:shd w:val="clear" w:color="auto" w:fill="D9EAF7"/>
            <w:vAlign w:val="center"/>
            <w:tcMar>
              <w:top w:w="30" w:type="dxa"/>
              <w:start w:w="30" w:type="dxa"/>
              <w:bottom w:w="30" w:type="dxa"/>
              <w:end w:w="30" w:type="dxa"/>
            </w:tcMar>
          </w:tcPr>
          <w:p w14:paraId="58A811AA"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p-valor h=12</w:t>
            </w:r>
          </w:p>
        </w:tc>
        <w:tc>
          <w:tcPr>
            <w:tcW w:w="1344" w:type="dxa"/>
            <w:shd w:val="clear" w:color="auto" w:fill="D9EAF7"/>
            <w:vAlign w:val="center"/>
            <w:tcMar>
              <w:top w:w="30" w:type="dxa"/>
              <w:start w:w="30" w:type="dxa"/>
              <w:bottom w:w="30" w:type="dxa"/>
              <w:end w:w="30" w:type="dxa"/>
            </w:tcMar>
          </w:tcPr>
          <w:p w14:paraId="42BA7EE0"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IC h=12</w:t>
            </w:r>
          </w:p>
        </w:tc>
        <w:tc>
          <w:tcPr>
            <w:tcW w:w="1344" w:type="dxa"/>
            <w:shd w:val="clear" w:color="auto" w:fill="D9EAF7"/>
            <w:vAlign w:val="center"/>
            <w:tcMar>
              <w:top w:w="30" w:type="dxa"/>
              <w:start w:w="30" w:type="dxa"/>
              <w:bottom w:w="30" w:type="dxa"/>
              <w:end w:w="30" w:type="dxa"/>
            </w:tcMar>
          </w:tcPr>
          <w:p w14:paraId="07A2223B"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Sig. h=12</w:t>
            </w:r>
          </w:p>
        </w:tc>
        <w:tc>
          <w:tcPr>
            <w:tcW w:w="1344" w:type="dxa"/>
            <w:shd w:val="clear" w:color="auto" w:fill="D9EAF7"/>
            <w:vAlign w:val="center"/>
            <w:tcMar>
              <w:top w:w="30" w:type="dxa"/>
              <w:start w:w="30" w:type="dxa"/>
              <w:bottom w:w="30" w:type="dxa"/>
              <w:end w:w="30" w:type="dxa"/>
            </w:tcMar>
          </w:tcPr>
          <w:p w14:paraId="7207F684"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Coef. h=24</w:t>
            </w:r>
          </w:p>
        </w:tc>
        <w:tc>
          <w:tcPr>
            <w:tcW w:w="1344" w:type="dxa"/>
            <w:shd w:val="clear" w:color="auto" w:fill="D9EAF7"/>
            <w:vAlign w:val="center"/>
            <w:tcMar>
              <w:top w:w="30" w:type="dxa"/>
              <w:start w:w="30" w:type="dxa"/>
              <w:bottom w:w="30" w:type="dxa"/>
              <w:end w:w="30" w:type="dxa"/>
            </w:tcMar>
          </w:tcPr>
          <w:p w14:paraId="368911ED"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Sig. h=24</w:t>
            </w:r>
          </w:p>
        </w:tc>
      </w:tr>
      <w:tr w:rsidR="008E44CC" w:rsidRPr="009C7F96" w14:paraId="314D43EC" w14:textId="77777777" w:rsidTr="00AB4120">
        <w:trPr>
          <w:jc w:val="center"/>
        </w:trPr>
        <w:tc>
          <w:tcPr>
            <w:tcW w:w="1344" w:type="dxa"/>
            <w:vAlign w:val="center"/>
            <w:tcMar>
              <w:top w:w="30" w:type="dxa"/>
              <w:start w:w="30" w:type="dxa"/>
              <w:bottom w:w="30" w:type="dxa"/>
              <w:end w:w="30" w:type="dxa"/>
            </w:tcMar>
          </w:tcPr>
          <w:p w14:paraId="5A463BA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Diesel</w:t>
            </w:r>
          </w:p>
        </w:tc>
        <w:tc>
          <w:tcPr>
            <w:tcW w:w="1344" w:type="dxa"/>
            <w:vAlign w:val="center"/>
            <w:tcMar>
              <w:top w:w="30" w:type="dxa"/>
              <w:start w:w="30" w:type="dxa"/>
              <w:bottom w:w="30" w:type="dxa"/>
              <w:end w:w="30" w:type="dxa"/>
            </w:tcMar>
          </w:tcPr>
          <w:p w14:paraId="536C0D86"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2,771</w:t>
            </w:r>
          </w:p>
        </w:tc>
        <w:tc>
          <w:tcPr>
            <w:tcW w:w="1344" w:type="dxa"/>
            <w:vAlign w:val="center"/>
            <w:tcMar>
              <w:top w:w="30" w:type="dxa"/>
              <w:start w:w="30" w:type="dxa"/>
              <w:bottom w:w="30" w:type="dxa"/>
              <w:end w:w="30" w:type="dxa"/>
            </w:tcMar>
          </w:tcPr>
          <w:p w14:paraId="734FB7E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&lt;0,001</w:t>
            </w:r>
          </w:p>
        </w:tc>
        <w:tc>
          <w:tcPr>
            <w:tcW w:w="1344" w:type="dxa"/>
            <w:vAlign w:val="center"/>
            <w:tcMar>
              <w:top w:w="30" w:type="dxa"/>
              <w:start w:w="30" w:type="dxa"/>
              <w:bottom w:w="30" w:type="dxa"/>
              <w:end w:w="30" w:type="dxa"/>
            </w:tcMar>
          </w:tcPr>
          <w:p w14:paraId="544FEEA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[1,432; 4,109]</w:t>
            </w:r>
          </w:p>
        </w:tc>
        <w:tc>
          <w:tcPr>
            <w:tcW w:w="1344" w:type="dxa"/>
            <w:vAlign w:val="center"/>
            <w:tcMar>
              <w:top w:w="30" w:type="dxa"/>
              <w:start w:w="30" w:type="dxa"/>
              <w:bottom w:w="30" w:type="dxa"/>
              <w:end w:w="30" w:type="dxa"/>
            </w:tcMar>
          </w:tcPr>
          <w:p w14:paraId="1983DB6F"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344" w:type="dxa"/>
            <w:vAlign w:val="center"/>
            <w:tcMar>
              <w:top w:w="30" w:type="dxa"/>
              <w:start w:w="30" w:type="dxa"/>
              <w:bottom w:w="30" w:type="dxa"/>
              <w:end w:w="30" w:type="dxa"/>
            </w:tcMar>
          </w:tcPr>
          <w:p w14:paraId="7285E57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1,911</w:t>
            </w:r>
          </w:p>
        </w:tc>
        <w:tc>
          <w:tcPr>
            <w:tcW w:w="1344" w:type="dxa"/>
            <w:vAlign w:val="center"/>
            <w:tcMar>
              <w:top w:w="30" w:type="dxa"/>
              <w:start w:w="30" w:type="dxa"/>
              <w:bottom w:w="30" w:type="dxa"/>
              <w:end w:w="30" w:type="dxa"/>
            </w:tcMar>
          </w:tcPr>
          <w:p w14:paraId="15C13CF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r>
      <w:tr w:rsidR="008E44CC" w:rsidRPr="009C7F96" w14:paraId="140603AE" w14:textId="77777777" w:rsidTr="00AB4120">
        <w:trPr>
          <w:jc w:val="center"/>
        </w:trPr>
        <w:tc>
          <w:tcPr>
            <w:tcW w:w="1344" w:type="dxa"/>
            <w:vAlign w:val="center"/>
            <w:tcMar>
              <w:top w:w="30" w:type="dxa"/>
              <w:start w:w="30" w:type="dxa"/>
              <w:bottom w:w="30" w:type="dxa"/>
              <w:end w:w="30" w:type="dxa"/>
            </w:tcMar>
          </w:tcPr>
          <w:p w14:paraId="7C338D4C"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Etanol</w:t>
            </w:r>
            <w:proofErr w:type="spellEnd"/>
          </w:p>
        </w:tc>
        <w:tc>
          <w:tcPr>
            <w:tcW w:w="1344" w:type="dxa"/>
            <w:vAlign w:val="center"/>
            <w:tcMar>
              <w:top w:w="30" w:type="dxa"/>
              <w:start w:w="30" w:type="dxa"/>
              <w:bottom w:w="30" w:type="dxa"/>
              <w:end w:w="30" w:type="dxa"/>
            </w:tcMar>
          </w:tcPr>
          <w:p w14:paraId="60C09145"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1,581</w:t>
            </w:r>
          </w:p>
        </w:tc>
        <w:tc>
          <w:tcPr>
            <w:tcW w:w="1344" w:type="dxa"/>
            <w:vAlign w:val="center"/>
            <w:tcMar>
              <w:top w:w="30" w:type="dxa"/>
              <w:start w:w="30" w:type="dxa"/>
              <w:bottom w:w="30" w:type="dxa"/>
              <w:end w:w="30" w:type="dxa"/>
            </w:tcMar>
          </w:tcPr>
          <w:p w14:paraId="5691FD3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0,176</w:t>
            </w:r>
          </w:p>
        </w:tc>
        <w:tc>
          <w:tcPr>
            <w:tcW w:w="1344" w:type="dxa"/>
            <w:vAlign w:val="center"/>
            <w:tcMar>
              <w:top w:w="30" w:type="dxa"/>
              <w:start w:w="30" w:type="dxa"/>
              <w:bottom w:w="30" w:type="dxa"/>
              <w:end w:w="30" w:type="dxa"/>
            </w:tcMar>
          </w:tcPr>
          <w:p w14:paraId="39AC68E5"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[-0,340; 3,501]</w:t>
            </w:r>
          </w:p>
        </w:tc>
        <w:tc>
          <w:tcPr>
            <w:tcW w:w="1344" w:type="dxa"/>
            <w:vAlign w:val="center"/>
            <w:tcMar>
              <w:top w:w="30" w:type="dxa"/>
              <w:start w:w="30" w:type="dxa"/>
              <w:bottom w:w="30" w:type="dxa"/>
              <w:end w:w="30" w:type="dxa"/>
            </w:tcMar>
          </w:tcPr>
          <w:p w14:paraId="2640F654"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344" w:type="dxa"/>
            <w:vAlign w:val="center"/>
            <w:tcMar>
              <w:top w:w="30" w:type="dxa"/>
              <w:start w:w="30" w:type="dxa"/>
              <w:bottom w:w="30" w:type="dxa"/>
              <w:end w:w="30" w:type="dxa"/>
            </w:tcMar>
          </w:tcPr>
          <w:p w14:paraId="2536C5E4"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-0,849</w:t>
            </w:r>
          </w:p>
        </w:tc>
        <w:tc>
          <w:tcPr>
            <w:tcW w:w="1344" w:type="dxa"/>
            <w:vAlign w:val="center"/>
            <w:tcMar>
              <w:top w:w="30" w:type="dxa"/>
              <w:start w:w="30" w:type="dxa"/>
              <w:bottom w:w="30" w:type="dxa"/>
              <w:end w:w="30" w:type="dxa"/>
            </w:tcMar>
          </w:tcPr>
          <w:p w14:paraId="41527958"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6B61C535" w14:textId="77777777" w:rsidTr="00AB4120">
        <w:trPr>
          <w:jc w:val="center"/>
        </w:trPr>
        <w:tc>
          <w:tcPr>
            <w:tcW w:w="1344" w:type="dxa"/>
            <w:vAlign w:val="center"/>
            <w:tcMar>
              <w:top w:w="30" w:type="dxa"/>
              <w:start w:w="30" w:type="dxa"/>
              <w:bottom w:w="30" w:type="dxa"/>
              <w:end w:w="30" w:type="dxa"/>
            </w:tcMar>
          </w:tcPr>
          <w:p w14:paraId="45C7F477"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Gasolina</w:t>
            </w:r>
            <w:proofErr w:type="spellEnd"/>
          </w:p>
        </w:tc>
        <w:tc>
          <w:tcPr>
            <w:tcW w:w="1344" w:type="dxa"/>
            <w:vAlign w:val="center"/>
            <w:tcMar>
              <w:top w:w="30" w:type="dxa"/>
              <w:start w:w="30" w:type="dxa"/>
              <w:bottom w:w="30" w:type="dxa"/>
              <w:end w:w="30" w:type="dxa"/>
            </w:tcMar>
          </w:tcPr>
          <w:p w14:paraId="22FA534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0,874</w:t>
            </w:r>
          </w:p>
        </w:tc>
        <w:tc>
          <w:tcPr>
            <w:tcW w:w="1344" w:type="dxa"/>
            <w:vAlign w:val="center"/>
            <w:tcMar>
              <w:top w:w="30" w:type="dxa"/>
              <w:start w:w="30" w:type="dxa"/>
              <w:bottom w:w="30" w:type="dxa"/>
              <w:end w:w="30" w:type="dxa"/>
            </w:tcMar>
          </w:tcPr>
          <w:p w14:paraId="785A4AD2"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0,299</w:t>
            </w:r>
          </w:p>
        </w:tc>
        <w:tc>
          <w:tcPr>
            <w:tcW w:w="1344" w:type="dxa"/>
            <w:vAlign w:val="center"/>
            <w:tcMar>
              <w:top w:w="30" w:type="dxa"/>
              <w:start w:w="30" w:type="dxa"/>
              <w:bottom w:w="30" w:type="dxa"/>
              <w:end w:w="30" w:type="dxa"/>
            </w:tcMar>
          </w:tcPr>
          <w:p w14:paraId="3AF54DAE"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[-0,510; 2,257]</w:t>
            </w:r>
          </w:p>
        </w:tc>
        <w:tc>
          <w:tcPr>
            <w:tcW w:w="1344" w:type="dxa"/>
            <w:vAlign w:val="center"/>
            <w:tcMar>
              <w:top w:w="30" w:type="dxa"/>
              <w:start w:w="30" w:type="dxa"/>
              <w:bottom w:w="30" w:type="dxa"/>
              <w:end w:w="30" w:type="dxa"/>
            </w:tcMar>
          </w:tcPr>
          <w:p w14:paraId="6FB1DB8F"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344" w:type="dxa"/>
            <w:vAlign w:val="center"/>
            <w:tcMar>
              <w:top w:w="30" w:type="dxa"/>
              <w:start w:w="30" w:type="dxa"/>
              <w:bottom w:w="30" w:type="dxa"/>
              <w:end w:w="30" w:type="dxa"/>
            </w:tcMar>
          </w:tcPr>
          <w:p w14:paraId="1540E481"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-0,433</w:t>
            </w:r>
          </w:p>
        </w:tc>
        <w:tc>
          <w:tcPr>
            <w:tcW w:w="1344" w:type="dxa"/>
            <w:vAlign w:val="center"/>
            <w:tcMar>
              <w:top w:w="30" w:type="dxa"/>
              <w:start w:w="30" w:type="dxa"/>
              <w:bottom w:w="30" w:type="dxa"/>
              <w:end w:w="30" w:type="dxa"/>
            </w:tcMar>
          </w:tcPr>
          <w:p w14:paraId="758ADD89"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4F780CE7" w14:textId="77777777" w:rsidTr="00AB4120">
        <w:trPr>
          <w:jc w:val="center"/>
        </w:trPr>
        <w:tc>
          <w:tcPr>
            <w:tcW w:w="1344" w:type="dxa"/>
            <w:vAlign w:val="center"/>
            <w:tcMar>
              <w:top w:w="30" w:type="dxa"/>
              <w:start w:w="30" w:type="dxa"/>
              <w:bottom w:w="30" w:type="dxa"/>
              <w:end w:w="30" w:type="dxa"/>
            </w:tcMar>
          </w:tcPr>
          <w:p w14:paraId="20D76696"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Gasolina</w:t>
            </w:r>
            <w:proofErr w:type="spellEnd"/>
            <w:r w:rsidRPr="009C7F96">
              <w:rPr>
                <w:rFonts w:cs="Times New Roman"/>
                <w:sz w:val="14"/>
                <w:szCs w:val="24"/>
              </w:rPr>
              <w:t xml:space="preserve"> de </w:t>
            </w:r>
            <w:proofErr w:type="spellStart"/>
            <w:r w:rsidRPr="009C7F96">
              <w:rPr>
                <w:rFonts w:cs="Times New Roman"/>
                <w:sz w:val="14"/>
                <w:szCs w:val="24"/>
              </w:rPr>
              <w:t>refinaria</w:t>
            </w:r>
            <w:proofErr w:type="spellEnd"/>
          </w:p>
        </w:tc>
        <w:tc>
          <w:tcPr>
            <w:tcW w:w="1344" w:type="dxa"/>
            <w:vAlign w:val="center"/>
            <w:tcMar>
              <w:top w:w="30" w:type="dxa"/>
              <w:start w:w="30" w:type="dxa"/>
              <w:bottom w:w="30" w:type="dxa"/>
              <w:end w:w="30" w:type="dxa"/>
            </w:tcMar>
          </w:tcPr>
          <w:p w14:paraId="0287445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1,768</w:t>
            </w:r>
          </w:p>
        </w:tc>
        <w:tc>
          <w:tcPr>
            <w:tcW w:w="1344" w:type="dxa"/>
            <w:vAlign w:val="center"/>
            <w:tcMar>
              <w:top w:w="30" w:type="dxa"/>
              <w:start w:w="30" w:type="dxa"/>
              <w:bottom w:w="30" w:type="dxa"/>
              <w:end w:w="30" w:type="dxa"/>
            </w:tcMar>
          </w:tcPr>
          <w:p w14:paraId="1A565C4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0,045</w:t>
            </w:r>
          </w:p>
        </w:tc>
        <w:tc>
          <w:tcPr>
            <w:tcW w:w="1344" w:type="dxa"/>
            <w:vAlign w:val="center"/>
            <w:tcMar>
              <w:top w:w="30" w:type="dxa"/>
              <w:start w:w="30" w:type="dxa"/>
              <w:bottom w:w="30" w:type="dxa"/>
              <w:end w:w="30" w:type="dxa"/>
            </w:tcMar>
          </w:tcPr>
          <w:p w14:paraId="7E1F0E5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[0,318; 3,217]</w:t>
            </w:r>
          </w:p>
        </w:tc>
        <w:tc>
          <w:tcPr>
            <w:tcW w:w="1344" w:type="dxa"/>
            <w:vAlign w:val="center"/>
            <w:tcMar>
              <w:top w:w="30" w:type="dxa"/>
              <w:start w:w="30" w:type="dxa"/>
              <w:bottom w:w="30" w:type="dxa"/>
              <w:end w:w="30" w:type="dxa"/>
            </w:tcMar>
          </w:tcPr>
          <w:p w14:paraId="0876552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344" w:type="dxa"/>
            <w:vAlign w:val="center"/>
            <w:tcMar>
              <w:top w:w="30" w:type="dxa"/>
              <w:start w:w="30" w:type="dxa"/>
              <w:bottom w:w="30" w:type="dxa"/>
              <w:end w:w="30" w:type="dxa"/>
            </w:tcMar>
          </w:tcPr>
          <w:p w14:paraId="3EADBDDE"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1,603</w:t>
            </w:r>
          </w:p>
        </w:tc>
        <w:tc>
          <w:tcPr>
            <w:tcW w:w="1344" w:type="dxa"/>
            <w:vAlign w:val="center"/>
            <w:tcMar>
              <w:top w:w="30" w:type="dxa"/>
              <w:start w:w="30" w:type="dxa"/>
              <w:bottom w:w="30" w:type="dxa"/>
              <w:end w:w="30" w:type="dxa"/>
            </w:tcMar>
          </w:tcPr>
          <w:p w14:paraId="2A59BB6D"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bl>
    <w:p w14:paraId="4B93DE9F"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Fonte: Elaboração própria com base nos resultados estimados.</w:t>
      </w:r>
    </w:p>
    <w:p w14:paraId="02D05866"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1 - Resposta acumulada do diesel a choque no petróleo</w:t>
      </w:r>
    </w:p>
    <w:p w14:paraId="0DDC0458"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2F0001C8" wp14:editId="2E5133FE">
            <wp:extent cx="5688000" cy="28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diesel(1).png"/>
                    <pic:cNvPicPr/>
                  </pic:nvPicPr>
                  <pic:blipFill>
                    <a:blip r:embed="rId7"/>
                    <a:stretch>
                      <a:fillRect/>
                    </a:stretch>
                  </pic:blipFill>
                  <pic:spPr>
                    <a:xfrm>
                      <a:off x="0" y="0"/>
                      <a:ext cx="5688000" cy="2844000"/>
                    </a:xfrm>
                    <a:prstGeom prst="rect">
                      <a:avLst/>
                    </a:prstGeom>
                  </pic:spPr>
                </pic:pic>
              </a:graphicData>
            </a:graphic>
          </wp:inline>
        </w:drawing>
      </w:r>
    </w:p>
    <w:p w14:paraId="4C9F5BCB"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18915197"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2 - Resposta acumulada da gasolina de refinaria a choque no petróleo</w:t>
      </w:r>
    </w:p>
    <w:p w14:paraId="19F3D557"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7C44650C" wp14:editId="66E56C07">
            <wp:extent cx="5688000" cy="28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gasolina_refinaria(1).png"/>
                    <pic:cNvPicPr/>
                  </pic:nvPicPr>
                  <pic:blipFill>
                    <a:blip r:embed="rId8"/>
                    <a:stretch>
                      <a:fillRect/>
                    </a:stretch>
                  </pic:blipFill>
                  <pic:spPr>
                    <a:xfrm>
                      <a:off x="0" y="0"/>
                      <a:ext cx="5688000" cy="2844000"/>
                    </a:xfrm>
                    <a:prstGeom prst="rect">
                      <a:avLst/>
                    </a:prstGeom>
                  </pic:spPr>
                </pic:pic>
              </a:graphicData>
            </a:graphic>
          </wp:inline>
        </w:drawing>
      </w:r>
    </w:p>
    <w:p w14:paraId="3A4C2905"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16CE8A6C"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3 - Resposta acumulada da gasolina ao consumidor a choque no petróleo</w:t>
      </w:r>
    </w:p>
    <w:p w14:paraId="0CA11067"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0A6E2D53" wp14:editId="3FCD8864">
            <wp:extent cx="5688000" cy="28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para_gasolina(5).png"/>
                    <pic:cNvPicPr/>
                  </pic:nvPicPr>
                  <pic:blipFill>
                    <a:blip r:embed="rId9"/>
                    <a:stretch>
                      <a:fillRect/>
                    </a:stretch>
                  </pic:blipFill>
                  <pic:spPr>
                    <a:xfrm>
                      <a:off x="0" y="0"/>
                      <a:ext cx="5688000" cy="2844000"/>
                    </a:xfrm>
                    <a:prstGeom prst="rect">
                      <a:avLst/>
                    </a:prstGeom>
                  </pic:spPr>
                </pic:pic>
              </a:graphicData>
            </a:graphic>
          </wp:inline>
        </w:drawing>
      </w:r>
    </w:p>
    <w:p w14:paraId="19FEF79E"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656E24B7" w14:textId="77777777" w:rsidR="008E44CC" w:rsidRPr="009C7F96" w:rsidRDefault="008E44CC" w:rsidP="008E44CC">
      <w:pPr>
        <w:spacing w:after="120"/>
        <w:rPr>
          <w:rFonts w:cs="Times New Roman"/>
          <w:szCs w:val="24"/>
          <w:lang w:val="pt-BR"/>
        </w:rPr>
      </w:pPr>
      <w:r w:rsidRPr="009C7F96">
        <w:rPr>
          <w:rFonts w:cs="Times New Roman"/>
          <w:szCs w:val="24"/>
          <w:lang w:val="pt-BR"/>
        </w:rPr>
        <w:t>A resposta da gasolina ao consumidor também é positiva nos primeiros meses, mas perde significância ao redor do horizonte de 12 meses. Isso sugere que parte do choque internacional pode ser absorvida ou suavizada antes de chegar integralmente ao preço final. Essa evidência é compatível com a estrutura brasileira de preços, na qual impostos, mistura de biocombustíveis, margens de distribuição, decisões de política de preços e condições concorrenciais podem reduzir ou alterar a velocidade do repasse.</w:t>
      </w:r>
    </w:p>
    <w:p w14:paraId="4D8362C9" w14:textId="77777777" w:rsidR="008E44CC" w:rsidRPr="009C7F96" w:rsidRDefault="008E44CC" w:rsidP="008E44CC">
      <w:pPr>
        <w:spacing w:after="120"/>
        <w:rPr>
          <w:rFonts w:cs="Times New Roman"/>
          <w:szCs w:val="24"/>
          <w:lang w:val="pt-BR"/>
        </w:rPr>
      </w:pPr>
      <w:r w:rsidRPr="00CA3657">
        <w:rPr>
          <w:lang w:val="pt-BR"/>
        </w:rPr>
        <w:lastRenderedPageBreak/>
        <w:t>O etanol apresenta resposta inicial positiva, mas com perda de precisão nos horizontes intermediários e longos. Esse resultado é economicamente plausível porque o etanol não é derivado diretamente do petróleo. Sua dinâmica combina dois mecanismos distintos. De um lado, há um canal de substituição com a gasolina, pois o preço relativo entre os combustíveis limita a capacidade de alta do etanol quando ele deixa de ser competitivo na bomba. De outro lado, há fatores próprios do setor sucroenergético, como safra da cana-de-açúcar, preços do açúcar, condições climáticas, estoques e custos agrícolas. Assim, o petróleo pode funcionar como uma espécie de teto indireto para o etanol via concorrência com a gasolina, mas a dinâmica de curto prazo do etanol permanece fortemente influenciada por choques agrícolas e sazonais. Por isso, a evidência sugere que o canal petróleo-combustíveis é mais claro para diesel e gasolina de refinaria do que para etanol.</w:t>
      </w:r>
    </w:p>
    <w:p w14:paraId="44719ED9" w14:textId="77777777" w:rsidR="008E44CC" w:rsidRPr="009C7F96" w:rsidRDefault="008E44CC" w:rsidP="008E44CC">
      <w:pPr>
        <w:pStyle w:val="Heading2"/>
        <w:spacing w:before="240" w:after="120"/>
        <w:jc w:val="both"/>
        <w:rPr>
          <w:rFonts w:cs="Times New Roman"/>
          <w:szCs w:val="24"/>
        </w:rPr>
      </w:pPr>
      <w:bookmarkStart w:id="31" w:name="_Toc229695958"/>
      <w:r w:rsidRPr="009C7F96">
        <w:rPr>
          <w:rFonts w:ascii="Times New Roman" w:eastAsia="Times New Roman" w:hAnsi="Times New Roman" w:cs="Times New Roman"/>
          <w:szCs w:val="24"/>
        </w:rPr>
        <w:t>4.3 Combustíveis e IPCA Geral</w:t>
      </w:r>
      <w:bookmarkEnd w:id="31"/>
    </w:p>
    <w:p w14:paraId="55E7BEE7" w14:textId="77777777" w:rsidR="008E44CC" w:rsidRPr="009C7F96" w:rsidRDefault="008E44CC" w:rsidP="008E44CC">
      <w:pPr>
        <w:spacing w:after="120"/>
        <w:rPr>
          <w:rFonts w:cs="Times New Roman"/>
          <w:szCs w:val="24"/>
          <w:lang w:val="pt-BR"/>
        </w:rPr>
      </w:pPr>
      <w:r w:rsidRPr="009C7F96">
        <w:rPr>
          <w:rFonts w:cs="Times New Roman"/>
          <w:szCs w:val="24"/>
          <w:lang w:val="pt-BR"/>
        </w:rPr>
        <w:t>O segundo bloco avalia se os combustíveis afetam a inflação ao consumidor. Quando a resposta considerada é o IPCA Geral, os resultados aparecem positivos para gasolina, etanol e gasolina de refinaria nos primeiros horizontes, mas com menor magnitude e menor precisão estatística do que no IPCA Transporte. Esse comportamento é esperado, pois o IPCA Geral reúne vários grupos de consumo e dilui o efeito dos combustíveis dentro de uma cesta mais ampla.</w:t>
      </w:r>
    </w:p>
    <w:p w14:paraId="3693761D" w14:textId="77777777" w:rsidR="008E44CC" w:rsidRPr="009C7F96" w:rsidRDefault="008E44CC" w:rsidP="008E44CC">
      <w:pPr>
        <w:spacing w:after="120"/>
        <w:rPr>
          <w:rFonts w:cs="Times New Roman"/>
          <w:szCs w:val="24"/>
          <w:lang w:val="pt-BR"/>
        </w:rPr>
      </w:pPr>
      <w:r w:rsidRPr="009C7F96">
        <w:rPr>
          <w:rFonts w:cs="Times New Roman"/>
          <w:szCs w:val="24"/>
          <w:lang w:val="pt-BR"/>
        </w:rPr>
        <w:t>A gasolina apresenta o resultado mais consistente sobre o IPCA Geral. No horizonte de 12 meses, a resposta acumulada é de 0,383 e o intervalo de confiança não cruza zero. Esse resultado indica que choques na gasolina ao consumidor conseguem se transmitir para a inflação agregada, ainda que em magnitude inferior à observada no IPCA Transporte. O etanol possui efeito positivo nos primeiros meses, mas perde significância em 12 meses. A gasolina de refinaria também apresenta efeito positivo, mas com maior incerteza no horizonte principal. Já o diesel não apresenta resposta estatisticamente robusta sobre o IPCA Geral no horizonte de 12 meses.</w:t>
      </w:r>
    </w:p>
    <w:p w14:paraId="52271A57"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4 - Resposta acumulada da gasolina sobre o IPCA Geral</w:t>
      </w:r>
    </w:p>
    <w:p w14:paraId="412A5359"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4AF649DB" wp14:editId="657C351E">
            <wp:extent cx="5688000" cy="28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para_ipca_geral(4).png"/>
                    <pic:cNvPicPr/>
                  </pic:nvPicPr>
                  <pic:blipFill>
                    <a:blip r:embed="rId10"/>
                    <a:stretch>
                      <a:fillRect/>
                    </a:stretch>
                  </pic:blipFill>
                  <pic:spPr>
                    <a:xfrm>
                      <a:off x="0" y="0"/>
                      <a:ext cx="5688000" cy="2844000"/>
                    </a:xfrm>
                    <a:prstGeom prst="rect">
                      <a:avLst/>
                    </a:prstGeom>
                  </pic:spPr>
                </pic:pic>
              </a:graphicData>
            </a:graphic>
          </wp:inline>
        </w:drawing>
      </w:r>
    </w:p>
    <w:p w14:paraId="0FCC4BB6"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2B813872"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5 - Resposta acumulada da gasolina de refinaria sobre o IPCA Geral</w:t>
      </w:r>
    </w:p>
    <w:p w14:paraId="175F3127"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690EA294" wp14:editId="717FEA12">
            <wp:extent cx="5688000" cy="284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refinaria_para_ipca_geral.png"/>
                    <pic:cNvPicPr/>
                  </pic:nvPicPr>
                  <pic:blipFill>
                    <a:blip r:embed="rId11"/>
                    <a:stretch>
                      <a:fillRect/>
                    </a:stretch>
                  </pic:blipFill>
                  <pic:spPr>
                    <a:xfrm>
                      <a:off x="0" y="0"/>
                      <a:ext cx="5688000" cy="2844000"/>
                    </a:xfrm>
                    <a:prstGeom prst="rect">
                      <a:avLst/>
                    </a:prstGeom>
                  </pic:spPr>
                </pic:pic>
              </a:graphicData>
            </a:graphic>
          </wp:inline>
        </w:drawing>
      </w:r>
    </w:p>
    <w:p w14:paraId="39ED6070"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62997629" w14:textId="77777777" w:rsidR="008E44CC" w:rsidRPr="009C7F96" w:rsidRDefault="008E44CC" w:rsidP="008E44CC">
      <w:pPr>
        <w:pStyle w:val="Heading2"/>
        <w:spacing w:before="240" w:after="120"/>
        <w:jc w:val="both"/>
        <w:rPr>
          <w:rFonts w:cs="Times New Roman"/>
          <w:szCs w:val="24"/>
        </w:rPr>
      </w:pPr>
      <w:bookmarkStart w:id="32" w:name="_Toc229695959"/>
      <w:r w:rsidRPr="009C7F96">
        <w:rPr>
          <w:rFonts w:ascii="Times New Roman" w:eastAsia="Times New Roman" w:hAnsi="Times New Roman" w:cs="Times New Roman"/>
          <w:szCs w:val="24"/>
        </w:rPr>
        <w:t>4.4 Combustíveis e IPCA Transporte</w:t>
      </w:r>
      <w:bookmarkEnd w:id="32"/>
    </w:p>
    <w:p w14:paraId="3456FC0E" w14:textId="77777777" w:rsidR="008E44CC" w:rsidRPr="009C7F96" w:rsidRDefault="008E44CC" w:rsidP="008E44CC">
      <w:pPr>
        <w:spacing w:after="120"/>
        <w:rPr>
          <w:rFonts w:cs="Times New Roman"/>
          <w:szCs w:val="24"/>
          <w:lang w:val="pt-BR"/>
        </w:rPr>
      </w:pPr>
      <w:r w:rsidRPr="009C7F96">
        <w:rPr>
          <w:rFonts w:cs="Times New Roman"/>
          <w:szCs w:val="24"/>
          <w:lang w:val="pt-BR"/>
        </w:rPr>
        <w:t>Os resultados mais fortes aparecem quando a variável de resposta é o IPCA Transporte. Esse é o principal achado empírico do trabalho. O efeito da gasolina, do etanol e da gasolina de refinaria sobre o IPCA Transporte é positivo, persistente e estatisticamente significativo em vários horizontes. Isso confirma a hipótese de que o canal de transmissão é mais evidente no componente da inflação diretamente relacionado aos combustíveis e aos custos de transporte.</w:t>
      </w:r>
    </w:p>
    <w:p w14:paraId="081073EA" w14:textId="77777777" w:rsidR="008E44CC" w:rsidRPr="009C7F96" w:rsidRDefault="008E44CC" w:rsidP="008E44CC">
      <w:pPr>
        <w:spacing w:after="120"/>
        <w:rPr>
          <w:rFonts w:cs="Times New Roman"/>
          <w:szCs w:val="24"/>
          <w:lang w:val="pt-BR"/>
        </w:rPr>
      </w:pPr>
      <w:r w:rsidRPr="009C7F96">
        <w:rPr>
          <w:rFonts w:cs="Times New Roman"/>
          <w:szCs w:val="24"/>
          <w:lang w:val="pt-BR"/>
        </w:rPr>
        <w:lastRenderedPageBreak/>
        <w:t>A gasolina apresenta a resposta mais forte e precisa. No horizonte de 12 meses, o coeficiente acumulado é de 1,239, com p-valor inferior a 0,001 e intervalo de confiança entre 0,796 e 1,681. Além disso, mesmo em 24 meses, a resposta permanece positiva e significativa. Esse resultado indica que choques na gasolina têm efeito persistente sobre o IPCA Transporte.</w:t>
      </w:r>
    </w:p>
    <w:p w14:paraId="7A3B8EC7" w14:textId="77777777" w:rsidR="008E44CC" w:rsidRPr="009C7F96" w:rsidRDefault="008E44CC" w:rsidP="008E44CC">
      <w:pPr>
        <w:spacing w:after="120"/>
        <w:rPr>
          <w:rFonts w:cs="Times New Roman"/>
          <w:szCs w:val="24"/>
          <w:lang w:val="pt-BR"/>
        </w:rPr>
      </w:pPr>
      <w:r w:rsidRPr="00CA3657">
        <w:rPr>
          <w:lang w:val="pt-BR"/>
        </w:rPr>
        <w:t>O etanol também apresenta efeito relevante sobre o IPCA Transporte. No horizonte de 12 meses, o coeficiente é de 0,896 e o intervalo de confiança permanece acima de zero. Esse resultado deve ser interpretado como evidência de impacto do preço do etanol sobre o componente de transportes, não como prova de que o petróleo determina diretamente o etanol. A ligação entre petróleo e etanol é indireta, operando sobretudo pela substituição com a gasolina e pelo preço relativo na bomba. A gasolina de refinaria, por sua vez, apresenta coeficiente de 1,103 em 12 meses e efeito ainda significativo no horizonte de 24 meses. Esse resultado é particularmente importante para o trabalho porque reforça a interpretação de que o preço de refinaria funciona como uma etapa intermediária do repasse entre o mercado internacional de petróleo e os preços ao consumidor.</w:t>
      </w:r>
    </w:p>
    <w:p w14:paraId="59E16007"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b/>
          <w:i/>
          <w:sz w:val="20"/>
          <w:szCs w:val="24"/>
          <w:lang w:val="pt-BR"/>
        </w:rPr>
        <w:t>Tabela 2 - Respostas acumuladas dos combustíveis sobre o IPCA Geral e o IPCA Transporte</w:t>
      </w:r>
    </w:p>
    <w:tbl>
      <w:tblPr>
        <w:tblStyle w:val="TableGrid"/>
        <w:tblW w:w="0" w:type="auto"/>
        <w:jc w:val="center"/>
        <w:tblLayout w:type="autofit"/>
        <w:tblLook w:val="04A0" w:firstRow="1" w:lastRow="0" w:firstColumn="1" w:lastColumn="0" w:noHBand="0" w:noVBand="1"/>
      </w:tblPr>
      <w:tblGrid>
        <w:gridCol w:w="1329"/>
        <w:gridCol w:w="1375"/>
        <w:gridCol w:w="1115"/>
        <w:gridCol w:w="1208"/>
        <w:gridCol w:w="1215"/>
        <w:gridCol w:w="1019"/>
        <w:gridCol w:w="1115"/>
        <w:gridCol w:w="1019"/>
      </w:tblGrid>
      <w:tr w:rsidR="008E44CC" w:rsidRPr="009C7F96" w14:paraId="44302058" w14:textId="77777777" w:rsidTr="00AB4120">
        <w:trPr>
          <w:jc w:val="center"/>
        </w:trPr>
        <w:tc>
          <w:tcPr>
            <w:tcW w:w="1176" w:type="dxa"/>
            <w:shd w:val="clear" w:color="auto" w:fill="D9EAF7"/>
            <w:vAlign w:val="center"/>
            <w:tcMar>
              <w:top w:w="30" w:type="dxa"/>
              <w:start w:w="30" w:type="dxa"/>
              <w:bottom w:w="30" w:type="dxa"/>
              <w:end w:w="30" w:type="dxa"/>
            </w:tcMar>
          </w:tcPr>
          <w:p w14:paraId="362DD093"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b/>
                <w:sz w:val="14"/>
                <w:szCs w:val="24"/>
              </w:rPr>
              <w:t>Impulso</w:t>
            </w:r>
            <w:proofErr w:type="spellEnd"/>
          </w:p>
        </w:tc>
        <w:tc>
          <w:tcPr>
            <w:tcW w:w="1176" w:type="dxa"/>
            <w:shd w:val="clear" w:color="auto" w:fill="D9EAF7"/>
            <w:vAlign w:val="center"/>
            <w:tcMar>
              <w:top w:w="30" w:type="dxa"/>
              <w:start w:w="30" w:type="dxa"/>
              <w:bottom w:w="30" w:type="dxa"/>
              <w:end w:w="30" w:type="dxa"/>
            </w:tcMar>
          </w:tcPr>
          <w:p w14:paraId="16A75DB0"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b/>
                <w:sz w:val="14"/>
                <w:szCs w:val="24"/>
              </w:rPr>
              <w:t>Resposta</w:t>
            </w:r>
            <w:proofErr w:type="spellEnd"/>
          </w:p>
        </w:tc>
        <w:tc>
          <w:tcPr>
            <w:tcW w:w="1176" w:type="dxa"/>
            <w:shd w:val="clear" w:color="auto" w:fill="D9EAF7"/>
            <w:vAlign w:val="center"/>
            <w:tcMar>
              <w:top w:w="30" w:type="dxa"/>
              <w:start w:w="30" w:type="dxa"/>
              <w:bottom w:w="30" w:type="dxa"/>
              <w:end w:w="30" w:type="dxa"/>
            </w:tcMar>
          </w:tcPr>
          <w:p w14:paraId="2DC1EAF3"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Coef. h=12</w:t>
            </w:r>
          </w:p>
        </w:tc>
        <w:tc>
          <w:tcPr>
            <w:tcW w:w="1176" w:type="dxa"/>
            <w:shd w:val="clear" w:color="auto" w:fill="D9EAF7"/>
            <w:vAlign w:val="center"/>
            <w:tcMar>
              <w:top w:w="30" w:type="dxa"/>
              <w:start w:w="30" w:type="dxa"/>
              <w:bottom w:w="30" w:type="dxa"/>
              <w:end w:w="30" w:type="dxa"/>
            </w:tcMar>
          </w:tcPr>
          <w:p w14:paraId="035F4718"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p-valor h=12</w:t>
            </w:r>
          </w:p>
        </w:tc>
        <w:tc>
          <w:tcPr>
            <w:tcW w:w="1176" w:type="dxa"/>
            <w:shd w:val="clear" w:color="auto" w:fill="D9EAF7"/>
            <w:vAlign w:val="center"/>
            <w:tcMar>
              <w:top w:w="30" w:type="dxa"/>
              <w:start w:w="30" w:type="dxa"/>
              <w:bottom w:w="30" w:type="dxa"/>
              <w:end w:w="30" w:type="dxa"/>
            </w:tcMar>
          </w:tcPr>
          <w:p w14:paraId="79371CE3"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IC h=12</w:t>
            </w:r>
          </w:p>
        </w:tc>
        <w:tc>
          <w:tcPr>
            <w:tcW w:w="1176" w:type="dxa"/>
            <w:shd w:val="clear" w:color="auto" w:fill="D9EAF7"/>
            <w:vAlign w:val="center"/>
            <w:tcMar>
              <w:top w:w="30" w:type="dxa"/>
              <w:start w:w="30" w:type="dxa"/>
              <w:bottom w:w="30" w:type="dxa"/>
              <w:end w:w="30" w:type="dxa"/>
            </w:tcMar>
          </w:tcPr>
          <w:p w14:paraId="525C2102"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Sig. h=12</w:t>
            </w:r>
          </w:p>
        </w:tc>
        <w:tc>
          <w:tcPr>
            <w:tcW w:w="1176" w:type="dxa"/>
            <w:shd w:val="clear" w:color="auto" w:fill="D9EAF7"/>
            <w:vAlign w:val="center"/>
            <w:tcMar>
              <w:top w:w="30" w:type="dxa"/>
              <w:start w:w="30" w:type="dxa"/>
              <w:bottom w:w="30" w:type="dxa"/>
              <w:end w:w="30" w:type="dxa"/>
            </w:tcMar>
          </w:tcPr>
          <w:p w14:paraId="336B1CF9"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Coef. h=24</w:t>
            </w:r>
          </w:p>
        </w:tc>
        <w:tc>
          <w:tcPr>
            <w:tcW w:w="1176" w:type="dxa"/>
            <w:shd w:val="clear" w:color="auto" w:fill="D9EAF7"/>
            <w:vAlign w:val="center"/>
            <w:tcMar>
              <w:top w:w="30" w:type="dxa"/>
              <w:start w:w="30" w:type="dxa"/>
              <w:bottom w:w="30" w:type="dxa"/>
              <w:end w:w="30" w:type="dxa"/>
            </w:tcMar>
          </w:tcPr>
          <w:p w14:paraId="2F434EBB"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Sig. h=24</w:t>
            </w:r>
          </w:p>
        </w:tc>
      </w:tr>
      <w:tr w:rsidR="008E44CC" w:rsidRPr="009C7F96" w14:paraId="4409B663" w14:textId="77777777" w:rsidTr="00AB4120">
        <w:trPr>
          <w:jc w:val="center"/>
        </w:trPr>
        <w:tc>
          <w:tcPr>
            <w:tcW w:w="1176" w:type="dxa"/>
            <w:vAlign w:val="center"/>
            <w:tcMar>
              <w:top w:w="30" w:type="dxa"/>
              <w:start w:w="30" w:type="dxa"/>
              <w:bottom w:w="30" w:type="dxa"/>
              <w:end w:w="30" w:type="dxa"/>
            </w:tcMar>
          </w:tcPr>
          <w:p w14:paraId="0555A398"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Diesel</w:t>
            </w:r>
          </w:p>
        </w:tc>
        <w:tc>
          <w:tcPr>
            <w:tcW w:w="1176" w:type="dxa"/>
            <w:vAlign w:val="center"/>
            <w:tcMar>
              <w:top w:w="30" w:type="dxa"/>
              <w:start w:w="30" w:type="dxa"/>
              <w:bottom w:w="30" w:type="dxa"/>
              <w:end w:w="30" w:type="dxa"/>
            </w:tcMar>
          </w:tcPr>
          <w:p w14:paraId="4171A69B"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Geral</w:t>
            </w:r>
          </w:p>
        </w:tc>
        <w:tc>
          <w:tcPr>
            <w:tcW w:w="1176" w:type="dxa"/>
            <w:vAlign w:val="center"/>
            <w:tcMar>
              <w:top w:w="30" w:type="dxa"/>
              <w:start w:w="30" w:type="dxa"/>
              <w:bottom w:w="30" w:type="dxa"/>
              <w:end w:w="30" w:type="dxa"/>
            </w:tcMar>
          </w:tcPr>
          <w:p w14:paraId="40115E7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0,127</w:t>
            </w:r>
          </w:p>
        </w:tc>
        <w:tc>
          <w:tcPr>
            <w:tcW w:w="1176" w:type="dxa"/>
            <w:vAlign w:val="center"/>
            <w:tcMar>
              <w:top w:w="30" w:type="dxa"/>
              <w:start w:w="30" w:type="dxa"/>
              <w:bottom w:w="30" w:type="dxa"/>
              <w:end w:w="30" w:type="dxa"/>
            </w:tcMar>
          </w:tcPr>
          <w:p w14:paraId="756243D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0,403</w:t>
            </w:r>
          </w:p>
        </w:tc>
        <w:tc>
          <w:tcPr>
            <w:tcW w:w="1176" w:type="dxa"/>
            <w:vAlign w:val="center"/>
            <w:tcMar>
              <w:top w:w="30" w:type="dxa"/>
              <w:start w:w="30" w:type="dxa"/>
              <w:bottom w:w="30" w:type="dxa"/>
              <w:end w:w="30" w:type="dxa"/>
            </w:tcMar>
          </w:tcPr>
          <w:p w14:paraId="55D06611"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[-0,123; 0,378]</w:t>
            </w:r>
          </w:p>
        </w:tc>
        <w:tc>
          <w:tcPr>
            <w:tcW w:w="1176" w:type="dxa"/>
            <w:vAlign w:val="center"/>
            <w:tcMar>
              <w:top w:w="30" w:type="dxa"/>
              <w:start w:w="30" w:type="dxa"/>
              <w:bottom w:w="30" w:type="dxa"/>
              <w:end w:w="30" w:type="dxa"/>
            </w:tcMar>
          </w:tcPr>
          <w:p w14:paraId="36E87C68"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176" w:type="dxa"/>
            <w:vAlign w:val="center"/>
            <w:tcMar>
              <w:top w:w="30" w:type="dxa"/>
              <w:start w:w="30" w:type="dxa"/>
              <w:bottom w:w="30" w:type="dxa"/>
              <w:end w:w="30" w:type="dxa"/>
            </w:tcMar>
          </w:tcPr>
          <w:p w14:paraId="0FF980A5"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-0,072</w:t>
            </w:r>
          </w:p>
        </w:tc>
        <w:tc>
          <w:tcPr>
            <w:tcW w:w="1176" w:type="dxa"/>
            <w:vAlign w:val="center"/>
            <w:tcMar>
              <w:top w:w="30" w:type="dxa"/>
              <w:start w:w="30" w:type="dxa"/>
              <w:bottom w:w="30" w:type="dxa"/>
              <w:end w:w="30" w:type="dxa"/>
            </w:tcMar>
          </w:tcPr>
          <w:p w14:paraId="71C8EBC4"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1FEDD992" w14:textId="77777777" w:rsidTr="00AB4120">
        <w:trPr>
          <w:jc w:val="center"/>
        </w:trPr>
        <w:tc>
          <w:tcPr>
            <w:tcW w:w="1176" w:type="dxa"/>
            <w:vAlign w:val="center"/>
            <w:tcMar>
              <w:top w:w="30" w:type="dxa"/>
              <w:start w:w="30" w:type="dxa"/>
              <w:bottom w:w="30" w:type="dxa"/>
              <w:end w:w="30" w:type="dxa"/>
            </w:tcMar>
          </w:tcPr>
          <w:p w14:paraId="43A6DB4B"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Diesel</w:t>
            </w:r>
          </w:p>
        </w:tc>
        <w:tc>
          <w:tcPr>
            <w:tcW w:w="1176" w:type="dxa"/>
            <w:vAlign w:val="center"/>
            <w:tcMar>
              <w:top w:w="30" w:type="dxa"/>
              <w:start w:w="30" w:type="dxa"/>
              <w:bottom w:w="30" w:type="dxa"/>
              <w:end w:w="30" w:type="dxa"/>
            </w:tcMar>
          </w:tcPr>
          <w:p w14:paraId="7337923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Transporte</w:t>
            </w:r>
          </w:p>
        </w:tc>
        <w:tc>
          <w:tcPr>
            <w:tcW w:w="1176" w:type="dxa"/>
            <w:vAlign w:val="center"/>
            <w:tcMar>
              <w:top w:w="30" w:type="dxa"/>
              <w:start w:w="30" w:type="dxa"/>
              <w:bottom w:w="30" w:type="dxa"/>
              <w:end w:w="30" w:type="dxa"/>
            </w:tcMar>
          </w:tcPr>
          <w:p w14:paraId="35F1ADF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0,254</w:t>
            </w:r>
          </w:p>
        </w:tc>
        <w:tc>
          <w:tcPr>
            <w:tcW w:w="1176" w:type="dxa"/>
            <w:vAlign w:val="center"/>
            <w:tcMar>
              <w:top w:w="30" w:type="dxa"/>
              <w:start w:w="30" w:type="dxa"/>
              <w:bottom w:w="30" w:type="dxa"/>
              <w:end w:w="30" w:type="dxa"/>
            </w:tcMar>
          </w:tcPr>
          <w:p w14:paraId="13AA9533"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0,530</w:t>
            </w:r>
          </w:p>
        </w:tc>
        <w:tc>
          <w:tcPr>
            <w:tcW w:w="1176" w:type="dxa"/>
            <w:vAlign w:val="center"/>
            <w:tcMar>
              <w:top w:w="30" w:type="dxa"/>
              <w:start w:w="30" w:type="dxa"/>
              <w:bottom w:w="30" w:type="dxa"/>
              <w:end w:w="30" w:type="dxa"/>
            </w:tcMar>
          </w:tcPr>
          <w:p w14:paraId="122A842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[-0,411; 0,920]</w:t>
            </w:r>
          </w:p>
        </w:tc>
        <w:tc>
          <w:tcPr>
            <w:tcW w:w="1176" w:type="dxa"/>
            <w:vAlign w:val="center"/>
            <w:tcMar>
              <w:top w:w="30" w:type="dxa"/>
              <w:start w:w="30" w:type="dxa"/>
              <w:bottom w:w="30" w:type="dxa"/>
              <w:end w:w="30" w:type="dxa"/>
            </w:tcMar>
          </w:tcPr>
          <w:p w14:paraId="041D39C5"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176" w:type="dxa"/>
            <w:vAlign w:val="center"/>
            <w:tcMar>
              <w:top w:w="30" w:type="dxa"/>
              <w:start w:w="30" w:type="dxa"/>
              <w:bottom w:w="30" w:type="dxa"/>
              <w:end w:w="30" w:type="dxa"/>
            </w:tcMar>
          </w:tcPr>
          <w:p w14:paraId="703DED5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-0,121</w:t>
            </w:r>
          </w:p>
        </w:tc>
        <w:tc>
          <w:tcPr>
            <w:tcW w:w="1176" w:type="dxa"/>
            <w:vAlign w:val="center"/>
            <w:tcMar>
              <w:top w:w="30" w:type="dxa"/>
              <w:start w:w="30" w:type="dxa"/>
              <w:bottom w:w="30" w:type="dxa"/>
              <w:end w:w="30" w:type="dxa"/>
            </w:tcMar>
          </w:tcPr>
          <w:p w14:paraId="12C80ED6"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0A9248D7" w14:textId="77777777" w:rsidTr="00AB4120">
        <w:trPr>
          <w:jc w:val="center"/>
        </w:trPr>
        <w:tc>
          <w:tcPr>
            <w:tcW w:w="1176" w:type="dxa"/>
            <w:vAlign w:val="center"/>
            <w:tcMar>
              <w:top w:w="30" w:type="dxa"/>
              <w:start w:w="30" w:type="dxa"/>
              <w:bottom w:w="30" w:type="dxa"/>
              <w:end w:w="30" w:type="dxa"/>
            </w:tcMar>
          </w:tcPr>
          <w:p w14:paraId="02C087DD"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Etanol</w:t>
            </w:r>
            <w:proofErr w:type="spellEnd"/>
          </w:p>
        </w:tc>
        <w:tc>
          <w:tcPr>
            <w:tcW w:w="1176" w:type="dxa"/>
            <w:vAlign w:val="center"/>
            <w:tcMar>
              <w:top w:w="30" w:type="dxa"/>
              <w:start w:w="30" w:type="dxa"/>
              <w:bottom w:w="30" w:type="dxa"/>
              <w:end w:w="30" w:type="dxa"/>
            </w:tcMar>
          </w:tcPr>
          <w:p w14:paraId="2F28EA4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Geral</w:t>
            </w:r>
          </w:p>
        </w:tc>
        <w:tc>
          <w:tcPr>
            <w:tcW w:w="1176" w:type="dxa"/>
            <w:vAlign w:val="center"/>
            <w:tcMar>
              <w:top w:w="30" w:type="dxa"/>
              <w:start w:w="30" w:type="dxa"/>
              <w:bottom w:w="30" w:type="dxa"/>
              <w:end w:w="30" w:type="dxa"/>
            </w:tcMar>
          </w:tcPr>
          <w:p w14:paraId="4FAF5F3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0,207</w:t>
            </w:r>
          </w:p>
        </w:tc>
        <w:tc>
          <w:tcPr>
            <w:tcW w:w="1176" w:type="dxa"/>
            <w:vAlign w:val="center"/>
            <w:tcMar>
              <w:top w:w="30" w:type="dxa"/>
              <w:start w:w="30" w:type="dxa"/>
              <w:bottom w:w="30" w:type="dxa"/>
              <w:end w:w="30" w:type="dxa"/>
            </w:tcMar>
          </w:tcPr>
          <w:p w14:paraId="15E5644E"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0,140</w:t>
            </w:r>
          </w:p>
        </w:tc>
        <w:tc>
          <w:tcPr>
            <w:tcW w:w="1176" w:type="dxa"/>
            <w:vAlign w:val="center"/>
            <w:tcMar>
              <w:top w:w="30" w:type="dxa"/>
              <w:start w:w="30" w:type="dxa"/>
              <w:bottom w:w="30" w:type="dxa"/>
              <w:end w:w="30" w:type="dxa"/>
            </w:tcMar>
          </w:tcPr>
          <w:p w14:paraId="1C45C035"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[-0,024; 0,437]</w:t>
            </w:r>
          </w:p>
        </w:tc>
        <w:tc>
          <w:tcPr>
            <w:tcW w:w="1176" w:type="dxa"/>
            <w:vAlign w:val="center"/>
            <w:tcMar>
              <w:top w:w="30" w:type="dxa"/>
              <w:start w:w="30" w:type="dxa"/>
              <w:bottom w:w="30" w:type="dxa"/>
              <w:end w:w="30" w:type="dxa"/>
            </w:tcMar>
          </w:tcPr>
          <w:p w14:paraId="3AEB69C0"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176" w:type="dxa"/>
            <w:vAlign w:val="center"/>
            <w:tcMar>
              <w:top w:w="30" w:type="dxa"/>
              <w:start w:w="30" w:type="dxa"/>
              <w:bottom w:w="30" w:type="dxa"/>
              <w:end w:w="30" w:type="dxa"/>
            </w:tcMar>
          </w:tcPr>
          <w:p w14:paraId="7444C2F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0,065</w:t>
            </w:r>
          </w:p>
        </w:tc>
        <w:tc>
          <w:tcPr>
            <w:tcW w:w="1176" w:type="dxa"/>
            <w:vAlign w:val="center"/>
            <w:tcMar>
              <w:top w:w="30" w:type="dxa"/>
              <w:start w:w="30" w:type="dxa"/>
              <w:bottom w:w="30" w:type="dxa"/>
              <w:end w:w="30" w:type="dxa"/>
            </w:tcMar>
          </w:tcPr>
          <w:p w14:paraId="0CF76960"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7BAC8531" w14:textId="77777777" w:rsidTr="00AB4120">
        <w:trPr>
          <w:jc w:val="center"/>
        </w:trPr>
        <w:tc>
          <w:tcPr>
            <w:tcW w:w="1176" w:type="dxa"/>
            <w:vAlign w:val="center"/>
            <w:tcMar>
              <w:top w:w="30" w:type="dxa"/>
              <w:start w:w="30" w:type="dxa"/>
              <w:bottom w:w="30" w:type="dxa"/>
              <w:end w:w="30" w:type="dxa"/>
            </w:tcMar>
          </w:tcPr>
          <w:p w14:paraId="29012617"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Etanol</w:t>
            </w:r>
            <w:proofErr w:type="spellEnd"/>
          </w:p>
        </w:tc>
        <w:tc>
          <w:tcPr>
            <w:tcW w:w="1176" w:type="dxa"/>
            <w:vAlign w:val="center"/>
            <w:tcMar>
              <w:top w:w="30" w:type="dxa"/>
              <w:start w:w="30" w:type="dxa"/>
              <w:bottom w:w="30" w:type="dxa"/>
              <w:end w:w="30" w:type="dxa"/>
            </w:tcMar>
          </w:tcPr>
          <w:p w14:paraId="2C1F0CD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Transporte</w:t>
            </w:r>
          </w:p>
        </w:tc>
        <w:tc>
          <w:tcPr>
            <w:tcW w:w="1176" w:type="dxa"/>
            <w:vAlign w:val="center"/>
            <w:tcMar>
              <w:top w:w="30" w:type="dxa"/>
              <w:start w:w="30" w:type="dxa"/>
              <w:bottom w:w="30" w:type="dxa"/>
              <w:end w:w="30" w:type="dxa"/>
            </w:tcMar>
          </w:tcPr>
          <w:p w14:paraId="3E3D18DB"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0,896</w:t>
            </w:r>
          </w:p>
        </w:tc>
        <w:tc>
          <w:tcPr>
            <w:tcW w:w="1176" w:type="dxa"/>
            <w:vAlign w:val="center"/>
            <w:tcMar>
              <w:top w:w="30" w:type="dxa"/>
              <w:start w:w="30" w:type="dxa"/>
              <w:bottom w:w="30" w:type="dxa"/>
              <w:end w:w="30" w:type="dxa"/>
            </w:tcMar>
          </w:tcPr>
          <w:p w14:paraId="48EF6798"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0,007</w:t>
            </w:r>
          </w:p>
        </w:tc>
        <w:tc>
          <w:tcPr>
            <w:tcW w:w="1176" w:type="dxa"/>
            <w:vAlign w:val="center"/>
            <w:tcMar>
              <w:top w:w="30" w:type="dxa"/>
              <w:start w:w="30" w:type="dxa"/>
              <w:bottom w:w="30" w:type="dxa"/>
              <w:end w:w="30" w:type="dxa"/>
            </w:tcMar>
          </w:tcPr>
          <w:p w14:paraId="23660A7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[0,348; 1,444]</w:t>
            </w:r>
          </w:p>
        </w:tc>
        <w:tc>
          <w:tcPr>
            <w:tcW w:w="1176" w:type="dxa"/>
            <w:vAlign w:val="center"/>
            <w:tcMar>
              <w:top w:w="30" w:type="dxa"/>
              <w:start w:w="30" w:type="dxa"/>
              <w:bottom w:w="30" w:type="dxa"/>
              <w:end w:w="30" w:type="dxa"/>
            </w:tcMar>
          </w:tcPr>
          <w:p w14:paraId="1CAD0FD7"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176" w:type="dxa"/>
            <w:vAlign w:val="center"/>
            <w:tcMar>
              <w:top w:w="30" w:type="dxa"/>
              <w:start w:w="30" w:type="dxa"/>
              <w:bottom w:w="30" w:type="dxa"/>
              <w:end w:w="30" w:type="dxa"/>
            </w:tcMar>
          </w:tcPr>
          <w:p w14:paraId="364567F3"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0,509</w:t>
            </w:r>
          </w:p>
        </w:tc>
        <w:tc>
          <w:tcPr>
            <w:tcW w:w="1176" w:type="dxa"/>
            <w:vAlign w:val="center"/>
            <w:tcMar>
              <w:top w:w="30" w:type="dxa"/>
              <w:start w:w="30" w:type="dxa"/>
              <w:bottom w:w="30" w:type="dxa"/>
              <w:end w:w="30" w:type="dxa"/>
            </w:tcMar>
          </w:tcPr>
          <w:p w14:paraId="1FB19BA3"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6C76DF77" w14:textId="77777777" w:rsidTr="00AB4120">
        <w:trPr>
          <w:jc w:val="center"/>
        </w:trPr>
        <w:tc>
          <w:tcPr>
            <w:tcW w:w="1176" w:type="dxa"/>
            <w:vAlign w:val="center"/>
            <w:tcMar>
              <w:top w:w="30" w:type="dxa"/>
              <w:start w:w="30" w:type="dxa"/>
              <w:bottom w:w="30" w:type="dxa"/>
              <w:end w:w="30" w:type="dxa"/>
            </w:tcMar>
          </w:tcPr>
          <w:p w14:paraId="247EA5DC"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Gasolina</w:t>
            </w:r>
            <w:proofErr w:type="spellEnd"/>
          </w:p>
        </w:tc>
        <w:tc>
          <w:tcPr>
            <w:tcW w:w="1176" w:type="dxa"/>
            <w:vAlign w:val="center"/>
            <w:tcMar>
              <w:top w:w="30" w:type="dxa"/>
              <w:start w:w="30" w:type="dxa"/>
              <w:bottom w:w="30" w:type="dxa"/>
              <w:end w:w="30" w:type="dxa"/>
            </w:tcMar>
          </w:tcPr>
          <w:p w14:paraId="29ADA28B"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Geral</w:t>
            </w:r>
          </w:p>
        </w:tc>
        <w:tc>
          <w:tcPr>
            <w:tcW w:w="1176" w:type="dxa"/>
            <w:vAlign w:val="center"/>
            <w:tcMar>
              <w:top w:w="30" w:type="dxa"/>
              <w:start w:w="30" w:type="dxa"/>
              <w:bottom w:w="30" w:type="dxa"/>
              <w:end w:w="30" w:type="dxa"/>
            </w:tcMar>
          </w:tcPr>
          <w:p w14:paraId="05417C2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0,383</w:t>
            </w:r>
          </w:p>
        </w:tc>
        <w:tc>
          <w:tcPr>
            <w:tcW w:w="1176" w:type="dxa"/>
            <w:vAlign w:val="center"/>
            <w:tcMar>
              <w:top w:w="30" w:type="dxa"/>
              <w:start w:w="30" w:type="dxa"/>
              <w:bottom w:w="30" w:type="dxa"/>
              <w:end w:w="30" w:type="dxa"/>
            </w:tcMar>
          </w:tcPr>
          <w:p w14:paraId="3C4391FF"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0,003</w:t>
            </w:r>
          </w:p>
        </w:tc>
        <w:tc>
          <w:tcPr>
            <w:tcW w:w="1176" w:type="dxa"/>
            <w:vAlign w:val="center"/>
            <w:tcMar>
              <w:top w:w="30" w:type="dxa"/>
              <w:start w:w="30" w:type="dxa"/>
              <w:bottom w:w="30" w:type="dxa"/>
              <w:end w:w="30" w:type="dxa"/>
            </w:tcMar>
          </w:tcPr>
          <w:p w14:paraId="0744AA3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[0,170; 0,596]</w:t>
            </w:r>
          </w:p>
        </w:tc>
        <w:tc>
          <w:tcPr>
            <w:tcW w:w="1176" w:type="dxa"/>
            <w:vAlign w:val="center"/>
            <w:tcMar>
              <w:top w:w="30" w:type="dxa"/>
              <w:start w:w="30" w:type="dxa"/>
              <w:bottom w:w="30" w:type="dxa"/>
              <w:end w:w="30" w:type="dxa"/>
            </w:tcMar>
          </w:tcPr>
          <w:p w14:paraId="7043043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176" w:type="dxa"/>
            <w:vAlign w:val="center"/>
            <w:tcMar>
              <w:top w:w="30" w:type="dxa"/>
              <w:start w:w="30" w:type="dxa"/>
              <w:bottom w:w="30" w:type="dxa"/>
              <w:end w:w="30" w:type="dxa"/>
            </w:tcMar>
          </w:tcPr>
          <w:p w14:paraId="560615C3"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0,213</w:t>
            </w:r>
          </w:p>
        </w:tc>
        <w:tc>
          <w:tcPr>
            <w:tcW w:w="1176" w:type="dxa"/>
            <w:vAlign w:val="center"/>
            <w:tcMar>
              <w:top w:w="30" w:type="dxa"/>
              <w:start w:w="30" w:type="dxa"/>
              <w:bottom w:w="30" w:type="dxa"/>
              <w:end w:w="30" w:type="dxa"/>
            </w:tcMar>
          </w:tcPr>
          <w:p w14:paraId="427DBADF"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71AA7E7A" w14:textId="77777777" w:rsidTr="00AB4120">
        <w:trPr>
          <w:jc w:val="center"/>
        </w:trPr>
        <w:tc>
          <w:tcPr>
            <w:tcW w:w="1176" w:type="dxa"/>
            <w:vAlign w:val="center"/>
            <w:tcMar>
              <w:top w:w="30" w:type="dxa"/>
              <w:start w:w="30" w:type="dxa"/>
              <w:bottom w:w="30" w:type="dxa"/>
              <w:end w:w="30" w:type="dxa"/>
            </w:tcMar>
          </w:tcPr>
          <w:p w14:paraId="2767CBFF"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lastRenderedPageBreak/>
              <w:t>Gasolina</w:t>
            </w:r>
            <w:proofErr w:type="spellEnd"/>
          </w:p>
        </w:tc>
        <w:tc>
          <w:tcPr>
            <w:tcW w:w="1176" w:type="dxa"/>
            <w:vAlign w:val="center"/>
            <w:tcMar>
              <w:top w:w="30" w:type="dxa"/>
              <w:start w:w="30" w:type="dxa"/>
              <w:bottom w:w="30" w:type="dxa"/>
              <w:end w:w="30" w:type="dxa"/>
            </w:tcMar>
          </w:tcPr>
          <w:p w14:paraId="5409C18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Transporte</w:t>
            </w:r>
          </w:p>
        </w:tc>
        <w:tc>
          <w:tcPr>
            <w:tcW w:w="1176" w:type="dxa"/>
            <w:vAlign w:val="center"/>
            <w:tcMar>
              <w:top w:w="30" w:type="dxa"/>
              <w:start w:w="30" w:type="dxa"/>
              <w:bottom w:w="30" w:type="dxa"/>
              <w:end w:w="30" w:type="dxa"/>
            </w:tcMar>
          </w:tcPr>
          <w:p w14:paraId="1552A50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1,239</w:t>
            </w:r>
          </w:p>
        </w:tc>
        <w:tc>
          <w:tcPr>
            <w:tcW w:w="1176" w:type="dxa"/>
            <w:vAlign w:val="center"/>
            <w:tcMar>
              <w:top w:w="30" w:type="dxa"/>
              <w:start w:w="30" w:type="dxa"/>
              <w:bottom w:w="30" w:type="dxa"/>
              <w:end w:w="30" w:type="dxa"/>
            </w:tcMar>
          </w:tcPr>
          <w:p w14:paraId="1E92960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&lt;0,001</w:t>
            </w:r>
          </w:p>
        </w:tc>
        <w:tc>
          <w:tcPr>
            <w:tcW w:w="1176" w:type="dxa"/>
            <w:vAlign w:val="center"/>
            <w:tcMar>
              <w:top w:w="30" w:type="dxa"/>
              <w:start w:w="30" w:type="dxa"/>
              <w:bottom w:w="30" w:type="dxa"/>
              <w:end w:w="30" w:type="dxa"/>
            </w:tcMar>
          </w:tcPr>
          <w:p w14:paraId="78915344"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[0,796; 1,681]</w:t>
            </w:r>
          </w:p>
        </w:tc>
        <w:tc>
          <w:tcPr>
            <w:tcW w:w="1176" w:type="dxa"/>
            <w:vAlign w:val="center"/>
            <w:tcMar>
              <w:top w:w="30" w:type="dxa"/>
              <w:start w:w="30" w:type="dxa"/>
              <w:bottom w:w="30" w:type="dxa"/>
              <w:end w:w="30" w:type="dxa"/>
            </w:tcMar>
          </w:tcPr>
          <w:p w14:paraId="7A344CA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176" w:type="dxa"/>
            <w:vAlign w:val="center"/>
            <w:tcMar>
              <w:top w:w="30" w:type="dxa"/>
              <w:start w:w="30" w:type="dxa"/>
              <w:bottom w:w="30" w:type="dxa"/>
              <w:end w:w="30" w:type="dxa"/>
            </w:tcMar>
          </w:tcPr>
          <w:p w14:paraId="436E046D"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0,853</w:t>
            </w:r>
          </w:p>
        </w:tc>
        <w:tc>
          <w:tcPr>
            <w:tcW w:w="1176" w:type="dxa"/>
            <w:vAlign w:val="center"/>
            <w:tcMar>
              <w:top w:w="30" w:type="dxa"/>
              <w:start w:w="30" w:type="dxa"/>
              <w:bottom w:w="30" w:type="dxa"/>
              <w:end w:w="30" w:type="dxa"/>
            </w:tcMar>
          </w:tcPr>
          <w:p w14:paraId="6EACAE6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r>
      <w:tr w:rsidR="008E44CC" w:rsidRPr="009C7F96" w14:paraId="616E1398" w14:textId="77777777" w:rsidTr="00AB4120">
        <w:trPr>
          <w:jc w:val="center"/>
        </w:trPr>
        <w:tc>
          <w:tcPr>
            <w:tcW w:w="1176" w:type="dxa"/>
            <w:vAlign w:val="center"/>
            <w:tcMar>
              <w:top w:w="30" w:type="dxa"/>
              <w:start w:w="30" w:type="dxa"/>
              <w:bottom w:w="30" w:type="dxa"/>
              <w:end w:w="30" w:type="dxa"/>
            </w:tcMar>
          </w:tcPr>
          <w:p w14:paraId="34C2F3D9"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Gasolina</w:t>
            </w:r>
            <w:proofErr w:type="spellEnd"/>
            <w:r w:rsidRPr="009C7F96">
              <w:rPr>
                <w:rFonts w:cs="Times New Roman"/>
                <w:sz w:val="14"/>
                <w:szCs w:val="24"/>
              </w:rPr>
              <w:t xml:space="preserve"> de </w:t>
            </w:r>
            <w:proofErr w:type="spellStart"/>
            <w:r w:rsidRPr="009C7F96">
              <w:rPr>
                <w:rFonts w:cs="Times New Roman"/>
                <w:sz w:val="14"/>
                <w:szCs w:val="24"/>
              </w:rPr>
              <w:t>refinaria</w:t>
            </w:r>
            <w:proofErr w:type="spellEnd"/>
          </w:p>
        </w:tc>
        <w:tc>
          <w:tcPr>
            <w:tcW w:w="1176" w:type="dxa"/>
            <w:vAlign w:val="center"/>
            <w:tcMar>
              <w:top w:w="30" w:type="dxa"/>
              <w:start w:w="30" w:type="dxa"/>
              <w:bottom w:w="30" w:type="dxa"/>
              <w:end w:w="30" w:type="dxa"/>
            </w:tcMar>
          </w:tcPr>
          <w:p w14:paraId="3611AA78"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Geral</w:t>
            </w:r>
          </w:p>
        </w:tc>
        <w:tc>
          <w:tcPr>
            <w:tcW w:w="1176" w:type="dxa"/>
            <w:vAlign w:val="center"/>
            <w:tcMar>
              <w:top w:w="30" w:type="dxa"/>
              <w:start w:w="30" w:type="dxa"/>
              <w:bottom w:w="30" w:type="dxa"/>
              <w:end w:w="30" w:type="dxa"/>
            </w:tcMar>
          </w:tcPr>
          <w:p w14:paraId="5EC580E1"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0,311</w:t>
            </w:r>
          </w:p>
        </w:tc>
        <w:tc>
          <w:tcPr>
            <w:tcW w:w="1176" w:type="dxa"/>
            <w:vAlign w:val="center"/>
            <w:tcMar>
              <w:top w:w="30" w:type="dxa"/>
              <w:start w:w="30" w:type="dxa"/>
              <w:bottom w:w="30" w:type="dxa"/>
              <w:end w:w="30" w:type="dxa"/>
            </w:tcMar>
          </w:tcPr>
          <w:p w14:paraId="59EE15E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0,194</w:t>
            </w:r>
          </w:p>
        </w:tc>
        <w:tc>
          <w:tcPr>
            <w:tcW w:w="1176" w:type="dxa"/>
            <w:vAlign w:val="center"/>
            <w:tcMar>
              <w:top w:w="30" w:type="dxa"/>
              <w:start w:w="30" w:type="dxa"/>
              <w:bottom w:w="30" w:type="dxa"/>
              <w:end w:w="30" w:type="dxa"/>
            </w:tcMar>
          </w:tcPr>
          <w:p w14:paraId="1DCBE4F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[-0,083; 0,705]</w:t>
            </w:r>
          </w:p>
        </w:tc>
        <w:tc>
          <w:tcPr>
            <w:tcW w:w="1176" w:type="dxa"/>
            <w:vAlign w:val="center"/>
            <w:tcMar>
              <w:top w:w="30" w:type="dxa"/>
              <w:start w:w="30" w:type="dxa"/>
              <w:bottom w:w="30" w:type="dxa"/>
              <w:end w:w="30" w:type="dxa"/>
            </w:tcMar>
          </w:tcPr>
          <w:p w14:paraId="321A9BBD"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c>
          <w:tcPr>
            <w:tcW w:w="1176" w:type="dxa"/>
            <w:vAlign w:val="center"/>
            <w:tcMar>
              <w:top w:w="30" w:type="dxa"/>
              <w:start w:w="30" w:type="dxa"/>
              <w:bottom w:w="30" w:type="dxa"/>
              <w:end w:w="30" w:type="dxa"/>
            </w:tcMar>
          </w:tcPr>
          <w:p w14:paraId="41D55F40"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0,174</w:t>
            </w:r>
          </w:p>
        </w:tc>
        <w:tc>
          <w:tcPr>
            <w:tcW w:w="1176" w:type="dxa"/>
            <w:vAlign w:val="center"/>
            <w:tcMar>
              <w:top w:w="30" w:type="dxa"/>
              <w:start w:w="30" w:type="dxa"/>
              <w:bottom w:w="30" w:type="dxa"/>
              <w:end w:w="30" w:type="dxa"/>
            </w:tcMar>
          </w:tcPr>
          <w:p w14:paraId="31B3FFEE"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Não</w:t>
            </w:r>
            <w:proofErr w:type="spellEnd"/>
          </w:p>
        </w:tc>
      </w:tr>
      <w:tr w:rsidR="008E44CC" w:rsidRPr="009C7F96" w14:paraId="23C97C72" w14:textId="77777777" w:rsidTr="00AB4120">
        <w:trPr>
          <w:jc w:val="center"/>
        </w:trPr>
        <w:tc>
          <w:tcPr>
            <w:tcW w:w="1176" w:type="dxa"/>
            <w:vAlign w:val="center"/>
            <w:tcMar>
              <w:top w:w="30" w:type="dxa"/>
              <w:start w:w="30" w:type="dxa"/>
              <w:bottom w:w="30" w:type="dxa"/>
              <w:end w:w="30" w:type="dxa"/>
            </w:tcMar>
          </w:tcPr>
          <w:p w14:paraId="56F288A8"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Gasolina</w:t>
            </w:r>
            <w:proofErr w:type="spellEnd"/>
            <w:r w:rsidRPr="009C7F96">
              <w:rPr>
                <w:rFonts w:cs="Times New Roman"/>
                <w:sz w:val="14"/>
                <w:szCs w:val="24"/>
              </w:rPr>
              <w:t xml:space="preserve"> de </w:t>
            </w:r>
            <w:proofErr w:type="spellStart"/>
            <w:r w:rsidRPr="009C7F96">
              <w:rPr>
                <w:rFonts w:cs="Times New Roman"/>
                <w:sz w:val="14"/>
                <w:szCs w:val="24"/>
              </w:rPr>
              <w:t>refinaria</w:t>
            </w:r>
            <w:proofErr w:type="spellEnd"/>
          </w:p>
        </w:tc>
        <w:tc>
          <w:tcPr>
            <w:tcW w:w="1176" w:type="dxa"/>
            <w:vAlign w:val="center"/>
            <w:tcMar>
              <w:top w:w="30" w:type="dxa"/>
              <w:start w:w="30" w:type="dxa"/>
              <w:bottom w:w="30" w:type="dxa"/>
              <w:end w:w="30" w:type="dxa"/>
            </w:tcMar>
          </w:tcPr>
          <w:p w14:paraId="31717816"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IPCA Transporte</w:t>
            </w:r>
          </w:p>
        </w:tc>
        <w:tc>
          <w:tcPr>
            <w:tcW w:w="1176" w:type="dxa"/>
            <w:vAlign w:val="center"/>
            <w:tcMar>
              <w:top w:w="30" w:type="dxa"/>
              <w:start w:w="30" w:type="dxa"/>
              <w:bottom w:w="30" w:type="dxa"/>
              <w:end w:w="30" w:type="dxa"/>
            </w:tcMar>
          </w:tcPr>
          <w:p w14:paraId="6918C2C6"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1,103</w:t>
            </w:r>
          </w:p>
        </w:tc>
        <w:tc>
          <w:tcPr>
            <w:tcW w:w="1176" w:type="dxa"/>
            <w:vAlign w:val="center"/>
            <w:tcMar>
              <w:top w:w="30" w:type="dxa"/>
              <w:start w:w="30" w:type="dxa"/>
              <w:bottom w:w="30" w:type="dxa"/>
              <w:end w:w="30" w:type="dxa"/>
            </w:tcMar>
          </w:tcPr>
          <w:p w14:paraId="75F51D83"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0,033</w:t>
            </w:r>
          </w:p>
        </w:tc>
        <w:tc>
          <w:tcPr>
            <w:tcW w:w="1176" w:type="dxa"/>
            <w:vAlign w:val="center"/>
            <w:tcMar>
              <w:top w:w="30" w:type="dxa"/>
              <w:start w:w="30" w:type="dxa"/>
              <w:bottom w:w="30" w:type="dxa"/>
              <w:end w:w="30" w:type="dxa"/>
            </w:tcMar>
          </w:tcPr>
          <w:p w14:paraId="577A26E5"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[0,251; 1,955]</w:t>
            </w:r>
          </w:p>
        </w:tc>
        <w:tc>
          <w:tcPr>
            <w:tcW w:w="1176" w:type="dxa"/>
            <w:vAlign w:val="center"/>
            <w:tcMar>
              <w:top w:w="30" w:type="dxa"/>
              <w:start w:w="30" w:type="dxa"/>
              <w:bottom w:w="30" w:type="dxa"/>
              <w:end w:w="30" w:type="dxa"/>
            </w:tcMar>
          </w:tcPr>
          <w:p w14:paraId="04330639"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c>
          <w:tcPr>
            <w:tcW w:w="1176" w:type="dxa"/>
            <w:vAlign w:val="center"/>
            <w:tcMar>
              <w:top w:w="30" w:type="dxa"/>
              <w:start w:w="30" w:type="dxa"/>
              <w:bottom w:w="30" w:type="dxa"/>
              <w:end w:w="30" w:type="dxa"/>
            </w:tcMar>
          </w:tcPr>
          <w:p w14:paraId="348262D1"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0,918</w:t>
            </w:r>
          </w:p>
        </w:tc>
        <w:tc>
          <w:tcPr>
            <w:tcW w:w="1176" w:type="dxa"/>
            <w:vAlign w:val="center"/>
            <w:tcMar>
              <w:top w:w="30" w:type="dxa"/>
              <w:start w:w="30" w:type="dxa"/>
              <w:bottom w:w="30" w:type="dxa"/>
              <w:end w:w="30" w:type="dxa"/>
            </w:tcMar>
          </w:tcPr>
          <w:p w14:paraId="0915C8EA"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Sim</w:t>
            </w:r>
          </w:p>
        </w:tc>
      </w:tr>
    </w:tbl>
    <w:p w14:paraId="03B7E72D"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Fonte: Elaboração própria com base nos resultados estimados.</w:t>
      </w:r>
    </w:p>
    <w:p w14:paraId="412C60F2"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6 - Resposta acumulada da gasolina sobre o IPCA Transporte</w:t>
      </w:r>
    </w:p>
    <w:p w14:paraId="5E8FF536"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53439A5E" wp14:editId="6385DC4B">
            <wp:extent cx="5688000" cy="28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para_ipca_transporte(4).png"/>
                    <pic:cNvPicPr/>
                  </pic:nvPicPr>
                  <pic:blipFill>
                    <a:blip r:embed="rId12"/>
                    <a:stretch>
                      <a:fillRect/>
                    </a:stretch>
                  </pic:blipFill>
                  <pic:spPr>
                    <a:xfrm>
                      <a:off x="0" y="0"/>
                      <a:ext cx="5688000" cy="2844000"/>
                    </a:xfrm>
                    <a:prstGeom prst="rect">
                      <a:avLst/>
                    </a:prstGeom>
                  </pic:spPr>
                </pic:pic>
              </a:graphicData>
            </a:graphic>
          </wp:inline>
        </w:drawing>
      </w:r>
    </w:p>
    <w:p w14:paraId="53BEF587"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5FDE1EDF"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7 - Resposta acumulada do etanol sobre o IPCA Transporte</w:t>
      </w:r>
    </w:p>
    <w:p w14:paraId="67534141" w14:textId="77777777" w:rsidR="008E44CC" w:rsidRPr="009C7F96" w:rsidRDefault="008E44CC" w:rsidP="008E44CC">
      <w:pPr>
        <w:jc w:val="center"/>
        <w:rPr>
          <w:rFonts w:cs="Times New Roman"/>
          <w:szCs w:val="24"/>
        </w:rPr>
      </w:pPr>
      <w:r w:rsidRPr="009C7F96">
        <w:rPr>
          <w:rFonts w:cs="Times New Roman"/>
          <w:noProof/>
          <w:szCs w:val="24"/>
        </w:rPr>
        <w:lastRenderedPageBreak/>
        <w:drawing>
          <wp:inline distT="0" distB="0" distL="0" distR="0" wp14:anchorId="2161026A" wp14:editId="21A655D5">
            <wp:extent cx="5688000" cy="284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etanol_para_ipca_transporte(4).png"/>
                    <pic:cNvPicPr/>
                  </pic:nvPicPr>
                  <pic:blipFill>
                    <a:blip r:embed="rId13"/>
                    <a:stretch>
                      <a:fillRect/>
                    </a:stretch>
                  </pic:blipFill>
                  <pic:spPr>
                    <a:xfrm>
                      <a:off x="0" y="0"/>
                      <a:ext cx="5688000" cy="2844000"/>
                    </a:xfrm>
                    <a:prstGeom prst="rect">
                      <a:avLst/>
                    </a:prstGeom>
                  </pic:spPr>
                </pic:pic>
              </a:graphicData>
            </a:graphic>
          </wp:inline>
        </w:drawing>
      </w:r>
    </w:p>
    <w:p w14:paraId="7FFB3832"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63A7D158"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i/>
          <w:sz w:val="20"/>
          <w:szCs w:val="24"/>
          <w:lang w:val="pt-BR"/>
        </w:rPr>
        <w:t>Figura 8 - Resposta acumulada da gasolina de refinaria sobre o IPCA Transporte</w:t>
      </w:r>
    </w:p>
    <w:p w14:paraId="38170E7C" w14:textId="77777777" w:rsidR="008E44CC" w:rsidRPr="009C7F96" w:rsidRDefault="008E44CC" w:rsidP="008E44CC">
      <w:pPr>
        <w:jc w:val="center"/>
        <w:rPr>
          <w:rFonts w:cs="Times New Roman"/>
          <w:szCs w:val="24"/>
        </w:rPr>
      </w:pPr>
      <w:r w:rsidRPr="009C7F96">
        <w:rPr>
          <w:rFonts w:cs="Times New Roman"/>
          <w:noProof/>
          <w:szCs w:val="24"/>
        </w:rPr>
        <w:drawing>
          <wp:inline distT="0" distB="0" distL="0" distR="0" wp14:anchorId="05377E23" wp14:editId="3CEEA935">
            <wp:extent cx="5688000" cy="284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gasolina_refinaria_para_ipca_transporte.png"/>
                    <pic:cNvPicPr/>
                  </pic:nvPicPr>
                  <pic:blipFill>
                    <a:blip r:embed="rId14"/>
                    <a:stretch>
                      <a:fillRect/>
                    </a:stretch>
                  </pic:blipFill>
                  <pic:spPr>
                    <a:xfrm>
                      <a:off x="0" y="0"/>
                      <a:ext cx="5688000" cy="2844000"/>
                    </a:xfrm>
                    <a:prstGeom prst="rect">
                      <a:avLst/>
                    </a:prstGeom>
                  </pic:spPr>
                </pic:pic>
              </a:graphicData>
            </a:graphic>
          </wp:inline>
        </w:drawing>
      </w:r>
    </w:p>
    <w:p w14:paraId="67938C01" w14:textId="77777777" w:rsidR="008E44CC" w:rsidRPr="009C7F96" w:rsidRDefault="008E44CC" w:rsidP="008E44CC">
      <w:pPr>
        <w:spacing w:after="120" w:line="240" w:lineRule="auto"/>
        <w:ind w:firstLine="0"/>
        <w:jc w:val="center"/>
        <w:rPr>
          <w:rFonts w:cs="Times New Roman"/>
          <w:szCs w:val="24"/>
          <w:lang w:val="pt-BR"/>
        </w:rPr>
      </w:pPr>
      <w:r w:rsidRPr="009C7F96">
        <w:rPr>
          <w:rFonts w:cs="Times New Roman"/>
          <w:sz w:val="20"/>
          <w:szCs w:val="24"/>
          <w:lang w:val="pt-BR"/>
        </w:rPr>
        <w:t xml:space="preserve">Fonte: Elaboração própria com base nas estimações do modelo de Local </w:t>
      </w:r>
      <w:proofErr w:type="spellStart"/>
      <w:r w:rsidRPr="009C7F96">
        <w:rPr>
          <w:rFonts w:cs="Times New Roman"/>
          <w:sz w:val="20"/>
          <w:szCs w:val="24"/>
          <w:lang w:val="pt-BR"/>
        </w:rPr>
        <w:t>Projections</w:t>
      </w:r>
      <w:proofErr w:type="spellEnd"/>
      <w:r w:rsidRPr="009C7F96">
        <w:rPr>
          <w:rFonts w:cs="Times New Roman"/>
          <w:sz w:val="20"/>
          <w:szCs w:val="24"/>
          <w:lang w:val="pt-BR"/>
        </w:rPr>
        <w:t>.</w:t>
      </w:r>
    </w:p>
    <w:p w14:paraId="226EDDDA" w14:textId="77777777" w:rsidR="008E44CC" w:rsidRPr="009C7F96" w:rsidRDefault="008E44CC" w:rsidP="008E44CC">
      <w:pPr>
        <w:spacing w:after="120"/>
        <w:rPr>
          <w:rFonts w:cs="Times New Roman"/>
          <w:szCs w:val="24"/>
          <w:lang w:val="pt-BR"/>
        </w:rPr>
      </w:pPr>
      <w:r w:rsidRPr="009C7F96">
        <w:rPr>
          <w:rFonts w:cs="Times New Roman"/>
          <w:szCs w:val="24"/>
          <w:lang w:val="pt-BR"/>
        </w:rPr>
        <w:t>A comparação entre IPCA Geral e IPCA Transporte é central para a interpretação econômica. Enquanto os efeitos sobre o IPCA Geral são menores e menos persistentes, os efeitos sobre o IPCA Transporte são maiores e mais precisos. Essa diferença sugere que o choque de combustíveis tem natureza inicialmente setorial. Ele aparece com força no grupo de transportes, mas sua transmissão para a inflação agregada é mais limitada, pois depende de efeitos indiretos sobre fretes, custos de produção, expectativas e repasses ao consumidor final.</w:t>
      </w:r>
    </w:p>
    <w:p w14:paraId="1241C5B8" w14:textId="77777777" w:rsidR="008E44CC" w:rsidRPr="009C7F96" w:rsidRDefault="008E44CC" w:rsidP="008E44CC">
      <w:pPr>
        <w:pStyle w:val="Heading2"/>
        <w:spacing w:before="240" w:after="120"/>
        <w:jc w:val="both"/>
        <w:rPr>
          <w:rFonts w:cs="Times New Roman"/>
          <w:szCs w:val="24"/>
        </w:rPr>
      </w:pPr>
      <w:bookmarkStart w:id="33" w:name="_Toc229695960"/>
      <w:r w:rsidRPr="009C7F96">
        <w:rPr>
          <w:rFonts w:ascii="Times New Roman" w:eastAsia="Times New Roman" w:hAnsi="Times New Roman" w:cs="Times New Roman"/>
          <w:szCs w:val="24"/>
        </w:rPr>
        <w:lastRenderedPageBreak/>
        <w:t>4.5 Efeito direto do petróleo sobre a inflação e papel do canal dos combustíveis</w:t>
      </w:r>
      <w:bookmarkEnd w:id="33"/>
    </w:p>
    <w:p w14:paraId="004AEF4D" w14:textId="77777777" w:rsidR="008E44CC" w:rsidRPr="009C7F96" w:rsidRDefault="008E44CC" w:rsidP="008E44CC">
      <w:pPr>
        <w:spacing w:after="120"/>
        <w:rPr>
          <w:rFonts w:cs="Times New Roman"/>
          <w:szCs w:val="24"/>
          <w:lang w:val="pt-BR"/>
        </w:rPr>
      </w:pPr>
      <w:r w:rsidRPr="009C7F96">
        <w:rPr>
          <w:rFonts w:cs="Times New Roman"/>
          <w:szCs w:val="24"/>
          <w:lang w:val="pt-BR"/>
        </w:rPr>
        <w:t>Além de estimar o impacto dos combustíveis sobre a inflação, o modelo também avalia se o petróleo afeta diretamente o IPCA depois de controlar pelos combustíveis. Essa comparação ajuda a diferenciar o efeito total do petróleo do efeito mediado pelo canal dos combustíveis. Nos gráficos correspondentes, as respostas do petróleo sobre o IPCA Geral e sobre o IPCA Transporte tornam-se menos precisas quando se adicionam controles pelos combustíveis. Esse padrão sugere que parte relevante do efeito do petróleo sobre a inflação passa pelos preços domésticos dos combustíveis, e não por um canal direto isolado.</w:t>
      </w:r>
    </w:p>
    <w:p w14:paraId="55CB0D13" w14:textId="77777777" w:rsidR="008E44CC" w:rsidRPr="009C7F96" w:rsidRDefault="008E44CC" w:rsidP="008E44CC">
      <w:pPr>
        <w:spacing w:after="120"/>
        <w:rPr>
          <w:rFonts w:cs="Times New Roman"/>
          <w:szCs w:val="24"/>
          <w:lang w:val="pt-BR"/>
        </w:rPr>
      </w:pPr>
      <w:r w:rsidRPr="009C7F96">
        <w:rPr>
          <w:rFonts w:cs="Times New Roman"/>
          <w:szCs w:val="24"/>
          <w:lang w:val="pt-BR"/>
        </w:rPr>
        <w:t>Essa evidência fortalece a hipótese central do trabalho. O petróleo é importante, mas sua transmissão para a inflação brasileira não ocorre de forma automática. O choque externo precisa passar por etapas internas de formação de preços, especialmente pela gasolina de refinaria e pelos combustíveis ao consumidor. Quando esses canais são considerados no modelo, o efeito direto do petróleo sobre o IPCA tende a perder precisão, o que é compatível com uma transmissão mediada pelos combustíveis.</w:t>
      </w:r>
    </w:p>
    <w:p w14:paraId="69C18345" w14:textId="77777777" w:rsidR="005F0DB9" w:rsidRDefault="00000000">
      <w:pPr>
        <w:pStyle w:val="Heading2"/>
        <w:spacing w:after="120" w:line="360" w:lineRule="auto"/>
        <w:jc w:val="both"/>
      </w:pPr>
      <w:bookmarkStart w:id="34" w:name="_Toc229695961"/>
      <w:r>
        <w:rPr>
          <w:rFonts w:ascii="Times New Roman" w:eastAsia="Times New Roman" w:hAnsi="Times New Roman"/>
        </w:rPr>
        <w:t>4.6 Robustez com Brent em reais, regimes Petrobras e choque externo de oferta</w:t>
      </w:r>
      <w:bookmarkEnd w:id="34"/>
    </w:p>
    <w:p w14:paraId="3FD5CF79" w14:textId="77777777" w:rsidR="005F0DB9" w:rsidRPr="00366C9E" w:rsidRDefault="00000000">
      <w:pPr>
        <w:spacing w:after="120"/>
        <w:rPr>
          <w:lang w:val="pt-BR"/>
        </w:rPr>
      </w:pPr>
      <w:r w:rsidRPr="00366C9E">
        <w:rPr>
          <w:lang w:val="pt-BR"/>
        </w:rPr>
        <w:t>Como complemento ao modelo principal, o Modelo 5 organiza três avanços empíricos. O primeiro é verificar se os resultados permanecem quando o preço internacional do petróleo é convertido para reais, incorporando diretamente a taxa de câmbio. O segundo é testar se o repasse muda entre regimes associados à política de preços da Petrobras, com corte antes e depois de setembro de 2016. O terceiro é utilizar uma medida externa de choque de oferta de petróleo, a série Oil Supply News Shock, como fonte adicional de identificação. Esses exercícios não substituem a lógica principal das Local Projections; eles funcionam como robustez e tornam a interpretação do canal petróleo-combustíveis-inflação menos dependente de uma única especificação.</w:t>
      </w:r>
      <w:proofErr w:type="spellStart"/>
      <w:r w:rsidRPr="00366C9E">
        <w:rPr>
          <w:lang w:val="pt-BR"/>
        </w:rPr>
      </w:r>
      <w:proofErr w:type="spellEnd"/>
      <w:r w:rsidRPr="00366C9E">
        <w:rPr>
          <w:lang w:val="pt-BR"/>
        </w:rPr>
      </w:r>
      <w:proofErr w:type="spellStart"/>
      <w:r w:rsidRPr="00366C9E">
        <w:rPr>
          <w:lang w:val="pt-BR"/>
        </w:rPr>
      </w:r>
      <w:proofErr w:type="spellEnd"/>
      <w:r w:rsidRPr="00366C9E">
        <w:rPr>
          <w:lang w:val="pt-BR"/>
        </w:rPr>
      </w:r>
    </w:p>
    <w:p w14:paraId="088533E5" w14:textId="77777777" w:rsidR="005F0DB9" w:rsidRDefault="00000000">
      <w:pPr>
        <w:pStyle w:val="Heading3"/>
        <w:spacing w:after="120" w:line="360" w:lineRule="auto"/>
        <w:jc w:val="both"/>
      </w:pPr>
      <w:bookmarkStart w:id="35" w:name="_Toc229695962"/>
      <w:r>
        <w:rPr>
          <w:rFonts w:ascii="Times New Roman" w:eastAsia="Times New Roman" w:hAnsi="Times New Roman"/>
        </w:rPr>
        <w:t>4.6.1 Brent em reais e comparação com petróleo em dólares</w:t>
      </w:r>
      <w:bookmarkEnd w:id="35"/>
    </w:p>
    <w:p w14:paraId="792490FC" w14:textId="77777777" w:rsidR="005F0DB9" w:rsidRPr="00366C9E" w:rsidRDefault="00000000">
      <w:pPr>
        <w:spacing w:after="120"/>
        <w:rPr>
          <w:lang w:val="pt-BR"/>
        </w:rPr>
      </w:pPr>
      <w:r w:rsidRPr="00366C9E">
        <w:rPr>
          <w:lang w:val="pt-BR"/>
        </w:rPr>
        <w:t xml:space="preserve">A inclusão do Brent em reais permite avaliar se o choque relevante para a economia brasileira é mais bem representado pelo preço internacional convertido pela taxa de câmbio. Os resultados indicam que a comparação entre Brent em dólares e Brent em reais gera trajetórias bastante próximas, o que sugere robustez da evidência. No horizonte de 12 meses, o petróleo em reais apresenta resposta positiva e estatisticamente significativa sobre o diesel e sobre a gasolina </w:t>
      </w:r>
      <w:r w:rsidRPr="00366C9E">
        <w:rPr>
          <w:lang w:val="pt-BR"/>
        </w:rPr>
        <w:lastRenderedPageBreak/>
        <w:t>de refinaria. Também aparece efeito positivo sobre o IPCA Transportes, enquanto o efeito sobre o IPCA Geral é menor e não significativo.</w:t>
      </w:r>
    </w:p>
    <w:p w14:paraId="0ADB079D" w14:textId="77777777" w:rsidR="005F0DB9" w:rsidRPr="00366C9E" w:rsidRDefault="00000000">
      <w:pPr>
        <w:spacing w:after="120"/>
        <w:ind w:firstLine="0"/>
        <w:jc w:val="center"/>
        <w:rPr>
          <w:lang w:val="pt-BR"/>
        </w:rPr>
      </w:pPr>
      <w:r w:rsidRPr="00366C9E">
        <w:rPr>
          <w:b/>
          <w:sz w:val="20"/>
          <w:lang w:val="pt-BR"/>
        </w:rPr>
        <w:t>Tabela 3 - Respostas acumuladas do Brent em reais em 12 meses</w:t>
      </w:r>
    </w:p>
    <w:tbl>
      <w:tblPr>
        <w:tblStyle w:val="TableGrid"/>
        <w:tblW w:w="0" w:type="auto"/>
        <w:jc w:val="center"/>
        <w:tblLayout w:type="autofit"/>
        <w:tblLook w:val="04A0" w:firstRow="1" w:lastRow="0" w:firstColumn="1" w:lastColumn="0" w:noHBand="0" w:noVBand="1"/>
      </w:tblPr>
      <w:tblGrid>
        <w:gridCol w:w="2348"/>
        <w:gridCol w:w="2349"/>
        <w:gridCol w:w="2348"/>
        <w:gridCol w:w="2350"/>
      </w:tblGrid>
      <w:tr w:rsidR="005F0DB9" w14:paraId="2F18BE48" w14:textId="77777777">
        <w:trPr>
          <w:jc w:val="center"/>
        </w:trPr>
        <w:tc>
          <w:tcPr>
            <w:tcW w:w="2351" w:type="dxa"/>
            <w:vAlign w:val="center"/>
            <w:tcMar>
              <w:top w:w="30" w:type="dxa"/>
              <w:start w:w="30" w:type="dxa"/>
              <w:bottom w:w="30" w:type="dxa"/>
              <w:end w:w="30" w:type="dxa"/>
            </w:tcMar>
          </w:tcPr>
          <w:p w14:paraId="0FBFD373" w14:textId="77777777" w:rsidR="005F0DB9" w:rsidRDefault="00000000">
            <w:pPr>
              <w:spacing w:line="240" w:lineRule="auto" w:before="0" w:after="0"/>
              <w:jc w:val="center"/>
            </w:pPr>
            <w:r>
              <w:rPr>
                <w:b/>
                <w:sz w:val="14"/>
              </w:rPr>
              <w:t>Canal</w:t>
            </w:r>
          </w:p>
        </w:tc>
        <w:tc>
          <w:tcPr>
            <w:tcW w:w="2351" w:type="dxa"/>
            <w:vAlign w:val="center"/>
            <w:tcMar>
              <w:top w:w="30" w:type="dxa"/>
              <w:start w:w="30" w:type="dxa"/>
              <w:bottom w:w="30" w:type="dxa"/>
              <w:end w:w="30" w:type="dxa"/>
            </w:tcMar>
          </w:tcPr>
          <w:p w14:paraId="4D1FAC35" w14:textId="77777777" w:rsidR="005F0DB9" w:rsidRDefault="00000000">
            <w:pPr>
              <w:spacing w:line="240" w:lineRule="auto" w:before="0" w:after="0"/>
              <w:jc w:val="center"/>
            </w:pPr>
            <w:r>
              <w:rPr>
                <w:b/>
                <w:sz w:val="14"/>
              </w:rPr>
              <w:t>Coeficiente 12m</w:t>
            </w:r>
          </w:p>
        </w:tc>
        <w:tc>
          <w:tcPr>
            <w:tcW w:w="2351" w:type="dxa"/>
            <w:vAlign w:val="center"/>
            <w:tcMar>
              <w:top w:w="30" w:type="dxa"/>
              <w:start w:w="30" w:type="dxa"/>
              <w:bottom w:w="30" w:type="dxa"/>
              <w:end w:w="30" w:type="dxa"/>
            </w:tcMar>
          </w:tcPr>
          <w:p w14:paraId="531E4764" w14:textId="77777777" w:rsidR="005F0DB9" w:rsidRDefault="00000000">
            <w:pPr>
              <w:spacing w:line="240" w:lineRule="auto" w:before="0" w:after="0"/>
              <w:jc w:val="center"/>
            </w:pPr>
            <w:r>
              <w:rPr>
                <w:b/>
                <w:sz w:val="14"/>
              </w:rPr>
              <w:t>IC 90%</w:t>
            </w:r>
          </w:p>
        </w:tc>
        <w:tc>
          <w:tcPr>
            <w:tcW w:w="2351" w:type="dxa"/>
            <w:vAlign w:val="center"/>
            <w:tcMar>
              <w:top w:w="30" w:type="dxa"/>
              <w:start w:w="30" w:type="dxa"/>
              <w:bottom w:w="30" w:type="dxa"/>
              <w:end w:w="30" w:type="dxa"/>
            </w:tcMar>
          </w:tcPr>
          <w:p w14:paraId="4BA5B4DF" w14:textId="77777777" w:rsidR="005F0DB9" w:rsidRDefault="00000000">
            <w:pPr>
              <w:spacing w:line="240" w:lineRule="auto" w:before="0" w:after="0"/>
              <w:jc w:val="center"/>
            </w:pPr>
            <w:r>
              <w:rPr>
                <w:b/>
                <w:sz w:val="14"/>
              </w:rPr>
              <w:t>Significância</w:t>
            </w:r>
          </w:p>
        </w:tc>
      </w:tr>
      <w:tr w:rsidR="005F0DB9" w14:paraId="13A0DDD0" w14:textId="77777777">
        <w:trPr>
          <w:jc w:val="center"/>
        </w:trPr>
        <w:tc>
          <w:tcPr>
            <w:tcW w:w="2351" w:type="dxa"/>
            <w:vAlign w:val="center"/>
            <w:tcMar>
              <w:top w:w="30" w:type="dxa"/>
              <w:start w:w="30" w:type="dxa"/>
              <w:bottom w:w="30" w:type="dxa"/>
              <w:end w:w="30" w:type="dxa"/>
            </w:tcMar>
          </w:tcPr>
          <w:p w14:paraId="63489FE1" w14:textId="77777777" w:rsidR="005F0DB9" w:rsidRDefault="00000000">
            <w:pPr>
              <w:spacing w:line="240" w:lineRule="auto" w:before="0" w:after="0"/>
              <w:jc w:val="left"/>
            </w:pPr>
            <w:r>
              <w:rPr>
                <w:sz w:val="14"/>
              </w:rPr>
              <w:t>Petróleo BRL -&gt; Diesel</w:t>
            </w:r>
          </w:p>
        </w:tc>
        <w:tc>
          <w:tcPr>
            <w:tcW w:w="2351" w:type="dxa"/>
            <w:vAlign w:val="center"/>
            <w:tcMar>
              <w:top w:w="30" w:type="dxa"/>
              <w:start w:w="30" w:type="dxa"/>
              <w:bottom w:w="30" w:type="dxa"/>
              <w:end w:w="30" w:type="dxa"/>
            </w:tcMar>
          </w:tcPr>
          <w:p w14:paraId="742A5EC4" w14:textId="77777777" w:rsidR="005F0DB9" w:rsidRDefault="00000000">
            <w:pPr>
              <w:spacing w:line="240" w:lineRule="auto" w:before="0" w:after="0"/>
              <w:jc w:val="left"/>
            </w:pPr>
            <w:r>
              <w:rPr>
                <w:sz w:val="14"/>
              </w:rPr>
              <w:t>2,667</w:t>
            </w:r>
          </w:p>
        </w:tc>
        <w:tc>
          <w:tcPr>
            <w:tcW w:w="2351" w:type="dxa"/>
            <w:vAlign w:val="center"/>
            <w:tcMar>
              <w:top w:w="30" w:type="dxa"/>
              <w:start w:w="30" w:type="dxa"/>
              <w:bottom w:w="30" w:type="dxa"/>
              <w:end w:w="30" w:type="dxa"/>
            </w:tcMar>
          </w:tcPr>
          <w:p w14:paraId="188271DA" w14:textId="77777777" w:rsidR="005F0DB9" w:rsidRDefault="00000000">
            <w:pPr>
              <w:spacing w:line="240" w:lineRule="auto" w:before="0" w:after="0"/>
              <w:jc w:val="left"/>
            </w:pPr>
            <w:r>
              <w:rPr>
                <w:sz w:val="14"/>
              </w:rPr>
              <w:t>[1,378 ; 3,956]</w:t>
            </w:r>
          </w:p>
        </w:tc>
        <w:tc>
          <w:tcPr>
            <w:tcW w:w="2351" w:type="dxa"/>
            <w:vAlign w:val="center"/>
            <w:tcMar>
              <w:top w:w="30" w:type="dxa"/>
              <w:start w:w="30" w:type="dxa"/>
              <w:bottom w:w="30" w:type="dxa"/>
              <w:end w:w="30" w:type="dxa"/>
            </w:tcMar>
          </w:tcPr>
          <w:p w14:paraId="5F567A5B" w14:textId="77777777" w:rsidR="005F0DB9" w:rsidRDefault="00000000">
            <w:pPr>
              <w:spacing w:line="240" w:lineRule="auto" w:before="0" w:after="0"/>
              <w:jc w:val="left"/>
            </w:pPr>
            <w:r>
              <w:rPr>
                <w:sz w:val="14"/>
              </w:rPr>
              <w:t>Sim</w:t>
            </w:r>
          </w:p>
        </w:tc>
      </w:tr>
      <w:tr w:rsidR="005F0DB9" w14:paraId="6EFE6A50" w14:textId="77777777">
        <w:trPr>
          <w:jc w:val="center"/>
        </w:trPr>
        <w:tc>
          <w:tcPr>
            <w:tcW w:w="2351" w:type="dxa"/>
            <w:vAlign w:val="center"/>
            <w:tcMar>
              <w:top w:w="30" w:type="dxa"/>
              <w:start w:w="30" w:type="dxa"/>
              <w:bottom w:w="30" w:type="dxa"/>
              <w:end w:w="30" w:type="dxa"/>
            </w:tcMar>
          </w:tcPr>
          <w:p w14:paraId="1D6A257E" w14:textId="77777777" w:rsidR="005F0DB9" w:rsidRPr="00366C9E" w:rsidRDefault="00000000">
            <w:pPr>
              <w:spacing w:line="240" w:lineRule="auto" w:before="0" w:after="0"/>
              <w:jc w:val="left"/>
              <w:rPr>
                <w:lang w:val="pt-BR"/>
              </w:rPr>
            </w:pPr>
            <w:r w:rsidRPr="00366C9E">
              <w:rPr>
                <w:sz w:val="14"/>
                <w:lang w:val="pt-BR"/>
              </w:rPr>
              <w:t>Petróleo BRL -&gt; Gasolina de refinaria</w:t>
            </w:r>
          </w:p>
        </w:tc>
        <w:tc>
          <w:tcPr>
            <w:tcW w:w="2351" w:type="dxa"/>
            <w:vAlign w:val="center"/>
            <w:tcMar>
              <w:top w:w="30" w:type="dxa"/>
              <w:start w:w="30" w:type="dxa"/>
              <w:bottom w:w="30" w:type="dxa"/>
              <w:end w:w="30" w:type="dxa"/>
            </w:tcMar>
          </w:tcPr>
          <w:p w14:paraId="0C2D1DB5" w14:textId="77777777" w:rsidR="005F0DB9" w:rsidRDefault="00000000">
            <w:pPr>
              <w:spacing w:line="240" w:lineRule="auto" w:before="0" w:after="0"/>
              <w:jc w:val="left"/>
            </w:pPr>
            <w:r>
              <w:rPr>
                <w:sz w:val="14"/>
              </w:rPr>
              <w:t>1,702</w:t>
            </w:r>
          </w:p>
        </w:tc>
        <w:tc>
          <w:tcPr>
            <w:tcW w:w="2351" w:type="dxa"/>
            <w:vAlign w:val="center"/>
            <w:tcMar>
              <w:top w:w="30" w:type="dxa"/>
              <w:start w:w="30" w:type="dxa"/>
              <w:bottom w:w="30" w:type="dxa"/>
              <w:end w:w="30" w:type="dxa"/>
            </w:tcMar>
          </w:tcPr>
          <w:p w14:paraId="39D94E72" w14:textId="77777777" w:rsidR="005F0DB9" w:rsidRDefault="00000000">
            <w:pPr>
              <w:spacing w:line="240" w:lineRule="auto" w:before="0" w:after="0"/>
              <w:jc w:val="left"/>
            </w:pPr>
            <w:r>
              <w:rPr>
                <w:sz w:val="14"/>
              </w:rPr>
              <w:t>[0,307 ; 3,097]</w:t>
            </w:r>
          </w:p>
        </w:tc>
        <w:tc>
          <w:tcPr>
            <w:tcW w:w="2351" w:type="dxa"/>
            <w:vAlign w:val="center"/>
            <w:tcMar>
              <w:top w:w="30" w:type="dxa"/>
              <w:start w:w="30" w:type="dxa"/>
              <w:bottom w:w="30" w:type="dxa"/>
              <w:end w:w="30" w:type="dxa"/>
            </w:tcMar>
          </w:tcPr>
          <w:p w14:paraId="60A32CE6" w14:textId="77777777" w:rsidR="005F0DB9" w:rsidRDefault="00000000">
            <w:pPr>
              <w:spacing w:line="240" w:lineRule="auto" w:before="0" w:after="0"/>
              <w:jc w:val="left"/>
            </w:pPr>
            <w:r>
              <w:rPr>
                <w:sz w:val="14"/>
              </w:rPr>
              <w:t>Sim</w:t>
            </w:r>
          </w:p>
        </w:tc>
      </w:tr>
      <w:tr w:rsidR="005F0DB9" w14:paraId="4976A965" w14:textId="77777777">
        <w:trPr>
          <w:jc w:val="center"/>
        </w:trPr>
        <w:tc>
          <w:tcPr>
            <w:tcW w:w="2351" w:type="dxa"/>
            <w:vAlign w:val="center"/>
            <w:tcMar>
              <w:top w:w="30" w:type="dxa"/>
              <w:start w:w="30" w:type="dxa"/>
              <w:bottom w:w="30" w:type="dxa"/>
              <w:end w:w="30" w:type="dxa"/>
            </w:tcMar>
          </w:tcPr>
          <w:p w14:paraId="31417B72" w14:textId="77777777" w:rsidR="005F0DB9" w:rsidRPr="00366C9E" w:rsidRDefault="00000000">
            <w:pPr>
              <w:spacing w:line="240" w:lineRule="auto" w:before="0" w:after="0"/>
              <w:jc w:val="left"/>
              <w:rPr>
                <w:lang w:val="pt-BR"/>
              </w:rPr>
            </w:pPr>
            <w:r w:rsidRPr="00366C9E">
              <w:rPr>
                <w:sz w:val="14"/>
                <w:lang w:val="pt-BR"/>
              </w:rPr>
              <w:t>Petróleo BRL -&gt; Gasolina ao consumidor</w:t>
            </w:r>
          </w:p>
        </w:tc>
        <w:tc>
          <w:tcPr>
            <w:tcW w:w="2351" w:type="dxa"/>
            <w:vAlign w:val="center"/>
            <w:tcMar>
              <w:top w:w="30" w:type="dxa"/>
              <w:start w:w="30" w:type="dxa"/>
              <w:bottom w:w="30" w:type="dxa"/>
              <w:end w:w="30" w:type="dxa"/>
            </w:tcMar>
          </w:tcPr>
          <w:p w14:paraId="38298BF9" w14:textId="77777777" w:rsidR="005F0DB9" w:rsidRDefault="00000000">
            <w:pPr>
              <w:spacing w:line="240" w:lineRule="auto" w:before="0" w:after="0"/>
              <w:jc w:val="left"/>
            </w:pPr>
            <w:r>
              <w:rPr>
                <w:sz w:val="14"/>
              </w:rPr>
              <w:t>0,841</w:t>
            </w:r>
          </w:p>
        </w:tc>
        <w:tc>
          <w:tcPr>
            <w:tcW w:w="2351" w:type="dxa"/>
            <w:vAlign w:val="center"/>
            <w:tcMar>
              <w:top w:w="30" w:type="dxa"/>
              <w:start w:w="30" w:type="dxa"/>
              <w:bottom w:w="30" w:type="dxa"/>
              <w:end w:w="30" w:type="dxa"/>
            </w:tcMar>
          </w:tcPr>
          <w:p w14:paraId="2CEB94D8" w14:textId="77777777" w:rsidR="005F0DB9" w:rsidRDefault="00000000">
            <w:pPr>
              <w:spacing w:line="240" w:lineRule="auto" w:before="0" w:after="0"/>
              <w:jc w:val="left"/>
            </w:pPr>
            <w:r>
              <w:rPr>
                <w:sz w:val="14"/>
              </w:rPr>
              <w:t>[-0,491 ; 2,173]</w:t>
            </w:r>
          </w:p>
        </w:tc>
        <w:tc>
          <w:tcPr>
            <w:tcW w:w="2351" w:type="dxa"/>
            <w:vAlign w:val="center"/>
            <w:tcMar>
              <w:top w:w="30" w:type="dxa"/>
              <w:start w:w="30" w:type="dxa"/>
              <w:bottom w:w="30" w:type="dxa"/>
              <w:end w:w="30" w:type="dxa"/>
            </w:tcMar>
          </w:tcPr>
          <w:p w14:paraId="64B9DD96" w14:textId="77777777" w:rsidR="005F0DB9" w:rsidRDefault="00000000">
            <w:pPr>
              <w:spacing w:line="240" w:lineRule="auto" w:before="0" w:after="0"/>
              <w:jc w:val="left"/>
            </w:pPr>
            <w:r>
              <w:rPr>
                <w:sz w:val="14"/>
              </w:rPr>
              <w:t>Não</w:t>
            </w:r>
          </w:p>
        </w:tc>
      </w:tr>
      <w:tr w:rsidR="005F0DB9" w14:paraId="08CEFC82" w14:textId="77777777">
        <w:trPr>
          <w:jc w:val="center"/>
        </w:trPr>
        <w:tc>
          <w:tcPr>
            <w:tcW w:w="2351" w:type="dxa"/>
            <w:vAlign w:val="center"/>
            <w:tcMar>
              <w:top w:w="30" w:type="dxa"/>
              <w:start w:w="30" w:type="dxa"/>
              <w:bottom w:w="30" w:type="dxa"/>
              <w:end w:w="30" w:type="dxa"/>
            </w:tcMar>
          </w:tcPr>
          <w:p w14:paraId="684D62BA" w14:textId="77777777" w:rsidR="005F0DB9" w:rsidRDefault="00000000">
            <w:pPr>
              <w:spacing w:line="240" w:lineRule="auto" w:before="0" w:after="0"/>
              <w:jc w:val="left"/>
            </w:pPr>
            <w:r>
              <w:rPr>
                <w:sz w:val="14"/>
              </w:rPr>
              <w:t>Petróleo BRL -&gt; Etanol</w:t>
            </w:r>
          </w:p>
        </w:tc>
        <w:tc>
          <w:tcPr>
            <w:tcW w:w="2351" w:type="dxa"/>
            <w:vAlign w:val="center"/>
            <w:tcMar>
              <w:top w:w="30" w:type="dxa"/>
              <w:start w:w="30" w:type="dxa"/>
              <w:bottom w:w="30" w:type="dxa"/>
              <w:end w:w="30" w:type="dxa"/>
            </w:tcMar>
          </w:tcPr>
          <w:p w14:paraId="7BD16E01" w14:textId="77777777" w:rsidR="005F0DB9" w:rsidRDefault="00000000">
            <w:pPr>
              <w:spacing w:line="240" w:lineRule="auto" w:before="0" w:after="0"/>
              <w:jc w:val="left"/>
            </w:pPr>
            <w:r>
              <w:rPr>
                <w:sz w:val="14"/>
              </w:rPr>
              <w:t>1,522</w:t>
            </w:r>
          </w:p>
        </w:tc>
        <w:tc>
          <w:tcPr>
            <w:tcW w:w="2351" w:type="dxa"/>
            <w:vAlign w:val="center"/>
            <w:tcMar>
              <w:top w:w="30" w:type="dxa"/>
              <w:start w:w="30" w:type="dxa"/>
              <w:bottom w:w="30" w:type="dxa"/>
              <w:end w:w="30" w:type="dxa"/>
            </w:tcMar>
          </w:tcPr>
          <w:p w14:paraId="2C7626E8" w14:textId="77777777" w:rsidR="005F0DB9" w:rsidRDefault="00000000">
            <w:pPr>
              <w:spacing w:line="240" w:lineRule="auto" w:before="0" w:after="0"/>
              <w:jc w:val="left"/>
            </w:pPr>
            <w:r>
              <w:rPr>
                <w:sz w:val="14"/>
              </w:rPr>
              <w:t>[-0,327 ; 3,371]</w:t>
            </w:r>
          </w:p>
        </w:tc>
        <w:tc>
          <w:tcPr>
            <w:tcW w:w="2351" w:type="dxa"/>
            <w:vAlign w:val="center"/>
            <w:tcMar>
              <w:top w:w="30" w:type="dxa"/>
              <w:start w:w="30" w:type="dxa"/>
              <w:bottom w:w="30" w:type="dxa"/>
              <w:end w:w="30" w:type="dxa"/>
            </w:tcMar>
          </w:tcPr>
          <w:p w14:paraId="4BBF6693" w14:textId="77777777" w:rsidR="005F0DB9" w:rsidRDefault="00000000">
            <w:pPr>
              <w:spacing w:line="240" w:lineRule="auto" w:before="0" w:after="0"/>
              <w:jc w:val="left"/>
            </w:pPr>
            <w:r>
              <w:rPr>
                <w:sz w:val="14"/>
              </w:rPr>
              <w:t>Não</w:t>
            </w:r>
          </w:p>
        </w:tc>
      </w:tr>
      <w:tr w:rsidR="005F0DB9" w14:paraId="657C1BB6" w14:textId="77777777">
        <w:trPr>
          <w:jc w:val="center"/>
        </w:trPr>
        <w:tc>
          <w:tcPr>
            <w:tcW w:w="2351" w:type="dxa"/>
            <w:vAlign w:val="center"/>
            <w:tcMar>
              <w:top w:w="30" w:type="dxa"/>
              <w:start w:w="30" w:type="dxa"/>
              <w:bottom w:w="30" w:type="dxa"/>
              <w:end w:w="30" w:type="dxa"/>
            </w:tcMar>
          </w:tcPr>
          <w:p w14:paraId="07B9B84F" w14:textId="77777777" w:rsidR="005F0DB9" w:rsidRDefault="00000000">
            <w:pPr>
              <w:spacing w:line="240" w:lineRule="auto" w:before="0" w:after="0"/>
              <w:jc w:val="left"/>
            </w:pPr>
            <w:r>
              <w:rPr>
                <w:sz w:val="14"/>
              </w:rPr>
              <w:t>Petróleo BRL -&gt; IPCA Geral</w:t>
            </w:r>
          </w:p>
        </w:tc>
        <w:tc>
          <w:tcPr>
            <w:tcW w:w="2351" w:type="dxa"/>
            <w:vAlign w:val="center"/>
            <w:tcMar>
              <w:top w:w="30" w:type="dxa"/>
              <w:start w:w="30" w:type="dxa"/>
              <w:bottom w:w="30" w:type="dxa"/>
              <w:end w:w="30" w:type="dxa"/>
            </w:tcMar>
          </w:tcPr>
          <w:p w14:paraId="7AE06133" w14:textId="77777777" w:rsidR="005F0DB9" w:rsidRDefault="00000000">
            <w:pPr>
              <w:spacing w:line="240" w:lineRule="auto" w:before="0" w:after="0"/>
              <w:jc w:val="left"/>
            </w:pPr>
            <w:r>
              <w:rPr>
                <w:sz w:val="14"/>
              </w:rPr>
              <w:t>0,128</w:t>
            </w:r>
          </w:p>
        </w:tc>
        <w:tc>
          <w:tcPr>
            <w:tcW w:w="2351" w:type="dxa"/>
            <w:vAlign w:val="center"/>
            <w:tcMar>
              <w:top w:w="30" w:type="dxa"/>
              <w:start w:w="30" w:type="dxa"/>
              <w:bottom w:w="30" w:type="dxa"/>
              <w:end w:w="30" w:type="dxa"/>
            </w:tcMar>
          </w:tcPr>
          <w:p w14:paraId="0CFDCBB4" w14:textId="77777777" w:rsidR="005F0DB9" w:rsidRDefault="00000000">
            <w:pPr>
              <w:spacing w:line="240" w:lineRule="auto" w:before="0" w:after="0"/>
              <w:jc w:val="left"/>
            </w:pPr>
            <w:r>
              <w:rPr>
                <w:sz w:val="14"/>
              </w:rPr>
              <w:t>[-0,115 ; 0,370]</w:t>
            </w:r>
          </w:p>
        </w:tc>
        <w:tc>
          <w:tcPr>
            <w:tcW w:w="2351" w:type="dxa"/>
            <w:vAlign w:val="center"/>
            <w:tcMar>
              <w:top w:w="30" w:type="dxa"/>
              <w:start w:w="30" w:type="dxa"/>
              <w:bottom w:w="30" w:type="dxa"/>
              <w:end w:w="30" w:type="dxa"/>
            </w:tcMar>
          </w:tcPr>
          <w:p w14:paraId="7F7C7AB3" w14:textId="77777777" w:rsidR="005F0DB9" w:rsidRDefault="00000000">
            <w:pPr>
              <w:spacing w:line="240" w:lineRule="auto" w:before="0" w:after="0"/>
              <w:jc w:val="left"/>
            </w:pPr>
            <w:r>
              <w:rPr>
                <w:sz w:val="14"/>
              </w:rPr>
              <w:t>Não</w:t>
            </w:r>
          </w:p>
        </w:tc>
      </w:tr>
      <w:tr w:rsidR="005F0DB9" w14:paraId="5B008F82" w14:textId="77777777">
        <w:trPr>
          <w:jc w:val="center"/>
        </w:trPr>
        <w:tc>
          <w:tcPr>
            <w:tcW w:w="2351" w:type="dxa"/>
            <w:vAlign w:val="center"/>
            <w:tcMar>
              <w:top w:w="30" w:type="dxa"/>
              <w:start w:w="30" w:type="dxa"/>
              <w:bottom w:w="30" w:type="dxa"/>
              <w:end w:w="30" w:type="dxa"/>
            </w:tcMar>
          </w:tcPr>
          <w:p w14:paraId="65400A87" w14:textId="77777777" w:rsidR="005F0DB9" w:rsidRDefault="00000000">
            <w:pPr>
              <w:spacing w:line="240" w:lineRule="auto" w:before="0" w:after="0"/>
              <w:jc w:val="left"/>
            </w:pPr>
            <w:r>
              <w:rPr>
                <w:sz w:val="14"/>
              </w:rPr>
              <w:t>Petróleo BRL -&gt; IPCA Transportes</w:t>
            </w:r>
          </w:p>
        </w:tc>
        <w:tc>
          <w:tcPr>
            <w:tcW w:w="2351" w:type="dxa"/>
            <w:vAlign w:val="center"/>
            <w:tcMar>
              <w:top w:w="30" w:type="dxa"/>
              <w:start w:w="30" w:type="dxa"/>
              <w:bottom w:w="30" w:type="dxa"/>
              <w:end w:w="30" w:type="dxa"/>
            </w:tcMar>
          </w:tcPr>
          <w:p w14:paraId="64E0CF15" w14:textId="77777777" w:rsidR="005F0DB9" w:rsidRDefault="00000000">
            <w:pPr>
              <w:spacing w:line="240" w:lineRule="auto" w:before="0" w:after="0"/>
              <w:jc w:val="left"/>
            </w:pPr>
            <w:r>
              <w:rPr>
                <w:sz w:val="14"/>
              </w:rPr>
              <w:t>0,629</w:t>
            </w:r>
          </w:p>
        </w:tc>
        <w:tc>
          <w:tcPr>
            <w:tcW w:w="2351" w:type="dxa"/>
            <w:vAlign w:val="center"/>
            <w:tcMar>
              <w:top w:w="30" w:type="dxa"/>
              <w:start w:w="30" w:type="dxa"/>
              <w:bottom w:w="30" w:type="dxa"/>
              <w:end w:w="30" w:type="dxa"/>
            </w:tcMar>
          </w:tcPr>
          <w:p w14:paraId="1F754401" w14:textId="77777777" w:rsidR="005F0DB9" w:rsidRDefault="00000000">
            <w:pPr>
              <w:spacing w:line="240" w:lineRule="auto" w:before="0" w:after="0"/>
              <w:jc w:val="left"/>
            </w:pPr>
            <w:r>
              <w:rPr>
                <w:sz w:val="14"/>
              </w:rPr>
              <w:t>[0,094 ; 1,164]</w:t>
            </w:r>
          </w:p>
        </w:tc>
        <w:tc>
          <w:tcPr>
            <w:tcW w:w="2351" w:type="dxa"/>
            <w:vAlign w:val="center"/>
            <w:tcMar>
              <w:top w:w="30" w:type="dxa"/>
              <w:start w:w="30" w:type="dxa"/>
              <w:bottom w:w="30" w:type="dxa"/>
              <w:end w:w="30" w:type="dxa"/>
            </w:tcMar>
          </w:tcPr>
          <w:p w14:paraId="70BE9900" w14:textId="77777777" w:rsidR="005F0DB9" w:rsidRDefault="00000000">
            <w:pPr>
              <w:spacing w:line="240" w:lineRule="auto" w:before="0" w:after="0"/>
              <w:jc w:val="left"/>
            </w:pPr>
            <w:r>
              <w:rPr>
                <w:sz w:val="14"/>
              </w:rPr>
              <w:t>Sim</w:t>
            </w:r>
          </w:p>
        </w:tc>
      </w:tr>
    </w:tbl>
    <w:p w14:paraId="3F8E4777" w14:textId="77777777" w:rsidR="005F0DB9" w:rsidRPr="00366C9E" w:rsidRDefault="00000000">
      <w:pPr>
        <w:spacing w:after="120"/>
        <w:ind w:firstLine="0"/>
        <w:jc w:val="center"/>
        <w:rPr>
          <w:lang w:val="pt-BR"/>
        </w:rPr>
      </w:pPr>
      <w:r w:rsidRPr="00366C9E">
        <w:rPr>
          <w:sz w:val="20"/>
          <w:lang w:val="pt-BR"/>
        </w:rPr>
        <w:t>Fonte: Elaboração própria com base nas estimações do Modelo 5.</w:t>
      </w:r>
    </w:p>
    <w:p w14:paraId="505886E2" w14:textId="77777777" w:rsidR="005F0DB9" w:rsidRDefault="00000000">
      <w:pPr>
        <w:pStyle w:val="Heading3"/>
        <w:spacing w:after="120" w:line="360" w:lineRule="auto"/>
        <w:jc w:val="both"/>
      </w:pPr>
      <w:bookmarkStart w:id="36" w:name="_Toc229695963"/>
      <w:r>
        <w:rPr>
          <w:rFonts w:ascii="Times New Roman" w:eastAsia="Times New Roman" w:hAnsi="Times New Roman"/>
        </w:rPr>
        <w:t>4.6.2 Regimes Petrobras e teste de diferença entre períodos</w:t>
      </w:r>
      <w:bookmarkEnd w:id="36"/>
    </w:p>
    <w:p w14:paraId="6F3B6018" w14:textId="77777777" w:rsidR="005F0DB9" w:rsidRPr="00366C9E" w:rsidRDefault="00000000">
      <w:pPr>
        <w:spacing w:after="120"/>
        <w:rPr>
          <w:lang w:val="pt-BR"/>
        </w:rPr>
      </w:pPr>
      <w:r w:rsidRPr="00CA3657">
        <w:rPr>
          <w:lang w:val="pt-BR"/>
        </w:rPr>
        <w:t>A análise por regimes separa os choques em componentes anteriores e posteriores a setembro de 2016 e aplica teste de Wald para a hipótese de igualdade entre os coeficientes. A escolha de setembro de 2016 é tratada como um marco institucional associado à consolidação de uma estratégia de maior aderência à paridade internacional de importação, e não como prova de que a política de preços da Petrobras passou a operar de forma mecânica ou homogênea em todos os meses seguintes. O período posterior inclui mudanças relevantes, como choques de preço, pandemia, alterações tributárias e a nova estratégia comercial anunciada em 2023. Por isso, os gráficos de antes e depois de setembro de 2016 devem ser lidos como aproximações empíricas da mudança institucional, e não como uma divisão perfeita da história da Petrobras.</w:t>
      </w:r>
      <w:proofErr w:type="spellStart"/>
      <w:r w:rsidRPr="00CA3657">
        <w:rPr>
          <w:lang w:val="pt-BR"/>
        </w:rPr>
      </w:r>
      <w:proofErr w:type="spellEnd"/>
      <w:r w:rsidRPr="00CA3657">
        <w:rPr>
          <w:lang w:val="pt-BR"/>
        </w:rPr>
      </w:r>
    </w:p>
    <w:p w14:paraId="53E26A4F" w14:textId="77777777" w:rsidR="005F0DB9" w:rsidRPr="00366C9E" w:rsidRDefault="00000000">
      <w:pPr>
        <w:spacing w:after="120"/>
        <w:ind w:firstLine="0"/>
        <w:jc w:val="center"/>
        <w:rPr>
          <w:lang w:val="pt-BR"/>
        </w:rPr>
      </w:pPr>
      <w:r w:rsidRPr="00366C9E">
        <w:rPr>
          <w:b/>
          <w:sz w:val="20"/>
          <w:lang w:val="pt-BR"/>
        </w:rPr>
        <w:t>Tabela 4 - Resultados por regime e teste de Wald</w:t>
      </w:r>
    </w:p>
    <w:tbl>
      <w:tblPr>
        <w:tblStyle w:val="TableGrid"/>
        <w:tblW w:w="0" w:type="auto"/>
        <w:jc w:val="center"/>
        <w:tblLayout w:type="autofit"/>
        <w:tblLook w:val="04A0" w:firstRow="1" w:lastRow="0" w:firstColumn="1" w:lastColumn="0" w:noHBand="0" w:noVBand="1"/>
      </w:tblPr>
      <w:tblGrid>
        <w:gridCol w:w="1881"/>
        <w:gridCol w:w="1880"/>
        <w:gridCol w:w="1878"/>
        <w:gridCol w:w="1878"/>
        <w:gridCol w:w="1878"/>
      </w:tblGrid>
      <w:tr w:rsidR="005F0DB9" w14:paraId="00FE392D" w14:textId="77777777">
        <w:trPr>
          <w:jc w:val="center"/>
        </w:trPr>
        <w:tc>
          <w:tcPr>
            <w:tcW w:w="1881" w:type="dxa"/>
            <w:vAlign w:val="center"/>
            <w:tcMar>
              <w:top w:w="30" w:type="dxa"/>
              <w:start w:w="30" w:type="dxa"/>
              <w:bottom w:w="30" w:type="dxa"/>
              <w:end w:w="30" w:type="dxa"/>
            </w:tcMar>
          </w:tcPr>
          <w:p w14:paraId="301540A0" w14:textId="77777777" w:rsidR="005F0DB9" w:rsidRDefault="00000000">
            <w:pPr>
              <w:spacing w:line="240" w:lineRule="auto" w:before="0" w:after="0"/>
              <w:jc w:val="center"/>
            </w:pPr>
            <w:r>
              <w:rPr>
                <w:b/>
                <w:sz w:val="14"/>
              </w:rPr>
              <w:t>Canal</w:t>
            </w:r>
          </w:p>
        </w:tc>
        <w:tc>
          <w:tcPr>
            <w:tcW w:w="1881" w:type="dxa"/>
            <w:vAlign w:val="center"/>
            <w:tcMar>
              <w:top w:w="30" w:type="dxa"/>
              <w:start w:w="30" w:type="dxa"/>
              <w:bottom w:w="30" w:type="dxa"/>
              <w:end w:w="30" w:type="dxa"/>
            </w:tcMar>
          </w:tcPr>
          <w:p w14:paraId="3A5D117E" w14:textId="77777777" w:rsidR="005F0DB9" w:rsidRDefault="00000000">
            <w:pPr>
              <w:spacing w:line="240" w:lineRule="auto" w:before="0" w:after="0"/>
              <w:jc w:val="center"/>
            </w:pPr>
            <w:r>
              <w:rPr>
                <w:b/>
                <w:sz w:val="14"/>
              </w:rPr>
              <w:t>Horizonte</w:t>
            </w:r>
          </w:p>
        </w:tc>
        <w:tc>
          <w:tcPr>
            <w:tcW w:w="1881" w:type="dxa"/>
            <w:vAlign w:val="center"/>
            <w:tcMar>
              <w:top w:w="30" w:type="dxa"/>
              <w:start w:w="30" w:type="dxa"/>
              <w:bottom w:w="30" w:type="dxa"/>
              <w:end w:w="30" w:type="dxa"/>
            </w:tcMar>
          </w:tcPr>
          <w:p w14:paraId="1F74E0AC" w14:textId="77777777" w:rsidR="005F0DB9" w:rsidRDefault="00000000">
            <w:pPr>
              <w:spacing w:line="240" w:lineRule="auto" w:before="0" w:after="0"/>
              <w:jc w:val="center"/>
            </w:pPr>
            <w:r>
              <w:rPr>
                <w:b/>
                <w:sz w:val="14"/>
              </w:rPr>
              <w:t>Antes de setembro de 2016</w:t>
            </w:r>
          </w:p>
        </w:tc>
        <w:tc>
          <w:tcPr>
            <w:tcW w:w="1881" w:type="dxa"/>
            <w:vAlign w:val="center"/>
            <w:tcMar>
              <w:top w:w="30" w:type="dxa"/>
              <w:start w:w="30" w:type="dxa"/>
              <w:bottom w:w="30" w:type="dxa"/>
              <w:end w:w="30" w:type="dxa"/>
            </w:tcMar>
          </w:tcPr>
          <w:p w14:paraId="61DBEE6A" w14:textId="77777777" w:rsidR="005F0DB9" w:rsidRDefault="00000000">
            <w:pPr>
              <w:spacing w:line="240" w:lineRule="auto" w:before="0" w:after="0"/>
              <w:jc w:val="center"/>
            </w:pPr>
            <w:r>
              <w:rPr>
                <w:b/>
                <w:sz w:val="14"/>
              </w:rPr>
              <w:t>Depois de setembro de 2016</w:t>
            </w:r>
          </w:p>
        </w:tc>
        <w:tc>
          <w:tcPr>
            <w:tcW w:w="1881" w:type="dxa"/>
            <w:vAlign w:val="center"/>
            <w:tcMar>
              <w:top w:w="30" w:type="dxa"/>
              <w:start w:w="30" w:type="dxa"/>
              <w:bottom w:w="30" w:type="dxa"/>
              <w:end w:w="30" w:type="dxa"/>
            </w:tcMar>
          </w:tcPr>
          <w:p w14:paraId="4D5640BC" w14:textId="77777777" w:rsidR="005F0DB9" w:rsidRDefault="00000000">
            <w:pPr>
              <w:spacing w:line="240" w:lineRule="auto" w:before="0" w:after="0"/>
              <w:jc w:val="center"/>
            </w:pPr>
            <w:r>
              <w:rPr>
                <w:b/>
                <w:sz w:val="14"/>
              </w:rPr>
              <w:t>p-valor Wald</w:t>
            </w:r>
          </w:p>
        </w:tc>
      </w:tr>
      <w:tr w:rsidR="005F0DB9" w14:paraId="7632C302" w14:textId="77777777">
        <w:trPr>
          <w:jc w:val="center"/>
        </w:trPr>
        <w:tc>
          <w:tcPr>
            <w:tcW w:w="1881" w:type="dxa"/>
            <w:vAlign w:val="center"/>
            <w:tcMar>
              <w:top w:w="30" w:type="dxa"/>
              <w:start w:w="30" w:type="dxa"/>
              <w:bottom w:w="30" w:type="dxa"/>
              <w:end w:w="30" w:type="dxa"/>
            </w:tcMar>
          </w:tcPr>
          <w:p w14:paraId="33E434C3" w14:textId="77777777" w:rsidR="005F0DB9" w:rsidRDefault="00000000">
            <w:pPr>
              <w:spacing w:line="240" w:lineRule="auto" w:before="0" w:after="0"/>
              <w:jc w:val="left"/>
            </w:pPr>
            <w:r>
              <w:rPr>
                <w:sz w:val="14"/>
              </w:rPr>
              <w:t>Petróleo BRL -&gt; Diesel</w:t>
            </w:r>
          </w:p>
        </w:tc>
        <w:tc>
          <w:tcPr>
            <w:tcW w:w="1881" w:type="dxa"/>
            <w:vAlign w:val="center"/>
            <w:tcMar>
              <w:top w:w="30" w:type="dxa"/>
              <w:start w:w="30" w:type="dxa"/>
              <w:bottom w:w="30" w:type="dxa"/>
              <w:end w:w="30" w:type="dxa"/>
            </w:tcMar>
          </w:tcPr>
          <w:p w14:paraId="54C8E645" w14:textId="77777777" w:rsidR="005F0DB9" w:rsidRDefault="00000000">
            <w:pPr>
              <w:spacing w:line="240" w:lineRule="auto" w:before="0" w:after="0"/>
              <w:jc w:val="left"/>
            </w:pPr>
            <w:r>
              <w:rPr>
                <w:sz w:val="14"/>
              </w:rPr>
              <w:t>6m</w:t>
            </w:r>
          </w:p>
        </w:tc>
        <w:tc>
          <w:tcPr>
            <w:tcW w:w="1881" w:type="dxa"/>
            <w:vAlign w:val="center"/>
            <w:tcMar>
              <w:top w:w="30" w:type="dxa"/>
              <w:start w:w="30" w:type="dxa"/>
              <w:bottom w:w="30" w:type="dxa"/>
              <w:end w:w="30" w:type="dxa"/>
            </w:tcMar>
          </w:tcPr>
          <w:p w14:paraId="3A36CAB5" w14:textId="77777777" w:rsidR="005F0DB9" w:rsidRDefault="00000000">
            <w:pPr>
              <w:spacing w:line="240" w:lineRule="auto" w:before="0" w:after="0"/>
              <w:jc w:val="left"/>
            </w:pPr>
            <w:r>
              <w:rPr>
                <w:sz w:val="14"/>
              </w:rPr>
              <w:t>0,787</w:t>
            </w:r>
          </w:p>
        </w:tc>
        <w:tc>
          <w:tcPr>
            <w:tcW w:w="1881" w:type="dxa"/>
            <w:vAlign w:val="center"/>
            <w:tcMar>
              <w:top w:w="30" w:type="dxa"/>
              <w:start w:w="30" w:type="dxa"/>
              <w:bottom w:w="30" w:type="dxa"/>
              <w:end w:w="30" w:type="dxa"/>
            </w:tcMar>
          </w:tcPr>
          <w:p w14:paraId="630B579F" w14:textId="77777777" w:rsidR="005F0DB9" w:rsidRDefault="00000000">
            <w:pPr>
              <w:spacing w:line="240" w:lineRule="auto" w:before="0" w:after="0"/>
              <w:jc w:val="left"/>
            </w:pPr>
            <w:r>
              <w:rPr>
                <w:sz w:val="14"/>
              </w:rPr>
              <w:t>3,278</w:t>
            </w:r>
          </w:p>
        </w:tc>
        <w:tc>
          <w:tcPr>
            <w:tcW w:w="1881" w:type="dxa"/>
            <w:vAlign w:val="center"/>
            <w:tcMar>
              <w:top w:w="30" w:type="dxa"/>
              <w:start w:w="30" w:type="dxa"/>
              <w:bottom w:w="30" w:type="dxa"/>
              <w:end w:w="30" w:type="dxa"/>
            </w:tcMar>
          </w:tcPr>
          <w:p w14:paraId="452D4EBF" w14:textId="77777777" w:rsidR="005F0DB9" w:rsidRDefault="00000000">
            <w:pPr>
              <w:spacing w:line="240" w:lineRule="auto" w:before="0" w:after="0"/>
              <w:jc w:val="left"/>
            </w:pPr>
            <w:r>
              <w:rPr>
                <w:sz w:val="14"/>
              </w:rPr>
              <w:t>0,013</w:t>
            </w:r>
          </w:p>
        </w:tc>
      </w:tr>
      <w:tr w:rsidR="005F0DB9" w14:paraId="08B4E31B" w14:textId="77777777">
        <w:trPr>
          <w:jc w:val="center"/>
        </w:trPr>
        <w:tc>
          <w:tcPr>
            <w:tcW w:w="1881" w:type="dxa"/>
            <w:vAlign w:val="center"/>
            <w:tcMar>
              <w:top w:w="30" w:type="dxa"/>
              <w:start w:w="30" w:type="dxa"/>
              <w:bottom w:w="30" w:type="dxa"/>
              <w:end w:w="30" w:type="dxa"/>
            </w:tcMar>
          </w:tcPr>
          <w:p w14:paraId="14702AD3" w14:textId="77777777" w:rsidR="005F0DB9" w:rsidRDefault="00000000">
            <w:pPr>
              <w:spacing w:line="240" w:lineRule="auto" w:before="0" w:after="0"/>
              <w:jc w:val="left"/>
            </w:pPr>
            <w:r>
              <w:rPr>
                <w:sz w:val="14"/>
              </w:rPr>
              <w:lastRenderedPageBreak/>
              <w:t>Petróleo BRL -&gt; Diesel</w:t>
            </w:r>
          </w:p>
        </w:tc>
        <w:tc>
          <w:tcPr>
            <w:tcW w:w="1881" w:type="dxa"/>
            <w:vAlign w:val="center"/>
            <w:tcMar>
              <w:top w:w="30" w:type="dxa"/>
              <w:start w:w="30" w:type="dxa"/>
              <w:bottom w:w="30" w:type="dxa"/>
              <w:end w:w="30" w:type="dxa"/>
            </w:tcMar>
          </w:tcPr>
          <w:p w14:paraId="2E27A750" w14:textId="77777777" w:rsidR="005F0DB9" w:rsidRDefault="00000000">
            <w:pPr>
              <w:spacing w:line="240" w:lineRule="auto" w:before="0" w:after="0"/>
              <w:jc w:val="left"/>
            </w:pPr>
            <w:r>
              <w:rPr>
                <w:sz w:val="14"/>
              </w:rPr>
              <w:t>12m</w:t>
            </w:r>
          </w:p>
        </w:tc>
        <w:tc>
          <w:tcPr>
            <w:tcW w:w="1881" w:type="dxa"/>
            <w:vAlign w:val="center"/>
            <w:tcMar>
              <w:top w:w="30" w:type="dxa"/>
              <w:start w:w="30" w:type="dxa"/>
              <w:bottom w:w="30" w:type="dxa"/>
              <w:end w:w="30" w:type="dxa"/>
            </w:tcMar>
          </w:tcPr>
          <w:p w14:paraId="424A668E" w14:textId="77777777" w:rsidR="005F0DB9" w:rsidRDefault="00000000">
            <w:pPr>
              <w:spacing w:line="240" w:lineRule="auto" w:before="0" w:after="0"/>
              <w:jc w:val="left"/>
            </w:pPr>
            <w:r>
              <w:rPr>
                <w:sz w:val="14"/>
              </w:rPr>
              <w:t>1,407</w:t>
            </w:r>
          </w:p>
        </w:tc>
        <w:tc>
          <w:tcPr>
            <w:tcW w:w="1881" w:type="dxa"/>
            <w:vAlign w:val="center"/>
            <w:tcMar>
              <w:top w:w="30" w:type="dxa"/>
              <w:start w:w="30" w:type="dxa"/>
              <w:bottom w:w="30" w:type="dxa"/>
              <w:end w:w="30" w:type="dxa"/>
            </w:tcMar>
          </w:tcPr>
          <w:p w14:paraId="3B4D1BCB" w14:textId="77777777" w:rsidR="005F0DB9" w:rsidRDefault="00000000">
            <w:pPr>
              <w:spacing w:line="240" w:lineRule="auto" w:before="0" w:after="0"/>
              <w:jc w:val="left"/>
            </w:pPr>
            <w:r>
              <w:rPr>
                <w:sz w:val="14"/>
              </w:rPr>
              <w:t>3,372</w:t>
            </w:r>
          </w:p>
        </w:tc>
        <w:tc>
          <w:tcPr>
            <w:tcW w:w="1881" w:type="dxa"/>
            <w:vAlign w:val="center"/>
            <w:tcMar>
              <w:top w:w="30" w:type="dxa"/>
              <w:start w:w="30" w:type="dxa"/>
              <w:bottom w:w="30" w:type="dxa"/>
              <w:end w:w="30" w:type="dxa"/>
            </w:tcMar>
          </w:tcPr>
          <w:p w14:paraId="18301C28" w14:textId="77777777" w:rsidR="005F0DB9" w:rsidRDefault="00000000">
            <w:pPr>
              <w:spacing w:line="240" w:lineRule="auto" w:before="0" w:after="0"/>
              <w:jc w:val="left"/>
            </w:pPr>
            <w:r>
              <w:rPr>
                <w:sz w:val="14"/>
              </w:rPr>
              <w:t>0,166</w:t>
            </w:r>
          </w:p>
        </w:tc>
      </w:tr>
      <w:tr w:rsidR="005F0DB9" w14:paraId="1A6B60F2" w14:textId="77777777">
        <w:trPr>
          <w:jc w:val="center"/>
        </w:trPr>
        <w:tc>
          <w:tcPr>
            <w:tcW w:w="1881" w:type="dxa"/>
            <w:vAlign w:val="center"/>
            <w:tcMar>
              <w:top w:w="30" w:type="dxa"/>
              <w:start w:w="30" w:type="dxa"/>
              <w:bottom w:w="30" w:type="dxa"/>
              <w:end w:w="30" w:type="dxa"/>
            </w:tcMar>
          </w:tcPr>
          <w:p w14:paraId="1E793B9B" w14:textId="77777777" w:rsidR="005F0DB9" w:rsidRPr="00366C9E" w:rsidRDefault="00000000">
            <w:pPr>
              <w:spacing w:line="240" w:lineRule="auto" w:before="0" w:after="0"/>
              <w:jc w:val="left"/>
              <w:rPr>
                <w:lang w:val="pt-BR"/>
              </w:rPr>
            </w:pPr>
            <w:r w:rsidRPr="00366C9E">
              <w:rPr>
                <w:sz w:val="14"/>
                <w:lang w:val="pt-BR"/>
              </w:rPr>
              <w:t>Petróleo BRL -&gt; Gasolina de refinaria</w:t>
            </w:r>
          </w:p>
        </w:tc>
        <w:tc>
          <w:tcPr>
            <w:tcW w:w="1881" w:type="dxa"/>
            <w:vAlign w:val="center"/>
            <w:tcMar>
              <w:top w:w="30" w:type="dxa"/>
              <w:start w:w="30" w:type="dxa"/>
              <w:bottom w:w="30" w:type="dxa"/>
              <w:end w:w="30" w:type="dxa"/>
            </w:tcMar>
          </w:tcPr>
          <w:p w14:paraId="2BF07703" w14:textId="77777777" w:rsidR="005F0DB9" w:rsidRDefault="00000000">
            <w:pPr>
              <w:spacing w:line="240" w:lineRule="auto" w:before="0" w:after="0"/>
              <w:jc w:val="left"/>
            </w:pPr>
            <w:r>
              <w:rPr>
                <w:sz w:val="14"/>
              </w:rPr>
              <w:t>6m</w:t>
            </w:r>
          </w:p>
        </w:tc>
        <w:tc>
          <w:tcPr>
            <w:tcW w:w="1881" w:type="dxa"/>
            <w:vAlign w:val="center"/>
            <w:tcMar>
              <w:top w:w="30" w:type="dxa"/>
              <w:start w:w="30" w:type="dxa"/>
              <w:bottom w:w="30" w:type="dxa"/>
              <w:end w:w="30" w:type="dxa"/>
            </w:tcMar>
          </w:tcPr>
          <w:p w14:paraId="43126F6D" w14:textId="77777777" w:rsidR="005F0DB9" w:rsidRDefault="00000000">
            <w:pPr>
              <w:spacing w:line="240" w:lineRule="auto" w:before="0" w:after="0"/>
              <w:jc w:val="left"/>
            </w:pPr>
            <w:r>
              <w:rPr>
                <w:sz w:val="14"/>
              </w:rPr>
              <w:t>-0,077</w:t>
            </w:r>
          </w:p>
        </w:tc>
        <w:tc>
          <w:tcPr>
            <w:tcW w:w="1881" w:type="dxa"/>
            <w:vAlign w:val="center"/>
            <w:tcMar>
              <w:top w:w="30" w:type="dxa"/>
              <w:start w:w="30" w:type="dxa"/>
              <w:bottom w:w="30" w:type="dxa"/>
              <w:end w:w="30" w:type="dxa"/>
            </w:tcMar>
          </w:tcPr>
          <w:p w14:paraId="3549916C" w14:textId="77777777" w:rsidR="005F0DB9" w:rsidRDefault="00000000">
            <w:pPr>
              <w:spacing w:line="240" w:lineRule="auto" w:before="0" w:after="0"/>
              <w:jc w:val="left"/>
            </w:pPr>
            <w:r>
              <w:rPr>
                <w:sz w:val="14"/>
              </w:rPr>
              <w:t>2,348</w:t>
            </w:r>
          </w:p>
        </w:tc>
        <w:tc>
          <w:tcPr>
            <w:tcW w:w="1881" w:type="dxa"/>
            <w:vAlign w:val="center"/>
            <w:tcMar>
              <w:top w:w="30" w:type="dxa"/>
              <w:start w:w="30" w:type="dxa"/>
              <w:bottom w:w="30" w:type="dxa"/>
              <w:end w:w="30" w:type="dxa"/>
            </w:tcMar>
          </w:tcPr>
          <w:p w14:paraId="625CBA7E" w14:textId="77777777" w:rsidR="005F0DB9" w:rsidRDefault="00000000">
            <w:pPr>
              <w:spacing w:line="240" w:lineRule="auto" w:before="0" w:after="0"/>
              <w:jc w:val="left"/>
            </w:pPr>
            <w:r>
              <w:rPr>
                <w:sz w:val="14"/>
              </w:rPr>
              <w:t>0,009</w:t>
            </w:r>
          </w:p>
        </w:tc>
      </w:tr>
      <w:tr w:rsidR="005F0DB9" w14:paraId="68D7D46D" w14:textId="77777777">
        <w:trPr>
          <w:jc w:val="center"/>
        </w:trPr>
        <w:tc>
          <w:tcPr>
            <w:tcW w:w="1881" w:type="dxa"/>
            <w:vAlign w:val="center"/>
            <w:tcMar>
              <w:top w:w="30" w:type="dxa"/>
              <w:start w:w="30" w:type="dxa"/>
              <w:bottom w:w="30" w:type="dxa"/>
              <w:end w:w="30" w:type="dxa"/>
            </w:tcMar>
          </w:tcPr>
          <w:p w14:paraId="2472F058" w14:textId="77777777" w:rsidR="005F0DB9" w:rsidRPr="00366C9E" w:rsidRDefault="00000000">
            <w:pPr>
              <w:spacing w:line="240" w:lineRule="auto" w:before="0" w:after="0"/>
              <w:jc w:val="left"/>
              <w:rPr>
                <w:lang w:val="pt-BR"/>
              </w:rPr>
            </w:pPr>
            <w:r w:rsidRPr="00366C9E">
              <w:rPr>
                <w:sz w:val="14"/>
                <w:lang w:val="pt-BR"/>
              </w:rPr>
              <w:t>Petróleo BRL -&gt; Gasolina de refinaria</w:t>
            </w:r>
          </w:p>
        </w:tc>
        <w:tc>
          <w:tcPr>
            <w:tcW w:w="1881" w:type="dxa"/>
            <w:vAlign w:val="center"/>
            <w:tcMar>
              <w:top w:w="30" w:type="dxa"/>
              <w:start w:w="30" w:type="dxa"/>
              <w:bottom w:w="30" w:type="dxa"/>
              <w:end w:w="30" w:type="dxa"/>
            </w:tcMar>
          </w:tcPr>
          <w:p w14:paraId="687B1DEF" w14:textId="77777777" w:rsidR="005F0DB9" w:rsidRDefault="00000000">
            <w:pPr>
              <w:spacing w:line="240" w:lineRule="auto" w:before="0" w:after="0"/>
              <w:jc w:val="left"/>
            </w:pPr>
            <w:r>
              <w:rPr>
                <w:sz w:val="14"/>
              </w:rPr>
              <w:t>12m</w:t>
            </w:r>
          </w:p>
        </w:tc>
        <w:tc>
          <w:tcPr>
            <w:tcW w:w="1881" w:type="dxa"/>
            <w:vAlign w:val="center"/>
            <w:tcMar>
              <w:top w:w="30" w:type="dxa"/>
              <w:start w:w="30" w:type="dxa"/>
              <w:bottom w:w="30" w:type="dxa"/>
              <w:end w:w="30" w:type="dxa"/>
            </w:tcMar>
          </w:tcPr>
          <w:p w14:paraId="56383BFB" w14:textId="77777777" w:rsidR="005F0DB9" w:rsidRDefault="00000000">
            <w:pPr>
              <w:spacing w:line="240" w:lineRule="auto" w:before="0" w:after="0"/>
              <w:jc w:val="left"/>
            </w:pPr>
            <w:r>
              <w:rPr>
                <w:sz w:val="14"/>
              </w:rPr>
              <w:t>0,483</w:t>
            </w:r>
          </w:p>
        </w:tc>
        <w:tc>
          <w:tcPr>
            <w:tcW w:w="1881" w:type="dxa"/>
            <w:vAlign w:val="center"/>
            <w:tcMar>
              <w:top w:w="30" w:type="dxa"/>
              <w:start w:w="30" w:type="dxa"/>
              <w:bottom w:w="30" w:type="dxa"/>
              <w:end w:w="30" w:type="dxa"/>
            </w:tcMar>
          </w:tcPr>
          <w:p w14:paraId="4661E413" w14:textId="77777777" w:rsidR="005F0DB9" w:rsidRDefault="00000000">
            <w:pPr>
              <w:spacing w:line="240" w:lineRule="auto" w:before="0" w:after="0"/>
              <w:jc w:val="left"/>
            </w:pPr>
            <w:r>
              <w:rPr>
                <w:sz w:val="14"/>
              </w:rPr>
              <w:t>2,374</w:t>
            </w:r>
          </w:p>
        </w:tc>
        <w:tc>
          <w:tcPr>
            <w:tcW w:w="1881" w:type="dxa"/>
            <w:vAlign w:val="center"/>
            <w:tcMar>
              <w:top w:w="30" w:type="dxa"/>
              <w:start w:w="30" w:type="dxa"/>
              <w:bottom w:w="30" w:type="dxa"/>
              <w:end w:w="30" w:type="dxa"/>
            </w:tcMar>
          </w:tcPr>
          <w:p w14:paraId="34778937" w14:textId="77777777" w:rsidR="005F0DB9" w:rsidRDefault="00000000">
            <w:pPr>
              <w:spacing w:line="240" w:lineRule="auto" w:before="0" w:after="0"/>
              <w:jc w:val="left"/>
            </w:pPr>
            <w:r>
              <w:rPr>
                <w:sz w:val="14"/>
              </w:rPr>
              <w:t>0,176</w:t>
            </w:r>
          </w:p>
        </w:tc>
      </w:tr>
      <w:tr w:rsidR="005F0DB9" w14:paraId="045B0754" w14:textId="77777777">
        <w:trPr>
          <w:jc w:val="center"/>
        </w:trPr>
        <w:tc>
          <w:tcPr>
            <w:tcW w:w="1881" w:type="dxa"/>
            <w:vAlign w:val="center"/>
            <w:tcMar>
              <w:top w:w="30" w:type="dxa"/>
              <w:start w:w="30" w:type="dxa"/>
              <w:bottom w:w="30" w:type="dxa"/>
              <w:end w:w="30" w:type="dxa"/>
            </w:tcMar>
          </w:tcPr>
          <w:p w14:paraId="3AFD4472" w14:textId="77777777" w:rsidR="005F0DB9" w:rsidRPr="00366C9E" w:rsidRDefault="00000000">
            <w:pPr>
              <w:spacing w:line="240" w:lineRule="auto" w:before="0" w:after="0"/>
              <w:jc w:val="left"/>
              <w:rPr>
                <w:lang w:val="pt-BR"/>
              </w:rPr>
            </w:pPr>
            <w:r w:rsidRPr="00366C9E">
              <w:rPr>
                <w:sz w:val="14"/>
                <w:lang w:val="pt-BR"/>
              </w:rPr>
              <w:t>Gasolina de refinaria -&gt; IPCA Transportes</w:t>
            </w:r>
          </w:p>
        </w:tc>
        <w:tc>
          <w:tcPr>
            <w:tcW w:w="1881" w:type="dxa"/>
            <w:vAlign w:val="center"/>
            <w:tcMar>
              <w:top w:w="30" w:type="dxa"/>
              <w:start w:w="30" w:type="dxa"/>
              <w:bottom w:w="30" w:type="dxa"/>
              <w:end w:w="30" w:type="dxa"/>
            </w:tcMar>
          </w:tcPr>
          <w:p w14:paraId="2137A401" w14:textId="77777777" w:rsidR="005F0DB9" w:rsidRDefault="00000000">
            <w:pPr>
              <w:spacing w:line="240" w:lineRule="auto" w:before="0" w:after="0"/>
              <w:jc w:val="left"/>
            </w:pPr>
            <w:r>
              <w:rPr>
                <w:sz w:val="14"/>
              </w:rPr>
              <w:t>6m</w:t>
            </w:r>
          </w:p>
        </w:tc>
        <w:tc>
          <w:tcPr>
            <w:tcW w:w="1881" w:type="dxa"/>
            <w:vAlign w:val="center"/>
            <w:tcMar>
              <w:top w:w="30" w:type="dxa"/>
              <w:start w:w="30" w:type="dxa"/>
              <w:bottom w:w="30" w:type="dxa"/>
              <w:end w:w="30" w:type="dxa"/>
            </w:tcMar>
          </w:tcPr>
          <w:p w14:paraId="6E9B84FD" w14:textId="77777777" w:rsidR="005F0DB9" w:rsidRDefault="00000000">
            <w:pPr>
              <w:spacing w:line="240" w:lineRule="auto" w:before="0" w:after="0"/>
              <w:jc w:val="left"/>
            </w:pPr>
            <w:r>
              <w:rPr>
                <w:sz w:val="14"/>
              </w:rPr>
              <w:t>2,706</w:t>
            </w:r>
          </w:p>
        </w:tc>
        <w:tc>
          <w:tcPr>
            <w:tcW w:w="1881" w:type="dxa"/>
            <w:vAlign w:val="center"/>
            <w:tcMar>
              <w:top w:w="30" w:type="dxa"/>
              <w:start w:w="30" w:type="dxa"/>
              <w:bottom w:w="30" w:type="dxa"/>
              <w:end w:w="30" w:type="dxa"/>
            </w:tcMar>
          </w:tcPr>
          <w:p w14:paraId="5F49DAD0" w14:textId="77777777" w:rsidR="005F0DB9" w:rsidRDefault="00000000">
            <w:pPr>
              <w:spacing w:line="240" w:lineRule="auto" w:before="0" w:after="0"/>
              <w:jc w:val="left"/>
            </w:pPr>
            <w:r>
              <w:rPr>
                <w:sz w:val="14"/>
              </w:rPr>
              <w:t>0,566</w:t>
            </w:r>
          </w:p>
        </w:tc>
        <w:tc>
          <w:tcPr>
            <w:tcW w:w="1881" w:type="dxa"/>
            <w:vAlign w:val="center"/>
            <w:tcMar>
              <w:top w:w="30" w:type="dxa"/>
              <w:start w:w="30" w:type="dxa"/>
              <w:bottom w:w="30" w:type="dxa"/>
              <w:end w:w="30" w:type="dxa"/>
            </w:tcMar>
          </w:tcPr>
          <w:p w14:paraId="2F5C55F9" w14:textId="77777777" w:rsidR="005F0DB9" w:rsidRDefault="00000000">
            <w:pPr>
              <w:spacing w:line="240" w:lineRule="auto" w:before="0" w:after="0"/>
              <w:jc w:val="left"/>
            </w:pPr>
            <w:r>
              <w:rPr>
                <w:sz w:val="14"/>
              </w:rPr>
              <w:t>0,005</w:t>
            </w:r>
          </w:p>
        </w:tc>
      </w:tr>
      <w:tr w:rsidR="005F0DB9" w14:paraId="05151A7C" w14:textId="77777777">
        <w:trPr>
          <w:jc w:val="center"/>
        </w:trPr>
        <w:tc>
          <w:tcPr>
            <w:tcW w:w="1881" w:type="dxa"/>
            <w:vAlign w:val="center"/>
            <w:tcMar>
              <w:top w:w="30" w:type="dxa"/>
              <w:start w:w="30" w:type="dxa"/>
              <w:bottom w:w="30" w:type="dxa"/>
              <w:end w:w="30" w:type="dxa"/>
            </w:tcMar>
          </w:tcPr>
          <w:p w14:paraId="3334DB23" w14:textId="77777777" w:rsidR="005F0DB9" w:rsidRPr="00366C9E" w:rsidRDefault="00000000">
            <w:pPr>
              <w:spacing w:line="240" w:lineRule="auto" w:before="0" w:after="0"/>
              <w:jc w:val="left"/>
              <w:rPr>
                <w:lang w:val="pt-BR"/>
              </w:rPr>
            </w:pPr>
            <w:r w:rsidRPr="00366C9E">
              <w:rPr>
                <w:sz w:val="14"/>
                <w:lang w:val="pt-BR"/>
              </w:rPr>
              <w:t>Gasolina de refinaria -&gt; IPCA Transportes</w:t>
            </w:r>
          </w:p>
        </w:tc>
        <w:tc>
          <w:tcPr>
            <w:tcW w:w="1881" w:type="dxa"/>
            <w:vAlign w:val="center"/>
            <w:tcMar>
              <w:top w:w="30" w:type="dxa"/>
              <w:start w:w="30" w:type="dxa"/>
              <w:bottom w:w="30" w:type="dxa"/>
              <w:end w:w="30" w:type="dxa"/>
            </w:tcMar>
          </w:tcPr>
          <w:p w14:paraId="0DC79B58" w14:textId="77777777" w:rsidR="005F0DB9" w:rsidRDefault="00000000">
            <w:pPr>
              <w:spacing w:line="240" w:lineRule="auto" w:before="0" w:after="0"/>
              <w:jc w:val="left"/>
            </w:pPr>
            <w:r>
              <w:rPr>
                <w:sz w:val="14"/>
              </w:rPr>
              <w:t>12m</w:t>
            </w:r>
          </w:p>
        </w:tc>
        <w:tc>
          <w:tcPr>
            <w:tcW w:w="1881" w:type="dxa"/>
            <w:vAlign w:val="center"/>
            <w:tcMar>
              <w:top w:w="30" w:type="dxa"/>
              <w:start w:w="30" w:type="dxa"/>
              <w:bottom w:w="30" w:type="dxa"/>
              <w:end w:w="30" w:type="dxa"/>
            </w:tcMar>
          </w:tcPr>
          <w:p w14:paraId="3D9F3957" w14:textId="77777777" w:rsidR="005F0DB9" w:rsidRDefault="00000000">
            <w:pPr>
              <w:spacing w:line="240" w:lineRule="auto" w:before="0" w:after="0"/>
              <w:jc w:val="left"/>
            </w:pPr>
            <w:r>
              <w:rPr>
                <w:sz w:val="14"/>
              </w:rPr>
              <w:t>2,667</w:t>
            </w:r>
          </w:p>
        </w:tc>
        <w:tc>
          <w:tcPr>
            <w:tcW w:w="1881" w:type="dxa"/>
            <w:vAlign w:val="center"/>
            <w:tcMar>
              <w:top w:w="30" w:type="dxa"/>
              <w:start w:w="30" w:type="dxa"/>
              <w:bottom w:w="30" w:type="dxa"/>
              <w:end w:w="30" w:type="dxa"/>
            </w:tcMar>
          </w:tcPr>
          <w:p w14:paraId="20678531" w14:textId="77777777" w:rsidR="005F0DB9" w:rsidRDefault="00000000">
            <w:pPr>
              <w:spacing w:line="240" w:lineRule="auto" w:before="0" w:after="0"/>
              <w:jc w:val="left"/>
            </w:pPr>
            <w:r>
              <w:rPr>
                <w:sz w:val="14"/>
              </w:rPr>
              <w:t>0,747</w:t>
            </w:r>
          </w:p>
        </w:tc>
        <w:tc>
          <w:tcPr>
            <w:tcW w:w="1881" w:type="dxa"/>
            <w:vAlign w:val="center"/>
            <w:tcMar>
              <w:top w:w="30" w:type="dxa"/>
              <w:start w:w="30" w:type="dxa"/>
              <w:bottom w:w="30" w:type="dxa"/>
              <w:end w:w="30" w:type="dxa"/>
            </w:tcMar>
          </w:tcPr>
          <w:p w14:paraId="3E6D6053" w14:textId="77777777" w:rsidR="005F0DB9" w:rsidRDefault="00000000">
            <w:pPr>
              <w:spacing w:line="240" w:lineRule="auto" w:before="0" w:after="0"/>
              <w:jc w:val="left"/>
            </w:pPr>
            <w:r>
              <w:rPr>
                <w:sz w:val="14"/>
              </w:rPr>
              <w:t>0,124</w:t>
            </w:r>
          </w:p>
        </w:tc>
      </w:tr>
      <w:tr w:rsidR="005F0DB9" w14:paraId="10312228" w14:textId="77777777">
        <w:trPr>
          <w:jc w:val="center"/>
        </w:trPr>
        <w:tc>
          <w:tcPr>
            <w:tcW w:w="1881" w:type="dxa"/>
            <w:vAlign w:val="center"/>
            <w:tcMar>
              <w:top w:w="30" w:type="dxa"/>
              <w:start w:w="30" w:type="dxa"/>
              <w:bottom w:w="30" w:type="dxa"/>
              <w:end w:w="30" w:type="dxa"/>
            </w:tcMar>
          </w:tcPr>
          <w:p w14:paraId="15A5C1B8" w14:textId="77777777" w:rsidR="005F0DB9" w:rsidRDefault="00000000">
            <w:pPr>
              <w:spacing w:line="240" w:lineRule="auto" w:before="0" w:after="0"/>
              <w:jc w:val="left"/>
            </w:pPr>
            <w:r>
              <w:rPr>
                <w:sz w:val="14"/>
              </w:rPr>
              <w:t>Etanol -&gt; IPCA Transportes</w:t>
            </w:r>
          </w:p>
        </w:tc>
        <w:tc>
          <w:tcPr>
            <w:tcW w:w="1881" w:type="dxa"/>
            <w:vAlign w:val="center"/>
            <w:tcMar>
              <w:top w:w="30" w:type="dxa"/>
              <w:start w:w="30" w:type="dxa"/>
              <w:bottom w:w="30" w:type="dxa"/>
              <w:end w:w="30" w:type="dxa"/>
            </w:tcMar>
          </w:tcPr>
          <w:p w14:paraId="13056BF0" w14:textId="77777777" w:rsidR="005F0DB9" w:rsidRDefault="00000000">
            <w:pPr>
              <w:spacing w:line="240" w:lineRule="auto" w:before="0" w:after="0"/>
              <w:jc w:val="left"/>
            </w:pPr>
            <w:r>
              <w:rPr>
                <w:sz w:val="14"/>
              </w:rPr>
              <w:t>12m</w:t>
            </w:r>
          </w:p>
        </w:tc>
        <w:tc>
          <w:tcPr>
            <w:tcW w:w="1881" w:type="dxa"/>
            <w:vAlign w:val="center"/>
            <w:tcMar>
              <w:top w:w="30" w:type="dxa"/>
              <w:start w:w="30" w:type="dxa"/>
              <w:bottom w:w="30" w:type="dxa"/>
              <w:end w:w="30" w:type="dxa"/>
            </w:tcMar>
          </w:tcPr>
          <w:p w14:paraId="520AA396" w14:textId="77777777" w:rsidR="005F0DB9" w:rsidRDefault="00000000">
            <w:pPr>
              <w:spacing w:line="240" w:lineRule="auto" w:before="0" w:after="0"/>
              <w:jc w:val="left"/>
            </w:pPr>
            <w:r>
              <w:rPr>
                <w:sz w:val="14"/>
              </w:rPr>
              <w:t>0,302</w:t>
            </w:r>
          </w:p>
        </w:tc>
        <w:tc>
          <w:tcPr>
            <w:tcW w:w="1881" w:type="dxa"/>
            <w:vAlign w:val="center"/>
            <w:tcMar>
              <w:top w:w="30" w:type="dxa"/>
              <w:start w:w="30" w:type="dxa"/>
              <w:bottom w:w="30" w:type="dxa"/>
              <w:end w:w="30" w:type="dxa"/>
            </w:tcMar>
          </w:tcPr>
          <w:p w14:paraId="7D32A3AE" w14:textId="77777777" w:rsidR="005F0DB9" w:rsidRDefault="00000000">
            <w:pPr>
              <w:spacing w:line="240" w:lineRule="auto" w:before="0" w:after="0"/>
              <w:jc w:val="left"/>
            </w:pPr>
            <w:r>
              <w:rPr>
                <w:sz w:val="14"/>
              </w:rPr>
              <w:t>1,805</w:t>
            </w:r>
          </w:p>
        </w:tc>
        <w:tc>
          <w:tcPr>
            <w:tcW w:w="1881" w:type="dxa"/>
            <w:vAlign w:val="center"/>
            <w:tcMar>
              <w:top w:w="30" w:type="dxa"/>
              <w:start w:w="30" w:type="dxa"/>
              <w:bottom w:w="30" w:type="dxa"/>
              <w:end w:w="30" w:type="dxa"/>
            </w:tcMar>
          </w:tcPr>
          <w:p w14:paraId="1ABE4386" w14:textId="77777777" w:rsidR="005F0DB9" w:rsidRDefault="00000000">
            <w:pPr>
              <w:spacing w:line="240" w:lineRule="auto" w:before="0" w:after="0"/>
              <w:jc w:val="left"/>
            </w:pPr>
            <w:r>
              <w:rPr>
                <w:sz w:val="14"/>
              </w:rPr>
              <w:t>0,053</w:t>
            </w:r>
          </w:p>
        </w:tc>
      </w:tr>
    </w:tbl>
    <w:p>
      <w:pPr/>
      <w:r>
        <w:t>Nota: na versão revisada, o regime Petrobras é definido pelo corte de setembro de 2016. Os coeficientes e gráficos devem ser lidos como comparação entre o período anterior ao corte e o período posterior ao corte, sem pressupor homogeneidade plena no pós-2016.</w:t>
      </w:r>
    </w:p>
    <w:p w14:paraId="47F80E08" w14:textId="77777777" w:rsidR="005F0DB9" w:rsidRPr="00366C9E" w:rsidRDefault="00000000">
      <w:pPr>
        <w:spacing w:after="120"/>
        <w:ind w:firstLine="0"/>
        <w:jc w:val="center"/>
        <w:rPr>
          <w:lang w:val="pt-BR"/>
        </w:rPr>
      </w:pPr>
      <w:r w:rsidRPr="00366C9E">
        <w:rPr>
          <w:sz w:val="20"/>
          <w:lang w:val="pt-BR"/>
        </w:rPr>
        <w:t>Fonte: Elaboração própria com base nas estimações por regime e nos testes de Wald do Modelo 5.</w:t>
      </w:r>
    </w:p>
    <w:p w14:paraId="123F16E9" w14:textId="77777777" w:rsidR="005F0DB9" w:rsidRDefault="00000000">
      <w:pPr>
        <w:pStyle w:val="Heading3"/>
        <w:spacing w:after="120" w:line="360" w:lineRule="auto"/>
        <w:jc w:val="both"/>
      </w:pPr>
      <w:bookmarkStart w:id="37" w:name="_Toc229695964"/>
      <w:r>
        <w:rPr>
          <w:rFonts w:ascii="Times New Roman" w:eastAsia="Times New Roman" w:hAnsi="Times New Roman"/>
        </w:rPr>
        <w:t>4.6.3 Choque externo de oferta e LP-IV</w:t>
      </w:r>
      <w:bookmarkEnd w:id="37"/>
    </w:p>
    <w:p w14:paraId="195E9F7F" w14:textId="77777777" w:rsidR="005F0DB9" w:rsidRPr="00366C9E" w:rsidRDefault="00000000">
      <w:pPr>
        <w:spacing w:after="120"/>
        <w:rPr>
          <w:lang w:val="pt-BR"/>
        </w:rPr>
      </w:pPr>
      <w:r w:rsidRPr="00366C9E">
        <w:rPr>
          <w:lang w:val="pt-BR"/>
        </w:rPr>
        <w:t xml:space="preserve">Como exercício adicional de identificação, foi utilizada a série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como choque externo de oferta de petróleo. A série foi incorporada de duas formas: diretamente em Local </w:t>
      </w:r>
      <w:proofErr w:type="spellStart"/>
      <w:r w:rsidRPr="00366C9E">
        <w:rPr>
          <w:lang w:val="pt-BR"/>
        </w:rPr>
        <w:t>Projections</w:t>
      </w:r>
      <w:proofErr w:type="spellEnd"/>
      <w:r w:rsidRPr="00366C9E">
        <w:rPr>
          <w:lang w:val="pt-BR"/>
        </w:rPr>
        <w:t xml:space="preserve"> e como instrumento para o petróleo em reais em uma especificação LP-IV. O primeiro estágio apresentou estatísticas F muito superiores à regra prática de 10, indicando forte relevância do instrumento. Após a </w:t>
      </w:r>
      <w:proofErr w:type="spellStart"/>
      <w:r w:rsidRPr="00366C9E">
        <w:rPr>
          <w:lang w:val="pt-BR"/>
        </w:rPr>
        <w:t>reestimação</w:t>
      </w:r>
      <w:proofErr w:type="spellEnd"/>
      <w:r w:rsidRPr="00366C9E">
        <w:rPr>
          <w:lang w:val="pt-BR"/>
        </w:rPr>
        <w:t xml:space="preserve"> com IV2SLS, os resultados permaneceram materialmente equivalentes, o que reforça a estabilidade das evidências. A resposta do diesel ao petróleo em reais instrumentado permanece positiva até 12 meses, enquanto a resposta do IPCA Transportes aparece de forma mais clara no curto prazo.</w:t>
      </w:r>
    </w:p>
    <w:p w14:paraId="5E197D1D" w14:textId="77777777" w:rsidR="005F0DB9" w:rsidRDefault="00000000">
      <w:pPr>
        <w:spacing w:after="120"/>
        <w:ind w:firstLine="0"/>
        <w:jc w:val="center"/>
      </w:pPr>
      <w:proofErr w:type="spellStart"/>
      <w:r>
        <w:rPr>
          <w:b/>
          <w:sz w:val="20"/>
        </w:rPr>
        <w:t>Tabela</w:t>
      </w:r>
      <w:proofErr w:type="spellEnd"/>
      <w:r>
        <w:rPr>
          <w:b/>
          <w:sz w:val="20"/>
        </w:rPr>
        <w:t xml:space="preserve"> 5 - LP direta e LP-IV com Oil Supply News Shock</w:t>
      </w:r>
    </w:p>
    <w:tbl>
      <w:tblPr>
        <w:tblStyle w:val="TableGrid"/>
        <w:tblW w:w="0" w:type="auto"/>
        <w:jc w:val="center"/>
        <w:tblLayout w:type="autofit"/>
        <w:tblLook w:val="04A0" w:firstRow="1" w:lastRow="0" w:firstColumn="1" w:lastColumn="0" w:noHBand="0" w:noVBand="1"/>
      </w:tblPr>
      <w:tblGrid>
        <w:gridCol w:w="1880"/>
        <w:gridCol w:w="1879"/>
        <w:gridCol w:w="1878"/>
        <w:gridCol w:w="1879"/>
        <w:gridCol w:w="1879"/>
      </w:tblGrid>
      <w:tr w:rsidR="005F0DB9" w14:paraId="5921F27D" w14:textId="77777777">
        <w:trPr>
          <w:jc w:val="center"/>
        </w:trPr>
        <w:tc>
          <w:tcPr>
            <w:tcW w:w="1881" w:type="dxa"/>
            <w:vAlign w:val="center"/>
            <w:tcMar>
              <w:top w:w="30" w:type="dxa"/>
              <w:start w:w="30" w:type="dxa"/>
              <w:bottom w:w="30" w:type="dxa"/>
              <w:end w:w="30" w:type="dxa"/>
            </w:tcMar>
          </w:tcPr>
          <w:p w14:paraId="12E1A14C" w14:textId="77777777" w:rsidR="005F0DB9" w:rsidRDefault="00000000">
            <w:pPr>
              <w:spacing w:line="240" w:lineRule="auto" w:before="0" w:after="0"/>
              <w:jc w:val="center"/>
            </w:pPr>
            <w:r>
              <w:rPr>
                <w:b/>
                <w:sz w:val="14"/>
              </w:rPr>
              <w:t>Modelo</w:t>
            </w:r>
          </w:p>
        </w:tc>
        <w:tc>
          <w:tcPr>
            <w:tcW w:w="1881" w:type="dxa"/>
            <w:vAlign w:val="center"/>
            <w:tcMar>
              <w:top w:w="30" w:type="dxa"/>
              <w:start w:w="30" w:type="dxa"/>
              <w:bottom w:w="30" w:type="dxa"/>
              <w:end w:w="30" w:type="dxa"/>
            </w:tcMar>
          </w:tcPr>
          <w:p w14:paraId="74F59954" w14:textId="77777777" w:rsidR="005F0DB9" w:rsidRDefault="00000000">
            <w:pPr>
              <w:spacing w:line="240" w:lineRule="auto" w:before="0" w:after="0"/>
              <w:jc w:val="center"/>
            </w:pPr>
            <w:r>
              <w:rPr>
                <w:b/>
                <w:sz w:val="14"/>
              </w:rPr>
              <w:t>Canal</w:t>
            </w:r>
          </w:p>
        </w:tc>
        <w:tc>
          <w:tcPr>
            <w:tcW w:w="1881" w:type="dxa"/>
            <w:vAlign w:val="center"/>
            <w:tcMar>
              <w:top w:w="30" w:type="dxa"/>
              <w:start w:w="30" w:type="dxa"/>
              <w:bottom w:w="30" w:type="dxa"/>
              <w:end w:w="30" w:type="dxa"/>
            </w:tcMar>
          </w:tcPr>
          <w:p w14:paraId="0D08189D" w14:textId="77777777" w:rsidR="005F0DB9" w:rsidRDefault="00000000">
            <w:pPr>
              <w:spacing w:line="240" w:lineRule="auto" w:before="0" w:after="0"/>
              <w:jc w:val="center"/>
            </w:pPr>
            <w:r>
              <w:rPr>
                <w:b/>
                <w:sz w:val="14"/>
              </w:rPr>
              <w:t>h</w:t>
            </w:r>
          </w:p>
        </w:tc>
        <w:tc>
          <w:tcPr>
            <w:tcW w:w="1881" w:type="dxa"/>
            <w:vAlign w:val="center"/>
            <w:tcMar>
              <w:top w:w="30" w:type="dxa"/>
              <w:start w:w="30" w:type="dxa"/>
              <w:bottom w:w="30" w:type="dxa"/>
              <w:end w:w="30" w:type="dxa"/>
            </w:tcMar>
          </w:tcPr>
          <w:p w14:paraId="0AA5047F" w14:textId="77777777" w:rsidR="005F0DB9" w:rsidRDefault="00000000">
            <w:pPr>
              <w:spacing w:line="240" w:lineRule="auto" w:before="0" w:after="0"/>
              <w:jc w:val="center"/>
            </w:pPr>
            <w:r>
              <w:rPr>
                <w:b/>
                <w:sz w:val="14"/>
              </w:rPr>
              <w:t>Coef.</w:t>
            </w:r>
          </w:p>
        </w:tc>
        <w:tc>
          <w:tcPr>
            <w:tcW w:w="1881" w:type="dxa"/>
            <w:vAlign w:val="center"/>
            <w:tcMar>
              <w:top w:w="30" w:type="dxa"/>
              <w:start w:w="30" w:type="dxa"/>
              <w:bottom w:w="30" w:type="dxa"/>
              <w:end w:w="30" w:type="dxa"/>
            </w:tcMar>
          </w:tcPr>
          <w:p w14:paraId="77AA3E38" w14:textId="77777777" w:rsidR="005F0DB9" w:rsidRDefault="00000000">
            <w:pPr>
              <w:spacing w:line="240" w:lineRule="auto" w:before="0" w:after="0"/>
              <w:jc w:val="center"/>
            </w:pPr>
            <w:r>
              <w:rPr>
                <w:b/>
                <w:sz w:val="14"/>
              </w:rPr>
              <w:t>IC/F</w:t>
            </w:r>
          </w:p>
        </w:tc>
      </w:tr>
      <w:tr w:rsidR="005F0DB9" w14:paraId="186E8333" w14:textId="77777777">
        <w:trPr>
          <w:jc w:val="center"/>
        </w:trPr>
        <w:tc>
          <w:tcPr>
            <w:tcW w:w="1881" w:type="dxa"/>
            <w:vAlign w:val="center"/>
            <w:tcMar>
              <w:top w:w="30" w:type="dxa"/>
              <w:start w:w="30" w:type="dxa"/>
              <w:bottom w:w="30" w:type="dxa"/>
              <w:end w:w="30" w:type="dxa"/>
            </w:tcMar>
          </w:tcPr>
          <w:p w14:paraId="066080E7" w14:textId="77777777" w:rsidR="005F0DB9" w:rsidRDefault="00000000">
            <w:pPr>
              <w:spacing w:line="240" w:lineRule="auto" w:before="0" w:after="0"/>
              <w:jc w:val="center"/>
            </w:pPr>
            <w:r>
              <w:rPr>
                <w:sz w:val="14"/>
              </w:rPr>
              <w:t>LP direta</w:t>
            </w:r>
          </w:p>
        </w:tc>
        <w:tc>
          <w:tcPr>
            <w:tcW w:w="1881" w:type="dxa"/>
            <w:vAlign w:val="center"/>
            <w:tcMar>
              <w:top w:w="30" w:type="dxa"/>
              <w:start w:w="30" w:type="dxa"/>
              <w:bottom w:w="30" w:type="dxa"/>
              <w:end w:w="30" w:type="dxa"/>
            </w:tcMar>
          </w:tcPr>
          <w:p w14:paraId="3F3DC914" w14:textId="77777777" w:rsidR="005F0DB9" w:rsidRDefault="00000000">
            <w:pPr>
              <w:spacing w:line="240" w:lineRule="auto" w:before="0" w:after="0"/>
              <w:jc w:val="left"/>
            </w:pPr>
            <w:r>
              <w:rPr>
                <w:sz w:val="14"/>
              </w:rPr>
              <w:t>News -&gt; Diesel</w:t>
            </w:r>
          </w:p>
        </w:tc>
        <w:tc>
          <w:tcPr>
            <w:tcW w:w="1881" w:type="dxa"/>
            <w:vAlign w:val="center"/>
            <w:tcMar>
              <w:top w:w="30" w:type="dxa"/>
              <w:start w:w="30" w:type="dxa"/>
              <w:bottom w:w="30" w:type="dxa"/>
              <w:end w:w="30" w:type="dxa"/>
            </w:tcMar>
          </w:tcPr>
          <w:p w14:paraId="4057CFB8" w14:textId="77777777" w:rsidR="005F0DB9" w:rsidRDefault="00000000">
            <w:pPr>
              <w:spacing w:line="240" w:lineRule="auto" w:before="0" w:after="0"/>
              <w:jc w:val="center"/>
            </w:pPr>
            <w:r>
              <w:rPr>
                <w:sz w:val="14"/>
              </w:rPr>
              <w:t>3m</w:t>
            </w:r>
          </w:p>
        </w:tc>
        <w:tc>
          <w:tcPr>
            <w:tcW w:w="1881" w:type="dxa"/>
            <w:vAlign w:val="center"/>
            <w:tcMar>
              <w:top w:w="30" w:type="dxa"/>
              <w:start w:w="30" w:type="dxa"/>
              <w:bottom w:w="30" w:type="dxa"/>
              <w:end w:w="30" w:type="dxa"/>
            </w:tcMar>
          </w:tcPr>
          <w:p w14:paraId="03C89C51" w14:textId="77777777" w:rsidR="005F0DB9" w:rsidRDefault="00000000">
            <w:pPr>
              <w:spacing w:line="240" w:lineRule="auto" w:before="0" w:after="0"/>
              <w:jc w:val="center"/>
            </w:pPr>
            <w:r>
              <w:rPr>
                <w:sz w:val="14"/>
              </w:rPr>
              <w:t>1,194</w:t>
            </w:r>
          </w:p>
        </w:tc>
        <w:tc>
          <w:tcPr>
            <w:tcW w:w="1881" w:type="dxa"/>
            <w:vAlign w:val="center"/>
            <w:tcMar>
              <w:top w:w="30" w:type="dxa"/>
              <w:start w:w="30" w:type="dxa"/>
              <w:bottom w:w="30" w:type="dxa"/>
              <w:end w:w="30" w:type="dxa"/>
            </w:tcMar>
          </w:tcPr>
          <w:p w14:paraId="42217411" w14:textId="77777777" w:rsidR="005F0DB9" w:rsidRDefault="00000000">
            <w:pPr>
              <w:spacing w:line="240" w:lineRule="auto" w:before="0" w:after="0"/>
              <w:jc w:val="center"/>
            </w:pPr>
            <w:r>
              <w:rPr>
                <w:sz w:val="14"/>
              </w:rPr>
              <w:t>[0,627; 1,761]</w:t>
            </w:r>
          </w:p>
        </w:tc>
      </w:tr>
      <w:tr w:rsidR="005F0DB9" w14:paraId="70BEBE57" w14:textId="77777777">
        <w:trPr>
          <w:jc w:val="center"/>
        </w:trPr>
        <w:tc>
          <w:tcPr>
            <w:tcW w:w="1881" w:type="dxa"/>
            <w:vAlign w:val="center"/>
            <w:tcMar>
              <w:top w:w="30" w:type="dxa"/>
              <w:start w:w="30" w:type="dxa"/>
              <w:bottom w:w="30" w:type="dxa"/>
              <w:end w:w="30" w:type="dxa"/>
            </w:tcMar>
          </w:tcPr>
          <w:p w14:paraId="62ABF8E4" w14:textId="77777777" w:rsidR="005F0DB9" w:rsidRDefault="00000000">
            <w:pPr>
              <w:spacing w:line="240" w:lineRule="auto" w:before="0" w:after="0"/>
              <w:jc w:val="center"/>
            </w:pPr>
            <w:r>
              <w:rPr>
                <w:sz w:val="14"/>
              </w:rPr>
              <w:t>LP direta</w:t>
            </w:r>
          </w:p>
        </w:tc>
        <w:tc>
          <w:tcPr>
            <w:tcW w:w="1881" w:type="dxa"/>
            <w:vAlign w:val="center"/>
            <w:tcMar>
              <w:top w:w="30" w:type="dxa"/>
              <w:start w:w="30" w:type="dxa"/>
              <w:bottom w:w="30" w:type="dxa"/>
              <w:end w:w="30" w:type="dxa"/>
            </w:tcMar>
          </w:tcPr>
          <w:p w14:paraId="7A7839F6" w14:textId="77777777" w:rsidR="005F0DB9" w:rsidRDefault="00000000">
            <w:pPr>
              <w:spacing w:line="240" w:lineRule="auto" w:before="0" w:after="0"/>
              <w:jc w:val="left"/>
            </w:pPr>
            <w:r>
              <w:rPr>
                <w:sz w:val="14"/>
              </w:rPr>
              <w:t>News -&gt; IPCA Transp.</w:t>
            </w:r>
          </w:p>
        </w:tc>
        <w:tc>
          <w:tcPr>
            <w:tcW w:w="1881" w:type="dxa"/>
            <w:vAlign w:val="center"/>
            <w:tcMar>
              <w:top w:w="30" w:type="dxa"/>
              <w:start w:w="30" w:type="dxa"/>
              <w:bottom w:w="30" w:type="dxa"/>
              <w:end w:w="30" w:type="dxa"/>
            </w:tcMar>
          </w:tcPr>
          <w:p w14:paraId="71548B39" w14:textId="77777777" w:rsidR="005F0DB9" w:rsidRDefault="00000000">
            <w:pPr>
              <w:spacing w:line="240" w:lineRule="auto" w:before="0" w:after="0"/>
              <w:jc w:val="center"/>
            </w:pPr>
            <w:r>
              <w:rPr>
                <w:sz w:val="14"/>
              </w:rPr>
              <w:t>3m</w:t>
            </w:r>
          </w:p>
        </w:tc>
        <w:tc>
          <w:tcPr>
            <w:tcW w:w="1881" w:type="dxa"/>
            <w:vAlign w:val="center"/>
            <w:tcMar>
              <w:top w:w="30" w:type="dxa"/>
              <w:start w:w="30" w:type="dxa"/>
              <w:bottom w:w="30" w:type="dxa"/>
              <w:end w:w="30" w:type="dxa"/>
            </w:tcMar>
          </w:tcPr>
          <w:p w14:paraId="536E0975" w14:textId="77777777" w:rsidR="005F0DB9" w:rsidRDefault="00000000">
            <w:pPr>
              <w:spacing w:line="240" w:lineRule="auto" w:before="0" w:after="0"/>
              <w:jc w:val="center"/>
            </w:pPr>
            <w:r>
              <w:rPr>
                <w:sz w:val="14"/>
              </w:rPr>
              <w:t>0,240</w:t>
            </w:r>
          </w:p>
        </w:tc>
        <w:tc>
          <w:tcPr>
            <w:tcW w:w="1881" w:type="dxa"/>
            <w:vAlign w:val="center"/>
            <w:tcMar>
              <w:top w:w="30" w:type="dxa"/>
              <w:start w:w="30" w:type="dxa"/>
              <w:bottom w:w="30" w:type="dxa"/>
              <w:end w:w="30" w:type="dxa"/>
            </w:tcMar>
          </w:tcPr>
          <w:p w14:paraId="3F6DC22B" w14:textId="77777777" w:rsidR="005F0DB9" w:rsidRDefault="00000000">
            <w:pPr>
              <w:spacing w:line="240" w:lineRule="auto" w:before="0" w:after="0"/>
              <w:jc w:val="center"/>
            </w:pPr>
            <w:r>
              <w:rPr>
                <w:sz w:val="14"/>
              </w:rPr>
              <w:t>[0,024; 0,455]</w:t>
            </w:r>
          </w:p>
        </w:tc>
      </w:tr>
      <w:tr w:rsidR="005F0DB9" w14:paraId="271FB977" w14:textId="77777777">
        <w:trPr>
          <w:jc w:val="center"/>
        </w:trPr>
        <w:tc>
          <w:tcPr>
            <w:tcW w:w="1881" w:type="dxa"/>
            <w:vAlign w:val="center"/>
            <w:tcMar>
              <w:top w:w="30" w:type="dxa"/>
              <w:start w:w="30" w:type="dxa"/>
              <w:bottom w:w="30" w:type="dxa"/>
              <w:end w:w="30" w:type="dxa"/>
            </w:tcMar>
          </w:tcPr>
          <w:p w14:paraId="6098FDD3" w14:textId="77777777" w:rsidR="005F0DB9" w:rsidRDefault="00000000">
            <w:pPr>
              <w:spacing w:line="240" w:lineRule="auto" w:before="0" w:after="0"/>
              <w:jc w:val="center"/>
            </w:pPr>
            <w:r>
              <w:rPr>
                <w:sz w:val="14"/>
              </w:rPr>
              <w:t>LP-IV</w:t>
            </w:r>
          </w:p>
        </w:tc>
        <w:tc>
          <w:tcPr>
            <w:tcW w:w="1881" w:type="dxa"/>
            <w:vAlign w:val="center"/>
            <w:tcMar>
              <w:top w:w="30" w:type="dxa"/>
              <w:start w:w="30" w:type="dxa"/>
              <w:bottom w:w="30" w:type="dxa"/>
              <w:end w:w="30" w:type="dxa"/>
            </w:tcMar>
          </w:tcPr>
          <w:p w14:paraId="684E68FB" w14:textId="77777777" w:rsidR="005F0DB9" w:rsidRDefault="00000000">
            <w:pPr>
              <w:spacing w:line="240" w:lineRule="auto" w:before="0" w:after="0"/>
              <w:jc w:val="left"/>
            </w:pPr>
            <w:r>
              <w:rPr>
                <w:sz w:val="14"/>
              </w:rPr>
              <w:t>Petróleo BRL inst. -&gt; Diesel</w:t>
            </w:r>
          </w:p>
        </w:tc>
        <w:tc>
          <w:tcPr>
            <w:tcW w:w="1881" w:type="dxa"/>
            <w:vAlign w:val="center"/>
            <w:tcMar>
              <w:top w:w="30" w:type="dxa"/>
              <w:start w:w="30" w:type="dxa"/>
              <w:bottom w:w="30" w:type="dxa"/>
              <w:end w:w="30" w:type="dxa"/>
            </w:tcMar>
          </w:tcPr>
          <w:p w14:paraId="231E6384" w14:textId="77777777" w:rsidR="005F0DB9" w:rsidRDefault="00000000">
            <w:pPr>
              <w:spacing w:line="240" w:lineRule="auto" w:before="0" w:after="0"/>
              <w:jc w:val="center"/>
            </w:pPr>
            <w:r>
              <w:rPr>
                <w:sz w:val="14"/>
              </w:rPr>
              <w:t>3m</w:t>
            </w:r>
          </w:p>
        </w:tc>
        <w:tc>
          <w:tcPr>
            <w:tcW w:w="1881" w:type="dxa"/>
            <w:vAlign w:val="center"/>
            <w:tcMar>
              <w:top w:w="30" w:type="dxa"/>
              <w:start w:w="30" w:type="dxa"/>
              <w:bottom w:w="30" w:type="dxa"/>
              <w:end w:w="30" w:type="dxa"/>
            </w:tcMar>
          </w:tcPr>
          <w:p w14:paraId="5FDC7BDE" w14:textId="77777777" w:rsidR="005F0DB9" w:rsidRDefault="00000000">
            <w:pPr>
              <w:spacing w:line="240" w:lineRule="auto" w:before="0" w:after="0"/>
              <w:jc w:val="center"/>
            </w:pPr>
            <w:r>
              <w:rPr>
                <w:sz w:val="14"/>
              </w:rPr>
              <w:t>2,369</w:t>
            </w:r>
          </w:p>
        </w:tc>
        <w:tc>
          <w:tcPr>
            <w:tcW w:w="1881" w:type="dxa"/>
            <w:vAlign w:val="center"/>
            <w:tcMar>
              <w:top w:w="30" w:type="dxa"/>
              <w:start w:w="30" w:type="dxa"/>
              <w:bottom w:w="30" w:type="dxa"/>
              <w:end w:w="30" w:type="dxa"/>
            </w:tcMar>
          </w:tcPr>
          <w:p w14:paraId="2888E757" w14:textId="77777777" w:rsidR="005F0DB9" w:rsidRDefault="00000000">
            <w:pPr>
              <w:spacing w:line="240" w:lineRule="auto" w:before="0" w:after="0"/>
              <w:jc w:val="center"/>
            </w:pPr>
            <w:r>
              <w:rPr>
                <w:sz w:val="14"/>
              </w:rPr>
              <w:t>F = 130,35</w:t>
            </w:r>
          </w:p>
        </w:tc>
      </w:tr>
      <w:tr w:rsidR="005F0DB9" w14:paraId="5032A621" w14:textId="77777777">
        <w:trPr>
          <w:jc w:val="center"/>
        </w:trPr>
        <w:tc>
          <w:tcPr>
            <w:tcW w:w="1881" w:type="dxa"/>
            <w:vAlign w:val="center"/>
            <w:tcMar>
              <w:top w:w="30" w:type="dxa"/>
              <w:start w:w="30" w:type="dxa"/>
              <w:bottom w:w="30" w:type="dxa"/>
              <w:end w:w="30" w:type="dxa"/>
            </w:tcMar>
          </w:tcPr>
          <w:p w14:paraId="071AE14D" w14:textId="77777777" w:rsidR="005F0DB9" w:rsidRDefault="00000000">
            <w:pPr>
              <w:spacing w:line="240" w:lineRule="auto" w:before="0" w:after="0"/>
              <w:jc w:val="center"/>
            </w:pPr>
            <w:r>
              <w:rPr>
                <w:sz w:val="14"/>
              </w:rPr>
              <w:t>LP-IV</w:t>
            </w:r>
          </w:p>
        </w:tc>
        <w:tc>
          <w:tcPr>
            <w:tcW w:w="1881" w:type="dxa"/>
            <w:vAlign w:val="center"/>
            <w:tcMar>
              <w:top w:w="30" w:type="dxa"/>
              <w:start w:w="30" w:type="dxa"/>
              <w:bottom w:w="30" w:type="dxa"/>
              <w:end w:w="30" w:type="dxa"/>
            </w:tcMar>
          </w:tcPr>
          <w:p w14:paraId="2D41FCFF" w14:textId="77777777" w:rsidR="005F0DB9" w:rsidRDefault="00000000">
            <w:pPr>
              <w:spacing w:line="240" w:lineRule="auto" w:before="0" w:after="0"/>
              <w:jc w:val="left"/>
            </w:pPr>
            <w:r>
              <w:rPr>
                <w:sz w:val="14"/>
              </w:rPr>
              <w:t>Petróleo BRL inst. -&gt; Diesel</w:t>
            </w:r>
          </w:p>
        </w:tc>
        <w:tc>
          <w:tcPr>
            <w:tcW w:w="1881" w:type="dxa"/>
            <w:vAlign w:val="center"/>
            <w:tcMar>
              <w:top w:w="30" w:type="dxa"/>
              <w:start w:w="30" w:type="dxa"/>
              <w:bottom w:w="30" w:type="dxa"/>
              <w:end w:w="30" w:type="dxa"/>
            </w:tcMar>
          </w:tcPr>
          <w:p w14:paraId="57939B0D" w14:textId="77777777" w:rsidR="005F0DB9" w:rsidRDefault="00000000">
            <w:pPr>
              <w:spacing w:line="240" w:lineRule="auto" w:before="0" w:after="0"/>
              <w:jc w:val="center"/>
            </w:pPr>
            <w:r>
              <w:rPr>
                <w:sz w:val="14"/>
              </w:rPr>
              <w:t>12m</w:t>
            </w:r>
          </w:p>
        </w:tc>
        <w:tc>
          <w:tcPr>
            <w:tcW w:w="1881" w:type="dxa"/>
            <w:vAlign w:val="center"/>
            <w:tcMar>
              <w:top w:w="30" w:type="dxa"/>
              <w:start w:w="30" w:type="dxa"/>
              <w:bottom w:w="30" w:type="dxa"/>
              <w:end w:w="30" w:type="dxa"/>
            </w:tcMar>
          </w:tcPr>
          <w:p w14:paraId="54B02873" w14:textId="77777777" w:rsidR="005F0DB9" w:rsidRDefault="00000000">
            <w:pPr>
              <w:spacing w:line="240" w:lineRule="auto" w:before="0" w:after="0"/>
              <w:jc w:val="center"/>
            </w:pPr>
            <w:r>
              <w:rPr>
                <w:sz w:val="14"/>
              </w:rPr>
              <w:t>2,344</w:t>
            </w:r>
          </w:p>
        </w:tc>
        <w:tc>
          <w:tcPr>
            <w:tcW w:w="1881" w:type="dxa"/>
            <w:vAlign w:val="center"/>
            <w:tcMar>
              <w:top w:w="30" w:type="dxa"/>
              <w:start w:w="30" w:type="dxa"/>
              <w:bottom w:w="30" w:type="dxa"/>
              <w:end w:w="30" w:type="dxa"/>
            </w:tcMar>
          </w:tcPr>
          <w:p w14:paraId="050C9EBF" w14:textId="77777777" w:rsidR="005F0DB9" w:rsidRDefault="00000000">
            <w:pPr>
              <w:spacing w:line="240" w:lineRule="auto" w:before="0" w:after="0"/>
              <w:jc w:val="center"/>
            </w:pPr>
            <w:r>
              <w:rPr>
                <w:sz w:val="14"/>
              </w:rPr>
              <w:t>F = 122,59</w:t>
            </w:r>
          </w:p>
        </w:tc>
      </w:tr>
      <w:tr w:rsidR="005F0DB9" w14:paraId="2B87FF37" w14:textId="77777777">
        <w:trPr>
          <w:jc w:val="center"/>
        </w:trPr>
        <w:tc>
          <w:tcPr>
            <w:tcW w:w="1881" w:type="dxa"/>
            <w:vAlign w:val="center"/>
            <w:tcMar>
              <w:top w:w="30" w:type="dxa"/>
              <w:start w:w="30" w:type="dxa"/>
              <w:bottom w:w="30" w:type="dxa"/>
              <w:end w:w="30" w:type="dxa"/>
            </w:tcMar>
          </w:tcPr>
          <w:p w14:paraId="421C284A" w14:textId="77777777" w:rsidR="005F0DB9" w:rsidRDefault="00000000">
            <w:pPr>
              <w:spacing w:line="240" w:lineRule="auto" w:before="0" w:after="0"/>
              <w:jc w:val="center"/>
            </w:pPr>
            <w:r>
              <w:rPr>
                <w:sz w:val="14"/>
              </w:rPr>
              <w:t>LP-IV</w:t>
            </w:r>
          </w:p>
        </w:tc>
        <w:tc>
          <w:tcPr>
            <w:tcW w:w="1881" w:type="dxa"/>
            <w:vAlign w:val="center"/>
            <w:tcMar>
              <w:top w:w="30" w:type="dxa"/>
              <w:start w:w="30" w:type="dxa"/>
              <w:bottom w:w="30" w:type="dxa"/>
              <w:end w:w="30" w:type="dxa"/>
            </w:tcMar>
          </w:tcPr>
          <w:p w14:paraId="4D4272BA" w14:textId="77777777" w:rsidR="005F0DB9" w:rsidRPr="00366C9E" w:rsidRDefault="00000000">
            <w:pPr>
              <w:spacing w:line="240" w:lineRule="auto" w:before="0" w:after="0"/>
              <w:jc w:val="left"/>
              <w:rPr>
                <w:lang w:val="pt-BR"/>
              </w:rPr>
            </w:pPr>
            <w:r w:rsidRPr="00366C9E">
              <w:rPr>
                <w:sz w:val="14"/>
                <w:lang w:val="pt-BR"/>
              </w:rPr>
              <w:t>Petróleo BRL inst. -&gt; IPCA Transp.</w:t>
            </w:r>
          </w:p>
        </w:tc>
        <w:tc>
          <w:tcPr>
            <w:tcW w:w="1881" w:type="dxa"/>
            <w:vAlign w:val="center"/>
            <w:tcMar>
              <w:top w:w="30" w:type="dxa"/>
              <w:start w:w="30" w:type="dxa"/>
              <w:bottom w:w="30" w:type="dxa"/>
              <w:end w:w="30" w:type="dxa"/>
            </w:tcMar>
          </w:tcPr>
          <w:p w14:paraId="09382D3B" w14:textId="77777777" w:rsidR="005F0DB9" w:rsidRDefault="00000000">
            <w:pPr>
              <w:spacing w:line="240" w:lineRule="auto" w:before="0" w:after="0"/>
              <w:jc w:val="center"/>
            </w:pPr>
            <w:r>
              <w:rPr>
                <w:sz w:val="14"/>
              </w:rPr>
              <w:t>3m</w:t>
            </w:r>
          </w:p>
        </w:tc>
        <w:tc>
          <w:tcPr>
            <w:tcW w:w="1881" w:type="dxa"/>
            <w:vAlign w:val="center"/>
            <w:tcMar>
              <w:top w:w="30" w:type="dxa"/>
              <w:start w:w="30" w:type="dxa"/>
              <w:bottom w:w="30" w:type="dxa"/>
              <w:end w:w="30" w:type="dxa"/>
            </w:tcMar>
          </w:tcPr>
          <w:p w14:paraId="4B2BD3E0" w14:textId="77777777" w:rsidR="005F0DB9" w:rsidRDefault="00000000">
            <w:pPr>
              <w:spacing w:line="240" w:lineRule="auto" w:before="0" w:after="0"/>
              <w:jc w:val="center"/>
            </w:pPr>
            <w:r>
              <w:rPr>
                <w:sz w:val="14"/>
              </w:rPr>
              <w:t>0,500</w:t>
            </w:r>
          </w:p>
        </w:tc>
        <w:tc>
          <w:tcPr>
            <w:tcW w:w="1881" w:type="dxa"/>
            <w:vAlign w:val="center"/>
            <w:tcMar>
              <w:top w:w="30" w:type="dxa"/>
              <w:start w:w="30" w:type="dxa"/>
              <w:bottom w:w="30" w:type="dxa"/>
              <w:end w:w="30" w:type="dxa"/>
            </w:tcMar>
          </w:tcPr>
          <w:p w14:paraId="6B6C0EFD" w14:textId="77777777" w:rsidR="005F0DB9" w:rsidRDefault="00000000">
            <w:pPr>
              <w:spacing w:line="240" w:lineRule="auto" w:before="0" w:after="0"/>
              <w:jc w:val="center"/>
            </w:pPr>
            <w:r>
              <w:rPr>
                <w:sz w:val="14"/>
              </w:rPr>
              <w:t>F = 130,58</w:t>
            </w:r>
          </w:p>
        </w:tc>
      </w:tr>
      <w:tr w:rsidR="005F0DB9" w14:paraId="1AB0DC22" w14:textId="77777777">
        <w:trPr>
          <w:jc w:val="center"/>
        </w:trPr>
        <w:tc>
          <w:tcPr>
            <w:tcW w:w="1881" w:type="dxa"/>
            <w:vAlign w:val="center"/>
            <w:tcMar>
              <w:top w:w="30" w:type="dxa"/>
              <w:start w:w="30" w:type="dxa"/>
              <w:bottom w:w="30" w:type="dxa"/>
              <w:end w:w="30" w:type="dxa"/>
            </w:tcMar>
          </w:tcPr>
          <w:p w14:paraId="1B56ABD6" w14:textId="77777777" w:rsidR="005F0DB9" w:rsidRDefault="00000000">
            <w:pPr>
              <w:spacing w:line="240" w:lineRule="auto" w:before="0" w:after="0"/>
              <w:jc w:val="center"/>
            </w:pPr>
            <w:r>
              <w:rPr>
                <w:sz w:val="14"/>
              </w:rPr>
              <w:t>LP-IV</w:t>
            </w:r>
          </w:p>
        </w:tc>
        <w:tc>
          <w:tcPr>
            <w:tcW w:w="1881" w:type="dxa"/>
            <w:vAlign w:val="center"/>
            <w:tcMar>
              <w:top w:w="30" w:type="dxa"/>
              <w:start w:w="30" w:type="dxa"/>
              <w:bottom w:w="30" w:type="dxa"/>
              <w:end w:w="30" w:type="dxa"/>
            </w:tcMar>
          </w:tcPr>
          <w:p w14:paraId="670AF5D3" w14:textId="77777777" w:rsidR="005F0DB9" w:rsidRPr="00366C9E" w:rsidRDefault="00000000">
            <w:pPr>
              <w:spacing w:line="240" w:lineRule="auto" w:before="0" w:after="0"/>
              <w:jc w:val="left"/>
              <w:rPr>
                <w:lang w:val="pt-BR"/>
              </w:rPr>
            </w:pPr>
            <w:r w:rsidRPr="00366C9E">
              <w:rPr>
                <w:sz w:val="14"/>
                <w:lang w:val="pt-BR"/>
              </w:rPr>
              <w:t>Petróleo BRL inst. -&gt; IPCA Transp.</w:t>
            </w:r>
          </w:p>
        </w:tc>
        <w:tc>
          <w:tcPr>
            <w:tcW w:w="1881" w:type="dxa"/>
            <w:vAlign w:val="center"/>
            <w:tcMar>
              <w:top w:w="30" w:type="dxa"/>
              <w:start w:w="30" w:type="dxa"/>
              <w:bottom w:w="30" w:type="dxa"/>
              <w:end w:w="30" w:type="dxa"/>
            </w:tcMar>
          </w:tcPr>
          <w:p w14:paraId="2A858BA0" w14:textId="77777777" w:rsidR="005F0DB9" w:rsidRDefault="00000000">
            <w:pPr>
              <w:spacing w:line="240" w:lineRule="auto" w:before="0" w:after="0"/>
              <w:jc w:val="center"/>
            </w:pPr>
            <w:r>
              <w:rPr>
                <w:sz w:val="14"/>
              </w:rPr>
              <w:t>12m</w:t>
            </w:r>
          </w:p>
        </w:tc>
        <w:tc>
          <w:tcPr>
            <w:tcW w:w="1881" w:type="dxa"/>
            <w:vAlign w:val="center"/>
            <w:tcMar>
              <w:top w:w="30" w:type="dxa"/>
              <w:start w:w="30" w:type="dxa"/>
              <w:bottom w:w="30" w:type="dxa"/>
              <w:end w:w="30" w:type="dxa"/>
            </w:tcMar>
          </w:tcPr>
          <w:p w14:paraId="604A4926" w14:textId="77777777" w:rsidR="005F0DB9" w:rsidRDefault="00000000">
            <w:pPr>
              <w:spacing w:line="240" w:lineRule="auto" w:before="0" w:after="0"/>
              <w:jc w:val="center"/>
            </w:pPr>
            <w:r>
              <w:rPr>
                <w:sz w:val="14"/>
              </w:rPr>
              <w:t>-0,052</w:t>
            </w:r>
          </w:p>
        </w:tc>
        <w:tc>
          <w:tcPr>
            <w:tcW w:w="1881" w:type="dxa"/>
            <w:vAlign w:val="center"/>
            <w:tcMar>
              <w:top w:w="30" w:type="dxa"/>
              <w:start w:w="30" w:type="dxa"/>
              <w:bottom w:w="30" w:type="dxa"/>
              <w:end w:w="30" w:type="dxa"/>
            </w:tcMar>
          </w:tcPr>
          <w:p w14:paraId="1CE51059" w14:textId="77777777" w:rsidR="005F0DB9" w:rsidRDefault="00000000">
            <w:pPr>
              <w:spacing w:line="240" w:lineRule="auto" w:before="0" w:after="0"/>
              <w:jc w:val="center"/>
            </w:pPr>
            <w:r>
              <w:rPr>
                <w:sz w:val="14"/>
              </w:rPr>
              <w:t>F = 122,33</w:t>
            </w:r>
          </w:p>
        </w:tc>
      </w:tr>
    </w:tbl>
    <w:p w14:paraId="0DF9C7DE" w14:textId="77777777" w:rsidR="005F0DB9" w:rsidRPr="00366C9E" w:rsidRDefault="00000000">
      <w:pPr>
        <w:spacing w:after="120"/>
        <w:ind w:firstLine="0"/>
        <w:jc w:val="center"/>
        <w:rPr>
          <w:lang w:val="pt-BR"/>
        </w:rPr>
      </w:pPr>
      <w:r w:rsidRPr="00366C9E">
        <w:rPr>
          <w:sz w:val="20"/>
          <w:lang w:val="pt-BR"/>
        </w:rPr>
        <w:t>Fonte: Elaboração própria com base nas estimações do Modelo 5. As estatísticas F referem-se ao primeiro estágio do LP-IV.</w:t>
      </w:r>
    </w:p>
    <w:p w14:paraId="42753603" w14:textId="77777777" w:rsidR="005F0DB9" w:rsidRPr="00366C9E" w:rsidRDefault="00000000">
      <w:pPr>
        <w:spacing w:after="120"/>
        <w:rPr>
          <w:lang w:val="pt-BR"/>
        </w:rPr>
      </w:pPr>
      <w:r w:rsidRPr="00366C9E">
        <w:rPr>
          <w:lang w:val="pt-BR"/>
        </w:rPr>
        <w:t xml:space="preserve">Em conjunto, o Modelo 5 fortalece a interpretação do trabalho porque utiliza uma fonte de variação externa ao Brasil para o choque de petróleo. Ainda assim, os resultados devem ser tratados como robustez de identificação, e não como substitutos das Local </w:t>
      </w:r>
      <w:proofErr w:type="spellStart"/>
      <w:r w:rsidRPr="00366C9E">
        <w:rPr>
          <w:lang w:val="pt-BR"/>
        </w:rPr>
        <w:t>Projections</w:t>
      </w:r>
      <w:proofErr w:type="spellEnd"/>
      <w:r w:rsidRPr="00366C9E">
        <w:rPr>
          <w:lang w:val="pt-BR"/>
        </w:rPr>
        <w:t xml:space="preserve"> principais. A </w:t>
      </w:r>
      <w:r w:rsidRPr="00366C9E">
        <w:rPr>
          <w:lang w:val="pt-BR"/>
        </w:rPr>
        <w:lastRenderedPageBreak/>
        <w:t>evidência mais forte permanece concentrada no diesel e no IPCA Transportes, o que é coerente com a hipótese de que o choque de oferta de petróleo se transmite primeiro aos combustíveis e apenas parcialmente ao índice agregado de preços.</w:t>
      </w:r>
    </w:p>
    <w:p w14:paraId="25A5EAEE" w14:textId="77777777" w:rsidR="008E44CC" w:rsidRPr="009C7F96" w:rsidRDefault="008E44CC" w:rsidP="008E44CC">
      <w:pPr>
        <w:pStyle w:val="Heading2"/>
        <w:spacing w:before="240" w:after="120"/>
        <w:jc w:val="both"/>
        <w:rPr>
          <w:rFonts w:cs="Times New Roman"/>
          <w:szCs w:val="24"/>
        </w:rPr>
      </w:pPr>
      <w:bookmarkStart w:id="38" w:name="_Toc229695965"/>
      <w:r>
        <w:rPr>
          <w:rFonts w:ascii="Times New Roman" w:eastAsia="Times New Roman" w:hAnsi="Times New Roman"/>
        </w:rPr>
        <w:t>4.7 Robustez com o modelo VAR</w:t>
      </w:r>
      <w:bookmarkEnd w:id="38"/>
    </w:p>
    <w:p w14:paraId="69327E21"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O modelo VAR é utilizado como exercício de robustez, e não como especificação principal. A lógica da robustez é verificar se os sinais encontrados nas Local </w:t>
      </w:r>
      <w:proofErr w:type="spellStart"/>
      <w:r w:rsidRPr="009C7F96">
        <w:rPr>
          <w:rFonts w:cs="Times New Roman"/>
          <w:szCs w:val="24"/>
          <w:lang w:val="pt-BR"/>
        </w:rPr>
        <w:t>Projections</w:t>
      </w:r>
      <w:proofErr w:type="spellEnd"/>
      <w:r w:rsidRPr="009C7F96">
        <w:rPr>
          <w:rFonts w:cs="Times New Roman"/>
          <w:szCs w:val="24"/>
          <w:lang w:val="pt-BR"/>
        </w:rPr>
        <w:t xml:space="preserve"> permanecem coerentes em um sistema dinâmico multivariado, no qual petróleo, câmbio, combustíveis, atividade, expectativas, Selic e inflação são tratados de forma conjunta. Essa comparação é importante porque as Local </w:t>
      </w:r>
      <w:proofErr w:type="spellStart"/>
      <w:r w:rsidRPr="009C7F96">
        <w:rPr>
          <w:rFonts w:cs="Times New Roman"/>
          <w:szCs w:val="24"/>
          <w:lang w:val="pt-BR"/>
        </w:rPr>
        <w:t>Projections</w:t>
      </w:r>
      <w:proofErr w:type="spellEnd"/>
      <w:r w:rsidRPr="009C7F96">
        <w:rPr>
          <w:rFonts w:cs="Times New Roman"/>
          <w:szCs w:val="24"/>
          <w:lang w:val="pt-BR"/>
        </w:rPr>
        <w:t xml:space="preserve"> estimam respostas horizonte a horizonte, enquanto o VAR recupera funções impulso-resposta a partir da dinâmica conjunta do sistema.</w:t>
      </w:r>
    </w:p>
    <w:p w14:paraId="511DB7BE" w14:textId="77777777" w:rsidR="008E44CC" w:rsidRPr="009C7F96" w:rsidRDefault="008E44CC" w:rsidP="008E44CC">
      <w:pPr>
        <w:spacing w:after="120"/>
        <w:rPr>
          <w:rFonts w:cs="Times New Roman"/>
          <w:szCs w:val="24"/>
          <w:lang w:val="pt-BR"/>
        </w:rPr>
      </w:pPr>
      <w:r w:rsidRPr="00366C9E">
        <w:rPr>
          <w:lang w:val="pt-BR"/>
        </w:rPr>
        <w:t xml:space="preserve">Os resultados do VAR são utilizados como evidência complementar. As funções impulso-resposta e as respostas acumuladas confirmam que o impacto dos choques é mais visível no canal dos combustíveis e no IPCA Transportes do que no IPCA Geral. A FEVD, os testes de estabilidade e as ordenações alternativas de </w:t>
      </w:r>
      <w:proofErr w:type="spellStart"/>
      <w:r w:rsidRPr="00366C9E">
        <w:rPr>
          <w:lang w:val="pt-BR"/>
        </w:rPr>
        <w:t>Cholesky</w:t>
      </w:r>
      <w:proofErr w:type="spellEnd"/>
      <w:r w:rsidRPr="00366C9E">
        <w:rPr>
          <w:lang w:val="pt-BR"/>
        </w:rPr>
        <w:t xml:space="preserve"> devem ser lidos como exercícios de robustez, pois o modelo principal do trabalho permanece sendo a estratégia de Local </w:t>
      </w:r>
      <w:proofErr w:type="spellStart"/>
      <w:r w:rsidRPr="00366C9E">
        <w:rPr>
          <w:lang w:val="pt-BR"/>
        </w:rPr>
        <w:t>Projections</w:t>
      </w:r>
      <w:proofErr w:type="spellEnd"/>
      <w:r w:rsidRPr="00366C9E">
        <w:rPr>
          <w:lang w:val="pt-BR"/>
        </w:rPr>
        <w:t>.</w:t>
      </w:r>
    </w:p>
    <w:p w14:paraId="7C1EC23F"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Na apresentação final dos resultados, o VAR deve ser reportado por meio de quatro evidências. A primeira é a função impulso-resposta acumulada do IPCA a choques no petróleo e nos combustíveis. A segunda é a FEVD, que mostra quanto da variância do erro de previsão do IPCA é explicado por petróleo, câmbio, combustíveis e demais variáveis. A terceira é a análise de estabilidade das raízes do VAR, necessária para validar a interpretação das </w:t>
      </w:r>
      <w:proofErr w:type="spellStart"/>
      <w:r w:rsidRPr="009C7F96">
        <w:rPr>
          <w:rFonts w:cs="Times New Roman"/>
          <w:szCs w:val="24"/>
          <w:lang w:val="pt-BR"/>
        </w:rPr>
        <w:t>IRFs</w:t>
      </w:r>
      <w:proofErr w:type="spellEnd"/>
      <w:r w:rsidRPr="009C7F96">
        <w:rPr>
          <w:rFonts w:cs="Times New Roman"/>
          <w:szCs w:val="24"/>
          <w:lang w:val="pt-BR"/>
        </w:rPr>
        <w:t xml:space="preserve">. A quarta é a robustez da ordenação de </w:t>
      </w:r>
      <w:proofErr w:type="spellStart"/>
      <w:r w:rsidRPr="009C7F96">
        <w:rPr>
          <w:rFonts w:cs="Times New Roman"/>
          <w:szCs w:val="24"/>
          <w:lang w:val="pt-BR"/>
        </w:rPr>
        <w:t>Cholesky</w:t>
      </w:r>
      <w:proofErr w:type="spellEnd"/>
      <w:r w:rsidRPr="009C7F96">
        <w:rPr>
          <w:rFonts w:cs="Times New Roman"/>
          <w:szCs w:val="24"/>
          <w:lang w:val="pt-BR"/>
        </w:rPr>
        <w:t>, pois a identificação contemporânea do choque pode alterar a magnitude das respostas. Se os sinais permanecerem semelhantes entre ordenações alternativas, a evidência de robustez se fortalece.</w:t>
      </w:r>
    </w:p>
    <w:p w14:paraId="430EDD01" w14:textId="443E3D48" w:rsidR="008E44CC" w:rsidRPr="009C7F96" w:rsidRDefault="008E44CC" w:rsidP="008E44CC">
      <w:pPr>
        <w:spacing w:after="120" w:line="240" w:lineRule="auto"/>
        <w:ind w:firstLine="0"/>
        <w:jc w:val="center"/>
        <w:rPr>
          <w:rFonts w:cs="Times New Roman"/>
          <w:szCs w:val="24"/>
          <w:lang w:val="pt-BR"/>
        </w:rPr>
      </w:pPr>
      <w:r w:rsidRPr="009C7F96">
        <w:rPr>
          <w:rFonts w:cs="Times New Roman"/>
          <w:b/>
          <w:i/>
          <w:sz w:val="20"/>
          <w:szCs w:val="24"/>
          <w:lang w:val="pt-BR"/>
        </w:rPr>
        <w:t>Quadro 1 - Evidências de robustez a serem reportadas no VAR</w:t>
      </w:r>
    </w:p>
    <w:tbl>
      <w:tblPr>
        <w:tblStyle w:val="TableGrid"/>
        <w:tblW w:w="0" w:type="auto"/>
        <w:jc w:val="center"/>
        <w:tblLayout w:type="autofit"/>
        <w:tblLook w:val="04A0" w:firstRow="1" w:lastRow="0" w:firstColumn="1" w:lastColumn="0" w:noHBand="0" w:noVBand="1"/>
      </w:tblPr>
      <w:tblGrid>
        <w:gridCol w:w="3132"/>
        <w:gridCol w:w="3133"/>
        <w:gridCol w:w="3130"/>
      </w:tblGrid>
      <w:tr w:rsidR="008E44CC" w:rsidRPr="009C7F96" w14:paraId="1BA6A44F" w14:textId="77777777" w:rsidTr="00AB4120">
        <w:trPr>
          <w:jc w:val="center"/>
        </w:trPr>
        <w:tc>
          <w:tcPr>
            <w:tcW w:w="3135" w:type="dxa"/>
            <w:shd w:val="clear" w:color="auto" w:fill="D9EAF7"/>
            <w:vAlign w:val="center"/>
            <w:tcMar>
              <w:top w:w="30" w:type="dxa"/>
              <w:start w:w="30" w:type="dxa"/>
              <w:bottom w:w="30" w:type="dxa"/>
              <w:end w:w="30" w:type="dxa"/>
            </w:tcMar>
          </w:tcPr>
          <w:p w14:paraId="2C413B6B" w14:textId="0135550D" w:rsidR="008E44CC" w:rsidRPr="009C7F96" w:rsidRDefault="008E44CC" w:rsidP="00AB4120">
            <w:pPr>
              <w:spacing w:before="0" w:after="0" w:line="240" w:lineRule="auto"/>
              <w:jc w:val="center"/>
              <w:rPr>
                <w:rFonts w:cs="Times New Roman"/>
                <w:szCs w:val="24"/>
              </w:rPr>
            </w:pPr>
            <w:proofErr w:type="spellStart"/>
            <w:r w:rsidRPr="009C7F96">
              <w:rPr>
                <w:rFonts w:cs="Times New Roman"/>
                <w:b/>
                <w:sz w:val="14"/>
                <w:szCs w:val="24"/>
              </w:rPr>
              <w:t>Resultado</w:t>
            </w:r>
            <w:proofErr w:type="spellEnd"/>
            <w:r w:rsidRPr="009C7F96">
              <w:rPr>
                <w:rFonts w:cs="Times New Roman"/>
                <w:b/>
                <w:sz w:val="14"/>
                <w:szCs w:val="24"/>
              </w:rPr>
              <w:t xml:space="preserve"> VAR</w:t>
            </w:r>
          </w:p>
        </w:tc>
        <w:tc>
          <w:tcPr>
            <w:tcW w:w="3135" w:type="dxa"/>
            <w:shd w:val="clear" w:color="auto" w:fill="D9EAF7"/>
            <w:vAlign w:val="center"/>
            <w:tcMar>
              <w:top w:w="30" w:type="dxa"/>
              <w:start w:w="30" w:type="dxa"/>
              <w:bottom w:w="30" w:type="dxa"/>
              <w:end w:w="30" w:type="dxa"/>
            </w:tcMar>
          </w:tcPr>
          <w:p w14:paraId="5D91395B"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 xml:space="preserve">O </w:t>
            </w:r>
            <w:proofErr w:type="spellStart"/>
            <w:r w:rsidRPr="009C7F96">
              <w:rPr>
                <w:rFonts w:cs="Times New Roman"/>
                <w:b/>
                <w:sz w:val="14"/>
                <w:szCs w:val="24"/>
              </w:rPr>
              <w:t>que</w:t>
            </w:r>
            <w:proofErr w:type="spellEnd"/>
            <w:r w:rsidRPr="009C7F96">
              <w:rPr>
                <w:rFonts w:cs="Times New Roman"/>
                <w:b/>
                <w:sz w:val="14"/>
                <w:szCs w:val="24"/>
              </w:rPr>
              <w:t xml:space="preserve"> </w:t>
            </w:r>
            <w:proofErr w:type="spellStart"/>
            <w:r w:rsidRPr="009C7F96">
              <w:rPr>
                <w:rFonts w:cs="Times New Roman"/>
                <w:b/>
                <w:sz w:val="14"/>
                <w:szCs w:val="24"/>
              </w:rPr>
              <w:t>verificar</w:t>
            </w:r>
            <w:proofErr w:type="spellEnd"/>
          </w:p>
        </w:tc>
        <w:tc>
          <w:tcPr>
            <w:tcW w:w="3135" w:type="dxa"/>
            <w:shd w:val="clear" w:color="auto" w:fill="D9EAF7"/>
            <w:vAlign w:val="center"/>
            <w:tcMar>
              <w:top w:w="30" w:type="dxa"/>
              <w:start w:w="30" w:type="dxa"/>
              <w:bottom w:w="30" w:type="dxa"/>
              <w:end w:w="30" w:type="dxa"/>
            </w:tcMar>
          </w:tcPr>
          <w:p w14:paraId="27524ED2" w14:textId="77777777" w:rsidR="008E44CC" w:rsidRPr="009C7F96" w:rsidRDefault="008E44CC" w:rsidP="00AB4120">
            <w:pPr>
              <w:spacing w:before="0" w:after="0" w:line="240" w:lineRule="auto"/>
              <w:jc w:val="center"/>
              <w:rPr>
                <w:rFonts w:cs="Times New Roman"/>
                <w:szCs w:val="24"/>
              </w:rPr>
            </w:pPr>
            <w:r w:rsidRPr="009C7F96">
              <w:rPr>
                <w:rFonts w:cs="Times New Roman"/>
                <w:b/>
                <w:sz w:val="14"/>
                <w:szCs w:val="24"/>
              </w:rPr>
              <w:t xml:space="preserve">Status </w:t>
            </w:r>
            <w:proofErr w:type="spellStart"/>
            <w:r w:rsidRPr="009C7F96">
              <w:rPr>
                <w:rFonts w:cs="Times New Roman"/>
                <w:b/>
                <w:sz w:val="14"/>
                <w:szCs w:val="24"/>
              </w:rPr>
              <w:t>nesta</w:t>
            </w:r>
            <w:proofErr w:type="spellEnd"/>
            <w:r w:rsidRPr="009C7F96">
              <w:rPr>
                <w:rFonts w:cs="Times New Roman"/>
                <w:b/>
                <w:sz w:val="14"/>
                <w:szCs w:val="24"/>
              </w:rPr>
              <w:t xml:space="preserve"> </w:t>
            </w:r>
            <w:proofErr w:type="spellStart"/>
            <w:r w:rsidRPr="009C7F96">
              <w:rPr>
                <w:rFonts w:cs="Times New Roman"/>
                <w:b/>
                <w:sz w:val="14"/>
                <w:szCs w:val="24"/>
              </w:rPr>
              <w:t>versão</w:t>
            </w:r>
            <w:proofErr w:type="spellEnd"/>
          </w:p>
        </w:tc>
      </w:tr>
      <w:tr w:rsidR="008E44CC" w:rsidRPr="009C7F96" w14:paraId="1B9DF0D3" w14:textId="77777777" w:rsidTr="00AB4120">
        <w:trPr>
          <w:jc w:val="center"/>
        </w:trPr>
        <w:tc>
          <w:tcPr>
            <w:tcW w:w="3135" w:type="dxa"/>
            <w:vAlign w:val="center"/>
            <w:tcMar>
              <w:top w:w="30" w:type="dxa"/>
              <w:start w:w="30" w:type="dxa"/>
              <w:bottom w:w="30" w:type="dxa"/>
              <w:end w:w="30" w:type="dxa"/>
            </w:tcMar>
          </w:tcPr>
          <w:p w14:paraId="62FA3241"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 xml:space="preserve">IRF </w:t>
            </w:r>
            <w:proofErr w:type="spellStart"/>
            <w:r w:rsidRPr="009C7F96">
              <w:rPr>
                <w:rFonts w:cs="Times New Roman"/>
                <w:sz w:val="14"/>
                <w:szCs w:val="24"/>
              </w:rPr>
              <w:t>acumulada</w:t>
            </w:r>
            <w:proofErr w:type="spellEnd"/>
          </w:p>
        </w:tc>
        <w:tc>
          <w:tcPr>
            <w:tcW w:w="3135" w:type="dxa"/>
            <w:vAlign w:val="center"/>
            <w:tcMar>
              <w:top w:w="30" w:type="dxa"/>
              <w:start w:w="30" w:type="dxa"/>
              <w:bottom w:w="30" w:type="dxa"/>
              <w:end w:w="30" w:type="dxa"/>
            </w:tcMar>
          </w:tcPr>
          <w:p w14:paraId="3366D35C" w14:textId="77777777" w:rsidR="008E44CC" w:rsidRPr="009C7F96" w:rsidRDefault="008E44CC" w:rsidP="00AB4120">
            <w:pPr>
              <w:spacing w:before="0" w:after="0" w:line="240" w:lineRule="auto"/>
              <w:jc w:val="center"/>
              <w:rPr>
                <w:rFonts w:cs="Times New Roman"/>
                <w:szCs w:val="24"/>
                <w:lang w:val="pt-BR"/>
              </w:rPr>
            </w:pPr>
            <w:r w:rsidRPr="009C7F96">
              <w:rPr>
                <w:rFonts w:cs="Times New Roman"/>
                <w:sz w:val="14"/>
                <w:szCs w:val="24"/>
                <w:lang w:val="pt-BR"/>
              </w:rPr>
              <w:t>Sinal e persistência da resposta do IPCA a petróleo e combustíveis</w:t>
            </w:r>
          </w:p>
        </w:tc>
        <w:tc>
          <w:tcPr>
            <w:tcW w:w="3135" w:type="dxa"/>
            <w:vAlign w:val="center"/>
            <w:tcMar>
              <w:top w:w="30" w:type="dxa"/>
              <w:start w:w="30" w:type="dxa"/>
              <w:bottom w:w="30" w:type="dxa"/>
              <w:end w:w="30" w:type="dxa"/>
            </w:tcMar>
          </w:tcPr>
          <w:p w14:paraId="0AC751E8"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Inserir</w:t>
            </w:r>
            <w:proofErr w:type="spellEnd"/>
            <w:r w:rsidRPr="009C7F96">
              <w:rPr>
                <w:rFonts w:cs="Times New Roman"/>
                <w:sz w:val="14"/>
                <w:szCs w:val="24"/>
              </w:rPr>
              <w:t xml:space="preserve"> </w:t>
            </w:r>
            <w:proofErr w:type="spellStart"/>
            <w:r w:rsidRPr="009C7F96">
              <w:rPr>
                <w:rFonts w:cs="Times New Roman"/>
                <w:sz w:val="14"/>
                <w:szCs w:val="24"/>
              </w:rPr>
              <w:t>saída</w:t>
            </w:r>
            <w:proofErr w:type="spellEnd"/>
            <w:r w:rsidRPr="009C7F96">
              <w:rPr>
                <w:rFonts w:cs="Times New Roman"/>
                <w:sz w:val="14"/>
                <w:szCs w:val="24"/>
              </w:rPr>
              <w:t xml:space="preserve"> do VAR</w:t>
            </w:r>
          </w:p>
        </w:tc>
      </w:tr>
      <w:tr w:rsidR="008E44CC" w:rsidRPr="009C7F96" w14:paraId="07AD917E" w14:textId="77777777" w:rsidTr="00AB4120">
        <w:trPr>
          <w:jc w:val="center"/>
        </w:trPr>
        <w:tc>
          <w:tcPr>
            <w:tcW w:w="3135" w:type="dxa"/>
            <w:vAlign w:val="center"/>
            <w:tcMar>
              <w:top w:w="30" w:type="dxa"/>
              <w:start w:w="30" w:type="dxa"/>
              <w:bottom w:w="30" w:type="dxa"/>
              <w:end w:w="30" w:type="dxa"/>
            </w:tcMar>
          </w:tcPr>
          <w:p w14:paraId="152C8354"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lastRenderedPageBreak/>
              <w:t>FEVD</w:t>
            </w:r>
          </w:p>
        </w:tc>
        <w:tc>
          <w:tcPr>
            <w:tcW w:w="3135" w:type="dxa"/>
            <w:vAlign w:val="center"/>
            <w:tcMar>
              <w:top w:w="30" w:type="dxa"/>
              <w:start w:w="30" w:type="dxa"/>
              <w:bottom w:w="30" w:type="dxa"/>
              <w:end w:w="30" w:type="dxa"/>
            </w:tcMar>
          </w:tcPr>
          <w:p w14:paraId="67B6FB97" w14:textId="77777777" w:rsidR="008E44CC" w:rsidRPr="009C7F96" w:rsidRDefault="008E44CC" w:rsidP="00AB4120">
            <w:pPr>
              <w:spacing w:before="0" w:after="0" w:line="240" w:lineRule="auto"/>
              <w:jc w:val="center"/>
              <w:rPr>
                <w:rFonts w:cs="Times New Roman"/>
                <w:szCs w:val="24"/>
                <w:lang w:val="pt-BR"/>
              </w:rPr>
            </w:pPr>
            <w:r w:rsidRPr="009C7F96">
              <w:rPr>
                <w:rFonts w:cs="Times New Roman"/>
                <w:sz w:val="14"/>
                <w:szCs w:val="24"/>
                <w:lang w:val="pt-BR"/>
              </w:rPr>
              <w:t>Participação de petróleo, câmbio e combustíveis na variância do IPCA</w:t>
            </w:r>
          </w:p>
        </w:tc>
        <w:tc>
          <w:tcPr>
            <w:tcW w:w="3135" w:type="dxa"/>
            <w:vAlign w:val="center"/>
            <w:tcMar>
              <w:top w:w="30" w:type="dxa"/>
              <w:start w:w="30" w:type="dxa"/>
              <w:bottom w:w="30" w:type="dxa"/>
              <w:end w:w="30" w:type="dxa"/>
            </w:tcMar>
          </w:tcPr>
          <w:p w14:paraId="71DEB408"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Inserir</w:t>
            </w:r>
            <w:proofErr w:type="spellEnd"/>
            <w:r w:rsidRPr="009C7F96">
              <w:rPr>
                <w:rFonts w:cs="Times New Roman"/>
                <w:sz w:val="14"/>
                <w:szCs w:val="24"/>
              </w:rPr>
              <w:t xml:space="preserve"> </w:t>
            </w:r>
            <w:proofErr w:type="spellStart"/>
            <w:r w:rsidRPr="009C7F96">
              <w:rPr>
                <w:rFonts w:cs="Times New Roman"/>
                <w:sz w:val="14"/>
                <w:szCs w:val="24"/>
              </w:rPr>
              <w:t>saída</w:t>
            </w:r>
            <w:proofErr w:type="spellEnd"/>
            <w:r w:rsidRPr="009C7F96">
              <w:rPr>
                <w:rFonts w:cs="Times New Roman"/>
                <w:sz w:val="14"/>
                <w:szCs w:val="24"/>
              </w:rPr>
              <w:t xml:space="preserve"> do VAR</w:t>
            </w:r>
          </w:p>
        </w:tc>
      </w:tr>
      <w:tr w:rsidR="008E44CC" w:rsidRPr="009C7F96" w14:paraId="5D39D7E2" w14:textId="77777777" w:rsidTr="00AB4120">
        <w:trPr>
          <w:jc w:val="center"/>
        </w:trPr>
        <w:tc>
          <w:tcPr>
            <w:tcW w:w="3135" w:type="dxa"/>
            <w:vAlign w:val="center"/>
            <w:tcMar>
              <w:top w:w="30" w:type="dxa"/>
              <w:start w:w="30" w:type="dxa"/>
              <w:bottom w:w="30" w:type="dxa"/>
              <w:end w:w="30" w:type="dxa"/>
            </w:tcMar>
          </w:tcPr>
          <w:p w14:paraId="28B3488B"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Diagnósticos</w:t>
            </w:r>
            <w:proofErr w:type="spellEnd"/>
          </w:p>
        </w:tc>
        <w:tc>
          <w:tcPr>
            <w:tcW w:w="3135" w:type="dxa"/>
            <w:vAlign w:val="center"/>
            <w:tcMar>
              <w:top w:w="30" w:type="dxa"/>
              <w:start w:w="30" w:type="dxa"/>
              <w:bottom w:w="30" w:type="dxa"/>
              <w:end w:w="30" w:type="dxa"/>
            </w:tcMar>
          </w:tcPr>
          <w:p w14:paraId="00F2D810" w14:textId="77777777" w:rsidR="008E44CC" w:rsidRPr="009C7F96" w:rsidRDefault="008E44CC" w:rsidP="00AB4120">
            <w:pPr>
              <w:spacing w:before="0" w:after="0" w:line="240" w:lineRule="auto"/>
              <w:jc w:val="center"/>
              <w:rPr>
                <w:rFonts w:cs="Times New Roman"/>
                <w:szCs w:val="24"/>
                <w:lang w:val="pt-BR"/>
              </w:rPr>
            </w:pPr>
            <w:r w:rsidRPr="009C7F96">
              <w:rPr>
                <w:rFonts w:cs="Times New Roman"/>
                <w:sz w:val="14"/>
                <w:szCs w:val="24"/>
                <w:lang w:val="pt-BR"/>
              </w:rPr>
              <w:t>Autocorrelação, normalidade, heterocedasticidade e estabilidade</w:t>
            </w:r>
          </w:p>
        </w:tc>
        <w:tc>
          <w:tcPr>
            <w:tcW w:w="3135" w:type="dxa"/>
            <w:vAlign w:val="center"/>
            <w:tcMar>
              <w:top w:w="30" w:type="dxa"/>
              <w:start w:w="30" w:type="dxa"/>
              <w:bottom w:w="30" w:type="dxa"/>
              <w:end w:w="30" w:type="dxa"/>
            </w:tcMar>
          </w:tcPr>
          <w:p w14:paraId="7F578FF0"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Inserir</w:t>
            </w:r>
            <w:proofErr w:type="spellEnd"/>
            <w:r w:rsidRPr="009C7F96">
              <w:rPr>
                <w:rFonts w:cs="Times New Roman"/>
                <w:sz w:val="14"/>
                <w:szCs w:val="24"/>
              </w:rPr>
              <w:t xml:space="preserve"> </w:t>
            </w:r>
            <w:proofErr w:type="spellStart"/>
            <w:r w:rsidRPr="009C7F96">
              <w:rPr>
                <w:rFonts w:cs="Times New Roman"/>
                <w:sz w:val="14"/>
                <w:szCs w:val="24"/>
              </w:rPr>
              <w:t>saída</w:t>
            </w:r>
            <w:proofErr w:type="spellEnd"/>
            <w:r w:rsidRPr="009C7F96">
              <w:rPr>
                <w:rFonts w:cs="Times New Roman"/>
                <w:sz w:val="14"/>
                <w:szCs w:val="24"/>
              </w:rPr>
              <w:t xml:space="preserve"> do VAR</w:t>
            </w:r>
          </w:p>
        </w:tc>
      </w:tr>
      <w:tr w:rsidR="008E44CC" w:rsidRPr="009C7F96" w14:paraId="7F23596B" w14:textId="77777777" w:rsidTr="00AB4120">
        <w:trPr>
          <w:jc w:val="center"/>
        </w:trPr>
        <w:tc>
          <w:tcPr>
            <w:tcW w:w="3135" w:type="dxa"/>
            <w:vAlign w:val="center"/>
            <w:tcMar>
              <w:top w:w="30" w:type="dxa"/>
              <w:start w:w="30" w:type="dxa"/>
              <w:bottom w:w="30" w:type="dxa"/>
              <w:end w:w="30" w:type="dxa"/>
            </w:tcMar>
          </w:tcPr>
          <w:p w14:paraId="0F1BDB7C" w14:textId="77777777" w:rsidR="008E44CC" w:rsidRPr="009C7F96" w:rsidRDefault="008E44CC" w:rsidP="00AB4120">
            <w:pPr>
              <w:spacing w:before="0" w:after="0" w:line="240" w:lineRule="auto"/>
              <w:jc w:val="center"/>
              <w:rPr>
                <w:rFonts w:cs="Times New Roman"/>
                <w:szCs w:val="24"/>
              </w:rPr>
            </w:pPr>
            <w:r w:rsidRPr="009C7F96">
              <w:rPr>
                <w:rFonts w:cs="Times New Roman"/>
                <w:sz w:val="14"/>
                <w:szCs w:val="24"/>
              </w:rPr>
              <w:t>Cholesky</w:t>
            </w:r>
          </w:p>
        </w:tc>
        <w:tc>
          <w:tcPr>
            <w:tcW w:w="3135" w:type="dxa"/>
            <w:vAlign w:val="center"/>
            <w:tcMar>
              <w:top w:w="30" w:type="dxa"/>
              <w:start w:w="30" w:type="dxa"/>
              <w:bottom w:w="30" w:type="dxa"/>
              <w:end w:w="30" w:type="dxa"/>
            </w:tcMar>
          </w:tcPr>
          <w:p w14:paraId="3ABFEA7B" w14:textId="77777777" w:rsidR="008E44CC" w:rsidRPr="009C7F96" w:rsidRDefault="008E44CC" w:rsidP="00AB4120">
            <w:pPr>
              <w:spacing w:before="0" w:after="0" w:line="240" w:lineRule="auto"/>
              <w:jc w:val="center"/>
              <w:rPr>
                <w:rFonts w:cs="Times New Roman"/>
                <w:szCs w:val="24"/>
                <w:lang w:val="pt-BR"/>
              </w:rPr>
            </w:pPr>
            <w:r w:rsidRPr="009C7F96">
              <w:rPr>
                <w:rFonts w:cs="Times New Roman"/>
                <w:sz w:val="14"/>
                <w:szCs w:val="24"/>
                <w:lang w:val="pt-BR"/>
              </w:rPr>
              <w:t>Sensibilidade dos sinais à ordem das variáveis</w:t>
            </w:r>
          </w:p>
        </w:tc>
        <w:tc>
          <w:tcPr>
            <w:tcW w:w="3135" w:type="dxa"/>
            <w:vAlign w:val="center"/>
            <w:tcMar>
              <w:top w:w="30" w:type="dxa"/>
              <w:start w:w="30" w:type="dxa"/>
              <w:bottom w:w="30" w:type="dxa"/>
              <w:end w:w="30" w:type="dxa"/>
            </w:tcMar>
          </w:tcPr>
          <w:p w14:paraId="6F9340A1" w14:textId="77777777" w:rsidR="008E44CC" w:rsidRPr="009C7F96" w:rsidRDefault="008E44CC" w:rsidP="00AB4120">
            <w:pPr>
              <w:spacing w:before="0" w:after="0" w:line="240" w:lineRule="auto"/>
              <w:jc w:val="center"/>
              <w:rPr>
                <w:rFonts w:cs="Times New Roman"/>
                <w:szCs w:val="24"/>
              </w:rPr>
            </w:pPr>
            <w:proofErr w:type="spellStart"/>
            <w:r w:rsidRPr="009C7F96">
              <w:rPr>
                <w:rFonts w:cs="Times New Roman"/>
                <w:sz w:val="14"/>
                <w:szCs w:val="24"/>
              </w:rPr>
              <w:t>Inserir</w:t>
            </w:r>
            <w:proofErr w:type="spellEnd"/>
            <w:r w:rsidRPr="009C7F96">
              <w:rPr>
                <w:rFonts w:cs="Times New Roman"/>
                <w:sz w:val="14"/>
                <w:szCs w:val="24"/>
              </w:rPr>
              <w:t xml:space="preserve"> </w:t>
            </w:r>
            <w:proofErr w:type="spellStart"/>
            <w:r w:rsidRPr="009C7F96">
              <w:rPr>
                <w:rFonts w:cs="Times New Roman"/>
                <w:sz w:val="14"/>
                <w:szCs w:val="24"/>
              </w:rPr>
              <w:t>saída</w:t>
            </w:r>
            <w:proofErr w:type="spellEnd"/>
            <w:r w:rsidRPr="009C7F96">
              <w:rPr>
                <w:rFonts w:cs="Times New Roman"/>
                <w:sz w:val="14"/>
                <w:szCs w:val="24"/>
              </w:rPr>
              <w:t xml:space="preserve"> do VAR</w:t>
            </w:r>
          </w:p>
        </w:tc>
      </w:tr>
    </w:tbl>
    <w:p w14:paraId="0A2A64AC" w14:textId="77777777" w:rsidR="008E44CC" w:rsidRPr="009C7F96" w:rsidRDefault="008E44CC" w:rsidP="008E44CC">
      <w:pPr>
        <w:spacing w:after="120" w:line="240" w:lineRule="auto"/>
        <w:ind w:firstLine="0"/>
        <w:jc w:val="center"/>
        <w:rPr>
          <w:rFonts w:cs="Times New Roman"/>
          <w:szCs w:val="24"/>
        </w:rPr>
      </w:pPr>
      <w:r w:rsidRPr="009C7F96">
        <w:rPr>
          <w:rFonts w:cs="Times New Roman"/>
          <w:sz w:val="20"/>
          <w:szCs w:val="24"/>
        </w:rPr>
        <w:t xml:space="preserve">Fonte: </w:t>
      </w:r>
      <w:proofErr w:type="spellStart"/>
      <w:r w:rsidRPr="009C7F96">
        <w:rPr>
          <w:rFonts w:cs="Times New Roman"/>
          <w:sz w:val="20"/>
          <w:szCs w:val="24"/>
        </w:rPr>
        <w:t>Elaboração</w:t>
      </w:r>
      <w:proofErr w:type="spellEnd"/>
      <w:r w:rsidRPr="009C7F96">
        <w:rPr>
          <w:rFonts w:cs="Times New Roman"/>
          <w:sz w:val="20"/>
          <w:szCs w:val="24"/>
        </w:rPr>
        <w:t xml:space="preserve"> </w:t>
      </w:r>
      <w:proofErr w:type="spellStart"/>
      <w:r w:rsidRPr="009C7F96">
        <w:rPr>
          <w:rFonts w:cs="Times New Roman"/>
          <w:sz w:val="20"/>
          <w:szCs w:val="24"/>
        </w:rPr>
        <w:t>própria</w:t>
      </w:r>
      <w:proofErr w:type="spellEnd"/>
      <w:r w:rsidRPr="009C7F96">
        <w:rPr>
          <w:rFonts w:cs="Times New Roman"/>
          <w:sz w:val="20"/>
          <w:szCs w:val="24"/>
        </w:rPr>
        <w:t>.</w:t>
      </w:r>
    </w:p>
    <w:p w14:paraId="1764C545" w14:textId="77777777" w:rsidR="008E44CC" w:rsidRPr="009C7F96" w:rsidRDefault="008E44CC" w:rsidP="008E44CC">
      <w:pPr>
        <w:pStyle w:val="Heading2"/>
        <w:spacing w:before="240" w:after="120"/>
        <w:jc w:val="both"/>
        <w:rPr>
          <w:rFonts w:cs="Times New Roman"/>
          <w:szCs w:val="24"/>
        </w:rPr>
      </w:pPr>
      <w:bookmarkStart w:id="39" w:name="_Toc229695966"/>
      <w:r>
        <w:rPr>
          <w:rFonts w:ascii="Times New Roman" w:eastAsia="Times New Roman" w:hAnsi="Times New Roman"/>
        </w:rPr>
        <w:t>4.8 Síntese dos resultados</w:t>
      </w:r>
      <w:bookmarkEnd w:id="39"/>
    </w:p>
    <w:p w14:paraId="0FF0B70B" w14:textId="77777777" w:rsidR="008E44CC" w:rsidRPr="009C7F96" w:rsidRDefault="008E44CC" w:rsidP="008E44CC">
      <w:pPr>
        <w:spacing w:after="120"/>
        <w:rPr>
          <w:rFonts w:cs="Times New Roman"/>
          <w:szCs w:val="24"/>
          <w:lang w:val="pt-BR"/>
        </w:rPr>
      </w:pPr>
      <w:r w:rsidRPr="00366C9E">
        <w:rPr>
          <w:lang w:val="pt-BR"/>
        </w:rPr>
        <w:t xml:space="preserve">Os resultados das Local </w:t>
      </w:r>
      <w:proofErr w:type="spellStart"/>
      <w:r w:rsidRPr="00366C9E">
        <w:rPr>
          <w:lang w:val="pt-BR"/>
        </w:rPr>
        <w:t>Projections</w:t>
      </w:r>
      <w:proofErr w:type="spellEnd"/>
      <w:r w:rsidRPr="00366C9E">
        <w:rPr>
          <w:lang w:val="pt-BR"/>
        </w:rPr>
        <w:t xml:space="preserve"> indicam que o canal de transmissão do petróleo para a inflação brasileira opera principalmente por meio dos combustíveis. O primeiro estágio do mecanismo aparece na resposta positiva do diesel e da gasolina de refinaria a choques no petróleo, inclusive quando o petróleo é medido em reais. O segundo estágio aparece na resposta mais forte do IPCA Transportes em relação ao IPCA Geral. As estimações por regime mostram que a Petrobras e a estrutura doméstica de preços alteram a intensidade e o timing do repasse, mas de forma heterogênea entre produtos e horizontes. O exercício com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reforça a interpretação de que choques externos de oferta têm efeitos mais claros sobre combustíveis e transporte do que sobre a inflação agregada.</w:t>
      </w:r>
    </w:p>
    <w:p w14:paraId="20AAE5B5" w14:textId="77777777" w:rsidR="008E44CC" w:rsidRPr="009C7F96" w:rsidRDefault="008E44CC" w:rsidP="008E44CC">
      <w:pPr>
        <w:spacing w:after="120"/>
        <w:rPr>
          <w:rFonts w:cs="Times New Roman"/>
          <w:szCs w:val="24"/>
          <w:lang w:val="pt-BR"/>
        </w:rPr>
      </w:pPr>
      <w:r w:rsidRPr="009C7F96">
        <w:rPr>
          <w:rFonts w:cs="Times New Roman"/>
          <w:szCs w:val="24"/>
          <w:lang w:val="pt-BR"/>
        </w:rPr>
        <w:t>Do ponto de vista econômico, esse resultado é coerente com a composição do IPCA e com o papel dos combustíveis no grupo de transportes. O choque de energia não se espalha integralmente para toda a cesta de consumo, mas afeta com maior intensidade o componente diretamente ligado aos combustíveis. Portanto, a evidência empírica sustenta a hipótese de que o repasse existe, mas é parcial, setorialmente concentrado e condicionado pela estrutura doméstica de preços.</w:t>
      </w:r>
    </w:p>
    <w:p w14:paraId="573B19E2" w14:textId="77777777" w:rsidR="008E44CC" w:rsidRPr="009C7F96" w:rsidRDefault="008E44CC" w:rsidP="008E44CC">
      <w:pPr>
        <w:spacing w:after="120"/>
        <w:rPr>
          <w:rFonts w:cs="Times New Roman"/>
          <w:szCs w:val="24"/>
          <w:lang w:val="pt-BR"/>
        </w:rPr>
      </w:pPr>
      <w:r w:rsidRPr="009C7F96">
        <w:rPr>
          <w:rFonts w:cs="Times New Roman"/>
          <w:szCs w:val="24"/>
          <w:lang w:val="pt-BR"/>
        </w:rPr>
        <w:t xml:space="preserve">Em termos de contribuição para o trabalho, os resultados reforçam a importância de separar o IPCA Geral do IPCA Transporte e de incluir a gasolina de refinaria como variável intermediária. Sem essa separação, o efeito do petróleo poderia parecer fraco ou instável no índice agregado. Ao decompor o canal, observa-se que o efeito é mais nítido na etapa petróleo-combustíveis e no componente de transportes da inflação. Essa leitura também justifica o uso do VAR como robustez, </w:t>
      </w:r>
      <w:r w:rsidRPr="009C7F96">
        <w:rPr>
          <w:rFonts w:cs="Times New Roman"/>
          <w:szCs w:val="24"/>
          <w:lang w:val="pt-BR"/>
        </w:rPr>
        <w:lastRenderedPageBreak/>
        <w:t xml:space="preserve">pois a evidência principal das Local </w:t>
      </w:r>
      <w:proofErr w:type="spellStart"/>
      <w:r w:rsidRPr="009C7F96">
        <w:rPr>
          <w:rFonts w:cs="Times New Roman"/>
          <w:szCs w:val="24"/>
          <w:lang w:val="pt-BR"/>
        </w:rPr>
        <w:t>Projections</w:t>
      </w:r>
      <w:proofErr w:type="spellEnd"/>
      <w:r w:rsidRPr="009C7F96">
        <w:rPr>
          <w:rFonts w:cs="Times New Roman"/>
          <w:szCs w:val="24"/>
          <w:lang w:val="pt-BR"/>
        </w:rPr>
        <w:t xml:space="preserve"> deve ser confrontada com uma estrutura multivariada tradicional antes da conclusão final.</w:t>
      </w:r>
    </w:p>
    <w:p w14:paraId="115CD7BC" w14:textId="77777777" w:rsidR="008E44CC" w:rsidRPr="009C7F96" w:rsidRDefault="008E44CC" w:rsidP="008E44CC">
      <w:pPr>
        <w:pStyle w:val="Heading1"/>
        <w:rPr>
          <w:rFonts w:cs="Times New Roman"/>
          <w:szCs w:val="24"/>
        </w:rPr>
      </w:pPr>
      <w:bookmarkStart w:id="40" w:name="_Toc229695967"/>
      <w:r w:rsidRPr="009C7F96">
        <w:rPr>
          <w:rFonts w:ascii="Times New Roman" w:eastAsia="Times New Roman" w:hAnsi="Times New Roman" w:cs="Times New Roman"/>
          <w:szCs w:val="24"/>
        </w:rPr>
        <w:t>5 CONCLUSÃO</w:t>
      </w:r>
      <w:bookmarkEnd w:id="40"/>
    </w:p>
    <w:p w14:paraId="31CCF89A" w14:textId="77777777" w:rsidR="008E44CC" w:rsidRPr="009C7F96" w:rsidRDefault="008E44CC" w:rsidP="008E44CC">
      <w:pPr>
        <w:spacing w:after="120"/>
        <w:rPr>
          <w:rFonts w:cs="Times New Roman"/>
          <w:szCs w:val="24"/>
          <w:lang w:val="pt-BR"/>
        </w:rPr>
      </w:pPr>
      <w:r w:rsidRPr="00366C9E">
        <w:rPr>
          <w:lang w:val="pt-BR"/>
        </w:rPr>
        <w:t>Este trabalho analisou em que medida choques no preço internacional do petróleo são transmitidos aos preços domésticos dos combustíveis e à inflação brasileira entre 2003 e 2026. A hipótese central foi que o repasse ocorre principalmente por meio dos combustíveis, com efeito mais evidente no IPCA Transportes do que no IPCA Geral, e que a política de preços da Petrobras altera a intensidade e o timing desse processo.</w:t>
      </w:r>
    </w:p>
    <w:p w14:paraId="1F69F35B" w14:textId="77777777" w:rsidR="008E44CC" w:rsidRPr="009C7F96" w:rsidRDefault="008E44CC" w:rsidP="008E44CC">
      <w:pPr>
        <w:spacing w:after="120"/>
        <w:rPr>
          <w:rFonts w:cs="Times New Roman"/>
          <w:szCs w:val="24"/>
          <w:lang w:val="pt-BR"/>
        </w:rPr>
      </w:pPr>
      <w:r w:rsidRPr="00366C9E">
        <w:rPr>
          <w:lang w:val="pt-BR"/>
        </w:rPr>
        <w:t xml:space="preserve">Os resultados sustentam essa hipótese. As Local </w:t>
      </w:r>
      <w:proofErr w:type="spellStart"/>
      <w:r w:rsidRPr="00366C9E">
        <w:rPr>
          <w:lang w:val="pt-BR"/>
        </w:rPr>
        <w:t>Projections</w:t>
      </w:r>
      <w:proofErr w:type="spellEnd"/>
      <w:r w:rsidRPr="00366C9E">
        <w:rPr>
          <w:lang w:val="pt-BR"/>
        </w:rPr>
        <w:t xml:space="preserve"> mostram que choques no petróleo elevam os preços dos combustíveis, sobretudo o diesel e a gasolina de refinaria. Quando o petróleo é convertido para reais, a evidência permanece robusta: no horizonte de 12 meses, o efeito é estatisticamente significativo para o diesel e para a gasolina de refinaria. O impacto direto sobre o IPCA Geral é menor e menos preciso, enquanto o IPCA Transportes apresenta resposta mais elevada e consistente.</w:t>
      </w:r>
    </w:p>
    <w:p w14:paraId="3EA9A182" w14:textId="77777777" w:rsidR="008E44CC" w:rsidRPr="009C7F96" w:rsidRDefault="008E44CC" w:rsidP="008E44CC">
      <w:pPr>
        <w:spacing w:after="120"/>
        <w:rPr>
          <w:rFonts w:cs="Times New Roman"/>
          <w:szCs w:val="24"/>
          <w:lang w:val="pt-BR"/>
        </w:rPr>
      </w:pPr>
      <w:r w:rsidRPr="00366C9E">
        <w:rPr>
          <w:lang w:val="pt-BR"/>
        </w:rPr>
        <w:t>A análise por regimes mostra que o repasse não é homogêneo ao longo do tempo. Nos gráficos com corte em setembro de 2016, observa-se que a Petrobras altera o timing e a magnitude da transmissão, mas sem produzir um padrão único para todos os combustíveis e horizontes. Em alguns canais, o período posterior ao corte sugere maior aderência dos combustíveis domésticos ao petróleo em reais; em outros, a resposta aparece mais forte antes do corte, especialmente quando a variável analisada é o IPCA Transportes. Portanto, a evidência não deve ser resumida como aumento geral do repasse depois de setembro de 2016, mas como mudança heterogênea da transmissão, dependente do produto, do índice de preços e do horizonte analisado.</w:t>
      </w:r>
    </w:p>
    <w:p w14:paraId="0CA5BB97" w14:textId="77777777" w:rsidR="008E44CC" w:rsidRPr="009C7F96" w:rsidRDefault="008E44CC" w:rsidP="008E44CC">
      <w:pPr>
        <w:spacing w:after="120"/>
        <w:rPr>
          <w:rFonts w:cs="Times New Roman"/>
          <w:szCs w:val="24"/>
          <w:lang w:val="pt-BR"/>
        </w:rPr>
      </w:pPr>
      <w:r w:rsidRPr="00366C9E">
        <w:rPr>
          <w:lang w:val="pt-BR"/>
        </w:rPr>
        <w:t xml:space="preserve">O exercício com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contribui para fortalecer a identificação do choque de petróleo. O primeiro estágio do LP-IV apresentou estatísticas F muito superiores à regra prática de 10, indicando forte relevância do instrumento. As respostas estimadas com petróleo em reais instrumentado confirmam efeito positivo sobre o diesel até 12 meses e efeito de curto prazo sobre o IPCA Transportes. Esses resultados reforçam a leitura de que choques externos de oferta se </w:t>
      </w:r>
      <w:proofErr w:type="spellStart"/>
      <w:r w:rsidRPr="00366C9E">
        <w:rPr>
          <w:lang w:val="pt-BR"/>
        </w:rPr>
        <w:t>transmitem</w:t>
      </w:r>
      <w:proofErr w:type="spellEnd"/>
      <w:r w:rsidRPr="00366C9E">
        <w:rPr>
          <w:lang w:val="pt-BR"/>
        </w:rPr>
        <w:t xml:space="preserve"> primeiro aos combustíveis e apenas parcialmente à inflação agregada.</w:t>
      </w:r>
    </w:p>
    <w:p w14:paraId="4D1A4EA5" w14:textId="5B776C82" w:rsidR="008E44CC" w:rsidRPr="009C7F96" w:rsidRDefault="008E44CC" w:rsidP="008E44CC">
      <w:pPr>
        <w:spacing w:after="120"/>
        <w:rPr>
          <w:rFonts w:cs="Times New Roman"/>
          <w:szCs w:val="24"/>
          <w:lang w:val="pt-BR"/>
        </w:rPr>
      </w:pPr>
      <w:r w:rsidRPr="00366C9E">
        <w:rPr>
          <w:lang w:val="pt-BR"/>
        </w:rPr>
        <w:t xml:space="preserve">Como robustez, o VAR oferece uma leitura sistêmica das relações dinâmicas entre petróleo, câmbio, combustíveis, atividade, expectativas, Selic e inflação. A interpretação conjunta de Local </w:t>
      </w:r>
      <w:proofErr w:type="spellStart"/>
      <w:r w:rsidRPr="00366C9E">
        <w:rPr>
          <w:lang w:val="pt-BR"/>
        </w:rPr>
        <w:t>Projections</w:t>
      </w:r>
      <w:proofErr w:type="spellEnd"/>
      <w:r w:rsidRPr="00366C9E">
        <w:rPr>
          <w:lang w:val="pt-BR"/>
        </w:rPr>
        <w:t xml:space="preserve">, regimes Petrobras, Brent em reais, LP-IV e VAR sugere que a inflação brasileira </w:t>
      </w:r>
      <w:r w:rsidRPr="00366C9E">
        <w:rPr>
          <w:lang w:val="pt-BR"/>
        </w:rPr>
        <w:lastRenderedPageBreak/>
        <w:t>responde a choques internacionais de petróleo de forma indireta, setorial e institucionalmente condicionada. O canal dos combustíveis é relevante, mas a magnitude final sobre o IPCA Geral depende da composição do índice, da política de preços, do câmbio e das condições macroeconômicas do período.</w:t>
      </w:r>
    </w:p>
    <w:p w14:paraId="0547F207" w14:textId="77777777" w:rsidR="008E44CC" w:rsidRPr="009C7F96" w:rsidRDefault="008E44CC" w:rsidP="008E44CC">
      <w:pPr>
        <w:spacing w:after="120"/>
        <w:rPr>
          <w:rFonts w:cs="Times New Roman"/>
          <w:szCs w:val="24"/>
          <w:lang w:val="pt-BR"/>
        </w:rPr>
      </w:pPr>
      <w:r w:rsidRPr="00366C9E">
        <w:rPr>
          <w:lang w:val="pt-BR"/>
        </w:rPr>
        <w:t>A principal limitação do trabalho é que a identificação econométrica, embora fortalecida pelo uso de uma série externa de choque de oferta, ainda depende das escolhas de transformação, defasagens, controles e horizontes. Além disso, a política de preços da Petrobras é complexa e não pode ser totalmente resumida por uma única quebra temporal. Pesquisas futuras podem explorar quebras adicionais, modelos com parâmetros variantes no tempo, decomposição por subitens do IPCA e comparação com outros países emergentes em que empresas estatais ou políticas domésticas interferem no repasse de commodities para a inflação.</w:t>
      </w:r>
    </w:p>
    <w:p w14:paraId="341CA11A" w14:textId="77777777" w:rsidR="008E44CC" w:rsidRPr="009C7F96" w:rsidRDefault="008E44CC" w:rsidP="008E44CC">
      <w:pPr>
        <w:pStyle w:val="Heading1"/>
        <w:spacing w:before="240" w:after="120" w:line="240" w:lineRule="auto"/>
        <w:jc w:val="center"/>
        <w:rPr>
          <w:rFonts w:cs="Times New Roman"/>
          <w:szCs w:val="24"/>
        </w:rPr>
      </w:pPr>
      <w:bookmarkStart w:id="41" w:name="_Toc229695968"/>
      <w:r w:rsidRPr="009C7F96">
        <w:rPr>
          <w:rFonts w:ascii="Times New Roman" w:eastAsia="Times New Roman" w:hAnsi="Times New Roman" w:cs="Times New Roman"/>
          <w:szCs w:val="24"/>
        </w:rPr>
        <w:t>REFERÊNCIAS</w:t>
      </w:r>
      <w:bookmarkEnd w:id="41"/>
    </w:p>
    <w:p w14:paraId="495D42E1" w14:textId="77777777" w:rsidR="008E44CC" w:rsidRPr="009C7F96" w:rsidRDefault="008E44CC" w:rsidP="008E44CC">
      <w:pPr>
        <w:spacing w:after="120"/>
        <w:rPr>
          <w:rFonts w:cs="Times New Roman"/>
          <w:szCs w:val="24"/>
        </w:rPr>
      </w:pPr>
      <w:r w:rsidRPr="009C7F96">
        <w:rPr>
          <w:rFonts w:cs="Times New Roman"/>
          <w:szCs w:val="24"/>
          <w:lang w:val="pt-BR"/>
        </w:rPr>
        <w:t xml:space="preserve">ALMEIDA, Edmar; OLIVEIRA, </w:t>
      </w:r>
      <w:proofErr w:type="spellStart"/>
      <w:r w:rsidRPr="009C7F96">
        <w:rPr>
          <w:rFonts w:cs="Times New Roman"/>
          <w:szCs w:val="24"/>
          <w:lang w:val="pt-BR"/>
        </w:rPr>
        <w:t>Patricia</w:t>
      </w:r>
      <w:proofErr w:type="spellEnd"/>
      <w:r w:rsidRPr="009C7F96">
        <w:rPr>
          <w:rFonts w:cs="Times New Roman"/>
          <w:szCs w:val="24"/>
          <w:lang w:val="pt-BR"/>
        </w:rPr>
        <w:t xml:space="preserve">; LOSEKANN, Luciano. Impactos da contenção dos preços de combustíveis no Brasil e opções de mecanismos de precificação. </w:t>
      </w:r>
      <w:r w:rsidRPr="009C7F96">
        <w:rPr>
          <w:rFonts w:cs="Times New Roman"/>
          <w:szCs w:val="24"/>
        </w:rPr>
        <w:t>Revista de Economia Política, São Paulo, 2015.</w:t>
      </w:r>
    </w:p>
    <w:p w14:paraId="19DB82D0" w14:textId="77777777" w:rsidR="008E44CC" w:rsidRPr="009C7F96" w:rsidRDefault="008E44CC" w:rsidP="008E44CC">
      <w:pPr>
        <w:spacing w:after="120"/>
        <w:rPr>
          <w:rFonts w:cs="Times New Roman"/>
          <w:szCs w:val="24"/>
        </w:rPr>
      </w:pPr>
      <w:r w:rsidRPr="009C7F96">
        <w:rPr>
          <w:rFonts w:cs="Times New Roman"/>
          <w:szCs w:val="24"/>
        </w:rPr>
        <w:t>ALLON-PINEDA, Joan Christine S.; OCAMPO, Jan Christopher G.; SANTOS, Eduard Renzo D. Second-round effects and asymmetry in oil and food price shocks to inflation. Latin American Journal of Central Banking, 2025.</w:t>
      </w:r>
    </w:p>
    <w:p w14:paraId="15362D92" w14:textId="77777777" w:rsidR="008E44CC" w:rsidRPr="009C7F96" w:rsidRDefault="008E44CC" w:rsidP="008E44CC">
      <w:pPr>
        <w:spacing w:after="120"/>
        <w:rPr>
          <w:rFonts w:cs="Times New Roman"/>
          <w:szCs w:val="24"/>
        </w:rPr>
      </w:pPr>
      <w:r w:rsidRPr="009C7F96">
        <w:rPr>
          <w:rFonts w:cs="Times New Roman"/>
          <w:szCs w:val="24"/>
        </w:rPr>
        <w:t>ALVAREZ, Jorge A.; KROEN, Thomas. The energy origins of the global inflation surge. IMF Working Paper, Washington, D.C., 2025.</w:t>
      </w:r>
    </w:p>
    <w:p w14:paraId="5A7F02DE" w14:textId="77777777" w:rsidR="008E44CC" w:rsidRPr="009C7F96" w:rsidRDefault="008E44CC" w:rsidP="008E44CC">
      <w:pPr>
        <w:spacing w:after="120"/>
        <w:rPr>
          <w:rFonts w:cs="Times New Roman"/>
          <w:szCs w:val="24"/>
        </w:rPr>
      </w:pPr>
      <w:r w:rsidRPr="009C7F96">
        <w:rPr>
          <w:rFonts w:cs="Times New Roman"/>
          <w:szCs w:val="24"/>
        </w:rPr>
        <w:t>BARNICHON, Régis; BROWNLEES, Christian. Impulse response estimation by smooth local projections. The Review of Economics and Statistics, Cambridge, v. 101, n. 3, p. 522-530, 2019.</w:t>
      </w:r>
    </w:p>
    <w:p w14:paraId="559DEDC4" w14:textId="77777777" w:rsidR="008E44CC" w:rsidRPr="009C7F96" w:rsidRDefault="008E44CC" w:rsidP="008E44CC">
      <w:pPr>
        <w:spacing w:after="120"/>
        <w:rPr>
          <w:rFonts w:cs="Times New Roman"/>
          <w:szCs w:val="24"/>
        </w:rPr>
      </w:pPr>
      <w:r w:rsidRPr="009C7F96">
        <w:rPr>
          <w:rFonts w:cs="Times New Roman"/>
          <w:szCs w:val="24"/>
        </w:rPr>
        <w:t>BLANCHARD, Olivier J.; GALÍ, Jordi. The macroeconomic effects of oil shocks: why are the 2000s so different from the 1970s? NBER Working Paper, n. 13368, 2007.</w:t>
      </w:r>
    </w:p>
    <w:p w14:paraId="26B7605B" w14:textId="77777777" w:rsidR="008E44CC" w:rsidRPr="009C7F96" w:rsidRDefault="008E44CC" w:rsidP="008E44CC">
      <w:pPr>
        <w:spacing w:after="120"/>
        <w:rPr>
          <w:rFonts w:cs="Times New Roman"/>
          <w:szCs w:val="24"/>
        </w:rPr>
      </w:pPr>
      <w:r w:rsidRPr="009C7F96">
        <w:rPr>
          <w:rFonts w:cs="Times New Roman"/>
          <w:szCs w:val="24"/>
        </w:rPr>
        <w:t xml:space="preserve">CHOI, </w:t>
      </w:r>
      <w:proofErr w:type="spellStart"/>
      <w:r w:rsidRPr="009C7F96">
        <w:rPr>
          <w:rFonts w:cs="Times New Roman"/>
          <w:szCs w:val="24"/>
        </w:rPr>
        <w:t>Sangyup</w:t>
      </w:r>
      <w:proofErr w:type="spellEnd"/>
      <w:r w:rsidRPr="009C7F96">
        <w:rPr>
          <w:rFonts w:cs="Times New Roman"/>
          <w:szCs w:val="24"/>
        </w:rPr>
        <w:t xml:space="preserve"> et al. Oil prices and inflation dynamics: evidence from advanced and developing economies. Journal of International Money and Finance, v. 82, p. 71-96, 2018.</w:t>
      </w:r>
    </w:p>
    <w:p w14:paraId="63F848F7" w14:textId="77777777" w:rsidR="008E44CC" w:rsidRPr="009C7F96" w:rsidRDefault="008E44CC" w:rsidP="008E44CC">
      <w:pPr>
        <w:spacing w:after="120"/>
        <w:rPr>
          <w:rFonts w:cs="Times New Roman"/>
          <w:szCs w:val="24"/>
          <w:lang w:val="pt-BR"/>
        </w:rPr>
      </w:pPr>
      <w:r w:rsidRPr="009C7F96">
        <w:rPr>
          <w:rFonts w:cs="Times New Roman"/>
          <w:szCs w:val="24"/>
        </w:rPr>
        <w:lastRenderedPageBreak/>
        <w:t xml:space="preserve">CORNEJO, Magdalena; HALLACK, Michelle; MATIAS, David. The role of renewables in smoothing the impact of oil and gas price shocks on inflation: the LAC experience. </w:t>
      </w:r>
      <w:proofErr w:type="spellStart"/>
      <w:r w:rsidRPr="009C7F96">
        <w:rPr>
          <w:rFonts w:cs="Times New Roman"/>
          <w:szCs w:val="24"/>
          <w:lang w:val="pt-BR"/>
        </w:rPr>
        <w:t>Resources</w:t>
      </w:r>
      <w:proofErr w:type="spellEnd"/>
      <w:r w:rsidRPr="009C7F96">
        <w:rPr>
          <w:rFonts w:cs="Times New Roman"/>
          <w:szCs w:val="24"/>
          <w:lang w:val="pt-BR"/>
        </w:rPr>
        <w:t xml:space="preserve"> </w:t>
      </w:r>
      <w:proofErr w:type="spellStart"/>
      <w:r w:rsidRPr="009C7F96">
        <w:rPr>
          <w:rFonts w:cs="Times New Roman"/>
          <w:szCs w:val="24"/>
          <w:lang w:val="pt-BR"/>
        </w:rPr>
        <w:t>Policy</w:t>
      </w:r>
      <w:proofErr w:type="spellEnd"/>
      <w:r w:rsidRPr="009C7F96">
        <w:rPr>
          <w:rFonts w:cs="Times New Roman"/>
          <w:szCs w:val="24"/>
          <w:lang w:val="pt-BR"/>
        </w:rPr>
        <w:t>, v. 105, 2025.</w:t>
      </w:r>
    </w:p>
    <w:p w14:paraId="471417A1" w14:textId="77777777" w:rsidR="008E44CC" w:rsidRPr="009C7F96" w:rsidRDefault="008E44CC" w:rsidP="008E44CC">
      <w:pPr>
        <w:spacing w:after="120"/>
        <w:rPr>
          <w:rFonts w:cs="Times New Roman"/>
          <w:szCs w:val="24"/>
        </w:rPr>
      </w:pPr>
      <w:r w:rsidRPr="009C7F96">
        <w:rPr>
          <w:rFonts w:cs="Times New Roman"/>
          <w:szCs w:val="24"/>
          <w:lang w:val="pt-BR"/>
        </w:rPr>
        <w:t xml:space="preserve">FERREIRA, Leonardo N.; MIRANDA-AGRIPPINO, Silvia; RICCO, Giovanni. </w:t>
      </w:r>
      <w:r w:rsidRPr="009C7F96">
        <w:rPr>
          <w:rFonts w:cs="Times New Roman"/>
          <w:szCs w:val="24"/>
        </w:rPr>
        <w:t>Bayesian local projections. The Review of Economics and Statistics, 2025.</w:t>
      </w:r>
    </w:p>
    <w:p w14:paraId="68DB448B" w14:textId="77777777" w:rsidR="008E44CC" w:rsidRPr="009C7F96" w:rsidRDefault="008E44CC" w:rsidP="008E44CC">
      <w:pPr>
        <w:spacing w:after="120"/>
        <w:rPr>
          <w:rFonts w:cs="Times New Roman"/>
          <w:szCs w:val="24"/>
        </w:rPr>
      </w:pPr>
      <w:r w:rsidRPr="009C7F96">
        <w:rPr>
          <w:rFonts w:cs="Times New Roman"/>
          <w:szCs w:val="24"/>
        </w:rPr>
        <w:t>GONÇALVES, Sílvia; HERRERA, Ana María; KILIAN, Lutz; PESAVENTO, Elena. State-dependent local projections. Journal of Econometrics, v. 244, n. 2, 2024.</w:t>
      </w:r>
    </w:p>
    <w:p w14:paraId="3EE16628" w14:textId="77777777" w:rsidR="008E44CC" w:rsidRPr="009C7F96" w:rsidRDefault="008E44CC" w:rsidP="008E44CC">
      <w:pPr>
        <w:spacing w:after="120"/>
        <w:rPr>
          <w:rFonts w:cs="Times New Roman"/>
          <w:szCs w:val="24"/>
        </w:rPr>
      </w:pPr>
      <w:r w:rsidRPr="009C7F96">
        <w:rPr>
          <w:rFonts w:cs="Times New Roman"/>
          <w:szCs w:val="24"/>
        </w:rPr>
        <w:t xml:space="preserve">GORODNICHENKO, Yuriy; LEE, </w:t>
      </w:r>
      <w:proofErr w:type="spellStart"/>
      <w:r w:rsidRPr="009C7F96">
        <w:rPr>
          <w:rFonts w:cs="Times New Roman"/>
          <w:szCs w:val="24"/>
        </w:rPr>
        <w:t>Byoungchan</w:t>
      </w:r>
      <w:proofErr w:type="spellEnd"/>
      <w:r w:rsidRPr="009C7F96">
        <w:rPr>
          <w:rFonts w:cs="Times New Roman"/>
          <w:szCs w:val="24"/>
        </w:rPr>
        <w:t>. Forecast error variance decompositions with local projections. Journal of Business &amp; Economic Statistics, v. 38, n. 4, p. 921-933, 2020.</w:t>
      </w:r>
    </w:p>
    <w:p w14:paraId="6818E851" w14:textId="77777777" w:rsidR="008E44CC" w:rsidRPr="009C7F96" w:rsidRDefault="008E44CC" w:rsidP="008E44CC">
      <w:pPr>
        <w:spacing w:after="120"/>
        <w:rPr>
          <w:rFonts w:cs="Times New Roman"/>
          <w:szCs w:val="24"/>
        </w:rPr>
      </w:pPr>
      <w:r w:rsidRPr="009C7F96">
        <w:rPr>
          <w:rFonts w:cs="Times New Roman"/>
          <w:szCs w:val="24"/>
        </w:rPr>
        <w:t>HAMILTON, James D. What is an oil shock? Journal of Econometrics, v. 113, n. 2, p. 363-398, 2003.</w:t>
      </w:r>
    </w:p>
    <w:p w14:paraId="1E9558D3" w14:textId="77777777" w:rsidR="008E44CC" w:rsidRPr="009C7F96" w:rsidRDefault="008E44CC" w:rsidP="008E44CC">
      <w:pPr>
        <w:spacing w:after="120"/>
        <w:rPr>
          <w:rFonts w:cs="Times New Roman"/>
          <w:szCs w:val="24"/>
        </w:rPr>
      </w:pPr>
      <w:r w:rsidRPr="009C7F96">
        <w:rPr>
          <w:rFonts w:cs="Times New Roman"/>
          <w:szCs w:val="24"/>
        </w:rPr>
        <w:t>HOOKER, Mark A. Are oil shocks inflationary? Asymmetric and nonlinear specifications versus changes in regime. Journal of Money, Credit and Banking, v. 34, n. 2, p. 540-561, 2002.</w:t>
      </w:r>
    </w:p>
    <w:p w14:paraId="627D519E" w14:textId="77777777" w:rsidR="008E44CC" w:rsidRPr="009C7F96" w:rsidRDefault="008E44CC" w:rsidP="008E44CC">
      <w:pPr>
        <w:spacing w:after="120"/>
        <w:rPr>
          <w:rFonts w:cs="Times New Roman"/>
          <w:szCs w:val="24"/>
        </w:rPr>
      </w:pPr>
      <w:r w:rsidRPr="009C7F96">
        <w:rPr>
          <w:rFonts w:cs="Times New Roman"/>
          <w:szCs w:val="24"/>
        </w:rPr>
        <w:t xml:space="preserve">HWANG, </w:t>
      </w:r>
      <w:proofErr w:type="spellStart"/>
      <w:r w:rsidRPr="009C7F96">
        <w:rPr>
          <w:rFonts w:cs="Times New Roman"/>
          <w:szCs w:val="24"/>
        </w:rPr>
        <w:t>Inwook</w:t>
      </w:r>
      <w:proofErr w:type="spellEnd"/>
      <w:r w:rsidRPr="009C7F96">
        <w:rPr>
          <w:rFonts w:cs="Times New Roman"/>
          <w:szCs w:val="24"/>
        </w:rPr>
        <w:t>; ZHU, Xiaoyang. State-dependent oil price shocks on inflation and the efficacy of inflation targeting regime. Journal of International Money and Finance, v. 144, 2024.</w:t>
      </w:r>
    </w:p>
    <w:p w14:paraId="7CB118B9" w14:textId="77777777" w:rsidR="008E44CC" w:rsidRPr="009C7F96" w:rsidRDefault="008E44CC" w:rsidP="008E44CC">
      <w:pPr>
        <w:spacing w:after="120"/>
        <w:rPr>
          <w:rFonts w:cs="Times New Roman"/>
          <w:szCs w:val="24"/>
        </w:rPr>
      </w:pPr>
      <w:r w:rsidRPr="009C7F96">
        <w:rPr>
          <w:rFonts w:cs="Times New Roman"/>
          <w:szCs w:val="24"/>
        </w:rPr>
        <w:t>INOUE, Atsushi; ROSSI, Barbara; WANG, Yiru. Local projections in unstable environments. Journal of Econometrics, v. 244, n. 2, 2024.</w:t>
      </w:r>
    </w:p>
    <w:p w14:paraId="310E7ADA" w14:textId="77777777" w:rsidR="008E44CC" w:rsidRPr="009C7F96" w:rsidRDefault="008E44CC" w:rsidP="008E44CC">
      <w:pPr>
        <w:spacing w:after="120"/>
        <w:rPr>
          <w:rFonts w:cs="Times New Roman"/>
          <w:szCs w:val="24"/>
        </w:rPr>
      </w:pPr>
      <w:r w:rsidRPr="009C7F96">
        <w:rPr>
          <w:rFonts w:cs="Times New Roman"/>
          <w:szCs w:val="24"/>
        </w:rPr>
        <w:t xml:space="preserve">JORDÀ, </w:t>
      </w:r>
      <w:proofErr w:type="spellStart"/>
      <w:r w:rsidRPr="009C7F96">
        <w:rPr>
          <w:rFonts w:cs="Times New Roman"/>
          <w:szCs w:val="24"/>
        </w:rPr>
        <w:t>Òscar</w:t>
      </w:r>
      <w:proofErr w:type="spellEnd"/>
      <w:r w:rsidRPr="009C7F96">
        <w:rPr>
          <w:rFonts w:cs="Times New Roman"/>
          <w:szCs w:val="24"/>
        </w:rPr>
        <w:t>. Estimation and inference of impulse responses by local projections. American Economic Review, v. 95, n. 1, p. 161-182, 2005.</w:t>
      </w:r>
    </w:p>
    <w:p w14:paraId="138BCA99" w14:textId="77777777" w:rsidR="008E44CC" w:rsidRPr="009C7F96" w:rsidRDefault="008E44CC" w:rsidP="008E44CC">
      <w:pPr>
        <w:spacing w:after="120"/>
        <w:rPr>
          <w:rFonts w:cs="Times New Roman"/>
          <w:szCs w:val="24"/>
        </w:rPr>
      </w:pPr>
      <w:r w:rsidRPr="009C7F96">
        <w:rPr>
          <w:rFonts w:cs="Times New Roman"/>
          <w:szCs w:val="24"/>
        </w:rPr>
        <w:t xml:space="preserve">JORDÀ, </w:t>
      </w:r>
      <w:proofErr w:type="spellStart"/>
      <w:r w:rsidRPr="009C7F96">
        <w:rPr>
          <w:rFonts w:cs="Times New Roman"/>
          <w:szCs w:val="24"/>
        </w:rPr>
        <w:t>Òscar</w:t>
      </w:r>
      <w:proofErr w:type="spellEnd"/>
      <w:r w:rsidRPr="009C7F96">
        <w:rPr>
          <w:rFonts w:cs="Times New Roman"/>
          <w:szCs w:val="24"/>
        </w:rPr>
        <w:t>; TAYLOR, Alan M. Local projections. Journal of Economic Literature, v. 63, n. 1, p. 59-110, 2025.</w:t>
      </w:r>
    </w:p>
    <w:p w14:paraId="74E81B68" w14:textId="77777777" w:rsidR="005F0DB9" w:rsidRDefault="00000000">
      <w:pPr>
        <w:spacing w:after="120"/>
        <w:ind w:firstLine="0"/>
      </w:pPr>
      <w:r>
        <w:t>KÄNZIG, Diego R. The macroeconomic effects of oil supply news: evidence from OPEC announcements. American Economic Review, v. 111, n. 4, p. 1092-1125, 2021.</w:t>
      </w:r>
    </w:p>
    <w:p w14:paraId="07705E18" w14:textId="77777777" w:rsidR="008E44CC" w:rsidRPr="009C7F96" w:rsidRDefault="008E44CC" w:rsidP="008E44CC">
      <w:pPr>
        <w:spacing w:after="120"/>
        <w:rPr>
          <w:rFonts w:cs="Times New Roman"/>
          <w:szCs w:val="24"/>
        </w:rPr>
      </w:pPr>
      <w:r w:rsidRPr="009C7F96">
        <w:rPr>
          <w:rFonts w:cs="Times New Roman"/>
          <w:szCs w:val="24"/>
        </w:rPr>
        <w:t>KILIAN, Lutz. Not all oil price shocks are alike: disentangling demand and supply shocks in the crude oil market. American Economic Review, v. 99, n. 3, p. 1053-1069, 2009.</w:t>
      </w:r>
    </w:p>
    <w:p w14:paraId="7CD67530" w14:textId="77777777" w:rsidR="008E44CC" w:rsidRPr="009C7F96" w:rsidRDefault="008E44CC" w:rsidP="008E44CC">
      <w:pPr>
        <w:spacing w:after="120"/>
        <w:rPr>
          <w:rFonts w:cs="Times New Roman"/>
          <w:szCs w:val="24"/>
        </w:rPr>
      </w:pPr>
      <w:r w:rsidRPr="009C7F96">
        <w:rPr>
          <w:rFonts w:cs="Times New Roman"/>
          <w:szCs w:val="24"/>
        </w:rPr>
        <w:t>KILIAN, Lutz; KIM, Yun Jung. How reliable are local projection estimators of impulse responses? The Review of Economics and Statistics, v. 93, n. 4, p. 1460-1466, 2011.</w:t>
      </w:r>
    </w:p>
    <w:p w14:paraId="4A5AB4AA" w14:textId="77777777" w:rsidR="008E44CC" w:rsidRPr="009C7F96" w:rsidRDefault="008E44CC" w:rsidP="008E44CC">
      <w:pPr>
        <w:spacing w:after="120"/>
        <w:rPr>
          <w:rFonts w:cs="Times New Roman"/>
          <w:szCs w:val="24"/>
          <w:lang w:val="pt-BR"/>
        </w:rPr>
      </w:pPr>
      <w:r w:rsidRPr="009C7F96">
        <w:rPr>
          <w:rFonts w:cs="Times New Roman"/>
          <w:szCs w:val="24"/>
        </w:rPr>
        <w:lastRenderedPageBreak/>
        <w:t xml:space="preserve">LI, Dake; PLAGBORG-MØLLER, Mikkel; WOLF, Christian K. Local projections vs. VARs: lessons from thousands of DGPs. </w:t>
      </w:r>
      <w:proofErr w:type="spellStart"/>
      <w:r w:rsidRPr="009C7F96">
        <w:rPr>
          <w:rFonts w:cs="Times New Roman"/>
          <w:szCs w:val="24"/>
          <w:lang w:val="pt-BR"/>
        </w:rPr>
        <w:t>Journal</w:t>
      </w:r>
      <w:proofErr w:type="spellEnd"/>
      <w:r w:rsidRPr="009C7F96">
        <w:rPr>
          <w:rFonts w:cs="Times New Roman"/>
          <w:szCs w:val="24"/>
          <w:lang w:val="pt-BR"/>
        </w:rPr>
        <w:t xml:space="preserve"> </w:t>
      </w:r>
      <w:proofErr w:type="spellStart"/>
      <w:r w:rsidRPr="009C7F96">
        <w:rPr>
          <w:rFonts w:cs="Times New Roman"/>
          <w:szCs w:val="24"/>
          <w:lang w:val="pt-BR"/>
        </w:rPr>
        <w:t>of</w:t>
      </w:r>
      <w:proofErr w:type="spellEnd"/>
      <w:r w:rsidRPr="009C7F96">
        <w:rPr>
          <w:rFonts w:cs="Times New Roman"/>
          <w:szCs w:val="24"/>
          <w:lang w:val="pt-BR"/>
        </w:rPr>
        <w:t xml:space="preserve"> </w:t>
      </w:r>
      <w:proofErr w:type="spellStart"/>
      <w:r w:rsidRPr="009C7F96">
        <w:rPr>
          <w:rFonts w:cs="Times New Roman"/>
          <w:szCs w:val="24"/>
          <w:lang w:val="pt-BR"/>
        </w:rPr>
        <w:t>Econometrics</w:t>
      </w:r>
      <w:proofErr w:type="spellEnd"/>
      <w:r w:rsidRPr="009C7F96">
        <w:rPr>
          <w:rFonts w:cs="Times New Roman"/>
          <w:szCs w:val="24"/>
          <w:lang w:val="pt-BR"/>
        </w:rPr>
        <w:t>, v. 244, n. 2, 2024.</w:t>
      </w:r>
    </w:p>
    <w:p w14:paraId="14D1ABE9" w14:textId="77777777" w:rsidR="008E44CC" w:rsidRPr="009C7F96" w:rsidRDefault="008E44CC" w:rsidP="008E44CC">
      <w:pPr>
        <w:spacing w:after="120"/>
        <w:rPr>
          <w:rFonts w:cs="Times New Roman"/>
          <w:szCs w:val="24"/>
          <w:lang w:val="pt-BR"/>
        </w:rPr>
      </w:pPr>
      <w:r w:rsidRPr="009C7F96">
        <w:rPr>
          <w:rFonts w:cs="Times New Roman"/>
          <w:szCs w:val="24"/>
          <w:lang w:val="pt-BR"/>
        </w:rPr>
        <w:t>MARTINEZ, Thiago S.; CERQUEIRA, Vinícius dos Santos. Estrutura da inflação brasileira: determinantes e desagregação do IPCA. Brasília: Instituto de Pesquisa Econômica Aplicada, 2013.</w:t>
      </w:r>
    </w:p>
    <w:p w14:paraId="4ABCCE6E" w14:textId="77777777" w:rsidR="008E44CC" w:rsidRPr="009C7F96" w:rsidRDefault="008E44CC" w:rsidP="008E44CC">
      <w:pPr>
        <w:spacing w:after="120"/>
        <w:rPr>
          <w:rFonts w:cs="Times New Roman"/>
          <w:szCs w:val="24"/>
        </w:rPr>
      </w:pPr>
      <w:r w:rsidRPr="009C7F96">
        <w:rPr>
          <w:rFonts w:cs="Times New Roman"/>
          <w:szCs w:val="24"/>
          <w:lang w:val="pt-BR"/>
        </w:rPr>
        <w:t xml:space="preserve">MELLO, Miguel; PONCE, Jorge. </w:t>
      </w:r>
      <w:r w:rsidRPr="009C7F96">
        <w:rPr>
          <w:rFonts w:cs="Times New Roman"/>
          <w:szCs w:val="24"/>
        </w:rPr>
        <w:t>From global energy price shocks to firms’ inflation expectations. Latin American Journal of Central Banking, 2025.</w:t>
      </w:r>
    </w:p>
    <w:p w14:paraId="4848220F" w14:textId="77777777" w:rsidR="008E44CC" w:rsidRPr="009C7F96" w:rsidRDefault="008E44CC" w:rsidP="008E44CC">
      <w:pPr>
        <w:spacing w:after="120"/>
        <w:rPr>
          <w:rFonts w:cs="Times New Roman"/>
          <w:szCs w:val="24"/>
        </w:rPr>
      </w:pPr>
      <w:r w:rsidRPr="009C7F96">
        <w:rPr>
          <w:rFonts w:cs="Times New Roman"/>
          <w:szCs w:val="24"/>
        </w:rPr>
        <w:t xml:space="preserve">PLAGBORG-MØLLER, Mikkel; WOLF, Christian K. Local projections and VARs estimate the same impulse responses. </w:t>
      </w:r>
      <w:proofErr w:type="spellStart"/>
      <w:r w:rsidRPr="009C7F96">
        <w:rPr>
          <w:rFonts w:cs="Times New Roman"/>
          <w:szCs w:val="24"/>
        </w:rPr>
        <w:t>Econometrica</w:t>
      </w:r>
      <w:proofErr w:type="spellEnd"/>
      <w:r w:rsidRPr="009C7F96">
        <w:rPr>
          <w:rFonts w:cs="Times New Roman"/>
          <w:szCs w:val="24"/>
        </w:rPr>
        <w:t>, v. 89, n. 2, p. 955-980, 2021.</w:t>
      </w:r>
    </w:p>
    <w:p w14:paraId="124F79F6" w14:textId="77777777" w:rsidR="008E44CC" w:rsidRPr="00B85826" w:rsidRDefault="008E44CC" w:rsidP="008E44CC">
      <w:pPr>
        <w:spacing w:after="120"/>
        <w:rPr>
          <w:rFonts w:cs="Times New Roman"/>
          <w:szCs w:val="24"/>
          <w:lang w:val="pt-BR"/>
        </w:rPr>
      </w:pPr>
      <w:r w:rsidRPr="009C7F96">
        <w:rPr>
          <w:rFonts w:cs="Times New Roman"/>
          <w:szCs w:val="24"/>
        </w:rPr>
        <w:t xml:space="preserve">SIMS, Christopher A. Macroeconomics and reality. </w:t>
      </w:r>
      <w:proofErr w:type="spellStart"/>
      <w:r w:rsidRPr="00B85826">
        <w:rPr>
          <w:rFonts w:cs="Times New Roman"/>
          <w:szCs w:val="24"/>
          <w:lang w:val="pt-BR"/>
        </w:rPr>
        <w:t>Econometrica</w:t>
      </w:r>
      <w:proofErr w:type="spellEnd"/>
      <w:r w:rsidRPr="00B85826">
        <w:rPr>
          <w:rFonts w:cs="Times New Roman"/>
          <w:szCs w:val="24"/>
          <w:lang w:val="pt-BR"/>
        </w:rPr>
        <w:t>, v. 48, n. 1, p. 1-48, 1980.</w:t>
      </w:r>
    </w:p>
    <w:p w14:paraId="0E06840C" w14:textId="77777777" w:rsidR="008E44CC" w:rsidRPr="009C7F96" w:rsidRDefault="008E44CC" w:rsidP="008E44CC">
      <w:pPr>
        <w:spacing w:after="120"/>
        <w:rPr>
          <w:rFonts w:cs="Times New Roman"/>
          <w:szCs w:val="24"/>
          <w:lang w:val="pt-BR"/>
        </w:rPr>
      </w:pPr>
      <w:r w:rsidRPr="009C7F96">
        <w:rPr>
          <w:rFonts w:cs="Times New Roman"/>
          <w:szCs w:val="24"/>
          <w:lang w:val="pt-BR"/>
        </w:rPr>
        <w:t>PETROBRAS. Petrobras aprova estratégia comercial de diesel e gasolina. Rio de Janeiro: Petrobras, 2023. Disponível em: página institucional da Petrobras. Acesso em: maio 2026.</w:t>
      </w:r>
    </w:p>
    <w:p w14:paraId="2B04843F" w14:textId="77777777" w:rsidR="008E44CC" w:rsidRPr="009C7F96" w:rsidRDefault="008E44CC" w:rsidP="008E44CC">
      <w:pPr>
        <w:spacing w:after="120"/>
        <w:rPr>
          <w:rFonts w:cs="Times New Roman"/>
          <w:szCs w:val="24"/>
          <w:lang w:val="pt-BR"/>
        </w:rPr>
      </w:pPr>
      <w:r w:rsidRPr="009C7F96">
        <w:rPr>
          <w:rFonts w:cs="Times New Roman"/>
          <w:szCs w:val="24"/>
          <w:lang w:val="pt-BR"/>
        </w:rPr>
        <w:t>BANCO CENTRAL DO BRASIL. Atas e comunicados do Comitê de Política Monetária. Brasília: Banco Central do Brasil, 2022-2026. Disponível em: página institucional do Banco Central do Brasil. Acesso em: maio 2026.</w:t>
      </w:r>
    </w:p>
    <w:p w14:paraId="67522E17" w14:textId="77777777" w:rsidR="008E44CC" w:rsidRPr="009C7F96" w:rsidRDefault="008E44CC" w:rsidP="008E44CC">
      <w:pPr>
        <w:spacing w:after="120"/>
        <w:rPr>
          <w:rFonts w:cs="Times New Roman"/>
          <w:szCs w:val="24"/>
          <w:lang w:val="pt-BR"/>
        </w:rPr>
      </w:pPr>
      <w:r w:rsidRPr="009C7F96">
        <w:rPr>
          <w:rFonts w:cs="Times New Roman"/>
          <w:szCs w:val="24"/>
          <w:lang w:val="pt-BR"/>
        </w:rPr>
        <w:t>AGÊNCIA NACIONAL DO PETRÓLEO, GÁS NATURAL E BIOCOMBUSTÍVEIS. Dados abertos: preços, processamento de petróleo e produção de derivados. Brasília: ANP, 2026. Disponível em: portal de dados abertos da ANP. Acesso em: maio 2026.</w:t>
      </w:r>
    </w:p>
    <w:p w14:paraId="56BF13F4" w14:textId="77777777" w:rsidR="008E44CC" w:rsidRPr="009C7F96" w:rsidRDefault="008E44CC" w:rsidP="008E44CC">
      <w:pPr>
        <w:spacing w:after="120"/>
        <w:rPr>
          <w:rFonts w:cs="Times New Roman"/>
          <w:szCs w:val="24"/>
          <w:lang w:val="pt-BR"/>
        </w:rPr>
      </w:pPr>
      <w:r w:rsidRPr="009C7F96">
        <w:rPr>
          <w:rFonts w:cs="Times New Roman"/>
          <w:szCs w:val="24"/>
          <w:lang w:val="pt-BR"/>
        </w:rPr>
        <w:t>INSTITUTO BRASILEIRO DE GEOGRAFIA E ESTATÍSTICA. Sistema Nacional de Índices de Preços ao Consumidor: IPCA. Rio de Janeiro: IBGE, 2026. Disponível em: SIDRA/IBGE. Acesso em: maio 2026.</w:t>
      </w:r>
    </w:p>
    <w:p w14:paraId="7B6D4B2F" w14:textId="77777777" w:rsidR="00160963" w:rsidRPr="009C7F96" w:rsidRDefault="00160963">
      <w:pPr>
        <w:rPr>
          <w:rFonts w:cs="Times New Roman"/>
          <w:szCs w:val="24"/>
          <w:lang w:val="pt-BR"/>
        </w:rPr>
      </w:pPr>
    </w:p>
    <w:p w14:paraId="2AEA3838" w14:textId="77777777" w:rsidR="005F0DB9" w:rsidRPr="00366C9E" w:rsidRDefault="00000000">
      <w:pPr>
        <w:rPr>
          <w:lang w:val="pt-BR"/>
        </w:rPr>
      </w:pPr>
      <w:r w:rsidRPr="00366C9E">
        <w:rPr>
          <w:lang w:val="pt-BR"/>
        </w:rPr>
        <w:br w:type="page"/>
      </w:r>
    </w:p>
    <w:p w14:paraId="767B96C7" w14:textId="77777777" w:rsidR="005F0DB9" w:rsidRDefault="00000000">
      <w:pPr>
        <w:pStyle w:val="Heading1"/>
        <w:jc w:val="center"/>
      </w:pPr>
      <w:bookmarkStart w:id="42" w:name="_Toc229695969"/>
      <w:r>
        <w:rPr>
          <w:rFonts w:ascii="Times New Roman" w:eastAsia="Times New Roman" w:hAnsi="Times New Roman"/>
        </w:rPr>
        <w:lastRenderedPageBreak/>
        <w:t>APÊNDICE B - RESULTADOS ATUALIZADOS COM BRENT EM REAIS, REGIMES PETROBRAS E CHOQUE EXTERNO DE OFERTA</w:t>
      </w:r>
      <w:bookmarkEnd w:id="42"/>
    </w:p>
    <w:p w14:paraId="7E5459B5" w14:textId="77777777" w:rsidR="005F0DB9" w:rsidRPr="00366C9E" w:rsidRDefault="00000000">
      <w:pPr>
        <w:spacing w:after="120"/>
        <w:rPr>
          <w:lang w:val="pt-BR"/>
        </w:rPr>
      </w:pPr>
      <w:r w:rsidRPr="00366C9E">
        <w:rPr>
          <w:lang w:val="pt-BR"/>
        </w:rPr>
        <w:t>Este apêndice consolida a versão mais recente da estratégia empírica do trabalho. Ele incorpora três avanços em relação à versão inicial: a construção do petróleo em reais, a estimação de regimes Petrobras com teste formal de diferença entre coeficientes e a utilização de uma série externa de choque de oferta de petróleo como instrumento. Na versão final do TCC, este conteúdo pode ser integrado às seções de metodologia e resultados.</w:t>
      </w:r>
    </w:p>
    <w:p w14:paraId="05027A0E" w14:textId="77777777" w:rsidR="005F0DB9" w:rsidRDefault="00000000">
      <w:pPr>
        <w:pStyle w:val="Heading2"/>
        <w:jc w:val="both"/>
      </w:pPr>
      <w:bookmarkStart w:id="43" w:name="_Toc229695970"/>
      <w:r>
        <w:rPr>
          <w:rFonts w:ascii="Times New Roman" w:eastAsia="Times New Roman" w:hAnsi="Times New Roman"/>
        </w:rPr>
        <w:t>B.1 Petróleo em reais e canal dos combustíveis</w:t>
      </w:r>
      <w:bookmarkEnd w:id="43"/>
    </w:p>
    <w:p w14:paraId="4B1123F5" w14:textId="77777777" w:rsidR="005F0DB9" w:rsidRPr="00366C9E" w:rsidRDefault="00000000">
      <w:pPr>
        <w:spacing w:after="120"/>
        <w:rPr>
          <w:lang w:val="pt-BR"/>
        </w:rPr>
      </w:pPr>
      <w:r w:rsidRPr="00366C9E">
        <w:rPr>
          <w:lang w:val="pt-BR"/>
        </w:rPr>
        <w:t>A primeira atualização consiste em construir o petróleo em reais como o produto entre o preço internacional do barril e a taxa de câmbio. Essa medida é importante porque aproxima o choque externo da unidade monetária relevante para a economia brasileira. Os resultados confirmam que o efeito do petróleo sobre os combustíveis é mais claro no diesel e na gasolina de refinaria.</w:t>
      </w:r>
    </w:p>
    <w:p w14:paraId="6B9D42AC" w14:textId="77777777" w:rsidR="005F0DB9" w:rsidRPr="00366C9E" w:rsidRDefault="00000000">
      <w:pPr>
        <w:ind w:firstLine="0"/>
        <w:jc w:val="center"/>
        <w:rPr>
          <w:lang w:val="pt-BR"/>
        </w:rPr>
      </w:pPr>
      <w:r w:rsidRPr="00366C9E">
        <w:rPr>
          <w:b/>
          <w:sz w:val="20"/>
          <w:lang w:val="pt-BR"/>
        </w:rPr>
        <w:t>Tabela B1 - Respostas acumuladas a choques no petróleo em reais no horizonte de 12 meses</w:t>
      </w:r>
    </w:p>
    <w:tbl>
      <w:tblPr>
        <w:tblStyle w:val="TableGrid"/>
        <w:tblW w:w="0" w:type="auto"/>
        <w:jc w:val="center"/>
        <w:tblLayout w:type="autofit"/>
        <w:tblLook w:val="04A0" w:firstRow="1" w:lastRow="0" w:firstColumn="1" w:lastColumn="0" w:noHBand="0" w:noVBand="1"/>
      </w:tblPr>
      <w:tblGrid>
        <w:gridCol w:w="2350"/>
        <w:gridCol w:w="2348"/>
        <w:gridCol w:w="2348"/>
        <w:gridCol w:w="2349"/>
      </w:tblGrid>
      <w:tr w:rsidR="005F0DB9" w14:paraId="2B465FA2" w14:textId="77777777">
        <w:trPr>
          <w:jc w:val="center"/>
        </w:trPr>
        <w:tc>
          <w:tcPr>
            <w:tcW w:w="2351" w:type="dxa"/>
            <w:shd w:val="clear" w:color="auto" w:fill="D9EAF7"/>
            <w:vAlign w:val="center"/>
            <w:tcMar>
              <w:top w:w="30" w:type="dxa"/>
              <w:start w:w="30" w:type="dxa"/>
              <w:bottom w:w="30" w:type="dxa"/>
              <w:end w:w="30" w:type="dxa"/>
            </w:tcMar>
          </w:tcPr>
          <w:p w14:paraId="0B13A411" w14:textId="77777777" w:rsidR="005F0DB9" w:rsidRDefault="00000000">
            <w:pPr>
              <w:spacing w:line="240" w:lineRule="auto" w:before="0" w:after="0"/>
              <w:ind w:firstLine="0"/>
              <w:jc w:val="left"/>
            </w:pPr>
            <w:r>
              <w:rPr>
                <w:b/>
                <w:sz w:val="14"/>
              </w:rPr>
              <w:t>Canal</w:t>
            </w:r>
          </w:p>
        </w:tc>
        <w:tc>
          <w:tcPr>
            <w:tcW w:w="2351" w:type="dxa"/>
            <w:shd w:val="clear" w:color="auto" w:fill="D9EAF7"/>
            <w:vAlign w:val="center"/>
            <w:tcMar>
              <w:top w:w="30" w:type="dxa"/>
              <w:start w:w="30" w:type="dxa"/>
              <w:bottom w:w="30" w:type="dxa"/>
              <w:end w:w="30" w:type="dxa"/>
            </w:tcMar>
          </w:tcPr>
          <w:p w14:paraId="0B89E317" w14:textId="77777777" w:rsidR="005F0DB9" w:rsidRDefault="00000000">
            <w:pPr>
              <w:spacing w:line="240" w:lineRule="auto" w:before="0" w:after="0"/>
              <w:ind w:firstLine="0"/>
              <w:jc w:val="left"/>
            </w:pPr>
            <w:r>
              <w:rPr>
                <w:b/>
                <w:sz w:val="14"/>
              </w:rPr>
              <w:t>Coef. h=12</w:t>
            </w:r>
          </w:p>
        </w:tc>
        <w:tc>
          <w:tcPr>
            <w:tcW w:w="2351" w:type="dxa"/>
            <w:shd w:val="clear" w:color="auto" w:fill="D9EAF7"/>
            <w:vAlign w:val="center"/>
            <w:tcMar>
              <w:top w:w="30" w:type="dxa"/>
              <w:start w:w="30" w:type="dxa"/>
              <w:bottom w:w="30" w:type="dxa"/>
              <w:end w:w="30" w:type="dxa"/>
            </w:tcMar>
          </w:tcPr>
          <w:p w14:paraId="43D9A4B3" w14:textId="77777777" w:rsidR="005F0DB9" w:rsidRDefault="00000000">
            <w:pPr>
              <w:spacing w:line="240" w:lineRule="auto" w:before="0" w:after="0"/>
              <w:ind w:firstLine="0"/>
              <w:jc w:val="left"/>
            </w:pPr>
            <w:r>
              <w:rPr>
                <w:b/>
                <w:sz w:val="14"/>
              </w:rPr>
              <w:t>IC 90%</w:t>
            </w:r>
          </w:p>
        </w:tc>
        <w:tc>
          <w:tcPr>
            <w:tcW w:w="2351" w:type="dxa"/>
            <w:shd w:val="clear" w:color="auto" w:fill="D9EAF7"/>
            <w:vAlign w:val="center"/>
            <w:tcMar>
              <w:top w:w="30" w:type="dxa"/>
              <w:start w:w="30" w:type="dxa"/>
              <w:bottom w:w="30" w:type="dxa"/>
              <w:end w:w="30" w:type="dxa"/>
            </w:tcMar>
          </w:tcPr>
          <w:p w14:paraId="0F903B7A" w14:textId="77777777" w:rsidR="005F0DB9" w:rsidRDefault="00000000">
            <w:pPr>
              <w:spacing w:line="240" w:lineRule="auto" w:before="0" w:after="0"/>
              <w:ind w:firstLine="0"/>
              <w:jc w:val="left"/>
            </w:pPr>
            <w:r>
              <w:rPr>
                <w:b/>
                <w:sz w:val="14"/>
              </w:rPr>
              <w:t>Significativo</w:t>
            </w:r>
          </w:p>
        </w:tc>
      </w:tr>
      <w:tr w:rsidR="005F0DB9" w14:paraId="631DB2CD" w14:textId="77777777">
        <w:trPr>
          <w:jc w:val="center"/>
        </w:trPr>
        <w:tc>
          <w:tcPr>
            <w:tcW w:w="2351" w:type="dxa"/>
            <w:vAlign w:val="center"/>
            <w:tcMar>
              <w:top w:w="30" w:type="dxa"/>
              <w:start w:w="30" w:type="dxa"/>
              <w:bottom w:w="30" w:type="dxa"/>
              <w:end w:w="30" w:type="dxa"/>
            </w:tcMar>
          </w:tcPr>
          <w:p w14:paraId="45CF990D" w14:textId="77777777" w:rsidR="005F0DB9" w:rsidRDefault="00000000">
            <w:pPr>
              <w:spacing w:line="240" w:lineRule="auto" w:before="0" w:after="0"/>
              <w:ind w:firstLine="0"/>
              <w:jc w:val="left"/>
            </w:pPr>
            <w:r>
              <w:rPr>
                <w:sz w:val="14"/>
              </w:rPr>
              <w:t>Petróleo BRL → Diesel</w:t>
            </w:r>
          </w:p>
        </w:tc>
        <w:tc>
          <w:tcPr>
            <w:tcW w:w="2351" w:type="dxa"/>
            <w:vAlign w:val="center"/>
            <w:tcMar>
              <w:top w:w="30" w:type="dxa"/>
              <w:start w:w="30" w:type="dxa"/>
              <w:bottom w:w="30" w:type="dxa"/>
              <w:end w:w="30" w:type="dxa"/>
            </w:tcMar>
          </w:tcPr>
          <w:p w14:paraId="482F6156" w14:textId="77777777" w:rsidR="005F0DB9" w:rsidRDefault="00000000">
            <w:pPr>
              <w:spacing w:line="240" w:lineRule="auto" w:before="0" w:after="0"/>
              <w:ind w:firstLine="0"/>
              <w:jc w:val="left"/>
            </w:pPr>
            <w:r>
              <w:rPr>
                <w:sz w:val="14"/>
              </w:rPr>
              <w:t>2,667</w:t>
            </w:r>
          </w:p>
        </w:tc>
        <w:tc>
          <w:tcPr>
            <w:tcW w:w="2351" w:type="dxa"/>
            <w:vAlign w:val="center"/>
            <w:tcMar>
              <w:top w:w="30" w:type="dxa"/>
              <w:start w:w="30" w:type="dxa"/>
              <w:bottom w:w="30" w:type="dxa"/>
              <w:end w:w="30" w:type="dxa"/>
            </w:tcMar>
          </w:tcPr>
          <w:p w14:paraId="5CB6035F" w14:textId="77777777" w:rsidR="005F0DB9" w:rsidRDefault="00000000">
            <w:pPr>
              <w:spacing w:line="240" w:lineRule="auto" w:before="0" w:after="0"/>
              <w:ind w:firstLine="0"/>
              <w:jc w:val="left"/>
            </w:pPr>
            <w:r>
              <w:rPr>
                <w:sz w:val="14"/>
              </w:rPr>
              <w:t>[1,378; 3,956]</w:t>
            </w:r>
          </w:p>
        </w:tc>
        <w:tc>
          <w:tcPr>
            <w:tcW w:w="2351" w:type="dxa"/>
            <w:vAlign w:val="center"/>
            <w:tcMar>
              <w:top w:w="30" w:type="dxa"/>
              <w:start w:w="30" w:type="dxa"/>
              <w:bottom w:w="30" w:type="dxa"/>
              <w:end w:w="30" w:type="dxa"/>
            </w:tcMar>
          </w:tcPr>
          <w:p w14:paraId="4DAC3944" w14:textId="77777777" w:rsidR="005F0DB9" w:rsidRDefault="00000000">
            <w:pPr>
              <w:spacing w:line="240" w:lineRule="auto" w:before="0" w:after="0"/>
              <w:ind w:firstLine="0"/>
              <w:jc w:val="left"/>
            </w:pPr>
            <w:r>
              <w:rPr>
                <w:sz w:val="14"/>
              </w:rPr>
              <w:t>Sim</w:t>
            </w:r>
          </w:p>
        </w:tc>
      </w:tr>
      <w:tr w:rsidR="005F0DB9" w14:paraId="6021EE97" w14:textId="77777777">
        <w:trPr>
          <w:jc w:val="center"/>
        </w:trPr>
        <w:tc>
          <w:tcPr>
            <w:tcW w:w="2351" w:type="dxa"/>
            <w:vAlign w:val="center"/>
            <w:tcMar>
              <w:top w:w="30" w:type="dxa"/>
              <w:start w:w="30" w:type="dxa"/>
              <w:bottom w:w="30" w:type="dxa"/>
              <w:end w:w="30" w:type="dxa"/>
            </w:tcMar>
          </w:tcPr>
          <w:p w14:paraId="05615F28" w14:textId="77777777" w:rsidR="005F0DB9" w:rsidRPr="00366C9E" w:rsidRDefault="00000000">
            <w:pPr>
              <w:spacing w:line="240" w:lineRule="auto" w:before="0" w:after="0"/>
              <w:ind w:firstLine="0"/>
              <w:jc w:val="left"/>
              <w:rPr>
                <w:lang w:val="pt-BR"/>
              </w:rPr>
            </w:pPr>
            <w:r w:rsidRPr="00366C9E">
              <w:rPr>
                <w:sz w:val="14"/>
                <w:lang w:val="pt-BR"/>
              </w:rPr>
              <w:t>Petróleo BRL → Gasolina de refinaria</w:t>
            </w:r>
          </w:p>
        </w:tc>
        <w:tc>
          <w:tcPr>
            <w:tcW w:w="2351" w:type="dxa"/>
            <w:vAlign w:val="center"/>
            <w:tcMar>
              <w:top w:w="30" w:type="dxa"/>
              <w:start w:w="30" w:type="dxa"/>
              <w:bottom w:w="30" w:type="dxa"/>
              <w:end w:w="30" w:type="dxa"/>
            </w:tcMar>
          </w:tcPr>
          <w:p w14:paraId="038C3E9A" w14:textId="77777777" w:rsidR="005F0DB9" w:rsidRDefault="00000000">
            <w:pPr>
              <w:spacing w:line="240" w:lineRule="auto" w:before="0" w:after="0"/>
              <w:ind w:firstLine="0"/>
              <w:jc w:val="left"/>
            </w:pPr>
            <w:r>
              <w:rPr>
                <w:sz w:val="14"/>
              </w:rPr>
              <w:t>1,702</w:t>
            </w:r>
          </w:p>
        </w:tc>
        <w:tc>
          <w:tcPr>
            <w:tcW w:w="2351" w:type="dxa"/>
            <w:vAlign w:val="center"/>
            <w:tcMar>
              <w:top w:w="30" w:type="dxa"/>
              <w:start w:w="30" w:type="dxa"/>
              <w:bottom w:w="30" w:type="dxa"/>
              <w:end w:w="30" w:type="dxa"/>
            </w:tcMar>
          </w:tcPr>
          <w:p w14:paraId="364A4ED8" w14:textId="77777777" w:rsidR="005F0DB9" w:rsidRDefault="00000000">
            <w:pPr>
              <w:spacing w:line="240" w:lineRule="auto" w:before="0" w:after="0"/>
              <w:ind w:firstLine="0"/>
              <w:jc w:val="left"/>
            </w:pPr>
            <w:r>
              <w:rPr>
                <w:sz w:val="14"/>
              </w:rPr>
              <w:t>[0,307; 3,097]</w:t>
            </w:r>
          </w:p>
        </w:tc>
        <w:tc>
          <w:tcPr>
            <w:tcW w:w="2351" w:type="dxa"/>
            <w:vAlign w:val="center"/>
            <w:tcMar>
              <w:top w:w="30" w:type="dxa"/>
              <w:start w:w="30" w:type="dxa"/>
              <w:bottom w:w="30" w:type="dxa"/>
              <w:end w:w="30" w:type="dxa"/>
            </w:tcMar>
          </w:tcPr>
          <w:p w14:paraId="5BBF9773" w14:textId="77777777" w:rsidR="005F0DB9" w:rsidRDefault="00000000">
            <w:pPr>
              <w:spacing w:line="240" w:lineRule="auto" w:before="0" w:after="0"/>
              <w:ind w:firstLine="0"/>
              <w:jc w:val="left"/>
            </w:pPr>
            <w:r>
              <w:rPr>
                <w:sz w:val="14"/>
              </w:rPr>
              <w:t>Sim</w:t>
            </w:r>
          </w:p>
        </w:tc>
      </w:tr>
      <w:tr w:rsidR="005F0DB9" w14:paraId="5016B0CE" w14:textId="77777777">
        <w:trPr>
          <w:jc w:val="center"/>
        </w:trPr>
        <w:tc>
          <w:tcPr>
            <w:tcW w:w="2351" w:type="dxa"/>
            <w:vAlign w:val="center"/>
            <w:tcMar>
              <w:top w:w="30" w:type="dxa"/>
              <w:start w:w="30" w:type="dxa"/>
              <w:bottom w:w="30" w:type="dxa"/>
              <w:end w:w="30" w:type="dxa"/>
            </w:tcMar>
          </w:tcPr>
          <w:p w14:paraId="10CB1291" w14:textId="77777777" w:rsidR="005F0DB9" w:rsidRDefault="00000000">
            <w:pPr>
              <w:spacing w:line="240" w:lineRule="auto" w:before="0" w:after="0"/>
              <w:ind w:firstLine="0"/>
              <w:jc w:val="left"/>
            </w:pPr>
            <w:r>
              <w:rPr>
                <w:sz w:val="14"/>
              </w:rPr>
              <w:t>Petróleo BRL → Gasolina</w:t>
            </w:r>
          </w:p>
        </w:tc>
        <w:tc>
          <w:tcPr>
            <w:tcW w:w="2351" w:type="dxa"/>
            <w:vAlign w:val="center"/>
            <w:tcMar>
              <w:top w:w="30" w:type="dxa"/>
              <w:start w:w="30" w:type="dxa"/>
              <w:bottom w:w="30" w:type="dxa"/>
              <w:end w:w="30" w:type="dxa"/>
            </w:tcMar>
          </w:tcPr>
          <w:p w14:paraId="5993F3E1" w14:textId="77777777" w:rsidR="005F0DB9" w:rsidRDefault="00000000">
            <w:pPr>
              <w:spacing w:line="240" w:lineRule="auto" w:before="0" w:after="0"/>
              <w:ind w:firstLine="0"/>
              <w:jc w:val="left"/>
            </w:pPr>
            <w:r>
              <w:rPr>
                <w:sz w:val="14"/>
              </w:rPr>
              <w:t>0,841</w:t>
            </w:r>
          </w:p>
        </w:tc>
        <w:tc>
          <w:tcPr>
            <w:tcW w:w="2351" w:type="dxa"/>
            <w:vAlign w:val="center"/>
            <w:tcMar>
              <w:top w:w="30" w:type="dxa"/>
              <w:start w:w="30" w:type="dxa"/>
              <w:bottom w:w="30" w:type="dxa"/>
              <w:end w:w="30" w:type="dxa"/>
            </w:tcMar>
          </w:tcPr>
          <w:p w14:paraId="1BFFE937" w14:textId="77777777" w:rsidR="005F0DB9" w:rsidRDefault="00000000">
            <w:pPr>
              <w:spacing w:line="240" w:lineRule="auto" w:before="0" w:after="0"/>
              <w:ind w:firstLine="0"/>
              <w:jc w:val="left"/>
            </w:pPr>
            <w:r>
              <w:rPr>
                <w:sz w:val="14"/>
              </w:rPr>
              <w:t>[-0,491; 2,173]</w:t>
            </w:r>
          </w:p>
        </w:tc>
        <w:tc>
          <w:tcPr>
            <w:tcW w:w="2351" w:type="dxa"/>
            <w:vAlign w:val="center"/>
            <w:tcMar>
              <w:top w:w="30" w:type="dxa"/>
              <w:start w:w="30" w:type="dxa"/>
              <w:bottom w:w="30" w:type="dxa"/>
              <w:end w:w="30" w:type="dxa"/>
            </w:tcMar>
          </w:tcPr>
          <w:p w14:paraId="43A29ABA" w14:textId="77777777" w:rsidR="005F0DB9" w:rsidRDefault="00000000">
            <w:pPr>
              <w:spacing w:line="240" w:lineRule="auto" w:before="0" w:after="0"/>
              <w:ind w:firstLine="0"/>
              <w:jc w:val="left"/>
            </w:pPr>
            <w:r>
              <w:rPr>
                <w:sz w:val="14"/>
              </w:rPr>
              <w:t>Não</w:t>
            </w:r>
          </w:p>
        </w:tc>
      </w:tr>
      <w:tr w:rsidR="005F0DB9" w14:paraId="2F5A927A" w14:textId="77777777">
        <w:trPr>
          <w:jc w:val="center"/>
        </w:trPr>
        <w:tc>
          <w:tcPr>
            <w:tcW w:w="2351" w:type="dxa"/>
            <w:vAlign w:val="center"/>
            <w:tcMar>
              <w:top w:w="30" w:type="dxa"/>
              <w:start w:w="30" w:type="dxa"/>
              <w:bottom w:w="30" w:type="dxa"/>
              <w:end w:w="30" w:type="dxa"/>
            </w:tcMar>
          </w:tcPr>
          <w:p w14:paraId="1189A382" w14:textId="77777777" w:rsidR="005F0DB9" w:rsidRDefault="00000000">
            <w:pPr>
              <w:spacing w:line="240" w:lineRule="auto" w:before="0" w:after="0"/>
              <w:ind w:firstLine="0"/>
              <w:jc w:val="left"/>
            </w:pPr>
            <w:r>
              <w:rPr>
                <w:sz w:val="14"/>
              </w:rPr>
              <w:t>Petróleo BRL → Etanol</w:t>
            </w:r>
          </w:p>
        </w:tc>
        <w:tc>
          <w:tcPr>
            <w:tcW w:w="2351" w:type="dxa"/>
            <w:vAlign w:val="center"/>
            <w:tcMar>
              <w:top w:w="30" w:type="dxa"/>
              <w:start w:w="30" w:type="dxa"/>
              <w:bottom w:w="30" w:type="dxa"/>
              <w:end w:w="30" w:type="dxa"/>
            </w:tcMar>
          </w:tcPr>
          <w:p w14:paraId="68526F71" w14:textId="77777777" w:rsidR="005F0DB9" w:rsidRDefault="00000000">
            <w:pPr>
              <w:spacing w:line="240" w:lineRule="auto" w:before="0" w:after="0"/>
              <w:ind w:firstLine="0"/>
              <w:jc w:val="left"/>
            </w:pPr>
            <w:r>
              <w:rPr>
                <w:sz w:val="14"/>
              </w:rPr>
              <w:t>1,522</w:t>
            </w:r>
          </w:p>
        </w:tc>
        <w:tc>
          <w:tcPr>
            <w:tcW w:w="2351" w:type="dxa"/>
            <w:vAlign w:val="center"/>
            <w:tcMar>
              <w:top w:w="30" w:type="dxa"/>
              <w:start w:w="30" w:type="dxa"/>
              <w:bottom w:w="30" w:type="dxa"/>
              <w:end w:w="30" w:type="dxa"/>
            </w:tcMar>
          </w:tcPr>
          <w:p w14:paraId="3D8A2B40" w14:textId="77777777" w:rsidR="005F0DB9" w:rsidRDefault="00000000">
            <w:pPr>
              <w:spacing w:line="240" w:lineRule="auto" w:before="0" w:after="0"/>
              <w:ind w:firstLine="0"/>
              <w:jc w:val="left"/>
            </w:pPr>
            <w:r>
              <w:rPr>
                <w:sz w:val="14"/>
              </w:rPr>
              <w:t>[-0,327; 3,371]</w:t>
            </w:r>
          </w:p>
        </w:tc>
        <w:tc>
          <w:tcPr>
            <w:tcW w:w="2351" w:type="dxa"/>
            <w:vAlign w:val="center"/>
            <w:tcMar>
              <w:top w:w="30" w:type="dxa"/>
              <w:start w:w="30" w:type="dxa"/>
              <w:bottom w:w="30" w:type="dxa"/>
              <w:end w:w="30" w:type="dxa"/>
            </w:tcMar>
          </w:tcPr>
          <w:p w14:paraId="78AA10FC" w14:textId="77777777" w:rsidR="005F0DB9" w:rsidRDefault="00000000">
            <w:pPr>
              <w:spacing w:line="240" w:lineRule="auto" w:before="0" w:after="0"/>
              <w:ind w:firstLine="0"/>
              <w:jc w:val="left"/>
            </w:pPr>
            <w:r>
              <w:rPr>
                <w:sz w:val="14"/>
              </w:rPr>
              <w:t>Não</w:t>
            </w:r>
          </w:p>
        </w:tc>
      </w:tr>
      <w:tr w:rsidR="005F0DB9" w14:paraId="23AEFB16" w14:textId="77777777">
        <w:trPr>
          <w:jc w:val="center"/>
        </w:trPr>
        <w:tc>
          <w:tcPr>
            <w:tcW w:w="2351" w:type="dxa"/>
            <w:vAlign w:val="center"/>
            <w:tcMar>
              <w:top w:w="30" w:type="dxa"/>
              <w:start w:w="30" w:type="dxa"/>
              <w:bottom w:w="30" w:type="dxa"/>
              <w:end w:w="30" w:type="dxa"/>
            </w:tcMar>
          </w:tcPr>
          <w:p w14:paraId="40B220C5" w14:textId="77777777" w:rsidR="005F0DB9" w:rsidRDefault="00000000">
            <w:pPr>
              <w:spacing w:line="240" w:lineRule="auto" w:before="0" w:after="0"/>
              <w:ind w:firstLine="0"/>
              <w:jc w:val="left"/>
            </w:pPr>
            <w:r>
              <w:rPr>
                <w:sz w:val="14"/>
              </w:rPr>
              <w:t>Petróleo BRL → IPCA Geral</w:t>
            </w:r>
          </w:p>
        </w:tc>
        <w:tc>
          <w:tcPr>
            <w:tcW w:w="2351" w:type="dxa"/>
            <w:vAlign w:val="center"/>
            <w:tcMar>
              <w:top w:w="30" w:type="dxa"/>
              <w:start w:w="30" w:type="dxa"/>
              <w:bottom w:w="30" w:type="dxa"/>
              <w:end w:w="30" w:type="dxa"/>
            </w:tcMar>
          </w:tcPr>
          <w:p w14:paraId="0CA0063A" w14:textId="77777777" w:rsidR="005F0DB9" w:rsidRDefault="00000000">
            <w:pPr>
              <w:spacing w:line="240" w:lineRule="auto" w:before="0" w:after="0"/>
              <w:ind w:firstLine="0"/>
              <w:jc w:val="left"/>
            </w:pPr>
            <w:r>
              <w:rPr>
                <w:sz w:val="14"/>
              </w:rPr>
              <w:t>0,128</w:t>
            </w:r>
          </w:p>
        </w:tc>
        <w:tc>
          <w:tcPr>
            <w:tcW w:w="2351" w:type="dxa"/>
            <w:vAlign w:val="center"/>
            <w:tcMar>
              <w:top w:w="30" w:type="dxa"/>
              <w:start w:w="30" w:type="dxa"/>
              <w:bottom w:w="30" w:type="dxa"/>
              <w:end w:w="30" w:type="dxa"/>
            </w:tcMar>
          </w:tcPr>
          <w:p w14:paraId="721B9EAF" w14:textId="77777777" w:rsidR="005F0DB9" w:rsidRDefault="00000000">
            <w:pPr>
              <w:spacing w:line="240" w:lineRule="auto" w:before="0" w:after="0"/>
              <w:ind w:firstLine="0"/>
              <w:jc w:val="left"/>
            </w:pPr>
            <w:r>
              <w:rPr>
                <w:sz w:val="14"/>
              </w:rPr>
              <w:t>[-0,115; 0,370]</w:t>
            </w:r>
          </w:p>
        </w:tc>
        <w:tc>
          <w:tcPr>
            <w:tcW w:w="2351" w:type="dxa"/>
            <w:vAlign w:val="center"/>
            <w:tcMar>
              <w:top w:w="30" w:type="dxa"/>
              <w:start w:w="30" w:type="dxa"/>
              <w:bottom w:w="30" w:type="dxa"/>
              <w:end w:w="30" w:type="dxa"/>
            </w:tcMar>
          </w:tcPr>
          <w:p w14:paraId="28A38195" w14:textId="77777777" w:rsidR="005F0DB9" w:rsidRDefault="00000000">
            <w:pPr>
              <w:spacing w:line="240" w:lineRule="auto" w:before="0" w:after="0"/>
              <w:ind w:firstLine="0"/>
              <w:jc w:val="left"/>
            </w:pPr>
            <w:r>
              <w:rPr>
                <w:sz w:val="14"/>
              </w:rPr>
              <w:t>Não</w:t>
            </w:r>
          </w:p>
        </w:tc>
      </w:tr>
      <w:tr w:rsidR="005F0DB9" w14:paraId="6A57D46E" w14:textId="77777777">
        <w:trPr>
          <w:jc w:val="center"/>
        </w:trPr>
        <w:tc>
          <w:tcPr>
            <w:tcW w:w="2351" w:type="dxa"/>
            <w:vAlign w:val="center"/>
            <w:tcMar>
              <w:top w:w="30" w:type="dxa"/>
              <w:start w:w="30" w:type="dxa"/>
              <w:bottom w:w="30" w:type="dxa"/>
              <w:end w:w="30" w:type="dxa"/>
            </w:tcMar>
          </w:tcPr>
          <w:p w14:paraId="0AE33930" w14:textId="77777777" w:rsidR="005F0DB9" w:rsidRDefault="00000000">
            <w:pPr>
              <w:spacing w:line="240" w:lineRule="auto" w:before="0" w:after="0"/>
              <w:ind w:firstLine="0"/>
              <w:jc w:val="left"/>
            </w:pPr>
            <w:r>
              <w:rPr>
                <w:sz w:val="14"/>
              </w:rPr>
              <w:t>Petróleo BRL → IPCA Transportes</w:t>
            </w:r>
          </w:p>
        </w:tc>
        <w:tc>
          <w:tcPr>
            <w:tcW w:w="2351" w:type="dxa"/>
            <w:vAlign w:val="center"/>
            <w:tcMar>
              <w:top w:w="30" w:type="dxa"/>
              <w:start w:w="30" w:type="dxa"/>
              <w:bottom w:w="30" w:type="dxa"/>
              <w:end w:w="30" w:type="dxa"/>
            </w:tcMar>
          </w:tcPr>
          <w:p w14:paraId="4A1590C6" w14:textId="77777777" w:rsidR="005F0DB9" w:rsidRDefault="00000000">
            <w:pPr>
              <w:spacing w:line="240" w:lineRule="auto" w:before="0" w:after="0"/>
              <w:ind w:firstLine="0"/>
              <w:jc w:val="left"/>
            </w:pPr>
            <w:r>
              <w:rPr>
                <w:sz w:val="14"/>
              </w:rPr>
              <w:t>0,629</w:t>
            </w:r>
          </w:p>
        </w:tc>
        <w:tc>
          <w:tcPr>
            <w:tcW w:w="2351" w:type="dxa"/>
            <w:vAlign w:val="center"/>
            <w:tcMar>
              <w:top w:w="30" w:type="dxa"/>
              <w:start w:w="30" w:type="dxa"/>
              <w:bottom w:w="30" w:type="dxa"/>
              <w:end w:w="30" w:type="dxa"/>
            </w:tcMar>
          </w:tcPr>
          <w:p w14:paraId="385FC775" w14:textId="77777777" w:rsidR="005F0DB9" w:rsidRDefault="00000000">
            <w:pPr>
              <w:spacing w:line="240" w:lineRule="auto" w:before="0" w:after="0"/>
              <w:ind w:firstLine="0"/>
              <w:jc w:val="left"/>
            </w:pPr>
            <w:r>
              <w:rPr>
                <w:sz w:val="14"/>
              </w:rPr>
              <w:t>[0,094; 1,164]</w:t>
            </w:r>
          </w:p>
        </w:tc>
        <w:tc>
          <w:tcPr>
            <w:tcW w:w="2351" w:type="dxa"/>
            <w:vAlign w:val="center"/>
            <w:tcMar>
              <w:top w:w="30" w:type="dxa"/>
              <w:start w:w="30" w:type="dxa"/>
              <w:bottom w:w="30" w:type="dxa"/>
              <w:end w:w="30" w:type="dxa"/>
            </w:tcMar>
          </w:tcPr>
          <w:p w14:paraId="4D73B0F0" w14:textId="77777777" w:rsidR="005F0DB9" w:rsidRDefault="00000000">
            <w:pPr>
              <w:spacing w:line="240" w:lineRule="auto" w:before="0" w:after="0"/>
              <w:ind w:firstLine="0"/>
              <w:jc w:val="left"/>
            </w:pPr>
            <w:r>
              <w:rPr>
                <w:sz w:val="14"/>
              </w:rPr>
              <w:t>Sim</w:t>
            </w:r>
          </w:p>
        </w:tc>
      </w:tr>
    </w:tbl>
    <w:p w14:paraId="467D79B8" w14:textId="77777777" w:rsidR="005F0DB9" w:rsidRPr="00366C9E" w:rsidRDefault="00000000">
      <w:pPr>
        <w:ind w:firstLine="0"/>
        <w:jc w:val="center"/>
        <w:rPr>
          <w:lang w:val="pt-BR"/>
        </w:rPr>
      </w:pPr>
      <w:r w:rsidRPr="00366C9E">
        <w:rPr>
          <w:sz w:val="20"/>
          <w:lang w:val="pt-BR"/>
        </w:rPr>
        <w:t>Fonte: elaboração própria com base nos resultados estimados.</w:t>
      </w:r>
    </w:p>
    <w:p w14:paraId="56B3680D" w14:textId="77777777" w:rsidR="005F0DB9" w:rsidRDefault="00000000">
      <w:pPr>
        <w:ind w:firstLine="0"/>
        <w:jc w:val="center"/>
      </w:pPr>
      <w:r>
        <w:rPr>
          <w:noProof/>
        </w:rPr>
        <w:drawing>
          <wp:inline distT="0" distB="0" distL="0" distR="0" wp14:anchorId="722C7CEE" wp14:editId="2FC1AB80">
            <wp:extent cx="5472000" cy="273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brl_para_diesel.png"/>
                    <pic:cNvPicPr/>
                  </pic:nvPicPr>
                  <pic:blipFill>
                    <a:blip r:embed="rId15"/>
                    <a:stretch>
                      <a:fillRect/>
                    </a:stretch>
                  </pic:blipFill>
                  <pic:spPr>
                    <a:xfrm>
                      <a:off x="0" y="0"/>
                      <a:ext cx="5472000" cy="2736000"/>
                    </a:xfrm>
                    <a:prstGeom prst="rect">
                      <a:avLst/>
                    </a:prstGeom>
                  </pic:spPr>
                </pic:pic>
              </a:graphicData>
            </a:graphic>
          </wp:inline>
        </w:drawing>
      </w:r>
    </w:p>
    <w:p w14:paraId="3BAB9D41" w14:textId="77777777" w:rsidR="005F0DB9" w:rsidRPr="00366C9E" w:rsidRDefault="00000000">
      <w:pPr>
        <w:ind w:firstLine="0"/>
        <w:jc w:val="center"/>
        <w:rPr>
          <w:lang w:val="pt-BR"/>
        </w:rPr>
      </w:pPr>
      <w:r w:rsidRPr="00366C9E">
        <w:rPr>
          <w:sz w:val="20"/>
          <w:lang w:val="pt-BR"/>
        </w:rPr>
        <w:t>Figura B1 - Resposta acumulada do diesel ao choque no petróleo em reais</w:t>
      </w:r>
    </w:p>
    <w:p w14:paraId="41BC9AFC"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7B927D40" w14:textId="77777777" w:rsidR="005F0DB9" w:rsidRDefault="00000000">
      <w:pPr>
        <w:ind w:firstLine="0"/>
        <w:jc w:val="center"/>
      </w:pPr>
      <w:r>
        <w:rPr>
          <w:noProof/>
        </w:rPr>
        <w:lastRenderedPageBreak/>
        <w:drawing>
          <wp:inline distT="0" distB="0" distL="0" distR="0" wp14:anchorId="33DD1CDA" wp14:editId="44A89862">
            <wp:extent cx="5472000" cy="273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brl_para_gasolina_refinaria.png"/>
                    <pic:cNvPicPr/>
                  </pic:nvPicPr>
                  <pic:blipFill>
                    <a:blip r:embed="rId16"/>
                    <a:stretch>
                      <a:fillRect/>
                    </a:stretch>
                  </pic:blipFill>
                  <pic:spPr>
                    <a:xfrm>
                      <a:off x="0" y="0"/>
                      <a:ext cx="5472000" cy="2736000"/>
                    </a:xfrm>
                    <a:prstGeom prst="rect">
                      <a:avLst/>
                    </a:prstGeom>
                  </pic:spPr>
                </pic:pic>
              </a:graphicData>
            </a:graphic>
          </wp:inline>
        </w:drawing>
      </w:r>
    </w:p>
    <w:p w14:paraId="3DDBF9EF" w14:textId="77777777" w:rsidR="005F0DB9" w:rsidRPr="00366C9E" w:rsidRDefault="00000000">
      <w:pPr>
        <w:ind w:firstLine="0"/>
        <w:jc w:val="center"/>
        <w:rPr>
          <w:lang w:val="pt-BR"/>
        </w:rPr>
      </w:pPr>
      <w:r w:rsidRPr="00366C9E">
        <w:rPr>
          <w:sz w:val="20"/>
          <w:lang w:val="pt-BR"/>
        </w:rPr>
        <w:t>Figura B2 - Resposta acumulada da gasolina de refinaria ao choque no petróleo em reais</w:t>
      </w:r>
    </w:p>
    <w:p w14:paraId="3B101F10"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74848F76" w14:textId="77777777" w:rsidR="005F0DB9" w:rsidRDefault="00000000">
      <w:pPr>
        <w:ind w:firstLine="0"/>
        <w:jc w:val="center"/>
      </w:pPr>
      <w:r>
        <w:rPr>
          <w:noProof/>
        </w:rPr>
        <w:drawing>
          <wp:inline distT="0" distB="0" distL="0" distR="0" wp14:anchorId="12EAC27E" wp14:editId="53341BE9">
            <wp:extent cx="5472000" cy="27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acumulada_petroleo_brl_para_ipca_transporte.png"/>
                    <pic:cNvPicPr/>
                  </pic:nvPicPr>
                  <pic:blipFill>
                    <a:blip r:embed="rId17"/>
                    <a:stretch>
                      <a:fillRect/>
                    </a:stretch>
                  </pic:blipFill>
                  <pic:spPr>
                    <a:xfrm>
                      <a:off x="0" y="0"/>
                      <a:ext cx="5472000" cy="2736000"/>
                    </a:xfrm>
                    <a:prstGeom prst="rect">
                      <a:avLst/>
                    </a:prstGeom>
                  </pic:spPr>
                </pic:pic>
              </a:graphicData>
            </a:graphic>
          </wp:inline>
        </w:drawing>
      </w:r>
    </w:p>
    <w:p w14:paraId="1C809C3A" w14:textId="77777777" w:rsidR="005F0DB9" w:rsidRPr="00366C9E" w:rsidRDefault="00000000">
      <w:pPr>
        <w:ind w:firstLine="0"/>
        <w:jc w:val="center"/>
        <w:rPr>
          <w:lang w:val="pt-BR"/>
        </w:rPr>
      </w:pPr>
      <w:r w:rsidRPr="00366C9E">
        <w:rPr>
          <w:sz w:val="20"/>
          <w:lang w:val="pt-BR"/>
        </w:rPr>
        <w:t>Figura B3 - Resposta acumulada do IPCA Transportes ao choque no petróleo em reais</w:t>
      </w:r>
    </w:p>
    <w:p w14:paraId="0CF62860"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5A77B368" w14:textId="77777777" w:rsidR="005F0DB9" w:rsidRDefault="00000000">
      <w:pPr>
        <w:pStyle w:val="Heading2"/>
        <w:jc w:val="both"/>
      </w:pPr>
      <w:bookmarkStart w:id="44" w:name="_Toc229695971"/>
      <w:r>
        <w:rPr>
          <w:rFonts w:ascii="Times New Roman" w:eastAsia="Times New Roman" w:hAnsi="Times New Roman"/>
        </w:rPr>
        <w:t>B.2 Regimes Petrobras e teste de Wald</w:t>
      </w:r>
      <w:bookmarkEnd w:id="44"/>
    </w:p>
    <w:p w14:paraId="3D2A7007" w14:textId="77777777" w:rsidR="005F0DB9" w:rsidRPr="00366C9E" w:rsidRDefault="00000000">
      <w:pPr>
        <w:spacing w:after="120"/>
        <w:rPr>
          <w:lang w:val="pt-BR"/>
        </w:rPr>
      </w:pPr>
      <w:r w:rsidRPr="00CA3657">
        <w:rPr>
          <w:lang w:val="pt-BR"/>
        </w:rPr>
        <w:t>A segunda atualização separa os efeitos entre o período anterior a setembro de 2016 e o período posterior a setembro de 2016. A estimação utiliza interações entre o choque e uma dummy de regime, seguida de teste de Wald para avaliar a hipótese de igualdade dos coeficientes. A data de setembro de 2016 é usada como corte institucional associado à política de maior aderência à paridade internacional. A interpretação deve reconhecer que esse corte não torna o período posterior homogêneo, pois a Petrobras passou por mudanças relevantes até 2026, incluindo a nova estratégia comercial de 2023. Portanto, a evidência sugere que a política de preços altera o timing e a intensidade do repasse, mas de forma heterogênea entre combustíveis e índices de inflação.</w:t>
      </w:r>
      <w:proofErr w:type="spellStart"/>
      <w:r w:rsidRPr="00CA3657">
        <w:rPr>
          <w:lang w:val="pt-BR"/>
        </w:rPr>
      </w:r>
      <w:proofErr w:type="spellEnd"/>
      <w:r w:rsidRPr="00CA3657">
        <w:rPr>
          <w:lang w:val="pt-BR"/>
        </w:rPr>
      </w:r>
      <w:r w:rsidRPr="00CA3657">
        <w:rPr>
          <w:lang w:val="pt-BR"/>
        </w:rPr>
      </w:r>
    </w:p>
    <w:p w14:paraId="20188ED1" w14:textId="77777777" w:rsidR="005F0DB9" w:rsidRPr="00366C9E" w:rsidRDefault="00000000">
      <w:pPr>
        <w:ind w:firstLine="0"/>
        <w:jc w:val="center"/>
        <w:rPr>
          <w:lang w:val="pt-BR"/>
        </w:rPr>
      </w:pPr>
      <w:r w:rsidRPr="00366C9E">
        <w:rPr>
          <w:b/>
          <w:sz w:val="20"/>
          <w:lang w:val="pt-BR"/>
        </w:rPr>
        <w:t>Tabela B2 - Testes de diferença entre regimes Petrobras</w:t>
      </w:r>
    </w:p>
    <w:tbl>
      <w:tblPr>
        <w:tblStyle w:val="TableGrid"/>
        <w:tblW w:w="0" w:type="auto"/>
        <w:jc w:val="center"/>
        <w:tblLayout w:type="autofit"/>
        <w:tblLook w:val="04A0" w:firstRow="1" w:lastRow="0" w:firstColumn="1" w:lastColumn="0" w:noHBand="0" w:noVBand="1"/>
      </w:tblPr>
      <w:tblGrid>
        <w:gridCol w:w="1566"/>
        <w:gridCol w:w="1565"/>
        <w:gridCol w:w="1566"/>
        <w:gridCol w:w="1566"/>
        <w:gridCol w:w="1566"/>
        <w:gridCol w:w="1566"/>
      </w:tblGrid>
      <w:tr w:rsidR="005F0DB9" w14:paraId="582D8836" w14:textId="77777777">
        <w:trPr>
          <w:jc w:val="center"/>
        </w:trPr>
        <w:tc>
          <w:tcPr>
            <w:tcW w:w="1567" w:type="dxa"/>
            <w:shd w:val="clear" w:color="auto" w:fill="D9EAF7"/>
            <w:vAlign w:val="center"/>
            <w:tcMar>
              <w:top w:w="30" w:type="dxa"/>
              <w:start w:w="30" w:type="dxa"/>
              <w:bottom w:w="30" w:type="dxa"/>
              <w:end w:w="30" w:type="dxa"/>
            </w:tcMar>
          </w:tcPr>
          <w:p w14:paraId="692BAC55" w14:textId="77777777" w:rsidR="005F0DB9" w:rsidRDefault="00000000">
            <w:pPr>
              <w:spacing w:line="240" w:lineRule="auto" w:before="0" w:after="0"/>
              <w:ind w:firstLine="0"/>
              <w:jc w:val="left"/>
            </w:pPr>
            <w:r>
              <w:rPr>
                <w:b/>
                <w:sz w:val="14"/>
              </w:rPr>
              <w:t>Canal</w:t>
            </w:r>
          </w:p>
        </w:tc>
        <w:tc>
          <w:tcPr>
            <w:tcW w:w="1567" w:type="dxa"/>
            <w:shd w:val="clear" w:color="auto" w:fill="D9EAF7"/>
            <w:vAlign w:val="center"/>
            <w:tcMar>
              <w:top w:w="30" w:type="dxa"/>
              <w:start w:w="30" w:type="dxa"/>
              <w:bottom w:w="30" w:type="dxa"/>
              <w:end w:w="30" w:type="dxa"/>
            </w:tcMar>
          </w:tcPr>
          <w:p w14:paraId="4B7F32DD" w14:textId="77777777" w:rsidR="005F0DB9" w:rsidRDefault="00000000">
            <w:pPr>
              <w:spacing w:line="240" w:lineRule="auto" w:before="0" w:after="0"/>
              <w:ind w:firstLine="0"/>
              <w:jc w:val="left"/>
            </w:pPr>
            <w:r>
              <w:rPr>
                <w:b/>
                <w:sz w:val="14"/>
              </w:rPr>
              <w:t>h</w:t>
            </w:r>
          </w:p>
        </w:tc>
        <w:tc>
          <w:tcPr>
            <w:tcW w:w="1567" w:type="dxa"/>
            <w:shd w:val="clear" w:color="auto" w:fill="D9EAF7"/>
            <w:vAlign w:val="center"/>
            <w:tcMar>
              <w:top w:w="30" w:type="dxa"/>
              <w:start w:w="30" w:type="dxa"/>
              <w:bottom w:w="30" w:type="dxa"/>
              <w:end w:w="30" w:type="dxa"/>
            </w:tcMar>
          </w:tcPr>
          <w:p w14:paraId="69CF1708" w14:textId="77777777" w:rsidR="005F0DB9" w:rsidRDefault="00000000">
            <w:pPr>
              <w:spacing w:line="240" w:lineRule="auto" w:before="0" w:after="0"/>
              <w:ind w:firstLine="0"/>
              <w:jc w:val="left"/>
            </w:pPr>
            <w:r>
              <w:rPr>
                <w:b/>
                <w:sz w:val="14"/>
              </w:rPr>
              <w:t>Coef. antes de set./2016</w:t>
            </w:r>
          </w:p>
        </w:tc>
        <w:tc>
          <w:tcPr>
            <w:tcW w:w="1567" w:type="dxa"/>
            <w:shd w:val="clear" w:color="auto" w:fill="D9EAF7"/>
            <w:vAlign w:val="center"/>
            <w:tcMar>
              <w:top w:w="30" w:type="dxa"/>
              <w:start w:w="30" w:type="dxa"/>
              <w:bottom w:w="30" w:type="dxa"/>
              <w:end w:w="30" w:type="dxa"/>
            </w:tcMar>
          </w:tcPr>
          <w:p w14:paraId="48B38A70" w14:textId="77777777" w:rsidR="005F0DB9" w:rsidRDefault="00000000">
            <w:pPr>
              <w:spacing w:line="240" w:lineRule="auto" w:before="0" w:after="0"/>
              <w:ind w:firstLine="0"/>
              <w:jc w:val="left"/>
            </w:pPr>
            <w:r>
              <w:rPr>
                <w:b/>
                <w:sz w:val="14"/>
              </w:rPr>
              <w:t>Coef. depois de set./2016</w:t>
            </w:r>
          </w:p>
        </w:tc>
        <w:tc>
          <w:tcPr>
            <w:tcW w:w="1567" w:type="dxa"/>
            <w:shd w:val="clear" w:color="auto" w:fill="D9EAF7"/>
            <w:vAlign w:val="center"/>
            <w:tcMar>
              <w:top w:w="30" w:type="dxa"/>
              <w:start w:w="30" w:type="dxa"/>
              <w:bottom w:w="30" w:type="dxa"/>
              <w:end w:w="30" w:type="dxa"/>
            </w:tcMar>
          </w:tcPr>
          <w:p w14:paraId="2AD2C02F" w14:textId="77777777" w:rsidR="005F0DB9" w:rsidRDefault="00000000">
            <w:pPr>
              <w:spacing w:line="240" w:lineRule="auto" w:before="0" w:after="0"/>
              <w:ind w:firstLine="0"/>
              <w:jc w:val="left"/>
            </w:pPr>
            <w:r>
              <w:rPr>
                <w:b/>
                <w:sz w:val="14"/>
              </w:rPr>
              <w:t>p-valor Wald</w:t>
            </w:r>
          </w:p>
        </w:tc>
        <w:tc>
          <w:tcPr>
            <w:tcW w:w="1567" w:type="dxa"/>
            <w:shd w:val="clear" w:color="auto" w:fill="D9EAF7"/>
            <w:vAlign w:val="center"/>
            <w:tcMar>
              <w:top w:w="30" w:type="dxa"/>
              <w:start w:w="30" w:type="dxa"/>
              <w:bottom w:w="30" w:type="dxa"/>
              <w:end w:w="30" w:type="dxa"/>
            </w:tcMar>
          </w:tcPr>
          <w:p w14:paraId="72238837" w14:textId="77777777" w:rsidR="005F0DB9" w:rsidRDefault="00000000">
            <w:pPr>
              <w:spacing w:line="240" w:lineRule="auto" w:before="0" w:after="0"/>
              <w:ind w:firstLine="0"/>
              <w:jc w:val="left"/>
            </w:pPr>
            <w:r>
              <w:rPr>
                <w:b/>
                <w:sz w:val="14"/>
              </w:rPr>
              <w:t>Diferença</w:t>
            </w:r>
          </w:p>
        </w:tc>
      </w:tr>
      <w:tr w:rsidR="005F0DB9" w14:paraId="7D0DDF2C" w14:textId="77777777">
        <w:trPr>
          <w:jc w:val="center"/>
        </w:trPr>
        <w:tc>
          <w:tcPr>
            <w:tcW w:w="1567" w:type="dxa"/>
            <w:vAlign w:val="center"/>
            <w:tcMar>
              <w:top w:w="30" w:type="dxa"/>
              <w:start w:w="30" w:type="dxa"/>
              <w:bottom w:w="30" w:type="dxa"/>
              <w:end w:w="30" w:type="dxa"/>
            </w:tcMar>
          </w:tcPr>
          <w:p w14:paraId="65CF5E8D" w14:textId="77777777" w:rsidR="005F0DB9" w:rsidRDefault="00000000">
            <w:pPr>
              <w:spacing w:line="240" w:lineRule="auto" w:before="0" w:after="0"/>
              <w:ind w:firstLine="0"/>
              <w:jc w:val="left"/>
            </w:pPr>
            <w:r>
              <w:rPr>
                <w:sz w:val="14"/>
              </w:rPr>
              <w:t>Petróleo BRL → Diesel</w:t>
            </w:r>
          </w:p>
        </w:tc>
        <w:tc>
          <w:tcPr>
            <w:tcW w:w="1567" w:type="dxa"/>
            <w:vAlign w:val="center"/>
            <w:tcMar>
              <w:top w:w="30" w:type="dxa"/>
              <w:start w:w="30" w:type="dxa"/>
              <w:bottom w:w="30" w:type="dxa"/>
              <w:end w:w="30" w:type="dxa"/>
            </w:tcMar>
          </w:tcPr>
          <w:p w14:paraId="5F6B2661"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2CAC4B4E" w14:textId="77777777" w:rsidR="005F0DB9" w:rsidRDefault="00000000">
            <w:pPr>
              <w:spacing w:line="240" w:lineRule="auto" w:before="0" w:after="0"/>
              <w:ind w:firstLine="0"/>
              <w:jc w:val="left"/>
            </w:pPr>
            <w:r>
              <w:rPr>
                <w:sz w:val="14"/>
              </w:rPr>
              <w:t>0,787</w:t>
            </w:r>
          </w:p>
        </w:tc>
        <w:tc>
          <w:tcPr>
            <w:tcW w:w="1567" w:type="dxa"/>
            <w:vAlign w:val="center"/>
            <w:tcMar>
              <w:top w:w="30" w:type="dxa"/>
              <w:start w:w="30" w:type="dxa"/>
              <w:bottom w:w="30" w:type="dxa"/>
              <w:end w:w="30" w:type="dxa"/>
            </w:tcMar>
          </w:tcPr>
          <w:p w14:paraId="68D1B0AC" w14:textId="77777777" w:rsidR="005F0DB9" w:rsidRDefault="00000000">
            <w:pPr>
              <w:spacing w:line="240" w:lineRule="auto" w:before="0" w:after="0"/>
              <w:ind w:firstLine="0"/>
              <w:jc w:val="left"/>
            </w:pPr>
            <w:r>
              <w:rPr>
                <w:sz w:val="14"/>
              </w:rPr>
              <w:t>3,278</w:t>
            </w:r>
          </w:p>
        </w:tc>
        <w:tc>
          <w:tcPr>
            <w:tcW w:w="1567" w:type="dxa"/>
            <w:vAlign w:val="center"/>
            <w:tcMar>
              <w:top w:w="30" w:type="dxa"/>
              <w:start w:w="30" w:type="dxa"/>
              <w:bottom w:w="30" w:type="dxa"/>
              <w:end w:w="30" w:type="dxa"/>
            </w:tcMar>
          </w:tcPr>
          <w:p w14:paraId="4F739F4F" w14:textId="77777777" w:rsidR="005F0DB9" w:rsidRDefault="00000000">
            <w:pPr>
              <w:spacing w:line="240" w:lineRule="auto" w:before="0" w:after="0"/>
              <w:ind w:firstLine="0"/>
              <w:jc w:val="left"/>
            </w:pPr>
            <w:r>
              <w:rPr>
                <w:sz w:val="14"/>
              </w:rPr>
              <w:t>0,013</w:t>
            </w:r>
          </w:p>
        </w:tc>
        <w:tc>
          <w:tcPr>
            <w:tcW w:w="1567" w:type="dxa"/>
            <w:vAlign w:val="center"/>
            <w:tcMar>
              <w:top w:w="30" w:type="dxa"/>
              <w:start w:w="30" w:type="dxa"/>
              <w:bottom w:w="30" w:type="dxa"/>
              <w:end w:w="30" w:type="dxa"/>
            </w:tcMar>
          </w:tcPr>
          <w:p w14:paraId="21B377F6" w14:textId="77777777" w:rsidR="005F0DB9" w:rsidRDefault="00000000">
            <w:pPr>
              <w:spacing w:line="240" w:lineRule="auto" w:before="0" w:after="0"/>
              <w:ind w:firstLine="0"/>
              <w:jc w:val="left"/>
            </w:pPr>
            <w:r>
              <w:rPr>
                <w:sz w:val="14"/>
              </w:rPr>
              <w:t>Sim</w:t>
            </w:r>
          </w:p>
        </w:tc>
      </w:tr>
      <w:tr w:rsidR="005F0DB9" w14:paraId="07C5D44A" w14:textId="77777777">
        <w:trPr>
          <w:jc w:val="center"/>
        </w:trPr>
        <w:tc>
          <w:tcPr>
            <w:tcW w:w="1567" w:type="dxa"/>
            <w:vAlign w:val="center"/>
            <w:tcMar>
              <w:top w:w="30" w:type="dxa"/>
              <w:start w:w="30" w:type="dxa"/>
              <w:bottom w:w="30" w:type="dxa"/>
              <w:end w:w="30" w:type="dxa"/>
            </w:tcMar>
          </w:tcPr>
          <w:p w14:paraId="18378DC7" w14:textId="77777777" w:rsidR="005F0DB9" w:rsidRDefault="00000000">
            <w:pPr>
              <w:spacing w:line="240" w:lineRule="auto" w:before="0" w:after="0"/>
              <w:ind w:firstLine="0"/>
              <w:jc w:val="left"/>
            </w:pPr>
            <w:r>
              <w:rPr>
                <w:sz w:val="14"/>
              </w:rPr>
              <w:t>Petróleo BRL → Diesel</w:t>
            </w:r>
          </w:p>
        </w:tc>
        <w:tc>
          <w:tcPr>
            <w:tcW w:w="1567" w:type="dxa"/>
            <w:vAlign w:val="center"/>
            <w:tcMar>
              <w:top w:w="30" w:type="dxa"/>
              <w:start w:w="30" w:type="dxa"/>
              <w:bottom w:w="30" w:type="dxa"/>
              <w:end w:w="30" w:type="dxa"/>
            </w:tcMar>
          </w:tcPr>
          <w:p w14:paraId="2646C943"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04A3CB23" w14:textId="77777777" w:rsidR="005F0DB9" w:rsidRDefault="00000000">
            <w:pPr>
              <w:spacing w:line="240" w:lineRule="auto" w:before="0" w:after="0"/>
              <w:ind w:firstLine="0"/>
              <w:jc w:val="left"/>
            </w:pPr>
            <w:r>
              <w:rPr>
                <w:sz w:val="14"/>
              </w:rPr>
              <w:t>1,407</w:t>
            </w:r>
          </w:p>
        </w:tc>
        <w:tc>
          <w:tcPr>
            <w:tcW w:w="1567" w:type="dxa"/>
            <w:vAlign w:val="center"/>
            <w:tcMar>
              <w:top w:w="30" w:type="dxa"/>
              <w:start w:w="30" w:type="dxa"/>
              <w:bottom w:w="30" w:type="dxa"/>
              <w:end w:w="30" w:type="dxa"/>
            </w:tcMar>
          </w:tcPr>
          <w:p w14:paraId="1AB4AF3F" w14:textId="77777777" w:rsidR="005F0DB9" w:rsidRDefault="00000000">
            <w:pPr>
              <w:spacing w:line="240" w:lineRule="auto" w:before="0" w:after="0"/>
              <w:ind w:firstLine="0"/>
              <w:jc w:val="left"/>
            </w:pPr>
            <w:r>
              <w:rPr>
                <w:sz w:val="14"/>
              </w:rPr>
              <w:t>3,372</w:t>
            </w:r>
          </w:p>
        </w:tc>
        <w:tc>
          <w:tcPr>
            <w:tcW w:w="1567" w:type="dxa"/>
            <w:vAlign w:val="center"/>
            <w:tcMar>
              <w:top w:w="30" w:type="dxa"/>
              <w:start w:w="30" w:type="dxa"/>
              <w:bottom w:w="30" w:type="dxa"/>
              <w:end w:w="30" w:type="dxa"/>
            </w:tcMar>
          </w:tcPr>
          <w:p w14:paraId="20B3B9D6" w14:textId="77777777" w:rsidR="005F0DB9" w:rsidRDefault="00000000">
            <w:pPr>
              <w:spacing w:line="240" w:lineRule="auto" w:before="0" w:after="0"/>
              <w:ind w:firstLine="0"/>
              <w:jc w:val="left"/>
            </w:pPr>
            <w:r>
              <w:rPr>
                <w:sz w:val="14"/>
              </w:rPr>
              <w:t>0,166</w:t>
            </w:r>
          </w:p>
        </w:tc>
        <w:tc>
          <w:tcPr>
            <w:tcW w:w="1567" w:type="dxa"/>
            <w:vAlign w:val="center"/>
            <w:tcMar>
              <w:top w:w="30" w:type="dxa"/>
              <w:start w:w="30" w:type="dxa"/>
              <w:bottom w:w="30" w:type="dxa"/>
              <w:end w:w="30" w:type="dxa"/>
            </w:tcMar>
          </w:tcPr>
          <w:p w14:paraId="29ED1831" w14:textId="77777777" w:rsidR="005F0DB9" w:rsidRDefault="00000000">
            <w:pPr>
              <w:spacing w:line="240" w:lineRule="auto" w:before="0" w:after="0"/>
              <w:ind w:firstLine="0"/>
              <w:jc w:val="left"/>
            </w:pPr>
            <w:r>
              <w:rPr>
                <w:sz w:val="14"/>
              </w:rPr>
              <w:t>Não</w:t>
            </w:r>
          </w:p>
        </w:tc>
      </w:tr>
      <w:tr w:rsidR="005F0DB9" w14:paraId="15D270C7" w14:textId="77777777">
        <w:trPr>
          <w:jc w:val="center"/>
        </w:trPr>
        <w:tc>
          <w:tcPr>
            <w:tcW w:w="1567" w:type="dxa"/>
            <w:vAlign w:val="center"/>
            <w:tcMar>
              <w:top w:w="30" w:type="dxa"/>
              <w:start w:w="30" w:type="dxa"/>
              <w:bottom w:w="30" w:type="dxa"/>
              <w:end w:w="30" w:type="dxa"/>
            </w:tcMar>
          </w:tcPr>
          <w:p w14:paraId="4B6DCF1C" w14:textId="77777777" w:rsidR="005F0DB9" w:rsidRPr="00366C9E" w:rsidRDefault="00000000">
            <w:pPr>
              <w:spacing w:line="240" w:lineRule="auto" w:before="0" w:after="0"/>
              <w:ind w:firstLine="0"/>
              <w:jc w:val="left"/>
              <w:rPr>
                <w:lang w:val="pt-BR"/>
              </w:rPr>
            </w:pPr>
            <w:r w:rsidRPr="00366C9E">
              <w:rPr>
                <w:sz w:val="14"/>
                <w:lang w:val="pt-BR"/>
              </w:rPr>
              <w:t>Petróleo BRL → Gasolina de refinaria</w:t>
            </w:r>
          </w:p>
        </w:tc>
        <w:tc>
          <w:tcPr>
            <w:tcW w:w="1567" w:type="dxa"/>
            <w:vAlign w:val="center"/>
            <w:tcMar>
              <w:top w:w="30" w:type="dxa"/>
              <w:start w:w="30" w:type="dxa"/>
              <w:bottom w:w="30" w:type="dxa"/>
              <w:end w:w="30" w:type="dxa"/>
            </w:tcMar>
          </w:tcPr>
          <w:p w14:paraId="4EAF2FCD"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31C9A204" w14:textId="77777777" w:rsidR="005F0DB9" w:rsidRDefault="00000000">
            <w:pPr>
              <w:spacing w:line="240" w:lineRule="auto" w:before="0" w:after="0"/>
              <w:ind w:firstLine="0"/>
              <w:jc w:val="left"/>
            </w:pPr>
            <w:r>
              <w:rPr>
                <w:sz w:val="14"/>
              </w:rPr>
              <w:t>-0,077</w:t>
            </w:r>
          </w:p>
        </w:tc>
        <w:tc>
          <w:tcPr>
            <w:tcW w:w="1567" w:type="dxa"/>
            <w:vAlign w:val="center"/>
            <w:tcMar>
              <w:top w:w="30" w:type="dxa"/>
              <w:start w:w="30" w:type="dxa"/>
              <w:bottom w:w="30" w:type="dxa"/>
              <w:end w:w="30" w:type="dxa"/>
            </w:tcMar>
          </w:tcPr>
          <w:p w14:paraId="1F59456D" w14:textId="77777777" w:rsidR="005F0DB9" w:rsidRDefault="00000000">
            <w:pPr>
              <w:spacing w:line="240" w:lineRule="auto" w:before="0" w:after="0"/>
              <w:ind w:firstLine="0"/>
              <w:jc w:val="left"/>
            </w:pPr>
            <w:r>
              <w:rPr>
                <w:sz w:val="14"/>
              </w:rPr>
              <w:t>2,348</w:t>
            </w:r>
          </w:p>
        </w:tc>
        <w:tc>
          <w:tcPr>
            <w:tcW w:w="1567" w:type="dxa"/>
            <w:vAlign w:val="center"/>
            <w:tcMar>
              <w:top w:w="30" w:type="dxa"/>
              <w:start w:w="30" w:type="dxa"/>
              <w:bottom w:w="30" w:type="dxa"/>
              <w:end w:w="30" w:type="dxa"/>
            </w:tcMar>
          </w:tcPr>
          <w:p w14:paraId="3EC9357F" w14:textId="77777777" w:rsidR="005F0DB9" w:rsidRDefault="00000000">
            <w:pPr>
              <w:spacing w:line="240" w:lineRule="auto" w:before="0" w:after="0"/>
              <w:ind w:firstLine="0"/>
              <w:jc w:val="left"/>
            </w:pPr>
            <w:r>
              <w:rPr>
                <w:sz w:val="14"/>
              </w:rPr>
              <w:t>0,009</w:t>
            </w:r>
          </w:p>
        </w:tc>
        <w:tc>
          <w:tcPr>
            <w:tcW w:w="1567" w:type="dxa"/>
            <w:vAlign w:val="center"/>
            <w:tcMar>
              <w:top w:w="30" w:type="dxa"/>
              <w:start w:w="30" w:type="dxa"/>
              <w:bottom w:w="30" w:type="dxa"/>
              <w:end w:w="30" w:type="dxa"/>
            </w:tcMar>
          </w:tcPr>
          <w:p w14:paraId="48162D3E" w14:textId="77777777" w:rsidR="005F0DB9" w:rsidRDefault="00000000">
            <w:pPr>
              <w:spacing w:line="240" w:lineRule="auto" w:before="0" w:after="0"/>
              <w:ind w:firstLine="0"/>
              <w:jc w:val="left"/>
            </w:pPr>
            <w:r>
              <w:rPr>
                <w:sz w:val="14"/>
              </w:rPr>
              <w:t>Sim</w:t>
            </w:r>
          </w:p>
        </w:tc>
      </w:tr>
      <w:tr w:rsidR="005F0DB9" w14:paraId="6A1AAE07" w14:textId="77777777">
        <w:trPr>
          <w:jc w:val="center"/>
        </w:trPr>
        <w:tc>
          <w:tcPr>
            <w:tcW w:w="1567" w:type="dxa"/>
            <w:vAlign w:val="center"/>
            <w:tcMar>
              <w:top w:w="30" w:type="dxa"/>
              <w:start w:w="30" w:type="dxa"/>
              <w:bottom w:w="30" w:type="dxa"/>
              <w:end w:w="30" w:type="dxa"/>
            </w:tcMar>
          </w:tcPr>
          <w:p w14:paraId="453D402F" w14:textId="77777777" w:rsidR="005F0DB9" w:rsidRPr="00366C9E" w:rsidRDefault="00000000">
            <w:pPr>
              <w:spacing w:line="240" w:lineRule="auto" w:before="0" w:after="0"/>
              <w:ind w:firstLine="0"/>
              <w:jc w:val="left"/>
              <w:rPr>
                <w:lang w:val="pt-BR"/>
              </w:rPr>
            </w:pPr>
            <w:r w:rsidRPr="00366C9E">
              <w:rPr>
                <w:sz w:val="14"/>
                <w:lang w:val="pt-BR"/>
              </w:rPr>
              <w:t>Petróleo BRL → Gasolina de refinaria</w:t>
            </w:r>
          </w:p>
        </w:tc>
        <w:tc>
          <w:tcPr>
            <w:tcW w:w="1567" w:type="dxa"/>
            <w:vAlign w:val="center"/>
            <w:tcMar>
              <w:top w:w="30" w:type="dxa"/>
              <w:start w:w="30" w:type="dxa"/>
              <w:bottom w:w="30" w:type="dxa"/>
              <w:end w:w="30" w:type="dxa"/>
            </w:tcMar>
          </w:tcPr>
          <w:p w14:paraId="59D42643"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3ACCB45A" w14:textId="77777777" w:rsidR="005F0DB9" w:rsidRDefault="00000000">
            <w:pPr>
              <w:spacing w:line="240" w:lineRule="auto" w:before="0" w:after="0"/>
              <w:ind w:firstLine="0"/>
              <w:jc w:val="left"/>
            </w:pPr>
            <w:r>
              <w:rPr>
                <w:sz w:val="14"/>
              </w:rPr>
              <w:t>0,483</w:t>
            </w:r>
          </w:p>
        </w:tc>
        <w:tc>
          <w:tcPr>
            <w:tcW w:w="1567" w:type="dxa"/>
            <w:vAlign w:val="center"/>
            <w:tcMar>
              <w:top w:w="30" w:type="dxa"/>
              <w:start w:w="30" w:type="dxa"/>
              <w:bottom w:w="30" w:type="dxa"/>
              <w:end w:w="30" w:type="dxa"/>
            </w:tcMar>
          </w:tcPr>
          <w:p w14:paraId="5A2FBCA2" w14:textId="77777777" w:rsidR="005F0DB9" w:rsidRDefault="00000000">
            <w:pPr>
              <w:spacing w:line="240" w:lineRule="auto" w:before="0" w:after="0"/>
              <w:ind w:firstLine="0"/>
              <w:jc w:val="left"/>
            </w:pPr>
            <w:r>
              <w:rPr>
                <w:sz w:val="14"/>
              </w:rPr>
              <w:t>2,374</w:t>
            </w:r>
          </w:p>
        </w:tc>
        <w:tc>
          <w:tcPr>
            <w:tcW w:w="1567" w:type="dxa"/>
            <w:vAlign w:val="center"/>
            <w:tcMar>
              <w:top w:w="30" w:type="dxa"/>
              <w:start w:w="30" w:type="dxa"/>
              <w:bottom w:w="30" w:type="dxa"/>
              <w:end w:w="30" w:type="dxa"/>
            </w:tcMar>
          </w:tcPr>
          <w:p w14:paraId="746467D1" w14:textId="77777777" w:rsidR="005F0DB9" w:rsidRDefault="00000000">
            <w:pPr>
              <w:spacing w:line="240" w:lineRule="auto" w:before="0" w:after="0"/>
              <w:ind w:firstLine="0"/>
              <w:jc w:val="left"/>
            </w:pPr>
            <w:r>
              <w:rPr>
                <w:sz w:val="14"/>
              </w:rPr>
              <w:t>0,176</w:t>
            </w:r>
          </w:p>
        </w:tc>
        <w:tc>
          <w:tcPr>
            <w:tcW w:w="1567" w:type="dxa"/>
            <w:vAlign w:val="center"/>
            <w:tcMar>
              <w:top w:w="30" w:type="dxa"/>
              <w:start w:w="30" w:type="dxa"/>
              <w:bottom w:w="30" w:type="dxa"/>
              <w:end w:w="30" w:type="dxa"/>
            </w:tcMar>
          </w:tcPr>
          <w:p w14:paraId="4AEFBC61" w14:textId="77777777" w:rsidR="005F0DB9" w:rsidRDefault="00000000">
            <w:pPr>
              <w:spacing w:line="240" w:lineRule="auto" w:before="0" w:after="0"/>
              <w:ind w:firstLine="0"/>
              <w:jc w:val="left"/>
            </w:pPr>
            <w:r>
              <w:rPr>
                <w:sz w:val="14"/>
              </w:rPr>
              <w:t>Não</w:t>
            </w:r>
          </w:p>
        </w:tc>
      </w:tr>
      <w:tr w:rsidR="005F0DB9" w14:paraId="6D4C411F" w14:textId="77777777">
        <w:trPr>
          <w:jc w:val="center"/>
        </w:trPr>
        <w:tc>
          <w:tcPr>
            <w:tcW w:w="1567" w:type="dxa"/>
            <w:vAlign w:val="center"/>
            <w:tcMar>
              <w:top w:w="30" w:type="dxa"/>
              <w:start w:w="30" w:type="dxa"/>
              <w:bottom w:w="30" w:type="dxa"/>
              <w:end w:w="30" w:type="dxa"/>
            </w:tcMar>
          </w:tcPr>
          <w:p w14:paraId="1C9325C0" w14:textId="77777777" w:rsidR="005F0DB9" w:rsidRPr="00366C9E" w:rsidRDefault="00000000">
            <w:pPr>
              <w:spacing w:line="240" w:lineRule="auto" w:before="0" w:after="0"/>
              <w:ind w:firstLine="0"/>
              <w:jc w:val="left"/>
              <w:rPr>
                <w:lang w:val="pt-BR"/>
              </w:rPr>
            </w:pPr>
            <w:r w:rsidRPr="00366C9E">
              <w:rPr>
                <w:sz w:val="14"/>
                <w:lang w:val="pt-BR"/>
              </w:rPr>
              <w:t>Gasolina de refinaria → IPCA Transportes</w:t>
            </w:r>
          </w:p>
        </w:tc>
        <w:tc>
          <w:tcPr>
            <w:tcW w:w="1567" w:type="dxa"/>
            <w:vAlign w:val="center"/>
            <w:tcMar>
              <w:top w:w="30" w:type="dxa"/>
              <w:start w:w="30" w:type="dxa"/>
              <w:bottom w:w="30" w:type="dxa"/>
              <w:end w:w="30" w:type="dxa"/>
            </w:tcMar>
          </w:tcPr>
          <w:p w14:paraId="541BFD1B"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50C9E427" w14:textId="77777777" w:rsidR="005F0DB9" w:rsidRDefault="00000000">
            <w:pPr>
              <w:spacing w:line="240" w:lineRule="auto" w:before="0" w:after="0"/>
              <w:ind w:firstLine="0"/>
              <w:jc w:val="left"/>
            </w:pPr>
            <w:r>
              <w:rPr>
                <w:sz w:val="14"/>
              </w:rPr>
              <w:t>2,706</w:t>
            </w:r>
          </w:p>
        </w:tc>
        <w:tc>
          <w:tcPr>
            <w:tcW w:w="1567" w:type="dxa"/>
            <w:vAlign w:val="center"/>
            <w:tcMar>
              <w:top w:w="30" w:type="dxa"/>
              <w:start w:w="30" w:type="dxa"/>
              <w:bottom w:w="30" w:type="dxa"/>
              <w:end w:w="30" w:type="dxa"/>
            </w:tcMar>
          </w:tcPr>
          <w:p w14:paraId="6C4282DC" w14:textId="77777777" w:rsidR="005F0DB9" w:rsidRDefault="00000000">
            <w:pPr>
              <w:spacing w:line="240" w:lineRule="auto" w:before="0" w:after="0"/>
              <w:ind w:firstLine="0"/>
              <w:jc w:val="left"/>
            </w:pPr>
            <w:r>
              <w:rPr>
                <w:sz w:val="14"/>
              </w:rPr>
              <w:t>0,566</w:t>
            </w:r>
          </w:p>
        </w:tc>
        <w:tc>
          <w:tcPr>
            <w:tcW w:w="1567" w:type="dxa"/>
            <w:vAlign w:val="center"/>
            <w:tcMar>
              <w:top w:w="30" w:type="dxa"/>
              <w:start w:w="30" w:type="dxa"/>
              <w:bottom w:w="30" w:type="dxa"/>
              <w:end w:w="30" w:type="dxa"/>
            </w:tcMar>
          </w:tcPr>
          <w:p w14:paraId="4EA311D4" w14:textId="77777777" w:rsidR="005F0DB9" w:rsidRDefault="00000000">
            <w:pPr>
              <w:spacing w:line="240" w:lineRule="auto" w:before="0" w:after="0"/>
              <w:ind w:firstLine="0"/>
              <w:jc w:val="left"/>
            </w:pPr>
            <w:r>
              <w:rPr>
                <w:sz w:val="14"/>
              </w:rPr>
              <w:t>0,005</w:t>
            </w:r>
          </w:p>
        </w:tc>
        <w:tc>
          <w:tcPr>
            <w:tcW w:w="1567" w:type="dxa"/>
            <w:vAlign w:val="center"/>
            <w:tcMar>
              <w:top w:w="30" w:type="dxa"/>
              <w:start w:w="30" w:type="dxa"/>
              <w:bottom w:w="30" w:type="dxa"/>
              <w:end w:w="30" w:type="dxa"/>
            </w:tcMar>
          </w:tcPr>
          <w:p w14:paraId="60EFDF09" w14:textId="77777777" w:rsidR="005F0DB9" w:rsidRDefault="00000000">
            <w:pPr>
              <w:spacing w:line="240" w:lineRule="auto" w:before="0" w:after="0"/>
              <w:ind w:firstLine="0"/>
              <w:jc w:val="left"/>
            </w:pPr>
            <w:r>
              <w:rPr>
                <w:sz w:val="14"/>
              </w:rPr>
              <w:t>Sim</w:t>
            </w:r>
          </w:p>
        </w:tc>
      </w:tr>
      <w:tr w:rsidR="005F0DB9" w14:paraId="4249D061" w14:textId="77777777">
        <w:trPr>
          <w:jc w:val="center"/>
        </w:trPr>
        <w:tc>
          <w:tcPr>
            <w:tcW w:w="1567" w:type="dxa"/>
            <w:vAlign w:val="center"/>
            <w:tcMar>
              <w:top w:w="30" w:type="dxa"/>
              <w:start w:w="30" w:type="dxa"/>
              <w:bottom w:w="30" w:type="dxa"/>
              <w:end w:w="30" w:type="dxa"/>
            </w:tcMar>
          </w:tcPr>
          <w:p w14:paraId="216B2ED6" w14:textId="77777777" w:rsidR="005F0DB9" w:rsidRPr="00366C9E" w:rsidRDefault="00000000">
            <w:pPr>
              <w:spacing w:line="240" w:lineRule="auto" w:before="0" w:after="0"/>
              <w:ind w:firstLine="0"/>
              <w:jc w:val="left"/>
              <w:rPr>
                <w:lang w:val="pt-BR"/>
              </w:rPr>
            </w:pPr>
            <w:r w:rsidRPr="00366C9E">
              <w:rPr>
                <w:sz w:val="14"/>
                <w:lang w:val="pt-BR"/>
              </w:rPr>
              <w:t>Gasolina de refinaria → IPCA Transportes</w:t>
            </w:r>
          </w:p>
        </w:tc>
        <w:tc>
          <w:tcPr>
            <w:tcW w:w="1567" w:type="dxa"/>
            <w:vAlign w:val="center"/>
            <w:tcMar>
              <w:top w:w="30" w:type="dxa"/>
              <w:start w:w="30" w:type="dxa"/>
              <w:bottom w:w="30" w:type="dxa"/>
              <w:end w:w="30" w:type="dxa"/>
            </w:tcMar>
          </w:tcPr>
          <w:p w14:paraId="27F082DD"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50D917D3" w14:textId="77777777" w:rsidR="005F0DB9" w:rsidRDefault="00000000">
            <w:pPr>
              <w:spacing w:line="240" w:lineRule="auto" w:before="0" w:after="0"/>
              <w:ind w:firstLine="0"/>
              <w:jc w:val="left"/>
            </w:pPr>
            <w:r>
              <w:rPr>
                <w:sz w:val="14"/>
              </w:rPr>
              <w:t>2,667</w:t>
            </w:r>
          </w:p>
        </w:tc>
        <w:tc>
          <w:tcPr>
            <w:tcW w:w="1567" w:type="dxa"/>
            <w:vAlign w:val="center"/>
            <w:tcMar>
              <w:top w:w="30" w:type="dxa"/>
              <w:start w:w="30" w:type="dxa"/>
              <w:bottom w:w="30" w:type="dxa"/>
              <w:end w:w="30" w:type="dxa"/>
            </w:tcMar>
          </w:tcPr>
          <w:p w14:paraId="3373D4B1" w14:textId="77777777" w:rsidR="005F0DB9" w:rsidRDefault="00000000">
            <w:pPr>
              <w:spacing w:line="240" w:lineRule="auto" w:before="0" w:after="0"/>
              <w:ind w:firstLine="0"/>
              <w:jc w:val="left"/>
            </w:pPr>
            <w:r>
              <w:rPr>
                <w:sz w:val="14"/>
              </w:rPr>
              <w:t>0,747</w:t>
            </w:r>
          </w:p>
        </w:tc>
        <w:tc>
          <w:tcPr>
            <w:tcW w:w="1567" w:type="dxa"/>
            <w:vAlign w:val="center"/>
            <w:tcMar>
              <w:top w:w="30" w:type="dxa"/>
              <w:start w:w="30" w:type="dxa"/>
              <w:bottom w:w="30" w:type="dxa"/>
              <w:end w:w="30" w:type="dxa"/>
            </w:tcMar>
          </w:tcPr>
          <w:p w14:paraId="7DB3585F" w14:textId="77777777" w:rsidR="005F0DB9" w:rsidRDefault="00000000">
            <w:pPr>
              <w:spacing w:line="240" w:lineRule="auto" w:before="0" w:after="0"/>
              <w:ind w:firstLine="0"/>
              <w:jc w:val="left"/>
            </w:pPr>
            <w:r>
              <w:rPr>
                <w:sz w:val="14"/>
              </w:rPr>
              <w:t>0,124</w:t>
            </w:r>
          </w:p>
        </w:tc>
        <w:tc>
          <w:tcPr>
            <w:tcW w:w="1567" w:type="dxa"/>
            <w:vAlign w:val="center"/>
            <w:tcMar>
              <w:top w:w="30" w:type="dxa"/>
              <w:start w:w="30" w:type="dxa"/>
              <w:bottom w:w="30" w:type="dxa"/>
              <w:end w:w="30" w:type="dxa"/>
            </w:tcMar>
          </w:tcPr>
          <w:p w14:paraId="64523F0D" w14:textId="77777777" w:rsidR="005F0DB9" w:rsidRDefault="00000000">
            <w:pPr>
              <w:spacing w:line="240" w:lineRule="auto" w:before="0" w:after="0"/>
              <w:ind w:firstLine="0"/>
              <w:jc w:val="left"/>
            </w:pPr>
            <w:r>
              <w:rPr>
                <w:sz w:val="14"/>
              </w:rPr>
              <w:t>Não</w:t>
            </w:r>
          </w:p>
        </w:tc>
      </w:tr>
      <w:tr w:rsidR="005F0DB9" w14:paraId="4BFAE08A" w14:textId="77777777">
        <w:trPr>
          <w:jc w:val="center"/>
        </w:trPr>
        <w:tc>
          <w:tcPr>
            <w:tcW w:w="1567" w:type="dxa"/>
            <w:vAlign w:val="center"/>
            <w:tcMar>
              <w:top w:w="30" w:type="dxa"/>
              <w:start w:w="30" w:type="dxa"/>
              <w:bottom w:w="30" w:type="dxa"/>
              <w:end w:w="30" w:type="dxa"/>
            </w:tcMar>
          </w:tcPr>
          <w:p w14:paraId="24CC0057" w14:textId="77777777" w:rsidR="005F0DB9" w:rsidRDefault="00000000">
            <w:pPr>
              <w:spacing w:line="240" w:lineRule="auto" w:before="0" w:after="0"/>
              <w:ind w:firstLine="0"/>
              <w:jc w:val="left"/>
            </w:pPr>
            <w:r>
              <w:rPr>
                <w:sz w:val="14"/>
              </w:rPr>
              <w:t>Gasolina → IPCA Transportes</w:t>
            </w:r>
          </w:p>
        </w:tc>
        <w:tc>
          <w:tcPr>
            <w:tcW w:w="1567" w:type="dxa"/>
            <w:vAlign w:val="center"/>
            <w:tcMar>
              <w:top w:w="30" w:type="dxa"/>
              <w:start w:w="30" w:type="dxa"/>
              <w:bottom w:w="30" w:type="dxa"/>
              <w:end w:w="30" w:type="dxa"/>
            </w:tcMar>
          </w:tcPr>
          <w:p w14:paraId="4135E10C"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4B076239" w14:textId="77777777" w:rsidR="005F0DB9" w:rsidRDefault="00000000">
            <w:pPr>
              <w:spacing w:line="240" w:lineRule="auto" w:before="0" w:after="0"/>
              <w:ind w:firstLine="0"/>
              <w:jc w:val="left"/>
            </w:pPr>
            <w:r>
              <w:rPr>
                <w:sz w:val="14"/>
              </w:rPr>
              <w:t>1,434</w:t>
            </w:r>
          </w:p>
        </w:tc>
        <w:tc>
          <w:tcPr>
            <w:tcW w:w="1567" w:type="dxa"/>
            <w:vAlign w:val="center"/>
            <w:tcMar>
              <w:top w:w="30" w:type="dxa"/>
              <w:start w:w="30" w:type="dxa"/>
              <w:bottom w:w="30" w:type="dxa"/>
              <w:end w:w="30" w:type="dxa"/>
            </w:tcMar>
          </w:tcPr>
          <w:p w14:paraId="75500EE1" w14:textId="77777777" w:rsidR="005F0DB9" w:rsidRDefault="00000000">
            <w:pPr>
              <w:spacing w:line="240" w:lineRule="auto" w:before="0" w:after="0"/>
              <w:ind w:firstLine="0"/>
              <w:jc w:val="left"/>
            </w:pPr>
            <w:r>
              <w:rPr>
                <w:sz w:val="14"/>
              </w:rPr>
              <w:t>1,272</w:t>
            </w:r>
          </w:p>
        </w:tc>
        <w:tc>
          <w:tcPr>
            <w:tcW w:w="1567" w:type="dxa"/>
            <w:vAlign w:val="center"/>
            <w:tcMar>
              <w:top w:w="30" w:type="dxa"/>
              <w:start w:w="30" w:type="dxa"/>
              <w:bottom w:w="30" w:type="dxa"/>
              <w:end w:w="30" w:type="dxa"/>
            </w:tcMar>
          </w:tcPr>
          <w:p w14:paraId="1B57B657" w14:textId="77777777" w:rsidR="005F0DB9" w:rsidRDefault="00000000">
            <w:pPr>
              <w:spacing w:line="240" w:lineRule="auto" w:before="0" w:after="0"/>
              <w:ind w:firstLine="0"/>
              <w:jc w:val="left"/>
            </w:pPr>
            <w:r>
              <w:rPr>
                <w:sz w:val="14"/>
              </w:rPr>
              <w:t>0,762</w:t>
            </w:r>
          </w:p>
        </w:tc>
        <w:tc>
          <w:tcPr>
            <w:tcW w:w="1567" w:type="dxa"/>
            <w:vAlign w:val="center"/>
            <w:tcMar>
              <w:top w:w="30" w:type="dxa"/>
              <w:start w:w="30" w:type="dxa"/>
              <w:bottom w:w="30" w:type="dxa"/>
              <w:end w:w="30" w:type="dxa"/>
            </w:tcMar>
          </w:tcPr>
          <w:p w14:paraId="0EFAF0F7" w14:textId="77777777" w:rsidR="005F0DB9" w:rsidRDefault="00000000">
            <w:pPr>
              <w:spacing w:line="240" w:lineRule="auto" w:before="0" w:after="0"/>
              <w:ind w:firstLine="0"/>
              <w:jc w:val="left"/>
            </w:pPr>
            <w:r>
              <w:rPr>
                <w:sz w:val="14"/>
              </w:rPr>
              <w:t>Não</w:t>
            </w:r>
          </w:p>
        </w:tc>
      </w:tr>
      <w:tr w:rsidR="005F0DB9" w14:paraId="0537B1CE" w14:textId="77777777">
        <w:trPr>
          <w:jc w:val="center"/>
        </w:trPr>
        <w:tc>
          <w:tcPr>
            <w:tcW w:w="1567" w:type="dxa"/>
            <w:vAlign w:val="center"/>
            <w:tcMar>
              <w:top w:w="30" w:type="dxa"/>
              <w:start w:w="30" w:type="dxa"/>
              <w:bottom w:w="30" w:type="dxa"/>
              <w:end w:w="30" w:type="dxa"/>
            </w:tcMar>
          </w:tcPr>
          <w:p w14:paraId="7284D96F" w14:textId="77777777" w:rsidR="005F0DB9" w:rsidRDefault="00000000">
            <w:pPr>
              <w:spacing w:line="240" w:lineRule="auto" w:before="0" w:after="0"/>
              <w:ind w:firstLine="0"/>
              <w:jc w:val="left"/>
            </w:pPr>
            <w:r>
              <w:rPr>
                <w:sz w:val="14"/>
              </w:rPr>
              <w:t>Gasolina → IPCA Transportes</w:t>
            </w:r>
          </w:p>
        </w:tc>
        <w:tc>
          <w:tcPr>
            <w:tcW w:w="1567" w:type="dxa"/>
            <w:vAlign w:val="center"/>
            <w:tcMar>
              <w:top w:w="30" w:type="dxa"/>
              <w:start w:w="30" w:type="dxa"/>
              <w:bottom w:w="30" w:type="dxa"/>
              <w:end w:w="30" w:type="dxa"/>
            </w:tcMar>
          </w:tcPr>
          <w:p w14:paraId="6D966637"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3DDC4597" w14:textId="77777777" w:rsidR="005F0DB9" w:rsidRDefault="00000000">
            <w:pPr>
              <w:spacing w:line="240" w:lineRule="auto" w:before="0" w:after="0"/>
              <w:ind w:firstLine="0"/>
              <w:jc w:val="left"/>
            </w:pPr>
            <w:r>
              <w:rPr>
                <w:sz w:val="14"/>
              </w:rPr>
              <w:t>1,123</w:t>
            </w:r>
          </w:p>
        </w:tc>
        <w:tc>
          <w:tcPr>
            <w:tcW w:w="1567" w:type="dxa"/>
            <w:vAlign w:val="center"/>
            <w:tcMar>
              <w:top w:w="30" w:type="dxa"/>
              <w:start w:w="30" w:type="dxa"/>
              <w:bottom w:w="30" w:type="dxa"/>
              <w:end w:w="30" w:type="dxa"/>
            </w:tcMar>
          </w:tcPr>
          <w:p w14:paraId="46668434" w14:textId="77777777" w:rsidR="005F0DB9" w:rsidRDefault="00000000">
            <w:pPr>
              <w:spacing w:line="240" w:lineRule="auto" w:before="0" w:after="0"/>
              <w:ind w:firstLine="0"/>
              <w:jc w:val="left"/>
            </w:pPr>
            <w:r>
              <w:rPr>
                <w:sz w:val="14"/>
              </w:rPr>
              <w:t>1,263</w:t>
            </w:r>
          </w:p>
        </w:tc>
        <w:tc>
          <w:tcPr>
            <w:tcW w:w="1567" w:type="dxa"/>
            <w:vAlign w:val="center"/>
            <w:tcMar>
              <w:top w:w="30" w:type="dxa"/>
              <w:start w:w="30" w:type="dxa"/>
              <w:bottom w:w="30" w:type="dxa"/>
              <w:end w:w="30" w:type="dxa"/>
            </w:tcMar>
          </w:tcPr>
          <w:p w14:paraId="65EA8A44" w14:textId="77777777" w:rsidR="005F0DB9" w:rsidRDefault="00000000">
            <w:pPr>
              <w:spacing w:line="240" w:lineRule="auto" w:before="0" w:after="0"/>
              <w:ind w:firstLine="0"/>
              <w:jc w:val="left"/>
            </w:pPr>
            <w:r>
              <w:rPr>
                <w:sz w:val="14"/>
              </w:rPr>
              <w:t>0,874</w:t>
            </w:r>
          </w:p>
        </w:tc>
        <w:tc>
          <w:tcPr>
            <w:tcW w:w="1567" w:type="dxa"/>
            <w:vAlign w:val="center"/>
            <w:tcMar>
              <w:top w:w="30" w:type="dxa"/>
              <w:start w:w="30" w:type="dxa"/>
              <w:bottom w:w="30" w:type="dxa"/>
              <w:end w:w="30" w:type="dxa"/>
            </w:tcMar>
          </w:tcPr>
          <w:p w14:paraId="71C74890" w14:textId="77777777" w:rsidR="005F0DB9" w:rsidRDefault="00000000">
            <w:pPr>
              <w:spacing w:line="240" w:lineRule="auto" w:before="0" w:after="0"/>
              <w:ind w:firstLine="0"/>
              <w:jc w:val="left"/>
            </w:pPr>
            <w:r>
              <w:rPr>
                <w:sz w:val="14"/>
              </w:rPr>
              <w:t>Não</w:t>
            </w:r>
          </w:p>
        </w:tc>
      </w:tr>
      <w:tr w:rsidR="005F0DB9" w14:paraId="72EDC83A" w14:textId="77777777">
        <w:trPr>
          <w:jc w:val="center"/>
        </w:trPr>
        <w:tc>
          <w:tcPr>
            <w:tcW w:w="1567" w:type="dxa"/>
            <w:vAlign w:val="center"/>
            <w:tcMar>
              <w:top w:w="30" w:type="dxa"/>
              <w:start w:w="30" w:type="dxa"/>
              <w:bottom w:w="30" w:type="dxa"/>
              <w:end w:w="30" w:type="dxa"/>
            </w:tcMar>
          </w:tcPr>
          <w:p w14:paraId="44ACD81E" w14:textId="77777777" w:rsidR="005F0DB9" w:rsidRDefault="00000000">
            <w:pPr>
              <w:spacing w:line="240" w:lineRule="auto" w:before="0" w:after="0"/>
              <w:ind w:firstLine="0"/>
              <w:jc w:val="left"/>
            </w:pPr>
            <w:r>
              <w:rPr>
                <w:sz w:val="14"/>
              </w:rPr>
              <w:t>Etanol → IPCA Transportes</w:t>
            </w:r>
          </w:p>
        </w:tc>
        <w:tc>
          <w:tcPr>
            <w:tcW w:w="1567" w:type="dxa"/>
            <w:vAlign w:val="center"/>
            <w:tcMar>
              <w:top w:w="30" w:type="dxa"/>
              <w:start w:w="30" w:type="dxa"/>
              <w:bottom w:w="30" w:type="dxa"/>
              <w:end w:w="30" w:type="dxa"/>
            </w:tcMar>
          </w:tcPr>
          <w:p w14:paraId="35EBDE27"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34B63D2F" w14:textId="77777777" w:rsidR="005F0DB9" w:rsidRDefault="00000000">
            <w:pPr>
              <w:spacing w:line="240" w:lineRule="auto" w:before="0" w:after="0"/>
              <w:ind w:firstLine="0"/>
              <w:jc w:val="left"/>
            </w:pPr>
            <w:r>
              <w:rPr>
                <w:sz w:val="14"/>
              </w:rPr>
              <w:t>0,646</w:t>
            </w:r>
          </w:p>
        </w:tc>
        <w:tc>
          <w:tcPr>
            <w:tcW w:w="1567" w:type="dxa"/>
            <w:vAlign w:val="center"/>
            <w:tcMar>
              <w:top w:w="30" w:type="dxa"/>
              <w:start w:w="30" w:type="dxa"/>
              <w:bottom w:w="30" w:type="dxa"/>
              <w:end w:w="30" w:type="dxa"/>
            </w:tcMar>
          </w:tcPr>
          <w:p w14:paraId="4E5604B2" w14:textId="77777777" w:rsidR="005F0DB9" w:rsidRDefault="00000000">
            <w:pPr>
              <w:spacing w:line="240" w:lineRule="auto" w:before="0" w:after="0"/>
              <w:ind w:firstLine="0"/>
              <w:jc w:val="left"/>
            </w:pPr>
            <w:r>
              <w:rPr>
                <w:sz w:val="14"/>
              </w:rPr>
              <w:t>1,463</w:t>
            </w:r>
          </w:p>
        </w:tc>
        <w:tc>
          <w:tcPr>
            <w:tcW w:w="1567" w:type="dxa"/>
            <w:vAlign w:val="center"/>
            <w:tcMar>
              <w:top w:w="30" w:type="dxa"/>
              <w:start w:w="30" w:type="dxa"/>
              <w:bottom w:w="30" w:type="dxa"/>
              <w:end w:w="30" w:type="dxa"/>
            </w:tcMar>
          </w:tcPr>
          <w:p w14:paraId="54FF0B96" w14:textId="77777777" w:rsidR="005F0DB9" w:rsidRDefault="00000000">
            <w:pPr>
              <w:spacing w:line="240" w:lineRule="auto" w:before="0" w:after="0"/>
              <w:ind w:firstLine="0"/>
              <w:jc w:val="left"/>
            </w:pPr>
            <w:r>
              <w:rPr>
                <w:sz w:val="14"/>
              </w:rPr>
              <w:t>0,153</w:t>
            </w:r>
          </w:p>
        </w:tc>
        <w:tc>
          <w:tcPr>
            <w:tcW w:w="1567" w:type="dxa"/>
            <w:vAlign w:val="center"/>
            <w:tcMar>
              <w:top w:w="30" w:type="dxa"/>
              <w:start w:w="30" w:type="dxa"/>
              <w:bottom w:w="30" w:type="dxa"/>
              <w:end w:w="30" w:type="dxa"/>
            </w:tcMar>
          </w:tcPr>
          <w:p w14:paraId="576C5B0C" w14:textId="77777777" w:rsidR="005F0DB9" w:rsidRDefault="00000000">
            <w:pPr>
              <w:spacing w:line="240" w:lineRule="auto" w:before="0" w:after="0"/>
              <w:ind w:firstLine="0"/>
              <w:jc w:val="left"/>
            </w:pPr>
            <w:r>
              <w:rPr>
                <w:sz w:val="14"/>
              </w:rPr>
              <w:t>Não</w:t>
            </w:r>
          </w:p>
        </w:tc>
      </w:tr>
      <w:tr w:rsidR="005F0DB9" w14:paraId="60685A0E" w14:textId="77777777">
        <w:trPr>
          <w:jc w:val="center"/>
        </w:trPr>
        <w:tc>
          <w:tcPr>
            <w:tcW w:w="1567" w:type="dxa"/>
            <w:vAlign w:val="center"/>
            <w:tcMar>
              <w:top w:w="30" w:type="dxa"/>
              <w:start w:w="30" w:type="dxa"/>
              <w:bottom w:w="30" w:type="dxa"/>
              <w:end w:w="30" w:type="dxa"/>
            </w:tcMar>
          </w:tcPr>
          <w:p w14:paraId="2727565A" w14:textId="77777777" w:rsidR="005F0DB9" w:rsidRDefault="00000000">
            <w:pPr>
              <w:spacing w:line="240" w:lineRule="auto" w:before="0" w:after="0"/>
              <w:ind w:firstLine="0"/>
              <w:jc w:val="left"/>
            </w:pPr>
            <w:r>
              <w:rPr>
                <w:sz w:val="14"/>
              </w:rPr>
              <w:t>Etanol → IPCA Transportes</w:t>
            </w:r>
          </w:p>
        </w:tc>
        <w:tc>
          <w:tcPr>
            <w:tcW w:w="1567" w:type="dxa"/>
            <w:vAlign w:val="center"/>
            <w:tcMar>
              <w:top w:w="30" w:type="dxa"/>
              <w:start w:w="30" w:type="dxa"/>
              <w:bottom w:w="30" w:type="dxa"/>
              <w:end w:w="30" w:type="dxa"/>
            </w:tcMar>
          </w:tcPr>
          <w:p w14:paraId="2B288926"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4D223119" w14:textId="77777777" w:rsidR="005F0DB9" w:rsidRDefault="00000000">
            <w:pPr>
              <w:spacing w:line="240" w:lineRule="auto" w:before="0" w:after="0"/>
              <w:ind w:firstLine="0"/>
              <w:jc w:val="left"/>
            </w:pPr>
            <w:r>
              <w:rPr>
                <w:sz w:val="14"/>
              </w:rPr>
              <w:t>0,302</w:t>
            </w:r>
          </w:p>
        </w:tc>
        <w:tc>
          <w:tcPr>
            <w:tcW w:w="1567" w:type="dxa"/>
            <w:vAlign w:val="center"/>
            <w:tcMar>
              <w:top w:w="30" w:type="dxa"/>
              <w:start w:w="30" w:type="dxa"/>
              <w:bottom w:w="30" w:type="dxa"/>
              <w:end w:w="30" w:type="dxa"/>
            </w:tcMar>
          </w:tcPr>
          <w:p w14:paraId="33C2720F" w14:textId="77777777" w:rsidR="005F0DB9" w:rsidRDefault="00000000">
            <w:pPr>
              <w:spacing w:line="240" w:lineRule="auto" w:before="0" w:after="0"/>
              <w:ind w:firstLine="0"/>
              <w:jc w:val="left"/>
            </w:pPr>
            <w:r>
              <w:rPr>
                <w:sz w:val="14"/>
              </w:rPr>
              <w:t>1,805</w:t>
            </w:r>
          </w:p>
        </w:tc>
        <w:tc>
          <w:tcPr>
            <w:tcW w:w="1567" w:type="dxa"/>
            <w:vAlign w:val="center"/>
            <w:tcMar>
              <w:top w:w="30" w:type="dxa"/>
              <w:start w:w="30" w:type="dxa"/>
              <w:bottom w:w="30" w:type="dxa"/>
              <w:end w:w="30" w:type="dxa"/>
            </w:tcMar>
          </w:tcPr>
          <w:p w14:paraId="459E8B75" w14:textId="77777777" w:rsidR="005F0DB9" w:rsidRDefault="00000000">
            <w:pPr>
              <w:spacing w:line="240" w:lineRule="auto" w:before="0" w:after="0"/>
              <w:ind w:firstLine="0"/>
              <w:jc w:val="left"/>
            </w:pPr>
            <w:r>
              <w:rPr>
                <w:sz w:val="14"/>
              </w:rPr>
              <w:t>0,053</w:t>
            </w:r>
          </w:p>
        </w:tc>
        <w:tc>
          <w:tcPr>
            <w:tcW w:w="1567" w:type="dxa"/>
            <w:vAlign w:val="center"/>
            <w:tcMar>
              <w:top w:w="30" w:type="dxa"/>
              <w:start w:w="30" w:type="dxa"/>
              <w:bottom w:w="30" w:type="dxa"/>
              <w:end w:w="30" w:type="dxa"/>
            </w:tcMar>
          </w:tcPr>
          <w:p w14:paraId="6E58D175" w14:textId="77777777" w:rsidR="005F0DB9" w:rsidRDefault="00000000">
            <w:pPr>
              <w:spacing w:line="240" w:lineRule="auto" w:before="0" w:after="0"/>
              <w:ind w:firstLine="0"/>
              <w:jc w:val="left"/>
            </w:pPr>
            <w:r>
              <w:rPr>
                <w:sz w:val="14"/>
              </w:rPr>
              <w:t>Sim</w:t>
            </w:r>
          </w:p>
        </w:tc>
      </w:tr>
    </w:tbl>
    <w:p w14:paraId="1E53C24D" w14:textId="77777777" w:rsidR="005F0DB9" w:rsidRPr="00366C9E" w:rsidRDefault="00000000">
      <w:pPr>
        <w:ind w:firstLine="0"/>
        <w:jc w:val="center"/>
        <w:rPr>
          <w:lang w:val="pt-BR"/>
        </w:rPr>
      </w:pPr>
      <w:r w:rsidRPr="00366C9E">
        <w:rPr>
          <w:sz w:val="20"/>
          <w:lang w:val="pt-BR"/>
        </w:rPr>
        <w:t>Fonte: elaboração própria com base nos resultados estimados.</w:t>
      </w:r>
    </w:p>
    <w:p w14:paraId="0E51B714" w14:textId="77777777" w:rsidR="005F0DB9" w:rsidRDefault="00000000">
      <w:pPr>
        <w:ind w:firstLine="0"/>
        <w:jc w:val="center"/>
      </w:pPr>
      <w:r>
        <w:rPr>
          <w:noProof/>
        </w:rPr>
        <w:drawing>
          <wp:inline distT="0" distB="0" distL="0" distR="0" wp14:anchorId="111FA612" wp14:editId="0632ADA6">
            <wp:extent cx="5472000" cy="273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regime_acumulada_petroleo_brl_para_diesel.png"/>
                    <pic:cNvPicPr/>
                  </pic:nvPicPr>
                  <pic:blipFill>
                    <a:blip r:embed="rId18"/>
                    <a:stretch>
                      <a:fillRect/>
                    </a:stretch>
                  </pic:blipFill>
                  <pic:spPr>
                    <a:xfrm>
                      <a:off x="0" y="0"/>
                      <a:ext cx="5472000" cy="2736000"/>
                    </a:xfrm>
                    <a:prstGeom prst="rect">
                      <a:avLst/>
                    </a:prstGeom>
                  </pic:spPr>
                </pic:pic>
              </a:graphicData>
            </a:graphic>
          </wp:inline>
        </w:drawing>
      </w:r>
    </w:p>
    <w:p w14:paraId="6FE92918" w14:textId="77777777" w:rsidR="005F0DB9" w:rsidRPr="00366C9E" w:rsidRDefault="00000000">
      <w:pPr>
        <w:ind w:firstLine="0"/>
        <w:jc w:val="center"/>
        <w:rPr>
          <w:lang w:val="pt-BR"/>
        </w:rPr>
      </w:pPr>
      <w:r w:rsidRPr="00366C9E">
        <w:rPr>
          <w:sz w:val="20"/>
          <w:lang w:val="pt-BR"/>
        </w:rPr>
        <w:t>Figura B4 - Petróleo em reais para diesel por regime: antes e depois de setembro de 2016</w:t>
      </w:r>
    </w:p>
    <w:p w14:paraId="5EDA6BB6"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7C6317D4" w14:textId="77777777" w:rsidR="005F0DB9" w:rsidRDefault="00000000">
      <w:pPr>
        <w:ind w:firstLine="0"/>
        <w:jc w:val="center"/>
      </w:pPr>
      <w:r>
        <w:rPr>
          <w:noProof/>
        </w:rPr>
        <w:lastRenderedPageBreak/>
        <w:drawing>
          <wp:inline distT="0" distB="0" distL="0" distR="0" wp14:anchorId="613C7A1E" wp14:editId="6825AF4E">
            <wp:extent cx="5472000" cy="273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regime_acumulada_petroleo_brl_para_gasolina_refinaria.png"/>
                    <pic:cNvPicPr/>
                  </pic:nvPicPr>
                  <pic:blipFill>
                    <a:blip r:embed="rId19"/>
                    <a:stretch>
                      <a:fillRect/>
                    </a:stretch>
                  </pic:blipFill>
                  <pic:spPr>
                    <a:xfrm>
                      <a:off x="0" y="0"/>
                      <a:ext cx="5472000" cy="2736000"/>
                    </a:xfrm>
                    <a:prstGeom prst="rect">
                      <a:avLst/>
                    </a:prstGeom>
                  </pic:spPr>
                </pic:pic>
              </a:graphicData>
            </a:graphic>
          </wp:inline>
        </w:drawing>
      </w:r>
    </w:p>
    <w:p w14:paraId="009623BE" w14:textId="77777777" w:rsidR="005F0DB9" w:rsidRPr="00366C9E" w:rsidRDefault="00000000">
      <w:pPr>
        <w:ind w:firstLine="0"/>
        <w:jc w:val="center"/>
        <w:rPr>
          <w:lang w:val="pt-BR"/>
        </w:rPr>
      </w:pPr>
      <w:r w:rsidRPr="00366C9E">
        <w:rPr>
          <w:sz w:val="20"/>
          <w:lang w:val="pt-BR"/>
        </w:rPr>
        <w:t>Figura B5 - Petróleo em reais para gasolina de refinaria por regime: antes e depois de setembro de 2016</w:t>
      </w:r>
    </w:p>
    <w:p w14:paraId="1AE5F017"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02386173" w14:textId="77777777" w:rsidR="005F0DB9" w:rsidRDefault="00000000">
      <w:pPr>
        <w:ind w:firstLine="0"/>
        <w:jc w:val="center"/>
      </w:pPr>
      <w:r>
        <w:rPr>
          <w:noProof/>
        </w:rPr>
        <w:drawing>
          <wp:inline distT="0" distB="0" distL="0" distR="0" wp14:anchorId="08C33E72" wp14:editId="453F5F99">
            <wp:extent cx="5472000" cy="273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_regime_acumulada_gasolina_refinaria_para_ipca_transporte.png"/>
                    <pic:cNvPicPr/>
                  </pic:nvPicPr>
                  <pic:blipFill>
                    <a:blip r:embed="rId20"/>
                    <a:stretch>
                      <a:fillRect/>
                    </a:stretch>
                  </pic:blipFill>
                  <pic:spPr>
                    <a:xfrm>
                      <a:off x="0" y="0"/>
                      <a:ext cx="5472000" cy="2736000"/>
                    </a:xfrm>
                    <a:prstGeom prst="rect">
                      <a:avLst/>
                    </a:prstGeom>
                  </pic:spPr>
                </pic:pic>
              </a:graphicData>
            </a:graphic>
          </wp:inline>
        </w:drawing>
      </w:r>
    </w:p>
    <w:p w14:paraId="47FF3582" w14:textId="77777777" w:rsidR="005F0DB9" w:rsidRPr="00366C9E" w:rsidRDefault="00000000">
      <w:pPr>
        <w:ind w:firstLine="0"/>
        <w:jc w:val="center"/>
        <w:rPr>
          <w:lang w:val="pt-BR"/>
        </w:rPr>
      </w:pPr>
      <w:r w:rsidRPr="00366C9E">
        <w:rPr>
          <w:sz w:val="20"/>
          <w:lang w:val="pt-BR"/>
        </w:rPr>
        <w:t>Figura B6 - Gasolina de refinaria para IPCA Transportes por regime: antes e depois de setembro de 2016</w:t>
      </w:r>
    </w:p>
    <w:p w14:paraId="24B48B51"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3D51755F" w14:textId="77777777" w:rsidR="005F0DB9" w:rsidRDefault="00000000">
      <w:pPr>
        <w:pStyle w:val="Heading2"/>
        <w:jc w:val="both"/>
      </w:pPr>
      <w:bookmarkStart w:id="45" w:name="_Toc229695972"/>
      <w:r>
        <w:rPr>
          <w:rFonts w:ascii="Times New Roman" w:eastAsia="Times New Roman" w:hAnsi="Times New Roman"/>
        </w:rPr>
        <w:t>B.3 Identificação externa com Oil Supply News Shock</w:t>
      </w:r>
      <w:bookmarkEnd w:id="45"/>
    </w:p>
    <w:p w14:paraId="79109A45" w14:textId="77777777" w:rsidR="005F0DB9" w:rsidRPr="00366C9E" w:rsidRDefault="00000000">
      <w:pPr>
        <w:spacing w:after="120"/>
        <w:rPr>
          <w:lang w:val="pt-BR"/>
        </w:rPr>
      </w:pPr>
      <w:r w:rsidRPr="00366C9E">
        <w:rPr>
          <w:lang w:val="pt-BR"/>
        </w:rPr>
        <w:t xml:space="preserve">A terceira atualização utiliza a série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como fonte externa de variação do petróleo. Essa série é empregada como choque direto em Local </w:t>
      </w:r>
      <w:proofErr w:type="spellStart"/>
      <w:r w:rsidRPr="00366C9E">
        <w:rPr>
          <w:lang w:val="pt-BR"/>
        </w:rPr>
        <w:t>Projections</w:t>
      </w:r>
      <w:proofErr w:type="spellEnd"/>
      <w:r w:rsidRPr="00366C9E">
        <w:rPr>
          <w:lang w:val="pt-BR"/>
        </w:rPr>
        <w:t xml:space="preserve"> e como instrumento para o petróleo em reais em uma especificação LP-IV. O primeiro estágio apresenta estatísticas F muito acima da regra prática de 10, indicando forte relevância do instrumento.</w:t>
      </w:r>
    </w:p>
    <w:p w14:paraId="0CFB4454" w14:textId="77777777" w:rsidR="005F0DB9" w:rsidRPr="00366C9E" w:rsidRDefault="00000000">
      <w:pPr>
        <w:ind w:firstLine="0"/>
        <w:jc w:val="center"/>
        <w:rPr>
          <w:lang w:val="pt-BR"/>
        </w:rPr>
      </w:pPr>
      <w:r w:rsidRPr="00366C9E">
        <w:rPr>
          <w:b/>
          <w:sz w:val="20"/>
          <w:lang w:val="pt-BR"/>
        </w:rPr>
        <w:t>Tabela B3 - Primeiro estágio do LP-IV no horizonte de 12 meses</w:t>
      </w:r>
    </w:p>
    <w:tbl>
      <w:tblPr>
        <w:tblStyle w:val="TableGrid"/>
        <w:tblW w:w="0" w:type="auto"/>
        <w:jc w:val="center"/>
        <w:tblLayout w:type="autofit"/>
        <w:tblLook w:val="04A0" w:firstRow="1" w:lastRow="0" w:firstColumn="1" w:lastColumn="0" w:noHBand="0" w:noVBand="1"/>
      </w:tblPr>
      <w:tblGrid>
        <w:gridCol w:w="2348"/>
        <w:gridCol w:w="2349"/>
        <w:gridCol w:w="2349"/>
        <w:gridCol w:w="2349"/>
      </w:tblGrid>
      <w:tr w:rsidR="005F0DB9" w14:paraId="19F70D6E" w14:textId="77777777">
        <w:trPr>
          <w:jc w:val="center"/>
        </w:trPr>
        <w:tc>
          <w:tcPr>
            <w:tcW w:w="2351" w:type="dxa"/>
            <w:shd w:val="clear" w:color="auto" w:fill="D9EAF7"/>
            <w:vAlign w:val="center"/>
            <w:tcMar>
              <w:top w:w="30" w:type="dxa"/>
              <w:start w:w="30" w:type="dxa"/>
              <w:bottom w:w="30" w:type="dxa"/>
              <w:end w:w="30" w:type="dxa"/>
            </w:tcMar>
          </w:tcPr>
          <w:p w14:paraId="1E78F65A" w14:textId="77777777" w:rsidR="005F0DB9" w:rsidRDefault="00000000">
            <w:pPr>
              <w:spacing w:line="240" w:lineRule="auto" w:before="0" w:after="0"/>
              <w:ind w:firstLine="0"/>
              <w:jc w:val="left"/>
            </w:pPr>
            <w:r>
              <w:rPr>
                <w:b/>
                <w:sz w:val="14"/>
              </w:rPr>
              <w:lastRenderedPageBreak/>
              <w:t>Alvo</w:t>
            </w:r>
          </w:p>
        </w:tc>
        <w:tc>
          <w:tcPr>
            <w:tcW w:w="2351" w:type="dxa"/>
            <w:shd w:val="clear" w:color="auto" w:fill="D9EAF7"/>
            <w:vAlign w:val="center"/>
            <w:tcMar>
              <w:top w:w="30" w:type="dxa"/>
              <w:start w:w="30" w:type="dxa"/>
              <w:bottom w:w="30" w:type="dxa"/>
              <w:end w:w="30" w:type="dxa"/>
            </w:tcMar>
          </w:tcPr>
          <w:p w14:paraId="218F9824" w14:textId="77777777" w:rsidR="005F0DB9" w:rsidRDefault="00000000">
            <w:pPr>
              <w:spacing w:line="240" w:lineRule="auto" w:before="0" w:after="0"/>
              <w:ind w:firstLine="0"/>
              <w:jc w:val="left"/>
            </w:pPr>
            <w:r>
              <w:rPr>
                <w:b/>
                <w:sz w:val="14"/>
              </w:rPr>
              <w:t>F-stat</w:t>
            </w:r>
          </w:p>
        </w:tc>
        <w:tc>
          <w:tcPr>
            <w:tcW w:w="2351" w:type="dxa"/>
            <w:shd w:val="clear" w:color="auto" w:fill="D9EAF7"/>
            <w:vAlign w:val="center"/>
            <w:tcMar>
              <w:top w:w="30" w:type="dxa"/>
              <w:start w:w="30" w:type="dxa"/>
              <w:bottom w:w="30" w:type="dxa"/>
              <w:end w:w="30" w:type="dxa"/>
            </w:tcMar>
          </w:tcPr>
          <w:p w14:paraId="1CCC4E75" w14:textId="77777777" w:rsidR="005F0DB9" w:rsidRDefault="00000000">
            <w:pPr>
              <w:spacing w:line="240" w:lineRule="auto" w:before="0" w:after="0"/>
              <w:ind w:firstLine="0"/>
              <w:jc w:val="left"/>
            </w:pPr>
            <w:r>
              <w:rPr>
                <w:b/>
                <w:sz w:val="14"/>
              </w:rPr>
              <w:t>p-valor</w:t>
            </w:r>
          </w:p>
        </w:tc>
        <w:tc>
          <w:tcPr>
            <w:tcW w:w="2351" w:type="dxa"/>
            <w:shd w:val="clear" w:color="auto" w:fill="D9EAF7"/>
            <w:vAlign w:val="center"/>
            <w:tcMar>
              <w:top w:w="30" w:type="dxa"/>
              <w:start w:w="30" w:type="dxa"/>
              <w:bottom w:w="30" w:type="dxa"/>
              <w:end w:w="30" w:type="dxa"/>
            </w:tcMar>
          </w:tcPr>
          <w:p w14:paraId="64EAACE1" w14:textId="77777777" w:rsidR="005F0DB9" w:rsidRDefault="00000000">
            <w:pPr>
              <w:spacing w:line="240" w:lineRule="auto" w:before="0" w:after="0"/>
              <w:ind w:firstLine="0"/>
              <w:jc w:val="left"/>
            </w:pPr>
            <w:r>
              <w:rPr>
                <w:b/>
                <w:sz w:val="14"/>
              </w:rPr>
              <w:t>R²</w:t>
            </w:r>
          </w:p>
        </w:tc>
      </w:tr>
      <w:tr w:rsidR="005F0DB9" w14:paraId="12D7B149" w14:textId="77777777">
        <w:trPr>
          <w:jc w:val="center"/>
        </w:trPr>
        <w:tc>
          <w:tcPr>
            <w:tcW w:w="2351" w:type="dxa"/>
            <w:vAlign w:val="center"/>
            <w:tcMar>
              <w:top w:w="30" w:type="dxa"/>
              <w:start w:w="30" w:type="dxa"/>
              <w:bottom w:w="30" w:type="dxa"/>
              <w:end w:w="30" w:type="dxa"/>
            </w:tcMar>
          </w:tcPr>
          <w:p w14:paraId="35CAF8B2" w14:textId="77777777" w:rsidR="005F0DB9" w:rsidRDefault="00000000">
            <w:pPr>
              <w:spacing w:line="240" w:lineRule="auto" w:before="0" w:after="0"/>
              <w:ind w:firstLine="0"/>
              <w:jc w:val="left"/>
            </w:pPr>
            <w:r>
              <w:rPr>
                <w:sz w:val="14"/>
              </w:rPr>
              <w:t>Petróleo BRL IV Oil Supply News → Diesel</w:t>
            </w:r>
          </w:p>
        </w:tc>
        <w:tc>
          <w:tcPr>
            <w:tcW w:w="2351" w:type="dxa"/>
            <w:vAlign w:val="center"/>
            <w:tcMar>
              <w:top w:w="30" w:type="dxa"/>
              <w:start w:w="30" w:type="dxa"/>
              <w:bottom w:w="30" w:type="dxa"/>
              <w:end w:w="30" w:type="dxa"/>
            </w:tcMar>
          </w:tcPr>
          <w:p w14:paraId="46B3A64C" w14:textId="77777777" w:rsidR="005F0DB9" w:rsidRDefault="00000000">
            <w:pPr>
              <w:spacing w:line="240" w:lineRule="auto" w:before="0" w:after="0"/>
              <w:ind w:firstLine="0"/>
              <w:jc w:val="left"/>
            </w:pPr>
            <w:r>
              <w:rPr>
                <w:sz w:val="14"/>
              </w:rPr>
              <w:t>122,590</w:t>
            </w:r>
          </w:p>
        </w:tc>
        <w:tc>
          <w:tcPr>
            <w:tcW w:w="2351" w:type="dxa"/>
            <w:vAlign w:val="center"/>
            <w:tcMar>
              <w:top w:w="30" w:type="dxa"/>
              <w:start w:w="30" w:type="dxa"/>
              <w:bottom w:w="30" w:type="dxa"/>
              <w:end w:w="30" w:type="dxa"/>
            </w:tcMar>
          </w:tcPr>
          <w:p w14:paraId="74FF7F15" w14:textId="77777777" w:rsidR="005F0DB9" w:rsidRDefault="00000000">
            <w:pPr>
              <w:spacing w:line="240" w:lineRule="auto" w:before="0" w:after="0"/>
              <w:ind w:firstLine="0"/>
              <w:jc w:val="left"/>
            </w:pPr>
            <w:r>
              <w:rPr>
                <w:sz w:val="14"/>
              </w:rPr>
              <w:t>0,0000</w:t>
            </w:r>
          </w:p>
        </w:tc>
        <w:tc>
          <w:tcPr>
            <w:tcW w:w="2351" w:type="dxa"/>
            <w:vAlign w:val="center"/>
            <w:tcMar>
              <w:top w:w="30" w:type="dxa"/>
              <w:start w:w="30" w:type="dxa"/>
              <w:bottom w:w="30" w:type="dxa"/>
              <w:end w:w="30" w:type="dxa"/>
            </w:tcMar>
          </w:tcPr>
          <w:p w14:paraId="08BB41CB" w14:textId="77777777" w:rsidR="005F0DB9" w:rsidRDefault="00000000">
            <w:pPr>
              <w:spacing w:line="240" w:lineRule="auto" w:before="0" w:after="0"/>
              <w:ind w:firstLine="0"/>
              <w:jc w:val="left"/>
            </w:pPr>
            <w:r>
              <w:rPr>
                <w:sz w:val="14"/>
              </w:rPr>
              <w:t>0,614</w:t>
            </w:r>
          </w:p>
        </w:tc>
      </w:tr>
      <w:tr w:rsidR="005F0DB9" w14:paraId="49015353" w14:textId="77777777">
        <w:trPr>
          <w:jc w:val="center"/>
        </w:trPr>
        <w:tc>
          <w:tcPr>
            <w:tcW w:w="2351" w:type="dxa"/>
            <w:vAlign w:val="center"/>
            <w:tcMar>
              <w:top w:w="30" w:type="dxa"/>
              <w:start w:w="30" w:type="dxa"/>
              <w:bottom w:w="30" w:type="dxa"/>
              <w:end w:w="30" w:type="dxa"/>
            </w:tcMar>
          </w:tcPr>
          <w:p w14:paraId="77B8FB42" w14:textId="77777777" w:rsidR="005F0DB9" w:rsidRDefault="00000000">
            <w:pPr>
              <w:spacing w:line="240" w:lineRule="auto" w:before="0" w:after="0"/>
              <w:ind w:firstLine="0"/>
              <w:jc w:val="left"/>
            </w:pPr>
            <w:r>
              <w:rPr>
                <w:sz w:val="14"/>
              </w:rPr>
              <w:t>Petróleo BRL IV Oil Supply News → Gasolina de refinaria</w:t>
            </w:r>
          </w:p>
        </w:tc>
        <w:tc>
          <w:tcPr>
            <w:tcW w:w="2351" w:type="dxa"/>
            <w:vAlign w:val="center"/>
            <w:tcMar>
              <w:top w:w="30" w:type="dxa"/>
              <w:start w:w="30" w:type="dxa"/>
              <w:bottom w:w="30" w:type="dxa"/>
              <w:end w:w="30" w:type="dxa"/>
            </w:tcMar>
          </w:tcPr>
          <w:p w14:paraId="0E8C0698" w14:textId="77777777" w:rsidR="005F0DB9" w:rsidRDefault="00000000">
            <w:pPr>
              <w:spacing w:line="240" w:lineRule="auto" w:before="0" w:after="0"/>
              <w:ind w:firstLine="0"/>
              <w:jc w:val="left"/>
            </w:pPr>
            <w:r>
              <w:rPr>
                <w:sz w:val="14"/>
              </w:rPr>
              <w:t>119,251</w:t>
            </w:r>
          </w:p>
        </w:tc>
        <w:tc>
          <w:tcPr>
            <w:tcW w:w="2351" w:type="dxa"/>
            <w:vAlign w:val="center"/>
            <w:tcMar>
              <w:top w:w="30" w:type="dxa"/>
              <w:start w:w="30" w:type="dxa"/>
              <w:bottom w:w="30" w:type="dxa"/>
              <w:end w:w="30" w:type="dxa"/>
            </w:tcMar>
          </w:tcPr>
          <w:p w14:paraId="2CE5B330" w14:textId="77777777" w:rsidR="005F0DB9" w:rsidRDefault="00000000">
            <w:pPr>
              <w:spacing w:line="240" w:lineRule="auto" w:before="0" w:after="0"/>
              <w:ind w:firstLine="0"/>
              <w:jc w:val="left"/>
            </w:pPr>
            <w:r>
              <w:rPr>
                <w:sz w:val="14"/>
              </w:rPr>
              <w:t>0,0000</w:t>
            </w:r>
          </w:p>
        </w:tc>
        <w:tc>
          <w:tcPr>
            <w:tcW w:w="2351" w:type="dxa"/>
            <w:vAlign w:val="center"/>
            <w:tcMar>
              <w:top w:w="30" w:type="dxa"/>
              <w:start w:w="30" w:type="dxa"/>
              <w:bottom w:w="30" w:type="dxa"/>
              <w:end w:w="30" w:type="dxa"/>
            </w:tcMar>
          </w:tcPr>
          <w:p w14:paraId="0317F43C" w14:textId="77777777" w:rsidR="005F0DB9" w:rsidRDefault="00000000">
            <w:pPr>
              <w:spacing w:line="240" w:lineRule="auto" w:before="0" w:after="0"/>
              <w:ind w:firstLine="0"/>
              <w:jc w:val="left"/>
            </w:pPr>
            <w:r>
              <w:rPr>
                <w:sz w:val="14"/>
              </w:rPr>
              <w:t>0,612</w:t>
            </w:r>
          </w:p>
        </w:tc>
      </w:tr>
      <w:tr w:rsidR="005F0DB9" w14:paraId="43EF915D" w14:textId="77777777">
        <w:trPr>
          <w:jc w:val="center"/>
        </w:trPr>
        <w:tc>
          <w:tcPr>
            <w:tcW w:w="2351" w:type="dxa"/>
            <w:vAlign w:val="center"/>
            <w:tcMar>
              <w:top w:w="30" w:type="dxa"/>
              <w:start w:w="30" w:type="dxa"/>
              <w:bottom w:w="30" w:type="dxa"/>
              <w:end w:w="30" w:type="dxa"/>
            </w:tcMar>
          </w:tcPr>
          <w:p w14:paraId="52E67377" w14:textId="77777777" w:rsidR="005F0DB9" w:rsidRDefault="00000000">
            <w:pPr>
              <w:spacing w:line="240" w:lineRule="auto" w:before="0" w:after="0"/>
              <w:ind w:firstLine="0"/>
              <w:jc w:val="left"/>
            </w:pPr>
            <w:r>
              <w:rPr>
                <w:sz w:val="14"/>
              </w:rPr>
              <w:t>Petróleo BRL IV Oil Supply News → Gasolina</w:t>
            </w:r>
          </w:p>
        </w:tc>
        <w:tc>
          <w:tcPr>
            <w:tcW w:w="2351" w:type="dxa"/>
            <w:vAlign w:val="center"/>
            <w:tcMar>
              <w:top w:w="30" w:type="dxa"/>
              <w:start w:w="30" w:type="dxa"/>
              <w:bottom w:w="30" w:type="dxa"/>
              <w:end w:w="30" w:type="dxa"/>
            </w:tcMar>
          </w:tcPr>
          <w:p w14:paraId="6DE884AE" w14:textId="77777777" w:rsidR="005F0DB9" w:rsidRDefault="00000000">
            <w:pPr>
              <w:spacing w:line="240" w:lineRule="auto" w:before="0" w:after="0"/>
              <w:ind w:firstLine="0"/>
              <w:jc w:val="left"/>
            </w:pPr>
            <w:r>
              <w:rPr>
                <w:sz w:val="14"/>
              </w:rPr>
              <w:t>118,684</w:t>
            </w:r>
          </w:p>
        </w:tc>
        <w:tc>
          <w:tcPr>
            <w:tcW w:w="2351" w:type="dxa"/>
            <w:vAlign w:val="center"/>
            <w:tcMar>
              <w:top w:w="30" w:type="dxa"/>
              <w:start w:w="30" w:type="dxa"/>
              <w:bottom w:w="30" w:type="dxa"/>
              <w:end w:w="30" w:type="dxa"/>
            </w:tcMar>
          </w:tcPr>
          <w:p w14:paraId="0C36E8FF" w14:textId="77777777" w:rsidR="005F0DB9" w:rsidRDefault="00000000">
            <w:pPr>
              <w:spacing w:line="240" w:lineRule="auto" w:before="0" w:after="0"/>
              <w:ind w:firstLine="0"/>
              <w:jc w:val="left"/>
            </w:pPr>
            <w:r>
              <w:rPr>
                <w:sz w:val="14"/>
              </w:rPr>
              <w:t>0,0000</w:t>
            </w:r>
          </w:p>
        </w:tc>
        <w:tc>
          <w:tcPr>
            <w:tcW w:w="2351" w:type="dxa"/>
            <w:vAlign w:val="center"/>
            <w:tcMar>
              <w:top w:w="30" w:type="dxa"/>
              <w:start w:w="30" w:type="dxa"/>
              <w:bottom w:w="30" w:type="dxa"/>
              <w:end w:w="30" w:type="dxa"/>
            </w:tcMar>
          </w:tcPr>
          <w:p w14:paraId="319533C3" w14:textId="77777777" w:rsidR="005F0DB9" w:rsidRDefault="00000000">
            <w:pPr>
              <w:spacing w:line="240" w:lineRule="auto" w:before="0" w:after="0"/>
              <w:ind w:firstLine="0"/>
              <w:jc w:val="left"/>
            </w:pPr>
            <w:r>
              <w:rPr>
                <w:sz w:val="14"/>
              </w:rPr>
              <w:t>0,614</w:t>
            </w:r>
          </w:p>
        </w:tc>
      </w:tr>
      <w:tr w:rsidR="005F0DB9" w14:paraId="74F60079" w14:textId="77777777">
        <w:trPr>
          <w:jc w:val="center"/>
        </w:trPr>
        <w:tc>
          <w:tcPr>
            <w:tcW w:w="2351" w:type="dxa"/>
            <w:vAlign w:val="center"/>
            <w:tcMar>
              <w:top w:w="30" w:type="dxa"/>
              <w:start w:w="30" w:type="dxa"/>
              <w:bottom w:w="30" w:type="dxa"/>
              <w:end w:w="30" w:type="dxa"/>
            </w:tcMar>
          </w:tcPr>
          <w:p w14:paraId="58A8683D" w14:textId="77777777" w:rsidR="005F0DB9" w:rsidRDefault="00000000">
            <w:pPr>
              <w:spacing w:line="240" w:lineRule="auto" w:before="0" w:after="0"/>
              <w:ind w:firstLine="0"/>
              <w:jc w:val="left"/>
            </w:pPr>
            <w:r>
              <w:rPr>
                <w:sz w:val="14"/>
              </w:rPr>
              <w:t>Petróleo BRL IV Oil Supply News → IPCA Transportes</w:t>
            </w:r>
          </w:p>
        </w:tc>
        <w:tc>
          <w:tcPr>
            <w:tcW w:w="2351" w:type="dxa"/>
            <w:vAlign w:val="center"/>
            <w:tcMar>
              <w:top w:w="30" w:type="dxa"/>
              <w:start w:w="30" w:type="dxa"/>
              <w:bottom w:w="30" w:type="dxa"/>
              <w:end w:w="30" w:type="dxa"/>
            </w:tcMar>
          </w:tcPr>
          <w:p w14:paraId="4FB3C2A0" w14:textId="77777777" w:rsidR="005F0DB9" w:rsidRDefault="00000000">
            <w:pPr>
              <w:spacing w:line="240" w:lineRule="auto" w:before="0" w:after="0"/>
              <w:ind w:firstLine="0"/>
              <w:jc w:val="left"/>
            </w:pPr>
            <w:r>
              <w:rPr>
                <w:sz w:val="14"/>
              </w:rPr>
              <w:t>122,333</w:t>
            </w:r>
          </w:p>
        </w:tc>
        <w:tc>
          <w:tcPr>
            <w:tcW w:w="2351" w:type="dxa"/>
            <w:vAlign w:val="center"/>
            <w:tcMar>
              <w:top w:w="30" w:type="dxa"/>
              <w:start w:w="30" w:type="dxa"/>
              <w:bottom w:w="30" w:type="dxa"/>
              <w:end w:w="30" w:type="dxa"/>
            </w:tcMar>
          </w:tcPr>
          <w:p w14:paraId="3E3E657E" w14:textId="77777777" w:rsidR="005F0DB9" w:rsidRDefault="00000000">
            <w:pPr>
              <w:spacing w:line="240" w:lineRule="auto" w:before="0" w:after="0"/>
              <w:ind w:firstLine="0"/>
              <w:jc w:val="left"/>
            </w:pPr>
            <w:r>
              <w:rPr>
                <w:sz w:val="14"/>
              </w:rPr>
              <w:t>0,0000</w:t>
            </w:r>
          </w:p>
        </w:tc>
        <w:tc>
          <w:tcPr>
            <w:tcW w:w="2351" w:type="dxa"/>
            <w:vAlign w:val="center"/>
            <w:tcMar>
              <w:top w:w="30" w:type="dxa"/>
              <w:start w:w="30" w:type="dxa"/>
              <w:bottom w:w="30" w:type="dxa"/>
              <w:end w:w="30" w:type="dxa"/>
            </w:tcMar>
          </w:tcPr>
          <w:p w14:paraId="7AC865CA" w14:textId="77777777" w:rsidR="005F0DB9" w:rsidRDefault="00000000">
            <w:pPr>
              <w:spacing w:line="240" w:lineRule="auto" w:before="0" w:after="0"/>
              <w:ind w:firstLine="0"/>
              <w:jc w:val="left"/>
            </w:pPr>
            <w:r>
              <w:rPr>
                <w:sz w:val="14"/>
              </w:rPr>
              <w:t>0,615</w:t>
            </w:r>
          </w:p>
        </w:tc>
      </w:tr>
      <w:tr w:rsidR="005F0DB9" w14:paraId="54C30D18" w14:textId="77777777">
        <w:trPr>
          <w:jc w:val="center"/>
        </w:trPr>
        <w:tc>
          <w:tcPr>
            <w:tcW w:w="2351" w:type="dxa"/>
            <w:vAlign w:val="center"/>
            <w:tcMar>
              <w:top w:w="30" w:type="dxa"/>
              <w:start w:w="30" w:type="dxa"/>
              <w:bottom w:w="30" w:type="dxa"/>
              <w:end w:w="30" w:type="dxa"/>
            </w:tcMar>
          </w:tcPr>
          <w:p w14:paraId="1C7D192C" w14:textId="77777777" w:rsidR="005F0DB9" w:rsidRDefault="00000000">
            <w:pPr>
              <w:spacing w:line="240" w:lineRule="auto" w:before="0" w:after="0"/>
              <w:ind w:firstLine="0"/>
              <w:jc w:val="left"/>
            </w:pPr>
            <w:r>
              <w:rPr>
                <w:sz w:val="14"/>
              </w:rPr>
              <w:t>Petróleo BRL IV Oil Supply News → IPCA Geral</w:t>
            </w:r>
          </w:p>
        </w:tc>
        <w:tc>
          <w:tcPr>
            <w:tcW w:w="2351" w:type="dxa"/>
            <w:vAlign w:val="center"/>
            <w:tcMar>
              <w:top w:w="30" w:type="dxa"/>
              <w:start w:w="30" w:type="dxa"/>
              <w:bottom w:w="30" w:type="dxa"/>
              <w:end w:w="30" w:type="dxa"/>
            </w:tcMar>
          </w:tcPr>
          <w:p w14:paraId="063B602A" w14:textId="77777777" w:rsidR="005F0DB9" w:rsidRDefault="00000000">
            <w:pPr>
              <w:spacing w:line="240" w:lineRule="auto" w:before="0" w:after="0"/>
              <w:ind w:firstLine="0"/>
              <w:jc w:val="left"/>
            </w:pPr>
            <w:r>
              <w:rPr>
                <w:sz w:val="14"/>
              </w:rPr>
              <w:t>120,564</w:t>
            </w:r>
          </w:p>
        </w:tc>
        <w:tc>
          <w:tcPr>
            <w:tcW w:w="2351" w:type="dxa"/>
            <w:vAlign w:val="center"/>
            <w:tcMar>
              <w:top w:w="30" w:type="dxa"/>
              <w:start w:w="30" w:type="dxa"/>
              <w:bottom w:w="30" w:type="dxa"/>
              <w:end w:w="30" w:type="dxa"/>
            </w:tcMar>
          </w:tcPr>
          <w:p w14:paraId="2EE4E10F" w14:textId="77777777" w:rsidR="005F0DB9" w:rsidRDefault="00000000">
            <w:pPr>
              <w:spacing w:line="240" w:lineRule="auto" w:before="0" w:after="0"/>
              <w:ind w:firstLine="0"/>
              <w:jc w:val="left"/>
            </w:pPr>
            <w:r>
              <w:rPr>
                <w:sz w:val="14"/>
              </w:rPr>
              <w:t>0,0000</w:t>
            </w:r>
          </w:p>
        </w:tc>
        <w:tc>
          <w:tcPr>
            <w:tcW w:w="2351" w:type="dxa"/>
            <w:vAlign w:val="center"/>
            <w:tcMar>
              <w:top w:w="30" w:type="dxa"/>
              <w:start w:w="30" w:type="dxa"/>
              <w:bottom w:w="30" w:type="dxa"/>
              <w:end w:w="30" w:type="dxa"/>
            </w:tcMar>
          </w:tcPr>
          <w:p w14:paraId="1D9ABFF6" w14:textId="77777777" w:rsidR="005F0DB9" w:rsidRDefault="00000000">
            <w:pPr>
              <w:spacing w:line="240" w:lineRule="auto" w:before="0" w:after="0"/>
              <w:ind w:firstLine="0"/>
              <w:jc w:val="left"/>
            </w:pPr>
            <w:r>
              <w:rPr>
                <w:sz w:val="14"/>
              </w:rPr>
              <w:t>0,615</w:t>
            </w:r>
          </w:p>
        </w:tc>
      </w:tr>
    </w:tbl>
    <w:p w14:paraId="59DA2B8E" w14:textId="77777777" w:rsidR="005F0DB9" w:rsidRPr="00366C9E" w:rsidRDefault="00000000">
      <w:pPr>
        <w:ind w:firstLine="0"/>
        <w:jc w:val="center"/>
        <w:rPr>
          <w:lang w:val="pt-BR"/>
        </w:rPr>
      </w:pPr>
      <w:r w:rsidRPr="00366C9E">
        <w:rPr>
          <w:sz w:val="20"/>
          <w:lang w:val="pt-BR"/>
        </w:rPr>
        <w:t>Fonte: elaboração própria com base nos resultados estimados.</w:t>
      </w:r>
    </w:p>
    <w:p w14:paraId="21C5DEA0" w14:textId="77777777" w:rsidR="005F0DB9" w:rsidRPr="00366C9E" w:rsidRDefault="00000000">
      <w:pPr>
        <w:ind w:firstLine="0"/>
        <w:jc w:val="center"/>
        <w:rPr>
          <w:lang w:val="pt-BR"/>
        </w:rPr>
      </w:pPr>
      <w:r w:rsidRPr="00366C9E">
        <w:rPr>
          <w:b/>
          <w:sz w:val="20"/>
          <w:lang w:val="pt-BR"/>
        </w:rPr>
        <w:t>Tabela B4 - Resultados selecionados do Modelo 5B LP-IV</w:t>
      </w:r>
    </w:p>
    <w:tbl>
      <w:tblPr>
        <w:tblStyle w:val="TableGrid"/>
        <w:tblW w:w="0" w:type="auto"/>
        <w:jc w:val="center"/>
        <w:tblLayout w:type="autofit"/>
        <w:tblLook w:val="04A0" w:firstRow="1" w:lastRow="0" w:firstColumn="1" w:lastColumn="0" w:noHBand="0" w:noVBand="1"/>
      </w:tblPr>
      <w:tblGrid>
        <w:gridCol w:w="1566"/>
        <w:gridCol w:w="1565"/>
        <w:gridCol w:w="1566"/>
        <w:gridCol w:w="1566"/>
        <w:gridCol w:w="1566"/>
        <w:gridCol w:w="1566"/>
      </w:tblGrid>
      <w:tr w:rsidR="005F0DB9" w14:paraId="7AB7D15B" w14:textId="77777777">
        <w:trPr>
          <w:jc w:val="center"/>
        </w:trPr>
        <w:tc>
          <w:tcPr>
            <w:tcW w:w="1567" w:type="dxa"/>
            <w:shd w:val="clear" w:color="auto" w:fill="D9EAF7"/>
            <w:vAlign w:val="center"/>
            <w:tcMar>
              <w:top w:w="30" w:type="dxa"/>
              <w:start w:w="30" w:type="dxa"/>
              <w:bottom w:w="30" w:type="dxa"/>
              <w:end w:w="30" w:type="dxa"/>
            </w:tcMar>
          </w:tcPr>
          <w:p w14:paraId="3EFA5327" w14:textId="77777777" w:rsidR="005F0DB9" w:rsidRDefault="00000000">
            <w:pPr>
              <w:spacing w:line="240" w:lineRule="auto" w:before="0" w:after="0"/>
              <w:ind w:firstLine="0"/>
              <w:jc w:val="left"/>
            </w:pPr>
            <w:r>
              <w:rPr>
                <w:b/>
                <w:sz w:val="14"/>
              </w:rPr>
              <w:t>Canal IV</w:t>
            </w:r>
          </w:p>
        </w:tc>
        <w:tc>
          <w:tcPr>
            <w:tcW w:w="1567" w:type="dxa"/>
            <w:shd w:val="clear" w:color="auto" w:fill="D9EAF7"/>
            <w:vAlign w:val="center"/>
            <w:tcMar>
              <w:top w:w="30" w:type="dxa"/>
              <w:start w:w="30" w:type="dxa"/>
              <w:bottom w:w="30" w:type="dxa"/>
              <w:end w:w="30" w:type="dxa"/>
            </w:tcMar>
          </w:tcPr>
          <w:p w14:paraId="2454CD65" w14:textId="77777777" w:rsidR="005F0DB9" w:rsidRDefault="00000000">
            <w:pPr>
              <w:spacing w:line="240" w:lineRule="auto" w:before="0" w:after="0"/>
              <w:ind w:firstLine="0"/>
              <w:jc w:val="left"/>
            </w:pPr>
            <w:r>
              <w:rPr>
                <w:b/>
                <w:sz w:val="14"/>
              </w:rPr>
              <w:t>h</w:t>
            </w:r>
          </w:p>
        </w:tc>
        <w:tc>
          <w:tcPr>
            <w:tcW w:w="1567" w:type="dxa"/>
            <w:shd w:val="clear" w:color="auto" w:fill="D9EAF7"/>
            <w:vAlign w:val="center"/>
            <w:tcMar>
              <w:top w:w="30" w:type="dxa"/>
              <w:start w:w="30" w:type="dxa"/>
              <w:bottom w:w="30" w:type="dxa"/>
              <w:end w:w="30" w:type="dxa"/>
            </w:tcMar>
          </w:tcPr>
          <w:p w14:paraId="64586771" w14:textId="77777777" w:rsidR="005F0DB9" w:rsidRDefault="00000000">
            <w:pPr>
              <w:spacing w:line="240" w:lineRule="auto" w:before="0" w:after="0"/>
              <w:ind w:firstLine="0"/>
              <w:jc w:val="left"/>
            </w:pPr>
            <w:r>
              <w:rPr>
                <w:b/>
                <w:sz w:val="14"/>
              </w:rPr>
              <w:t>Coef. IV</w:t>
            </w:r>
          </w:p>
        </w:tc>
        <w:tc>
          <w:tcPr>
            <w:tcW w:w="1567" w:type="dxa"/>
            <w:shd w:val="clear" w:color="auto" w:fill="D9EAF7"/>
            <w:vAlign w:val="center"/>
            <w:tcMar>
              <w:top w:w="30" w:type="dxa"/>
              <w:start w:w="30" w:type="dxa"/>
              <w:bottom w:w="30" w:type="dxa"/>
              <w:end w:w="30" w:type="dxa"/>
            </w:tcMar>
          </w:tcPr>
          <w:p w14:paraId="2E854C65" w14:textId="77777777" w:rsidR="005F0DB9" w:rsidRDefault="00000000">
            <w:pPr>
              <w:spacing w:line="240" w:lineRule="auto" w:before="0" w:after="0"/>
              <w:ind w:firstLine="0"/>
              <w:jc w:val="left"/>
            </w:pPr>
            <w:r>
              <w:rPr>
                <w:b/>
                <w:sz w:val="14"/>
              </w:rPr>
              <w:t>IC 90%</w:t>
            </w:r>
          </w:p>
        </w:tc>
        <w:tc>
          <w:tcPr>
            <w:tcW w:w="1567" w:type="dxa"/>
            <w:shd w:val="clear" w:color="auto" w:fill="D9EAF7"/>
            <w:vAlign w:val="center"/>
            <w:tcMar>
              <w:top w:w="30" w:type="dxa"/>
              <w:start w:w="30" w:type="dxa"/>
              <w:bottom w:w="30" w:type="dxa"/>
              <w:end w:w="30" w:type="dxa"/>
            </w:tcMar>
          </w:tcPr>
          <w:p w14:paraId="4AD07936" w14:textId="77777777" w:rsidR="005F0DB9" w:rsidRDefault="00000000">
            <w:pPr>
              <w:spacing w:line="240" w:lineRule="auto" w:before="0" w:after="0"/>
              <w:ind w:firstLine="0"/>
              <w:jc w:val="left"/>
            </w:pPr>
            <w:r>
              <w:rPr>
                <w:b/>
                <w:sz w:val="14"/>
              </w:rPr>
              <w:t>Significativo</w:t>
            </w:r>
          </w:p>
        </w:tc>
        <w:tc>
          <w:tcPr>
            <w:tcW w:w="1567" w:type="dxa"/>
            <w:shd w:val="clear" w:color="auto" w:fill="D9EAF7"/>
            <w:vAlign w:val="center"/>
            <w:tcMar>
              <w:top w:w="30" w:type="dxa"/>
              <w:start w:w="30" w:type="dxa"/>
              <w:bottom w:w="30" w:type="dxa"/>
              <w:end w:w="30" w:type="dxa"/>
            </w:tcMar>
          </w:tcPr>
          <w:p w14:paraId="3AC6E123" w14:textId="77777777" w:rsidR="005F0DB9" w:rsidRDefault="00000000">
            <w:pPr>
              <w:spacing w:line="240" w:lineRule="auto" w:before="0" w:after="0"/>
              <w:ind w:firstLine="0"/>
              <w:jc w:val="left"/>
            </w:pPr>
            <w:r>
              <w:rPr>
                <w:b/>
                <w:sz w:val="14"/>
              </w:rPr>
              <w:t>F 1º estágio</w:t>
            </w:r>
          </w:p>
        </w:tc>
      </w:tr>
      <w:tr w:rsidR="005F0DB9" w14:paraId="56EDED69" w14:textId="77777777">
        <w:trPr>
          <w:jc w:val="center"/>
        </w:trPr>
        <w:tc>
          <w:tcPr>
            <w:tcW w:w="1567" w:type="dxa"/>
            <w:vAlign w:val="center"/>
            <w:tcMar>
              <w:top w:w="30" w:type="dxa"/>
              <w:start w:w="30" w:type="dxa"/>
              <w:bottom w:w="30" w:type="dxa"/>
              <w:end w:w="30" w:type="dxa"/>
            </w:tcMar>
          </w:tcPr>
          <w:p w14:paraId="78E7817F" w14:textId="77777777" w:rsidR="005F0DB9" w:rsidRDefault="00000000">
            <w:pPr>
              <w:spacing w:line="240" w:lineRule="auto" w:before="0" w:after="0"/>
              <w:ind w:firstLine="0"/>
              <w:jc w:val="left"/>
            </w:pPr>
            <w:r>
              <w:rPr>
                <w:sz w:val="14"/>
              </w:rPr>
              <w:t>Petróleo BRL IV Oil Supply News → Diesel</w:t>
            </w:r>
          </w:p>
        </w:tc>
        <w:tc>
          <w:tcPr>
            <w:tcW w:w="1567" w:type="dxa"/>
            <w:vAlign w:val="center"/>
            <w:tcMar>
              <w:top w:w="30" w:type="dxa"/>
              <w:start w:w="30" w:type="dxa"/>
              <w:bottom w:w="30" w:type="dxa"/>
              <w:end w:w="30" w:type="dxa"/>
            </w:tcMar>
          </w:tcPr>
          <w:p w14:paraId="645FE5A3" w14:textId="77777777" w:rsidR="005F0DB9" w:rsidRDefault="00000000">
            <w:pPr>
              <w:spacing w:line="240" w:lineRule="auto" w:before="0" w:after="0"/>
              <w:ind w:firstLine="0"/>
              <w:jc w:val="left"/>
            </w:pPr>
            <w:r>
              <w:rPr>
                <w:sz w:val="14"/>
              </w:rPr>
              <w:t>3</w:t>
            </w:r>
          </w:p>
        </w:tc>
        <w:tc>
          <w:tcPr>
            <w:tcW w:w="1567" w:type="dxa"/>
            <w:vAlign w:val="center"/>
            <w:tcMar>
              <w:top w:w="30" w:type="dxa"/>
              <w:start w:w="30" w:type="dxa"/>
              <w:bottom w:w="30" w:type="dxa"/>
              <w:end w:w="30" w:type="dxa"/>
            </w:tcMar>
          </w:tcPr>
          <w:p w14:paraId="4DF98BD6" w14:textId="77777777" w:rsidR="005F0DB9" w:rsidRDefault="00000000">
            <w:pPr>
              <w:spacing w:line="240" w:lineRule="auto" w:before="0" w:after="0"/>
              <w:ind w:firstLine="0"/>
              <w:jc w:val="left"/>
            </w:pPr>
            <w:r>
              <w:rPr>
                <w:sz w:val="14"/>
              </w:rPr>
              <w:t>2,369</w:t>
            </w:r>
          </w:p>
        </w:tc>
        <w:tc>
          <w:tcPr>
            <w:tcW w:w="1567" w:type="dxa"/>
            <w:vAlign w:val="center"/>
            <w:tcMar>
              <w:top w:w="30" w:type="dxa"/>
              <w:start w:w="30" w:type="dxa"/>
              <w:bottom w:w="30" w:type="dxa"/>
              <w:end w:w="30" w:type="dxa"/>
            </w:tcMar>
          </w:tcPr>
          <w:p w14:paraId="7976609D" w14:textId="77777777" w:rsidR="005F0DB9" w:rsidRDefault="00000000">
            <w:pPr>
              <w:spacing w:line="240" w:lineRule="auto" w:before="0" w:after="0"/>
              <w:ind w:firstLine="0"/>
              <w:jc w:val="left"/>
            </w:pPr>
            <w:r>
              <w:rPr>
                <w:sz w:val="14"/>
              </w:rPr>
              <w:t>[1,249; 3,489]</w:t>
            </w:r>
          </w:p>
        </w:tc>
        <w:tc>
          <w:tcPr>
            <w:tcW w:w="1567" w:type="dxa"/>
            <w:vAlign w:val="center"/>
            <w:tcMar>
              <w:top w:w="30" w:type="dxa"/>
              <w:start w:w="30" w:type="dxa"/>
              <w:bottom w:w="30" w:type="dxa"/>
              <w:end w:w="30" w:type="dxa"/>
            </w:tcMar>
          </w:tcPr>
          <w:p w14:paraId="4D655900" w14:textId="77777777" w:rsidR="005F0DB9" w:rsidRDefault="00000000">
            <w:pPr>
              <w:spacing w:line="240" w:lineRule="auto" w:before="0" w:after="0"/>
              <w:ind w:firstLine="0"/>
              <w:jc w:val="left"/>
            </w:pPr>
            <w:r>
              <w:rPr>
                <w:sz w:val="14"/>
              </w:rPr>
              <w:t>Sim</w:t>
            </w:r>
          </w:p>
        </w:tc>
        <w:tc>
          <w:tcPr>
            <w:tcW w:w="1567" w:type="dxa"/>
            <w:vAlign w:val="center"/>
            <w:tcMar>
              <w:top w:w="30" w:type="dxa"/>
              <w:start w:w="30" w:type="dxa"/>
              <w:bottom w:w="30" w:type="dxa"/>
              <w:end w:w="30" w:type="dxa"/>
            </w:tcMar>
          </w:tcPr>
          <w:p w14:paraId="4414397B" w14:textId="77777777" w:rsidR="005F0DB9" w:rsidRDefault="00000000">
            <w:pPr>
              <w:spacing w:line="240" w:lineRule="auto" w:before="0" w:after="0"/>
              <w:ind w:firstLine="0"/>
              <w:jc w:val="left"/>
            </w:pPr>
            <w:r>
              <w:rPr>
                <w:sz w:val="14"/>
              </w:rPr>
              <w:t>130,347</w:t>
            </w:r>
          </w:p>
        </w:tc>
      </w:tr>
      <w:tr w:rsidR="005F0DB9" w14:paraId="09031241" w14:textId="77777777">
        <w:trPr>
          <w:jc w:val="center"/>
        </w:trPr>
        <w:tc>
          <w:tcPr>
            <w:tcW w:w="1567" w:type="dxa"/>
            <w:vAlign w:val="center"/>
            <w:tcMar>
              <w:top w:w="30" w:type="dxa"/>
              <w:start w:w="30" w:type="dxa"/>
              <w:bottom w:w="30" w:type="dxa"/>
              <w:end w:w="30" w:type="dxa"/>
            </w:tcMar>
          </w:tcPr>
          <w:p w14:paraId="00B9CB29" w14:textId="77777777" w:rsidR="005F0DB9" w:rsidRDefault="00000000">
            <w:pPr>
              <w:spacing w:line="240" w:lineRule="auto" w:before="0" w:after="0"/>
              <w:ind w:firstLine="0"/>
              <w:jc w:val="left"/>
            </w:pPr>
            <w:r>
              <w:rPr>
                <w:sz w:val="14"/>
              </w:rPr>
              <w:t>Petróleo BRL IV Oil Supply News → Diesel</w:t>
            </w:r>
          </w:p>
        </w:tc>
        <w:tc>
          <w:tcPr>
            <w:tcW w:w="1567" w:type="dxa"/>
            <w:vAlign w:val="center"/>
            <w:tcMar>
              <w:top w:w="30" w:type="dxa"/>
              <w:start w:w="30" w:type="dxa"/>
              <w:bottom w:w="30" w:type="dxa"/>
              <w:end w:w="30" w:type="dxa"/>
            </w:tcMar>
          </w:tcPr>
          <w:p w14:paraId="72B39A97"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6F3E839F" w14:textId="77777777" w:rsidR="005F0DB9" w:rsidRDefault="00000000">
            <w:pPr>
              <w:spacing w:line="240" w:lineRule="auto" w:before="0" w:after="0"/>
              <w:ind w:firstLine="0"/>
              <w:jc w:val="left"/>
            </w:pPr>
            <w:r>
              <w:rPr>
                <w:sz w:val="14"/>
              </w:rPr>
              <w:t>2,246</w:t>
            </w:r>
          </w:p>
        </w:tc>
        <w:tc>
          <w:tcPr>
            <w:tcW w:w="1567" w:type="dxa"/>
            <w:vAlign w:val="center"/>
            <w:tcMar>
              <w:top w:w="30" w:type="dxa"/>
              <w:start w:w="30" w:type="dxa"/>
              <w:bottom w:w="30" w:type="dxa"/>
              <w:end w:w="30" w:type="dxa"/>
            </w:tcMar>
          </w:tcPr>
          <w:p w14:paraId="4C4C5E60" w14:textId="77777777" w:rsidR="005F0DB9" w:rsidRDefault="00000000">
            <w:pPr>
              <w:spacing w:line="240" w:lineRule="auto" w:before="0" w:after="0"/>
              <w:ind w:firstLine="0"/>
              <w:jc w:val="left"/>
            </w:pPr>
            <w:r>
              <w:rPr>
                <w:sz w:val="14"/>
              </w:rPr>
              <w:t>[0,446; 4,047]</w:t>
            </w:r>
          </w:p>
        </w:tc>
        <w:tc>
          <w:tcPr>
            <w:tcW w:w="1567" w:type="dxa"/>
            <w:vAlign w:val="center"/>
            <w:tcMar>
              <w:top w:w="30" w:type="dxa"/>
              <w:start w:w="30" w:type="dxa"/>
              <w:bottom w:w="30" w:type="dxa"/>
              <w:end w:w="30" w:type="dxa"/>
            </w:tcMar>
          </w:tcPr>
          <w:p w14:paraId="28CD6D35" w14:textId="77777777" w:rsidR="005F0DB9" w:rsidRDefault="00000000">
            <w:pPr>
              <w:spacing w:line="240" w:lineRule="auto" w:before="0" w:after="0"/>
              <w:ind w:firstLine="0"/>
              <w:jc w:val="left"/>
            </w:pPr>
            <w:r>
              <w:rPr>
                <w:sz w:val="14"/>
              </w:rPr>
              <w:t>Sim</w:t>
            </w:r>
          </w:p>
        </w:tc>
        <w:tc>
          <w:tcPr>
            <w:tcW w:w="1567" w:type="dxa"/>
            <w:vAlign w:val="center"/>
            <w:tcMar>
              <w:top w:w="30" w:type="dxa"/>
              <w:start w:w="30" w:type="dxa"/>
              <w:bottom w:w="30" w:type="dxa"/>
              <w:end w:w="30" w:type="dxa"/>
            </w:tcMar>
          </w:tcPr>
          <w:p w14:paraId="6BE3460B" w14:textId="77777777" w:rsidR="005F0DB9" w:rsidRDefault="00000000">
            <w:pPr>
              <w:spacing w:line="240" w:lineRule="auto" w:before="0" w:after="0"/>
              <w:ind w:firstLine="0"/>
              <w:jc w:val="left"/>
            </w:pPr>
            <w:r>
              <w:rPr>
                <w:sz w:val="14"/>
              </w:rPr>
              <w:t>126,822</w:t>
            </w:r>
          </w:p>
        </w:tc>
      </w:tr>
      <w:tr w:rsidR="005F0DB9" w14:paraId="2A6CA29E" w14:textId="77777777">
        <w:trPr>
          <w:jc w:val="center"/>
        </w:trPr>
        <w:tc>
          <w:tcPr>
            <w:tcW w:w="1567" w:type="dxa"/>
            <w:vAlign w:val="center"/>
            <w:tcMar>
              <w:top w:w="30" w:type="dxa"/>
              <w:start w:w="30" w:type="dxa"/>
              <w:bottom w:w="30" w:type="dxa"/>
              <w:end w:w="30" w:type="dxa"/>
            </w:tcMar>
          </w:tcPr>
          <w:p w14:paraId="55DFFDA3" w14:textId="77777777" w:rsidR="005F0DB9" w:rsidRDefault="00000000">
            <w:pPr>
              <w:spacing w:line="240" w:lineRule="auto" w:before="0" w:after="0"/>
              <w:ind w:firstLine="0"/>
              <w:jc w:val="left"/>
            </w:pPr>
            <w:r>
              <w:rPr>
                <w:sz w:val="14"/>
              </w:rPr>
              <w:t>Petróleo BRL IV Oil Supply News → Diesel</w:t>
            </w:r>
          </w:p>
        </w:tc>
        <w:tc>
          <w:tcPr>
            <w:tcW w:w="1567" w:type="dxa"/>
            <w:vAlign w:val="center"/>
            <w:tcMar>
              <w:top w:w="30" w:type="dxa"/>
              <w:start w:w="30" w:type="dxa"/>
              <w:bottom w:w="30" w:type="dxa"/>
              <w:end w:w="30" w:type="dxa"/>
            </w:tcMar>
          </w:tcPr>
          <w:p w14:paraId="0D122EA2"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0D93BD38" w14:textId="77777777" w:rsidR="005F0DB9" w:rsidRDefault="00000000">
            <w:pPr>
              <w:spacing w:line="240" w:lineRule="auto" w:before="0" w:after="0"/>
              <w:ind w:firstLine="0"/>
              <w:jc w:val="left"/>
            </w:pPr>
            <w:r>
              <w:rPr>
                <w:sz w:val="14"/>
              </w:rPr>
              <w:t>2,344</w:t>
            </w:r>
          </w:p>
        </w:tc>
        <w:tc>
          <w:tcPr>
            <w:tcW w:w="1567" w:type="dxa"/>
            <w:vAlign w:val="center"/>
            <w:tcMar>
              <w:top w:w="30" w:type="dxa"/>
              <w:start w:w="30" w:type="dxa"/>
              <w:bottom w:w="30" w:type="dxa"/>
              <w:end w:w="30" w:type="dxa"/>
            </w:tcMar>
          </w:tcPr>
          <w:p w14:paraId="77CEC1F1" w14:textId="77777777" w:rsidR="005F0DB9" w:rsidRDefault="00000000">
            <w:pPr>
              <w:spacing w:line="240" w:lineRule="auto" w:before="0" w:after="0"/>
              <w:ind w:firstLine="0"/>
              <w:jc w:val="left"/>
            </w:pPr>
            <w:r>
              <w:rPr>
                <w:sz w:val="14"/>
              </w:rPr>
              <w:t>[0,032; 4,657]</w:t>
            </w:r>
          </w:p>
        </w:tc>
        <w:tc>
          <w:tcPr>
            <w:tcW w:w="1567" w:type="dxa"/>
            <w:vAlign w:val="center"/>
            <w:tcMar>
              <w:top w:w="30" w:type="dxa"/>
              <w:start w:w="30" w:type="dxa"/>
              <w:bottom w:w="30" w:type="dxa"/>
              <w:end w:w="30" w:type="dxa"/>
            </w:tcMar>
          </w:tcPr>
          <w:p w14:paraId="51F32805" w14:textId="77777777" w:rsidR="005F0DB9" w:rsidRDefault="00000000">
            <w:pPr>
              <w:spacing w:line="240" w:lineRule="auto" w:before="0" w:after="0"/>
              <w:ind w:firstLine="0"/>
              <w:jc w:val="left"/>
            </w:pPr>
            <w:r>
              <w:rPr>
                <w:sz w:val="14"/>
              </w:rPr>
              <w:t>Sim</w:t>
            </w:r>
          </w:p>
        </w:tc>
        <w:tc>
          <w:tcPr>
            <w:tcW w:w="1567" w:type="dxa"/>
            <w:vAlign w:val="center"/>
            <w:tcMar>
              <w:top w:w="30" w:type="dxa"/>
              <w:start w:w="30" w:type="dxa"/>
              <w:bottom w:w="30" w:type="dxa"/>
              <w:end w:w="30" w:type="dxa"/>
            </w:tcMar>
          </w:tcPr>
          <w:p w14:paraId="78533030" w14:textId="77777777" w:rsidR="005F0DB9" w:rsidRDefault="00000000">
            <w:pPr>
              <w:spacing w:line="240" w:lineRule="auto" w:before="0" w:after="0"/>
              <w:ind w:firstLine="0"/>
              <w:jc w:val="left"/>
            </w:pPr>
            <w:r>
              <w:rPr>
                <w:sz w:val="14"/>
              </w:rPr>
              <w:t>122,590</w:t>
            </w:r>
          </w:p>
        </w:tc>
      </w:tr>
      <w:tr w:rsidR="005F0DB9" w14:paraId="4086D3DC" w14:textId="77777777">
        <w:trPr>
          <w:jc w:val="center"/>
        </w:trPr>
        <w:tc>
          <w:tcPr>
            <w:tcW w:w="1567" w:type="dxa"/>
            <w:vAlign w:val="center"/>
            <w:tcMar>
              <w:top w:w="30" w:type="dxa"/>
              <w:start w:w="30" w:type="dxa"/>
              <w:bottom w:w="30" w:type="dxa"/>
              <w:end w:w="30" w:type="dxa"/>
            </w:tcMar>
          </w:tcPr>
          <w:p w14:paraId="24A74092" w14:textId="77777777" w:rsidR="005F0DB9" w:rsidRDefault="00000000">
            <w:pPr>
              <w:spacing w:line="240" w:lineRule="auto" w:before="0" w:after="0"/>
              <w:ind w:firstLine="0"/>
              <w:jc w:val="left"/>
            </w:pPr>
            <w:r>
              <w:rPr>
                <w:sz w:val="14"/>
              </w:rPr>
              <w:t>Petróleo BRL IV Oil Supply News → IPCA Transportes</w:t>
            </w:r>
          </w:p>
        </w:tc>
        <w:tc>
          <w:tcPr>
            <w:tcW w:w="1567" w:type="dxa"/>
            <w:vAlign w:val="center"/>
            <w:tcMar>
              <w:top w:w="30" w:type="dxa"/>
              <w:start w:w="30" w:type="dxa"/>
              <w:bottom w:w="30" w:type="dxa"/>
              <w:end w:w="30" w:type="dxa"/>
            </w:tcMar>
          </w:tcPr>
          <w:p w14:paraId="3F64EB38" w14:textId="77777777" w:rsidR="005F0DB9" w:rsidRDefault="00000000">
            <w:pPr>
              <w:spacing w:line="240" w:lineRule="auto" w:before="0" w:after="0"/>
              <w:ind w:firstLine="0"/>
              <w:jc w:val="left"/>
            </w:pPr>
            <w:r>
              <w:rPr>
                <w:sz w:val="14"/>
              </w:rPr>
              <w:t>3</w:t>
            </w:r>
          </w:p>
        </w:tc>
        <w:tc>
          <w:tcPr>
            <w:tcW w:w="1567" w:type="dxa"/>
            <w:vAlign w:val="center"/>
            <w:tcMar>
              <w:top w:w="30" w:type="dxa"/>
              <w:start w:w="30" w:type="dxa"/>
              <w:bottom w:w="30" w:type="dxa"/>
              <w:end w:w="30" w:type="dxa"/>
            </w:tcMar>
          </w:tcPr>
          <w:p w14:paraId="1DA09671" w14:textId="77777777" w:rsidR="005F0DB9" w:rsidRDefault="00000000">
            <w:pPr>
              <w:spacing w:line="240" w:lineRule="auto" w:before="0" w:after="0"/>
              <w:ind w:firstLine="0"/>
              <w:jc w:val="left"/>
            </w:pPr>
            <w:r>
              <w:rPr>
                <w:sz w:val="14"/>
              </w:rPr>
              <w:t>0,500</w:t>
            </w:r>
          </w:p>
        </w:tc>
        <w:tc>
          <w:tcPr>
            <w:tcW w:w="1567" w:type="dxa"/>
            <w:vAlign w:val="center"/>
            <w:tcMar>
              <w:top w:w="30" w:type="dxa"/>
              <w:start w:w="30" w:type="dxa"/>
              <w:bottom w:w="30" w:type="dxa"/>
              <w:end w:w="30" w:type="dxa"/>
            </w:tcMar>
          </w:tcPr>
          <w:p w14:paraId="34B83163" w14:textId="77777777" w:rsidR="005F0DB9" w:rsidRDefault="00000000">
            <w:pPr>
              <w:spacing w:line="240" w:lineRule="auto" w:before="0" w:after="0"/>
              <w:ind w:firstLine="0"/>
              <w:jc w:val="left"/>
            </w:pPr>
            <w:r>
              <w:rPr>
                <w:sz w:val="14"/>
              </w:rPr>
              <w:t>[0,075; 0,924]</w:t>
            </w:r>
          </w:p>
        </w:tc>
        <w:tc>
          <w:tcPr>
            <w:tcW w:w="1567" w:type="dxa"/>
            <w:vAlign w:val="center"/>
            <w:tcMar>
              <w:top w:w="30" w:type="dxa"/>
              <w:start w:w="30" w:type="dxa"/>
              <w:bottom w:w="30" w:type="dxa"/>
              <w:end w:w="30" w:type="dxa"/>
            </w:tcMar>
          </w:tcPr>
          <w:p w14:paraId="194B6F9F" w14:textId="77777777" w:rsidR="005F0DB9" w:rsidRDefault="00000000">
            <w:pPr>
              <w:spacing w:line="240" w:lineRule="auto" w:before="0" w:after="0"/>
              <w:ind w:firstLine="0"/>
              <w:jc w:val="left"/>
            </w:pPr>
            <w:r>
              <w:rPr>
                <w:sz w:val="14"/>
              </w:rPr>
              <w:t>Sim</w:t>
            </w:r>
          </w:p>
        </w:tc>
        <w:tc>
          <w:tcPr>
            <w:tcW w:w="1567" w:type="dxa"/>
            <w:vAlign w:val="center"/>
            <w:tcMar>
              <w:top w:w="30" w:type="dxa"/>
              <w:start w:w="30" w:type="dxa"/>
              <w:bottom w:w="30" w:type="dxa"/>
              <w:end w:w="30" w:type="dxa"/>
            </w:tcMar>
          </w:tcPr>
          <w:p w14:paraId="7E05D344" w14:textId="77777777" w:rsidR="005F0DB9" w:rsidRDefault="00000000">
            <w:pPr>
              <w:spacing w:line="240" w:lineRule="auto" w:before="0" w:after="0"/>
              <w:ind w:firstLine="0"/>
              <w:jc w:val="left"/>
            </w:pPr>
            <w:r>
              <w:rPr>
                <w:sz w:val="14"/>
              </w:rPr>
              <w:t>130,578</w:t>
            </w:r>
          </w:p>
        </w:tc>
      </w:tr>
      <w:tr w:rsidR="005F0DB9" w14:paraId="06D93A0B" w14:textId="77777777">
        <w:trPr>
          <w:jc w:val="center"/>
        </w:trPr>
        <w:tc>
          <w:tcPr>
            <w:tcW w:w="1567" w:type="dxa"/>
            <w:vAlign w:val="center"/>
            <w:tcMar>
              <w:top w:w="30" w:type="dxa"/>
              <w:start w:w="30" w:type="dxa"/>
              <w:bottom w:w="30" w:type="dxa"/>
              <w:end w:w="30" w:type="dxa"/>
            </w:tcMar>
          </w:tcPr>
          <w:p w14:paraId="0F7A7804" w14:textId="77777777" w:rsidR="005F0DB9" w:rsidRDefault="00000000">
            <w:pPr>
              <w:spacing w:line="240" w:lineRule="auto" w:before="0" w:after="0"/>
              <w:ind w:firstLine="0"/>
              <w:jc w:val="left"/>
            </w:pPr>
            <w:r>
              <w:rPr>
                <w:sz w:val="14"/>
              </w:rPr>
              <w:t>Petróleo BRL IV Oil Supply News → IPCA Transportes</w:t>
            </w:r>
          </w:p>
        </w:tc>
        <w:tc>
          <w:tcPr>
            <w:tcW w:w="1567" w:type="dxa"/>
            <w:vAlign w:val="center"/>
            <w:tcMar>
              <w:top w:w="30" w:type="dxa"/>
              <w:start w:w="30" w:type="dxa"/>
              <w:bottom w:w="30" w:type="dxa"/>
              <w:end w:w="30" w:type="dxa"/>
            </w:tcMar>
          </w:tcPr>
          <w:p w14:paraId="685AE3CE"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01E23214" w14:textId="77777777" w:rsidR="005F0DB9" w:rsidRDefault="00000000">
            <w:pPr>
              <w:spacing w:line="240" w:lineRule="auto" w:before="0" w:after="0"/>
              <w:ind w:firstLine="0"/>
              <w:jc w:val="left"/>
            </w:pPr>
            <w:r>
              <w:rPr>
                <w:sz w:val="14"/>
              </w:rPr>
              <w:t>0,386</w:t>
            </w:r>
          </w:p>
        </w:tc>
        <w:tc>
          <w:tcPr>
            <w:tcW w:w="1567" w:type="dxa"/>
            <w:vAlign w:val="center"/>
            <w:tcMar>
              <w:top w:w="30" w:type="dxa"/>
              <w:start w:w="30" w:type="dxa"/>
              <w:bottom w:w="30" w:type="dxa"/>
              <w:end w:w="30" w:type="dxa"/>
            </w:tcMar>
          </w:tcPr>
          <w:p w14:paraId="5DA7CD61" w14:textId="77777777" w:rsidR="005F0DB9" w:rsidRDefault="00000000">
            <w:pPr>
              <w:spacing w:line="240" w:lineRule="auto" w:before="0" w:after="0"/>
              <w:ind w:firstLine="0"/>
              <w:jc w:val="left"/>
            </w:pPr>
            <w:r>
              <w:rPr>
                <w:sz w:val="14"/>
              </w:rPr>
              <w:t>[-0,162; 0,933]</w:t>
            </w:r>
          </w:p>
        </w:tc>
        <w:tc>
          <w:tcPr>
            <w:tcW w:w="1567" w:type="dxa"/>
            <w:vAlign w:val="center"/>
            <w:tcMar>
              <w:top w:w="30" w:type="dxa"/>
              <w:start w:w="30" w:type="dxa"/>
              <w:bottom w:w="30" w:type="dxa"/>
              <w:end w:w="30" w:type="dxa"/>
            </w:tcMar>
          </w:tcPr>
          <w:p w14:paraId="097EF137" w14:textId="77777777" w:rsidR="005F0DB9" w:rsidRDefault="00000000">
            <w:pPr>
              <w:spacing w:line="240" w:lineRule="auto" w:before="0" w:after="0"/>
              <w:ind w:firstLine="0"/>
              <w:jc w:val="left"/>
            </w:pPr>
            <w:r>
              <w:rPr>
                <w:sz w:val="14"/>
              </w:rPr>
              <w:t>Não</w:t>
            </w:r>
          </w:p>
        </w:tc>
        <w:tc>
          <w:tcPr>
            <w:tcW w:w="1567" w:type="dxa"/>
            <w:vAlign w:val="center"/>
            <w:tcMar>
              <w:top w:w="30" w:type="dxa"/>
              <w:start w:w="30" w:type="dxa"/>
              <w:bottom w:w="30" w:type="dxa"/>
              <w:end w:w="30" w:type="dxa"/>
            </w:tcMar>
          </w:tcPr>
          <w:p w14:paraId="65F86F78" w14:textId="77777777" w:rsidR="005F0DB9" w:rsidRDefault="00000000">
            <w:pPr>
              <w:spacing w:line="240" w:lineRule="auto" w:before="0" w:after="0"/>
              <w:ind w:firstLine="0"/>
              <w:jc w:val="left"/>
            </w:pPr>
            <w:r>
              <w:rPr>
                <w:sz w:val="14"/>
              </w:rPr>
              <w:t>126,645</w:t>
            </w:r>
          </w:p>
        </w:tc>
      </w:tr>
      <w:tr w:rsidR="005F0DB9" w14:paraId="531E7C71" w14:textId="77777777">
        <w:trPr>
          <w:jc w:val="center"/>
        </w:trPr>
        <w:tc>
          <w:tcPr>
            <w:tcW w:w="1567" w:type="dxa"/>
            <w:vAlign w:val="center"/>
            <w:tcMar>
              <w:top w:w="30" w:type="dxa"/>
              <w:start w:w="30" w:type="dxa"/>
              <w:bottom w:w="30" w:type="dxa"/>
              <w:end w:w="30" w:type="dxa"/>
            </w:tcMar>
          </w:tcPr>
          <w:p w14:paraId="56947D9A" w14:textId="77777777" w:rsidR="005F0DB9" w:rsidRDefault="00000000">
            <w:pPr>
              <w:spacing w:line="240" w:lineRule="auto" w:before="0" w:after="0"/>
              <w:ind w:firstLine="0"/>
              <w:jc w:val="left"/>
            </w:pPr>
            <w:r>
              <w:rPr>
                <w:sz w:val="14"/>
              </w:rPr>
              <w:t>Petróleo BRL IV Oil Supply News → IPCA Transportes</w:t>
            </w:r>
          </w:p>
        </w:tc>
        <w:tc>
          <w:tcPr>
            <w:tcW w:w="1567" w:type="dxa"/>
            <w:vAlign w:val="center"/>
            <w:tcMar>
              <w:top w:w="30" w:type="dxa"/>
              <w:start w:w="30" w:type="dxa"/>
              <w:bottom w:w="30" w:type="dxa"/>
              <w:end w:w="30" w:type="dxa"/>
            </w:tcMar>
          </w:tcPr>
          <w:p w14:paraId="19A37356"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2E8C5D6B" w14:textId="77777777" w:rsidR="005F0DB9" w:rsidRDefault="00000000">
            <w:pPr>
              <w:spacing w:line="240" w:lineRule="auto" w:before="0" w:after="0"/>
              <w:ind w:firstLine="0"/>
              <w:jc w:val="left"/>
            </w:pPr>
            <w:r>
              <w:rPr>
                <w:sz w:val="14"/>
              </w:rPr>
              <w:t>-0,052</w:t>
            </w:r>
          </w:p>
        </w:tc>
        <w:tc>
          <w:tcPr>
            <w:tcW w:w="1567" w:type="dxa"/>
            <w:vAlign w:val="center"/>
            <w:tcMar>
              <w:top w:w="30" w:type="dxa"/>
              <w:start w:w="30" w:type="dxa"/>
              <w:bottom w:w="30" w:type="dxa"/>
              <w:end w:w="30" w:type="dxa"/>
            </w:tcMar>
          </w:tcPr>
          <w:p w14:paraId="59E8AE08" w14:textId="77777777" w:rsidR="005F0DB9" w:rsidRDefault="00000000">
            <w:pPr>
              <w:spacing w:line="240" w:lineRule="auto" w:before="0" w:after="0"/>
              <w:ind w:firstLine="0"/>
              <w:jc w:val="left"/>
            </w:pPr>
            <w:r>
              <w:rPr>
                <w:sz w:val="14"/>
              </w:rPr>
              <w:t>[-0,892; 0,789]</w:t>
            </w:r>
          </w:p>
        </w:tc>
        <w:tc>
          <w:tcPr>
            <w:tcW w:w="1567" w:type="dxa"/>
            <w:vAlign w:val="center"/>
            <w:tcMar>
              <w:top w:w="30" w:type="dxa"/>
              <w:start w:w="30" w:type="dxa"/>
              <w:bottom w:w="30" w:type="dxa"/>
              <w:end w:w="30" w:type="dxa"/>
            </w:tcMar>
          </w:tcPr>
          <w:p w14:paraId="4E6952C8" w14:textId="77777777" w:rsidR="005F0DB9" w:rsidRDefault="00000000">
            <w:pPr>
              <w:spacing w:line="240" w:lineRule="auto" w:before="0" w:after="0"/>
              <w:ind w:firstLine="0"/>
              <w:jc w:val="left"/>
            </w:pPr>
            <w:r>
              <w:rPr>
                <w:sz w:val="14"/>
              </w:rPr>
              <w:t>Não</w:t>
            </w:r>
          </w:p>
        </w:tc>
        <w:tc>
          <w:tcPr>
            <w:tcW w:w="1567" w:type="dxa"/>
            <w:vAlign w:val="center"/>
            <w:tcMar>
              <w:top w:w="30" w:type="dxa"/>
              <w:start w:w="30" w:type="dxa"/>
              <w:bottom w:w="30" w:type="dxa"/>
              <w:end w:w="30" w:type="dxa"/>
            </w:tcMar>
          </w:tcPr>
          <w:p w14:paraId="39998F62" w14:textId="77777777" w:rsidR="005F0DB9" w:rsidRDefault="00000000">
            <w:pPr>
              <w:spacing w:line="240" w:lineRule="auto" w:before="0" w:after="0"/>
              <w:ind w:firstLine="0"/>
              <w:jc w:val="left"/>
            </w:pPr>
            <w:r>
              <w:rPr>
                <w:sz w:val="14"/>
              </w:rPr>
              <w:t>122,333</w:t>
            </w:r>
          </w:p>
        </w:tc>
      </w:tr>
      <w:tr w:rsidR="005F0DB9" w14:paraId="655741C0" w14:textId="77777777">
        <w:trPr>
          <w:jc w:val="center"/>
        </w:trPr>
        <w:tc>
          <w:tcPr>
            <w:tcW w:w="1567" w:type="dxa"/>
            <w:vAlign w:val="center"/>
            <w:tcMar>
              <w:top w:w="30" w:type="dxa"/>
              <w:start w:w="30" w:type="dxa"/>
              <w:bottom w:w="30" w:type="dxa"/>
              <w:end w:w="30" w:type="dxa"/>
            </w:tcMar>
          </w:tcPr>
          <w:p w14:paraId="5398CCB9" w14:textId="77777777" w:rsidR="005F0DB9" w:rsidRDefault="00000000">
            <w:pPr>
              <w:spacing w:line="240" w:lineRule="auto" w:before="0" w:after="0"/>
              <w:ind w:firstLine="0"/>
              <w:jc w:val="left"/>
            </w:pPr>
            <w:r>
              <w:rPr>
                <w:sz w:val="14"/>
              </w:rPr>
              <w:t>Petróleo BRL IV Oil Supply News → IPCA Geral</w:t>
            </w:r>
          </w:p>
        </w:tc>
        <w:tc>
          <w:tcPr>
            <w:tcW w:w="1567" w:type="dxa"/>
            <w:vAlign w:val="center"/>
            <w:tcMar>
              <w:top w:w="30" w:type="dxa"/>
              <w:start w:w="30" w:type="dxa"/>
              <w:bottom w:w="30" w:type="dxa"/>
              <w:end w:w="30" w:type="dxa"/>
            </w:tcMar>
          </w:tcPr>
          <w:p w14:paraId="27F2AE99" w14:textId="77777777" w:rsidR="005F0DB9" w:rsidRDefault="00000000">
            <w:pPr>
              <w:spacing w:line="240" w:lineRule="auto" w:before="0" w:after="0"/>
              <w:ind w:firstLine="0"/>
              <w:jc w:val="left"/>
            </w:pPr>
            <w:r>
              <w:rPr>
                <w:sz w:val="14"/>
              </w:rPr>
              <w:t>3</w:t>
            </w:r>
          </w:p>
        </w:tc>
        <w:tc>
          <w:tcPr>
            <w:tcW w:w="1567" w:type="dxa"/>
            <w:vAlign w:val="center"/>
            <w:tcMar>
              <w:top w:w="30" w:type="dxa"/>
              <w:start w:w="30" w:type="dxa"/>
              <w:bottom w:w="30" w:type="dxa"/>
              <w:end w:w="30" w:type="dxa"/>
            </w:tcMar>
          </w:tcPr>
          <w:p w14:paraId="2420F1CF" w14:textId="77777777" w:rsidR="005F0DB9" w:rsidRDefault="00000000">
            <w:pPr>
              <w:spacing w:line="240" w:lineRule="auto" w:before="0" w:after="0"/>
              <w:ind w:firstLine="0"/>
              <w:jc w:val="left"/>
            </w:pPr>
            <w:r>
              <w:rPr>
                <w:sz w:val="14"/>
              </w:rPr>
              <w:t>0,172</w:t>
            </w:r>
          </w:p>
        </w:tc>
        <w:tc>
          <w:tcPr>
            <w:tcW w:w="1567" w:type="dxa"/>
            <w:vAlign w:val="center"/>
            <w:tcMar>
              <w:top w:w="30" w:type="dxa"/>
              <w:start w:w="30" w:type="dxa"/>
              <w:bottom w:w="30" w:type="dxa"/>
              <w:end w:w="30" w:type="dxa"/>
            </w:tcMar>
          </w:tcPr>
          <w:p w14:paraId="1EE95DF4" w14:textId="77777777" w:rsidR="005F0DB9" w:rsidRDefault="00000000">
            <w:pPr>
              <w:spacing w:line="240" w:lineRule="auto" w:before="0" w:after="0"/>
              <w:ind w:firstLine="0"/>
              <w:jc w:val="left"/>
            </w:pPr>
            <w:r>
              <w:rPr>
                <w:sz w:val="14"/>
              </w:rPr>
              <w:t>[0,002; 0,342]</w:t>
            </w:r>
          </w:p>
        </w:tc>
        <w:tc>
          <w:tcPr>
            <w:tcW w:w="1567" w:type="dxa"/>
            <w:vAlign w:val="center"/>
            <w:tcMar>
              <w:top w:w="30" w:type="dxa"/>
              <w:start w:w="30" w:type="dxa"/>
              <w:bottom w:w="30" w:type="dxa"/>
              <w:end w:w="30" w:type="dxa"/>
            </w:tcMar>
          </w:tcPr>
          <w:p w14:paraId="79C6259D" w14:textId="77777777" w:rsidR="005F0DB9" w:rsidRDefault="00000000">
            <w:pPr>
              <w:spacing w:line="240" w:lineRule="auto" w:before="0" w:after="0"/>
              <w:ind w:firstLine="0"/>
              <w:jc w:val="left"/>
            </w:pPr>
            <w:r>
              <w:rPr>
                <w:sz w:val="14"/>
              </w:rPr>
              <w:t>Sim</w:t>
            </w:r>
          </w:p>
        </w:tc>
        <w:tc>
          <w:tcPr>
            <w:tcW w:w="1567" w:type="dxa"/>
            <w:vAlign w:val="center"/>
            <w:tcMar>
              <w:top w:w="30" w:type="dxa"/>
              <w:start w:w="30" w:type="dxa"/>
              <w:bottom w:w="30" w:type="dxa"/>
              <w:end w:w="30" w:type="dxa"/>
            </w:tcMar>
          </w:tcPr>
          <w:p w14:paraId="419DFF48" w14:textId="77777777" w:rsidR="005F0DB9" w:rsidRDefault="00000000">
            <w:pPr>
              <w:spacing w:line="240" w:lineRule="auto" w:before="0" w:after="0"/>
              <w:ind w:firstLine="0"/>
              <w:jc w:val="left"/>
            </w:pPr>
            <w:r>
              <w:rPr>
                <w:sz w:val="14"/>
              </w:rPr>
              <w:t>128,048</w:t>
            </w:r>
          </w:p>
        </w:tc>
      </w:tr>
      <w:tr w:rsidR="005F0DB9" w14:paraId="693868C8" w14:textId="77777777">
        <w:trPr>
          <w:jc w:val="center"/>
        </w:trPr>
        <w:tc>
          <w:tcPr>
            <w:tcW w:w="1567" w:type="dxa"/>
            <w:vAlign w:val="center"/>
            <w:tcMar>
              <w:top w:w="30" w:type="dxa"/>
              <w:start w:w="30" w:type="dxa"/>
              <w:bottom w:w="30" w:type="dxa"/>
              <w:end w:w="30" w:type="dxa"/>
            </w:tcMar>
          </w:tcPr>
          <w:p w14:paraId="5F823F5C" w14:textId="77777777" w:rsidR="005F0DB9" w:rsidRDefault="00000000">
            <w:pPr>
              <w:spacing w:line="240" w:lineRule="auto" w:before="0" w:after="0"/>
              <w:ind w:firstLine="0"/>
              <w:jc w:val="left"/>
            </w:pPr>
            <w:r>
              <w:rPr>
                <w:sz w:val="14"/>
              </w:rPr>
              <w:t>Petróleo BRL IV Oil Supply News → IPCA Geral</w:t>
            </w:r>
          </w:p>
        </w:tc>
        <w:tc>
          <w:tcPr>
            <w:tcW w:w="1567" w:type="dxa"/>
            <w:vAlign w:val="center"/>
            <w:tcMar>
              <w:top w:w="30" w:type="dxa"/>
              <w:start w:w="30" w:type="dxa"/>
              <w:bottom w:w="30" w:type="dxa"/>
              <w:end w:w="30" w:type="dxa"/>
            </w:tcMar>
          </w:tcPr>
          <w:p w14:paraId="22C599BF" w14:textId="77777777" w:rsidR="005F0DB9" w:rsidRDefault="00000000">
            <w:pPr>
              <w:spacing w:line="240" w:lineRule="auto" w:before="0" w:after="0"/>
              <w:ind w:firstLine="0"/>
              <w:jc w:val="left"/>
            </w:pPr>
            <w:r>
              <w:rPr>
                <w:sz w:val="14"/>
              </w:rPr>
              <w:t>6</w:t>
            </w:r>
          </w:p>
        </w:tc>
        <w:tc>
          <w:tcPr>
            <w:tcW w:w="1567" w:type="dxa"/>
            <w:vAlign w:val="center"/>
            <w:tcMar>
              <w:top w:w="30" w:type="dxa"/>
              <w:start w:w="30" w:type="dxa"/>
              <w:bottom w:w="30" w:type="dxa"/>
              <w:end w:w="30" w:type="dxa"/>
            </w:tcMar>
          </w:tcPr>
          <w:p w14:paraId="11A7E864" w14:textId="77777777" w:rsidR="005F0DB9" w:rsidRDefault="00000000">
            <w:pPr>
              <w:spacing w:line="240" w:lineRule="auto" w:before="0" w:after="0"/>
              <w:ind w:firstLine="0"/>
              <w:jc w:val="left"/>
            </w:pPr>
            <w:r>
              <w:rPr>
                <w:sz w:val="14"/>
              </w:rPr>
              <w:t>0,148</w:t>
            </w:r>
          </w:p>
        </w:tc>
        <w:tc>
          <w:tcPr>
            <w:tcW w:w="1567" w:type="dxa"/>
            <w:vAlign w:val="center"/>
            <w:tcMar>
              <w:top w:w="30" w:type="dxa"/>
              <w:start w:w="30" w:type="dxa"/>
              <w:bottom w:w="30" w:type="dxa"/>
              <w:end w:w="30" w:type="dxa"/>
            </w:tcMar>
          </w:tcPr>
          <w:p w14:paraId="718AFA0D" w14:textId="77777777" w:rsidR="005F0DB9" w:rsidRDefault="00000000">
            <w:pPr>
              <w:spacing w:line="240" w:lineRule="auto" w:before="0" w:after="0"/>
              <w:ind w:firstLine="0"/>
              <w:jc w:val="left"/>
            </w:pPr>
            <w:r>
              <w:rPr>
                <w:sz w:val="14"/>
              </w:rPr>
              <w:t>[-0,086; 0,382]</w:t>
            </w:r>
          </w:p>
        </w:tc>
        <w:tc>
          <w:tcPr>
            <w:tcW w:w="1567" w:type="dxa"/>
            <w:vAlign w:val="center"/>
            <w:tcMar>
              <w:top w:w="30" w:type="dxa"/>
              <w:start w:w="30" w:type="dxa"/>
              <w:bottom w:w="30" w:type="dxa"/>
              <w:end w:w="30" w:type="dxa"/>
            </w:tcMar>
          </w:tcPr>
          <w:p w14:paraId="7BA7A7A0" w14:textId="77777777" w:rsidR="005F0DB9" w:rsidRDefault="00000000">
            <w:pPr>
              <w:spacing w:line="240" w:lineRule="auto" w:before="0" w:after="0"/>
              <w:ind w:firstLine="0"/>
              <w:jc w:val="left"/>
            </w:pPr>
            <w:r>
              <w:rPr>
                <w:sz w:val="14"/>
              </w:rPr>
              <w:t>Não</w:t>
            </w:r>
          </w:p>
        </w:tc>
        <w:tc>
          <w:tcPr>
            <w:tcW w:w="1567" w:type="dxa"/>
            <w:vAlign w:val="center"/>
            <w:tcMar>
              <w:top w:w="30" w:type="dxa"/>
              <w:start w:w="30" w:type="dxa"/>
              <w:bottom w:w="30" w:type="dxa"/>
              <w:end w:w="30" w:type="dxa"/>
            </w:tcMar>
          </w:tcPr>
          <w:p w14:paraId="69D69C55" w14:textId="77777777" w:rsidR="005F0DB9" w:rsidRDefault="00000000">
            <w:pPr>
              <w:spacing w:line="240" w:lineRule="auto" w:before="0" w:after="0"/>
              <w:ind w:firstLine="0"/>
              <w:jc w:val="left"/>
            </w:pPr>
            <w:r>
              <w:rPr>
                <w:sz w:val="14"/>
              </w:rPr>
              <w:t>125,350</w:t>
            </w:r>
          </w:p>
        </w:tc>
      </w:tr>
      <w:tr w:rsidR="005F0DB9" w14:paraId="20F75FA7" w14:textId="77777777">
        <w:trPr>
          <w:jc w:val="center"/>
        </w:trPr>
        <w:tc>
          <w:tcPr>
            <w:tcW w:w="1567" w:type="dxa"/>
            <w:vAlign w:val="center"/>
            <w:tcMar>
              <w:top w:w="30" w:type="dxa"/>
              <w:start w:w="30" w:type="dxa"/>
              <w:bottom w:w="30" w:type="dxa"/>
              <w:end w:w="30" w:type="dxa"/>
            </w:tcMar>
          </w:tcPr>
          <w:p w14:paraId="34189CD2" w14:textId="77777777" w:rsidR="005F0DB9" w:rsidRDefault="00000000">
            <w:pPr>
              <w:spacing w:line="240" w:lineRule="auto" w:before="0" w:after="0"/>
              <w:ind w:firstLine="0"/>
              <w:jc w:val="left"/>
            </w:pPr>
            <w:r>
              <w:rPr>
                <w:sz w:val="14"/>
              </w:rPr>
              <w:t>Petróleo BRL IV Oil Supply News → IPCA Geral</w:t>
            </w:r>
          </w:p>
        </w:tc>
        <w:tc>
          <w:tcPr>
            <w:tcW w:w="1567" w:type="dxa"/>
            <w:vAlign w:val="center"/>
            <w:tcMar>
              <w:top w:w="30" w:type="dxa"/>
              <w:start w:w="30" w:type="dxa"/>
              <w:bottom w:w="30" w:type="dxa"/>
              <w:end w:w="30" w:type="dxa"/>
            </w:tcMar>
          </w:tcPr>
          <w:p w14:paraId="2F44E7CD" w14:textId="77777777" w:rsidR="005F0DB9" w:rsidRDefault="00000000">
            <w:pPr>
              <w:spacing w:line="240" w:lineRule="auto" w:before="0" w:after="0"/>
              <w:ind w:firstLine="0"/>
              <w:jc w:val="left"/>
            </w:pPr>
            <w:r>
              <w:rPr>
                <w:sz w:val="14"/>
              </w:rPr>
              <w:t>12</w:t>
            </w:r>
          </w:p>
        </w:tc>
        <w:tc>
          <w:tcPr>
            <w:tcW w:w="1567" w:type="dxa"/>
            <w:vAlign w:val="center"/>
            <w:tcMar>
              <w:top w:w="30" w:type="dxa"/>
              <w:start w:w="30" w:type="dxa"/>
              <w:bottom w:w="30" w:type="dxa"/>
              <w:end w:w="30" w:type="dxa"/>
            </w:tcMar>
          </w:tcPr>
          <w:p w14:paraId="017D7034" w14:textId="77777777" w:rsidR="005F0DB9" w:rsidRDefault="00000000">
            <w:pPr>
              <w:spacing w:line="240" w:lineRule="auto" w:before="0" w:after="0"/>
              <w:ind w:firstLine="0"/>
              <w:jc w:val="left"/>
            </w:pPr>
            <w:r>
              <w:rPr>
                <w:sz w:val="14"/>
              </w:rPr>
              <w:t>0,050</w:t>
            </w:r>
          </w:p>
        </w:tc>
        <w:tc>
          <w:tcPr>
            <w:tcW w:w="1567" w:type="dxa"/>
            <w:vAlign w:val="center"/>
            <w:tcMar>
              <w:top w:w="30" w:type="dxa"/>
              <w:start w:w="30" w:type="dxa"/>
              <w:bottom w:w="30" w:type="dxa"/>
              <w:end w:w="30" w:type="dxa"/>
            </w:tcMar>
          </w:tcPr>
          <w:p w14:paraId="44462E5E" w14:textId="77777777" w:rsidR="005F0DB9" w:rsidRDefault="00000000">
            <w:pPr>
              <w:spacing w:line="240" w:lineRule="auto" w:before="0" w:after="0"/>
              <w:ind w:firstLine="0"/>
              <w:jc w:val="left"/>
            </w:pPr>
            <w:r>
              <w:rPr>
                <w:sz w:val="14"/>
              </w:rPr>
              <w:t>[-0,312; 0,412]</w:t>
            </w:r>
          </w:p>
        </w:tc>
        <w:tc>
          <w:tcPr>
            <w:tcW w:w="1567" w:type="dxa"/>
            <w:vAlign w:val="center"/>
            <w:tcMar>
              <w:top w:w="30" w:type="dxa"/>
              <w:start w:w="30" w:type="dxa"/>
              <w:bottom w:w="30" w:type="dxa"/>
              <w:end w:w="30" w:type="dxa"/>
            </w:tcMar>
          </w:tcPr>
          <w:p w14:paraId="536D9DD2" w14:textId="77777777" w:rsidR="005F0DB9" w:rsidRDefault="00000000">
            <w:pPr>
              <w:spacing w:line="240" w:lineRule="auto" w:before="0" w:after="0"/>
              <w:ind w:firstLine="0"/>
              <w:jc w:val="left"/>
            </w:pPr>
            <w:r>
              <w:rPr>
                <w:sz w:val="14"/>
              </w:rPr>
              <w:t>Não</w:t>
            </w:r>
          </w:p>
        </w:tc>
        <w:tc>
          <w:tcPr>
            <w:tcW w:w="1567" w:type="dxa"/>
            <w:vAlign w:val="center"/>
            <w:tcMar>
              <w:top w:w="30" w:type="dxa"/>
              <w:start w:w="30" w:type="dxa"/>
              <w:bottom w:w="30" w:type="dxa"/>
              <w:end w:w="30" w:type="dxa"/>
            </w:tcMar>
          </w:tcPr>
          <w:p w14:paraId="2F4C6625" w14:textId="77777777" w:rsidR="005F0DB9" w:rsidRDefault="00000000">
            <w:pPr>
              <w:spacing w:line="240" w:lineRule="auto" w:before="0" w:after="0"/>
              <w:ind w:firstLine="0"/>
              <w:jc w:val="left"/>
            </w:pPr>
            <w:r>
              <w:rPr>
                <w:sz w:val="14"/>
              </w:rPr>
              <w:t>120,564</w:t>
            </w:r>
          </w:p>
        </w:tc>
      </w:tr>
    </w:tbl>
    <w:p w14:paraId="4D1D44B6" w14:textId="77777777" w:rsidR="005F0DB9" w:rsidRPr="00366C9E" w:rsidRDefault="00000000">
      <w:pPr>
        <w:ind w:firstLine="0"/>
        <w:jc w:val="center"/>
        <w:rPr>
          <w:lang w:val="pt-BR"/>
        </w:rPr>
      </w:pPr>
      <w:r w:rsidRPr="00366C9E">
        <w:rPr>
          <w:sz w:val="20"/>
          <w:lang w:val="pt-BR"/>
        </w:rPr>
        <w:t>Fonte: elaboração própria com base nos resultados estimados.</w:t>
      </w:r>
    </w:p>
    <w:p w14:paraId="76E1D90C" w14:textId="77777777" w:rsidR="005F0DB9" w:rsidRDefault="00000000">
      <w:pPr>
        <w:ind w:firstLine="0"/>
        <w:jc w:val="center"/>
      </w:pPr>
      <w:r>
        <w:rPr>
          <w:noProof/>
        </w:rPr>
        <w:drawing>
          <wp:inline distT="0" distB="0" distL="0" distR="0" wp14:anchorId="2B4355A9" wp14:editId="513A0F82">
            <wp:extent cx="5472000" cy="273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iv_acumulada_petroleo_brl_iv_oil_supply_news_para_diesel.png"/>
                    <pic:cNvPicPr/>
                  </pic:nvPicPr>
                  <pic:blipFill>
                    <a:blip r:embed="rId21"/>
                    <a:stretch>
                      <a:fillRect/>
                    </a:stretch>
                  </pic:blipFill>
                  <pic:spPr>
                    <a:xfrm>
                      <a:off x="0" y="0"/>
                      <a:ext cx="5472000" cy="2736000"/>
                    </a:xfrm>
                    <a:prstGeom prst="rect">
                      <a:avLst/>
                    </a:prstGeom>
                  </pic:spPr>
                </pic:pic>
              </a:graphicData>
            </a:graphic>
          </wp:inline>
        </w:drawing>
      </w:r>
    </w:p>
    <w:p w14:paraId="5150A6E2" w14:textId="77777777" w:rsidR="005F0DB9" w:rsidRPr="00366C9E" w:rsidRDefault="00000000">
      <w:pPr>
        <w:ind w:firstLine="0"/>
        <w:jc w:val="center"/>
        <w:rPr>
          <w:lang w:val="pt-BR"/>
        </w:rPr>
      </w:pPr>
      <w:r w:rsidRPr="00366C9E">
        <w:rPr>
          <w:sz w:val="20"/>
          <w:lang w:val="pt-BR"/>
        </w:rPr>
        <w:lastRenderedPageBreak/>
        <w:t>Figura B7 - LP-IV: petróleo em reais instrumentado para diesel</w:t>
      </w:r>
    </w:p>
    <w:p w14:paraId="1E1EF9F4"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2567D4EB" w14:textId="77777777" w:rsidR="005F0DB9" w:rsidRDefault="00000000">
      <w:pPr>
        <w:ind w:firstLine="0"/>
        <w:jc w:val="center"/>
      </w:pPr>
      <w:r>
        <w:rPr>
          <w:noProof/>
        </w:rPr>
        <w:drawing>
          <wp:inline distT="0" distB="0" distL="0" distR="0" wp14:anchorId="3B71C345" wp14:editId="165D0E21">
            <wp:extent cx="5472000" cy="273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piv_acumulada_petroleo_brl_iv_oil_supply_news_para_ipca_transporte.png"/>
                    <pic:cNvPicPr/>
                  </pic:nvPicPr>
                  <pic:blipFill>
                    <a:blip r:embed="rId22"/>
                    <a:stretch>
                      <a:fillRect/>
                    </a:stretch>
                  </pic:blipFill>
                  <pic:spPr>
                    <a:xfrm>
                      <a:off x="0" y="0"/>
                      <a:ext cx="5472000" cy="2736000"/>
                    </a:xfrm>
                    <a:prstGeom prst="rect">
                      <a:avLst/>
                    </a:prstGeom>
                  </pic:spPr>
                </pic:pic>
              </a:graphicData>
            </a:graphic>
          </wp:inline>
        </w:drawing>
      </w:r>
    </w:p>
    <w:p w14:paraId="1B5FF598" w14:textId="77777777" w:rsidR="005F0DB9" w:rsidRPr="00366C9E" w:rsidRDefault="00000000">
      <w:pPr>
        <w:ind w:firstLine="0"/>
        <w:jc w:val="center"/>
        <w:rPr>
          <w:lang w:val="pt-BR"/>
        </w:rPr>
      </w:pPr>
      <w:r w:rsidRPr="00366C9E">
        <w:rPr>
          <w:sz w:val="20"/>
          <w:lang w:val="pt-BR"/>
        </w:rPr>
        <w:t>Figura B8 - LP-IV: petróleo em reais instrumentado para IPCA Transportes</w:t>
      </w:r>
    </w:p>
    <w:p w14:paraId="4B5D80DD"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5D258469" w14:textId="77777777" w:rsidR="005F0DB9" w:rsidRDefault="00000000">
      <w:pPr>
        <w:ind w:firstLine="0"/>
        <w:jc w:val="center"/>
      </w:pPr>
      <w:r>
        <w:rPr>
          <w:noProof/>
        </w:rPr>
        <w:drawing>
          <wp:inline distT="0" distB="0" distL="0" distR="0" wp14:anchorId="0AF3B639" wp14:editId="42A25EF5">
            <wp:extent cx="5472000" cy="22791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eiro_estagio_fstat_petroleo_brl_iv_oil_supply_news_para_diesel.png"/>
                    <pic:cNvPicPr/>
                  </pic:nvPicPr>
                  <pic:blipFill>
                    <a:blip r:embed="rId23"/>
                    <a:stretch>
                      <a:fillRect/>
                    </a:stretch>
                  </pic:blipFill>
                  <pic:spPr>
                    <a:xfrm>
                      <a:off x="0" y="0"/>
                      <a:ext cx="5472000" cy="2279109"/>
                    </a:xfrm>
                    <a:prstGeom prst="rect">
                      <a:avLst/>
                    </a:prstGeom>
                  </pic:spPr>
                </pic:pic>
              </a:graphicData>
            </a:graphic>
          </wp:inline>
        </w:drawing>
      </w:r>
    </w:p>
    <w:p w14:paraId="0355A017" w14:textId="77777777" w:rsidR="005F0DB9" w:rsidRPr="00366C9E" w:rsidRDefault="00000000">
      <w:pPr>
        <w:ind w:firstLine="0"/>
        <w:jc w:val="center"/>
        <w:rPr>
          <w:lang w:val="pt-BR"/>
        </w:rPr>
      </w:pPr>
      <w:r w:rsidRPr="00366C9E">
        <w:rPr>
          <w:sz w:val="20"/>
          <w:lang w:val="pt-BR"/>
        </w:rPr>
        <w:t>Figura B9 - Estatística F do primeiro estágio para diesel</w:t>
      </w:r>
    </w:p>
    <w:p w14:paraId="06EB5412" w14:textId="77777777" w:rsidR="005F0DB9" w:rsidRPr="00366C9E" w:rsidRDefault="00000000">
      <w:pPr>
        <w:ind w:firstLine="0"/>
        <w:jc w:val="center"/>
        <w:rPr>
          <w:lang w:val="pt-BR"/>
        </w:rPr>
      </w:pPr>
      <w:r w:rsidRPr="00366C9E">
        <w:rPr>
          <w:sz w:val="20"/>
          <w:lang w:val="pt-BR"/>
        </w:rPr>
        <w:t>Fonte: elaboração própria com base nas estimações econométricas.</w:t>
      </w:r>
    </w:p>
    <w:p w14:paraId="0D04F57B" w14:textId="77777777" w:rsidR="005F0DB9" w:rsidRDefault="00000000">
      <w:pPr>
        <w:pStyle w:val="Heading2"/>
        <w:jc w:val="both"/>
      </w:pPr>
      <w:bookmarkStart w:id="46" w:name="_Toc229695973"/>
      <w:r>
        <w:rPr>
          <w:rFonts w:ascii="Times New Roman" w:eastAsia="Times New Roman" w:hAnsi="Times New Roman"/>
        </w:rPr>
        <w:t>B.4 Síntese da atualização</w:t>
      </w:r>
      <w:bookmarkEnd w:id="46"/>
    </w:p>
    <w:p w14:paraId="124A3957" w14:textId="77777777" w:rsidR="005F0DB9" w:rsidRPr="00366C9E" w:rsidRDefault="00000000">
      <w:pPr>
        <w:spacing w:after="120"/>
        <w:rPr>
          <w:lang w:val="pt-BR"/>
        </w:rPr>
      </w:pPr>
      <w:r w:rsidRPr="00366C9E">
        <w:rPr>
          <w:lang w:val="pt-BR"/>
        </w:rPr>
        <w:t xml:space="preserve">A evidência atualizada sustenta três conclusões. Primeiro, choques no petróleo em reais são transmitidos com maior clareza aos combustíveis, principalmente diesel e gasolina de refinaria. </w:t>
      </w:r>
      <w:proofErr w:type="gramStart"/>
      <w:r w:rsidRPr="00366C9E">
        <w:rPr>
          <w:lang w:val="pt-BR"/>
        </w:rPr>
        <w:t>Segundo, o</w:t>
      </w:r>
      <w:proofErr w:type="gramEnd"/>
      <w:r w:rsidRPr="00366C9E">
        <w:rPr>
          <w:lang w:val="pt-BR"/>
        </w:rPr>
        <w:t xml:space="preserve"> efeito inflacionário aparece mais claramente no IPCA Transportes do que no IPCA Geral, o que indica que o canal é mais setorial do que agregado. Terceiro, a política de preços da Petrobras altera a transmissão, mas de forma heterogênea entre produtos e regimes.</w:t>
      </w:r>
    </w:p>
    <w:p w14:paraId="44868749" w14:textId="77777777" w:rsidR="005F0DB9" w:rsidRPr="00366C9E" w:rsidRDefault="00000000">
      <w:pPr>
        <w:spacing w:after="120"/>
        <w:rPr>
          <w:lang w:val="pt-BR"/>
        </w:rPr>
      </w:pPr>
      <w:r w:rsidRPr="00366C9E">
        <w:rPr>
          <w:lang w:val="pt-BR"/>
        </w:rPr>
        <w:lastRenderedPageBreak/>
        <w:t xml:space="preserve">O uso do </w:t>
      </w:r>
      <w:proofErr w:type="spellStart"/>
      <w:r w:rsidRPr="00366C9E">
        <w:rPr>
          <w:lang w:val="pt-BR"/>
        </w:rPr>
        <w:t>Oil</w:t>
      </w:r>
      <w:proofErr w:type="spellEnd"/>
      <w:r w:rsidRPr="00366C9E">
        <w:rPr>
          <w:lang w:val="pt-BR"/>
        </w:rPr>
        <w:t xml:space="preserve"> </w:t>
      </w:r>
      <w:proofErr w:type="spellStart"/>
      <w:r w:rsidRPr="00366C9E">
        <w:rPr>
          <w:lang w:val="pt-BR"/>
        </w:rPr>
        <w:t>Supply</w:t>
      </w:r>
      <w:proofErr w:type="spellEnd"/>
      <w:r w:rsidRPr="00366C9E">
        <w:rPr>
          <w:lang w:val="pt-BR"/>
        </w:rPr>
        <w:t xml:space="preserve"> News Shock como instrumento fortalece a identificação. O primeiro estágio é forte e as respostas IV confirmam que o diesel permanece como o combustível mais sensível a choques externos de oferta. Para a inflação, a resposta mais consistente ocorre no IPCA Transportes no curto prazo. Portanto, o Modelo 5 deve ser apresentado como robustez de identificação, enquanto as Local </w:t>
      </w:r>
      <w:proofErr w:type="spellStart"/>
      <w:r w:rsidRPr="00366C9E">
        <w:rPr>
          <w:lang w:val="pt-BR"/>
        </w:rPr>
        <w:t>Projections</w:t>
      </w:r>
      <w:proofErr w:type="spellEnd"/>
      <w:r w:rsidRPr="00366C9E">
        <w:rPr>
          <w:lang w:val="pt-BR"/>
        </w:rPr>
        <w:t xml:space="preserve"> principais e os regimes Petrobras continuam sendo o núcleo empírico do TCC.</w:t>
      </w:r>
    </w:p>
    <w:p w14:paraId="7800DCB3" w14:textId="77777777" w:rsidR="005F0DB9" w:rsidRPr="00366C9E" w:rsidRDefault="00000000">
      <w:pPr>
        <w:rPr>
          <w:lang w:val="pt-BR"/>
        </w:rPr>
      </w:pPr>
      <w:r w:rsidRPr="00366C9E">
        <w:rPr>
          <w:lang w:val="pt-BR"/>
        </w:rPr>
        <w:br w:type="page"/>
      </w:r>
    </w:p>
    <w:p w14:paraId="541FAF6B" w14:textId="77777777" w:rsidR="005F0DB9" w:rsidRDefault="00000000">
      <w:pPr>
        <w:pStyle w:val="Heading1"/>
        <w:jc w:val="center"/>
      </w:pPr>
      <w:bookmarkStart w:id="47" w:name="_Toc229695974"/>
      <w:r>
        <w:rPr>
          <w:rFonts w:ascii="Times New Roman" w:hAnsi="Times New Roman"/>
        </w:rPr>
        <w:lastRenderedPageBreak/>
        <w:t>APÊNDICE C — ROBUSTEZ COM MODELOS VAR</w:t>
      </w:r>
      <w:bookmarkEnd w:id="47"/>
    </w:p>
    <w:p w14:paraId="5E998764" w14:textId="77777777" w:rsidR="005F0DB9" w:rsidRPr="00366C9E" w:rsidRDefault="00000000">
      <w:pPr>
        <w:spacing w:after="120"/>
        <w:ind w:firstLine="706"/>
        <w:rPr>
          <w:lang w:val="pt-BR"/>
        </w:rPr>
      </w:pPr>
      <w:r w:rsidRPr="00366C9E">
        <w:rPr>
          <w:lang w:val="pt-BR"/>
        </w:rPr>
        <w:t xml:space="preserve">Este apêndice documenta a estratégia de robustez baseada em modelos Vetoriais Autorregressivos (VAR). A função do VAR no trabalho não é substituir as Local </w:t>
      </w:r>
      <w:proofErr w:type="spellStart"/>
      <w:r w:rsidRPr="00366C9E">
        <w:rPr>
          <w:lang w:val="pt-BR"/>
        </w:rPr>
        <w:t>Projections</w:t>
      </w:r>
      <w:proofErr w:type="spellEnd"/>
      <w:r w:rsidRPr="00366C9E">
        <w:rPr>
          <w:lang w:val="pt-BR"/>
        </w:rPr>
        <w:t>, mas verificar se os principais resultados permanecem compatíveis quando a dinâmica conjunta das variáveis é estimada por uma abordagem alternativa.</w:t>
      </w:r>
    </w:p>
    <w:p w14:paraId="42EBFA45" w14:textId="77777777" w:rsidR="005F0DB9" w:rsidRPr="00366C9E" w:rsidRDefault="00000000">
      <w:pPr>
        <w:spacing w:after="120"/>
        <w:ind w:firstLine="706"/>
        <w:rPr>
          <w:lang w:val="pt-BR"/>
        </w:rPr>
      </w:pPr>
      <w:r w:rsidRPr="00366C9E">
        <w:rPr>
          <w:lang w:val="pt-BR"/>
        </w:rPr>
        <w:t xml:space="preserve">A inclusão deste apêndice separa a narrativa principal do TCC, centrada nas Local </w:t>
      </w:r>
      <w:proofErr w:type="spellStart"/>
      <w:r w:rsidRPr="00366C9E">
        <w:rPr>
          <w:lang w:val="pt-BR"/>
        </w:rPr>
        <w:t>Projections</w:t>
      </w:r>
      <w:proofErr w:type="spellEnd"/>
      <w:r w:rsidRPr="00366C9E">
        <w:rPr>
          <w:lang w:val="pt-BR"/>
        </w:rPr>
        <w:t xml:space="preserve">, dos exercícios técnicos de validação. Com isso, o corpo do texto permanece mais enxuto, enquanto o apêndice mostra os resultados de estabilidade, funções impulso-resposta acumuladas, decomposição da variância dos erros de previsão e robustez à ordenação de </w:t>
      </w:r>
      <w:proofErr w:type="spellStart"/>
      <w:r w:rsidRPr="00366C9E">
        <w:rPr>
          <w:lang w:val="pt-BR"/>
        </w:rPr>
        <w:t>Cholesky</w:t>
      </w:r>
      <w:proofErr w:type="spellEnd"/>
      <w:r w:rsidRPr="00366C9E">
        <w:rPr>
          <w:lang w:val="pt-BR"/>
        </w:rPr>
        <w:t>.</w:t>
      </w:r>
    </w:p>
    <w:p w14:paraId="71ECF4F7" w14:textId="77777777" w:rsidR="005F0DB9" w:rsidRPr="00366C9E" w:rsidRDefault="00000000">
      <w:pPr>
        <w:spacing w:after="120"/>
        <w:ind w:firstLine="706"/>
        <w:rPr>
          <w:lang w:val="pt-BR"/>
        </w:rPr>
      </w:pPr>
      <w:r w:rsidRPr="00366C9E">
        <w:rPr>
          <w:lang w:val="pt-BR"/>
        </w:rPr>
        <w:t>No desenho empírico do TCC, o Modelo VAR cumpre o papel de robustez dinâmica. Ele complementa os resultados dos Modelos 3, 4 e 5 ao verificar se o canal petróleo-combustíveis-inflação também aparece em um sistema multivariado estimado com variáveis endógenas.</w:t>
      </w:r>
    </w:p>
    <w:p w14:paraId="2A7EA802" w14:textId="77777777" w:rsidR="005F0DB9" w:rsidRDefault="00000000">
      <w:pPr>
        <w:pStyle w:val="Heading2"/>
        <w:jc w:val="both"/>
      </w:pPr>
      <w:bookmarkStart w:id="48" w:name="_Toc229695975"/>
      <w:r>
        <w:rPr>
          <w:rFonts w:ascii="Times New Roman" w:hAnsi="Times New Roman"/>
        </w:rPr>
        <w:t>C.1 Especificação geral do VAR</w:t>
      </w:r>
      <w:bookmarkEnd w:id="48"/>
    </w:p>
    <w:p w14:paraId="58002D5E" w14:textId="77777777" w:rsidR="005F0DB9" w:rsidRPr="00366C9E" w:rsidRDefault="00000000">
      <w:pPr>
        <w:spacing w:after="120"/>
        <w:ind w:firstLine="706"/>
        <w:rPr>
          <w:lang w:val="pt-BR"/>
        </w:rPr>
      </w:pPr>
      <w:r w:rsidRPr="00366C9E">
        <w:rPr>
          <w:lang w:val="pt-BR"/>
        </w:rPr>
        <w:t>A especificação de robustez utiliza um sistema VAR para capturar a interação dinâmica entre petróleo, câmbio, combustíveis e inflação. A estrutura básica pode ser representada por:</w:t>
      </w:r>
    </w:p>
    <w:p w14:paraId="19D9446B" w14:textId="77777777" w:rsidR="005F0DB9" w:rsidRPr="00366C9E" w:rsidRDefault="00000000">
      <w:pPr>
        <w:rPr>
          <w:lang w:val="pt-BR"/>
        </w:rPr>
      </w:pPr>
      <w:proofErr w:type="spellStart"/>
      <w:r w:rsidRPr="00366C9E">
        <w:rPr>
          <w:i/>
          <w:sz w:val="22"/>
          <w:lang w:val="pt-BR"/>
        </w:rPr>
        <w:t>Y_t</w:t>
      </w:r>
      <w:proofErr w:type="spellEnd"/>
      <w:r w:rsidRPr="00366C9E">
        <w:rPr>
          <w:i/>
          <w:sz w:val="22"/>
          <w:lang w:val="pt-BR"/>
        </w:rPr>
        <w:t xml:space="preserve"> = A_1Y_{t-1} + ... + </w:t>
      </w:r>
      <w:proofErr w:type="spellStart"/>
      <w:r w:rsidRPr="00366C9E">
        <w:rPr>
          <w:i/>
          <w:sz w:val="22"/>
          <w:lang w:val="pt-BR"/>
        </w:rPr>
        <w:t>A_pY</w:t>
      </w:r>
      <w:proofErr w:type="spellEnd"/>
      <w:r w:rsidRPr="00366C9E">
        <w:rPr>
          <w:i/>
          <w:sz w:val="22"/>
          <w:lang w:val="pt-BR"/>
        </w:rPr>
        <w:t xml:space="preserve">_{t-p} + </w:t>
      </w:r>
      <w:proofErr w:type="spellStart"/>
      <w:r w:rsidRPr="00366C9E">
        <w:rPr>
          <w:i/>
          <w:sz w:val="22"/>
          <w:lang w:val="pt-BR"/>
        </w:rPr>
        <w:t>u_t</w:t>
      </w:r>
      <w:proofErr w:type="spellEnd"/>
    </w:p>
    <w:p w14:paraId="3F228B79" w14:textId="77777777" w:rsidR="005F0DB9" w:rsidRPr="00366C9E" w:rsidRDefault="00000000">
      <w:pPr>
        <w:spacing w:after="120"/>
        <w:ind w:firstLine="706"/>
        <w:rPr>
          <w:lang w:val="pt-BR"/>
        </w:rPr>
      </w:pPr>
      <w:r w:rsidRPr="00366C9E">
        <w:rPr>
          <w:lang w:val="pt-BR"/>
        </w:rPr>
        <w:t xml:space="preserve">em que </w:t>
      </w:r>
      <w:proofErr w:type="spellStart"/>
      <w:r w:rsidRPr="00366C9E">
        <w:rPr>
          <w:lang w:val="pt-BR"/>
        </w:rPr>
        <w:t>Y_t</w:t>
      </w:r>
      <w:proofErr w:type="spellEnd"/>
      <w:r w:rsidRPr="00366C9E">
        <w:rPr>
          <w:lang w:val="pt-BR"/>
        </w:rPr>
        <w:t xml:space="preserve"> representa o vetor de variáveis endógenas e </w:t>
      </w:r>
      <w:proofErr w:type="spellStart"/>
      <w:r w:rsidRPr="00366C9E">
        <w:rPr>
          <w:lang w:val="pt-BR"/>
        </w:rPr>
        <w:t>u_t</w:t>
      </w:r>
      <w:proofErr w:type="spellEnd"/>
      <w:r w:rsidRPr="00366C9E">
        <w:rPr>
          <w:lang w:val="pt-BR"/>
        </w:rPr>
        <w:t xml:space="preserve"> representa o vetor de inovações do sistema. A ordenação de </w:t>
      </w:r>
      <w:proofErr w:type="spellStart"/>
      <w:r w:rsidRPr="00366C9E">
        <w:rPr>
          <w:lang w:val="pt-BR"/>
        </w:rPr>
        <w:t>Cholesky</w:t>
      </w:r>
      <w:proofErr w:type="spellEnd"/>
      <w:r w:rsidRPr="00366C9E">
        <w:rPr>
          <w:lang w:val="pt-BR"/>
        </w:rPr>
        <w:t xml:space="preserve"> é usada apenas como hipótese auxiliar de identificação das funções impulso-resposta, sendo testada por meio de uma ordenação alternativa.</w:t>
      </w:r>
    </w:p>
    <w:p w14:paraId="2B4D6931" w14:textId="77777777" w:rsidR="005F0DB9" w:rsidRPr="00366C9E" w:rsidRDefault="00000000">
      <w:pPr>
        <w:spacing w:after="120"/>
        <w:ind w:firstLine="706"/>
        <w:rPr>
          <w:lang w:val="pt-BR"/>
        </w:rPr>
      </w:pPr>
      <w:r w:rsidRPr="00366C9E">
        <w:rPr>
          <w:lang w:val="pt-BR"/>
        </w:rPr>
        <w:t>Nesta versão do apêndice, os gráficos foram gerados a partir da base transformada do TCC, com variáveis em variação logarítmica para petróleo, câmbio e combustíveis, além das medidas mensais de IPCA Geral e IPCA Transportes. O objetivo é oferecer uma verificação visual e interpretativa da robustez dinâmica dos resultados principais.</w:t>
      </w:r>
    </w:p>
    <w:p w14:paraId="53C9342C" w14:textId="77777777" w:rsidR="005F0DB9" w:rsidRPr="00366C9E" w:rsidRDefault="00000000">
      <w:pPr>
        <w:jc w:val="center"/>
        <w:rPr>
          <w:lang w:val="pt-BR"/>
        </w:rPr>
      </w:pPr>
      <w:r w:rsidRPr="00366C9E">
        <w:rPr>
          <w:b/>
          <w:sz w:val="20"/>
          <w:lang w:val="pt-BR"/>
        </w:rPr>
        <w:t>Tabela C.1 — Organização dos exercícios de robustez do Modelo VAR</w:t>
      </w:r>
    </w:p>
    <w:tbl>
      <w:tblPr>
        <w:tblStyle w:val="TableGrid"/>
        <w:tblW w:w="0" w:type="auto"/>
        <w:jc w:val="center"/>
        <w:tblLayout w:type="autofit"/>
        <w:tblLook w:val="04A0" w:firstRow="1" w:lastRow="0" w:firstColumn="1" w:lastColumn="0" w:noHBand="0" w:noVBand="1"/>
      </w:tblPr>
      <w:tblGrid>
        <w:gridCol w:w="3131"/>
        <w:gridCol w:w="3132"/>
        <w:gridCol w:w="3132"/>
      </w:tblGrid>
      <w:tr w:rsidR="005F0DB9" w14:paraId="270D08DA" w14:textId="77777777">
        <w:trPr>
          <w:jc w:val="center"/>
        </w:trPr>
        <w:tc>
          <w:tcPr>
            <w:tcW w:w="3135" w:type="dxa"/>
            <w:shd w:val="clear" w:color="auto" w:fill="D9EAF7"/>
            <w:vAlign w:val="center"/>
            <w:tcMar>
              <w:top w:w="30" w:type="dxa"/>
              <w:start w:w="30" w:type="dxa"/>
              <w:bottom w:w="30" w:type="dxa"/>
              <w:end w:w="30" w:type="dxa"/>
            </w:tcMar>
          </w:tcPr>
          <w:p w14:paraId="68E35EBD" w14:textId="77777777" w:rsidR="005F0DB9" w:rsidRDefault="00000000">
            <w:pPr>
              <w:spacing w:before="0" w:after="0" w:line="240" w:lineRule="auto"/>
            </w:pPr>
            <w:r>
              <w:rPr>
                <w:b/>
                <w:sz w:val="14"/>
              </w:rPr>
              <w:t>Bloco</w:t>
            </w:r>
          </w:p>
        </w:tc>
        <w:tc>
          <w:tcPr>
            <w:tcW w:w="3135" w:type="dxa"/>
            <w:shd w:val="clear" w:color="auto" w:fill="D9EAF7"/>
            <w:vAlign w:val="center"/>
            <w:tcMar>
              <w:top w:w="30" w:type="dxa"/>
              <w:start w:w="30" w:type="dxa"/>
              <w:bottom w:w="30" w:type="dxa"/>
              <w:end w:w="30" w:type="dxa"/>
            </w:tcMar>
          </w:tcPr>
          <w:p w14:paraId="75B661EE" w14:textId="77777777" w:rsidR="005F0DB9" w:rsidRDefault="00000000">
            <w:pPr>
              <w:spacing w:before="0" w:after="0" w:line="240" w:lineRule="auto"/>
            </w:pPr>
            <w:r>
              <w:rPr>
                <w:b/>
                <w:sz w:val="14"/>
              </w:rPr>
              <w:t>Objetivo</w:t>
            </w:r>
          </w:p>
        </w:tc>
        <w:tc>
          <w:tcPr>
            <w:tcW w:w="3135" w:type="dxa"/>
            <w:shd w:val="clear" w:color="auto" w:fill="D9EAF7"/>
            <w:vAlign w:val="center"/>
            <w:tcMar>
              <w:top w:w="30" w:type="dxa"/>
              <w:start w:w="30" w:type="dxa"/>
              <w:bottom w:w="30" w:type="dxa"/>
              <w:end w:w="30" w:type="dxa"/>
            </w:tcMar>
          </w:tcPr>
          <w:p w14:paraId="70D7EF87" w14:textId="77777777" w:rsidR="005F0DB9" w:rsidRDefault="00000000">
            <w:pPr>
              <w:spacing w:before="0" w:after="0" w:line="240" w:lineRule="auto"/>
            </w:pPr>
            <w:r>
              <w:rPr>
                <w:b/>
                <w:sz w:val="14"/>
              </w:rPr>
              <w:t>Uso no TCC</w:t>
            </w:r>
          </w:p>
        </w:tc>
      </w:tr>
      <w:tr w:rsidR="005F0DB9" w:rsidRPr="00CA3657" w14:paraId="382806D8" w14:textId="77777777">
        <w:trPr>
          <w:jc w:val="center"/>
        </w:trPr>
        <w:tc>
          <w:tcPr>
            <w:tcW w:w="3135" w:type="dxa"/>
            <w:vAlign w:val="center"/>
            <w:tcMar>
              <w:top w:w="30" w:type="dxa"/>
              <w:start w:w="30" w:type="dxa"/>
              <w:bottom w:w="30" w:type="dxa"/>
              <w:end w:w="30" w:type="dxa"/>
            </w:tcMar>
          </w:tcPr>
          <w:p w14:paraId="3A1961F2" w14:textId="77777777" w:rsidR="005F0DB9" w:rsidRDefault="00000000">
            <w:pPr>
              <w:spacing w:before="0" w:after="0" w:line="240" w:lineRule="auto"/>
            </w:pPr>
            <w:r>
              <w:rPr>
                <w:sz w:val="14"/>
              </w:rPr>
              <w:t>IRF acumulada</w:t>
            </w:r>
          </w:p>
        </w:tc>
        <w:tc>
          <w:tcPr>
            <w:tcW w:w="3135" w:type="dxa"/>
            <w:vAlign w:val="center"/>
            <w:tcMar>
              <w:top w:w="30" w:type="dxa"/>
              <w:start w:w="30" w:type="dxa"/>
              <w:bottom w:w="30" w:type="dxa"/>
              <w:end w:w="30" w:type="dxa"/>
            </w:tcMar>
          </w:tcPr>
          <w:p w14:paraId="7ACF5714" w14:textId="77777777" w:rsidR="005F0DB9" w:rsidRPr="00366C9E" w:rsidRDefault="00000000">
            <w:pPr>
              <w:spacing w:before="0" w:after="0" w:line="240" w:lineRule="auto"/>
              <w:rPr>
                <w:lang w:val="pt-BR"/>
              </w:rPr>
            </w:pPr>
            <w:r w:rsidRPr="00366C9E">
              <w:rPr>
                <w:sz w:val="14"/>
                <w:lang w:val="pt-BR"/>
              </w:rPr>
              <w:t>Mensurar a resposta acumulada da inflação e dos combustíveis a choques no petróleo.</w:t>
            </w:r>
          </w:p>
        </w:tc>
        <w:tc>
          <w:tcPr>
            <w:tcW w:w="3135" w:type="dxa"/>
            <w:vAlign w:val="center"/>
            <w:tcMar>
              <w:top w:w="30" w:type="dxa"/>
              <w:start w:w="30" w:type="dxa"/>
              <w:bottom w:w="30" w:type="dxa"/>
              <w:end w:w="30" w:type="dxa"/>
            </w:tcMar>
          </w:tcPr>
          <w:p w14:paraId="7F4C961E" w14:textId="77777777" w:rsidR="005F0DB9" w:rsidRPr="00366C9E" w:rsidRDefault="00000000">
            <w:pPr>
              <w:spacing w:before="0" w:after="0" w:line="240" w:lineRule="auto"/>
              <w:rPr>
                <w:lang w:val="pt-BR"/>
              </w:rPr>
            </w:pPr>
            <w:r w:rsidRPr="00366C9E">
              <w:rPr>
                <w:sz w:val="14"/>
                <w:lang w:val="pt-BR"/>
              </w:rPr>
              <w:t xml:space="preserve">Compara a dinâmica do VAR com as Local </w:t>
            </w:r>
            <w:proofErr w:type="spellStart"/>
            <w:r w:rsidRPr="00366C9E">
              <w:rPr>
                <w:sz w:val="14"/>
                <w:lang w:val="pt-BR"/>
              </w:rPr>
              <w:t>Projections</w:t>
            </w:r>
            <w:proofErr w:type="spellEnd"/>
            <w:r w:rsidRPr="00366C9E">
              <w:rPr>
                <w:sz w:val="14"/>
                <w:lang w:val="pt-BR"/>
              </w:rPr>
              <w:t>.</w:t>
            </w:r>
          </w:p>
        </w:tc>
      </w:tr>
      <w:tr w:rsidR="005F0DB9" w:rsidRPr="00CA3657" w14:paraId="1109151A" w14:textId="77777777">
        <w:trPr>
          <w:jc w:val="center"/>
        </w:trPr>
        <w:tc>
          <w:tcPr>
            <w:tcW w:w="3135" w:type="dxa"/>
            <w:vAlign w:val="center"/>
            <w:tcMar>
              <w:top w:w="30" w:type="dxa"/>
              <w:start w:w="30" w:type="dxa"/>
              <w:bottom w:w="30" w:type="dxa"/>
              <w:end w:w="30" w:type="dxa"/>
            </w:tcMar>
          </w:tcPr>
          <w:p w14:paraId="729B4F61" w14:textId="77777777" w:rsidR="005F0DB9" w:rsidRDefault="00000000">
            <w:pPr>
              <w:spacing w:before="0" w:after="0" w:line="240" w:lineRule="auto"/>
            </w:pPr>
            <w:r>
              <w:rPr>
                <w:sz w:val="14"/>
              </w:rPr>
              <w:lastRenderedPageBreak/>
              <w:t>FEVD</w:t>
            </w:r>
          </w:p>
        </w:tc>
        <w:tc>
          <w:tcPr>
            <w:tcW w:w="3135" w:type="dxa"/>
            <w:vAlign w:val="center"/>
            <w:tcMar>
              <w:top w:w="30" w:type="dxa"/>
              <w:start w:w="30" w:type="dxa"/>
              <w:bottom w:w="30" w:type="dxa"/>
              <w:end w:w="30" w:type="dxa"/>
            </w:tcMar>
          </w:tcPr>
          <w:p w14:paraId="4B411DF2" w14:textId="77777777" w:rsidR="005F0DB9" w:rsidRPr="00366C9E" w:rsidRDefault="00000000">
            <w:pPr>
              <w:spacing w:before="0" w:after="0" w:line="240" w:lineRule="auto"/>
              <w:rPr>
                <w:lang w:val="pt-BR"/>
              </w:rPr>
            </w:pPr>
            <w:r w:rsidRPr="00366C9E">
              <w:rPr>
                <w:sz w:val="14"/>
                <w:lang w:val="pt-BR"/>
              </w:rPr>
              <w:t>Medir a contribuição relativa dos choques para a variância dos erros de previsão.</w:t>
            </w:r>
          </w:p>
        </w:tc>
        <w:tc>
          <w:tcPr>
            <w:tcW w:w="3135" w:type="dxa"/>
            <w:vAlign w:val="center"/>
            <w:tcMar>
              <w:top w:w="30" w:type="dxa"/>
              <w:start w:w="30" w:type="dxa"/>
              <w:bottom w:w="30" w:type="dxa"/>
              <w:end w:w="30" w:type="dxa"/>
            </w:tcMar>
          </w:tcPr>
          <w:p w14:paraId="1C26A15C" w14:textId="77777777" w:rsidR="005F0DB9" w:rsidRPr="00366C9E" w:rsidRDefault="00000000">
            <w:pPr>
              <w:spacing w:before="0" w:after="0" w:line="240" w:lineRule="auto"/>
              <w:rPr>
                <w:lang w:val="pt-BR"/>
              </w:rPr>
            </w:pPr>
            <w:r w:rsidRPr="00366C9E">
              <w:rPr>
                <w:sz w:val="14"/>
                <w:lang w:val="pt-BR"/>
              </w:rPr>
              <w:t>Ajuda a avaliar a importância relativa de petróleo, câmbio e combustíveis.</w:t>
            </w:r>
          </w:p>
        </w:tc>
      </w:tr>
      <w:tr w:rsidR="005F0DB9" w:rsidRPr="00CA3657" w14:paraId="4B05406B" w14:textId="77777777">
        <w:trPr>
          <w:jc w:val="center"/>
        </w:trPr>
        <w:tc>
          <w:tcPr>
            <w:tcW w:w="3135" w:type="dxa"/>
            <w:vAlign w:val="center"/>
            <w:tcMar>
              <w:top w:w="30" w:type="dxa"/>
              <w:start w:w="30" w:type="dxa"/>
              <w:bottom w:w="30" w:type="dxa"/>
              <w:end w:w="30" w:type="dxa"/>
            </w:tcMar>
          </w:tcPr>
          <w:p w14:paraId="247B2F49" w14:textId="77777777" w:rsidR="005F0DB9" w:rsidRDefault="00000000">
            <w:pPr>
              <w:spacing w:before="0" w:after="0" w:line="240" w:lineRule="auto"/>
            </w:pPr>
            <w:r>
              <w:rPr>
                <w:sz w:val="14"/>
              </w:rPr>
              <w:t>Cholesky alternativo</w:t>
            </w:r>
          </w:p>
        </w:tc>
        <w:tc>
          <w:tcPr>
            <w:tcW w:w="3135" w:type="dxa"/>
            <w:vAlign w:val="center"/>
            <w:tcMar>
              <w:top w:w="30" w:type="dxa"/>
              <w:start w:w="30" w:type="dxa"/>
              <w:bottom w:w="30" w:type="dxa"/>
              <w:end w:w="30" w:type="dxa"/>
            </w:tcMar>
          </w:tcPr>
          <w:p w14:paraId="24D1B6C6" w14:textId="77777777" w:rsidR="005F0DB9" w:rsidRPr="00366C9E" w:rsidRDefault="00000000">
            <w:pPr>
              <w:spacing w:before="0" w:after="0" w:line="240" w:lineRule="auto"/>
              <w:rPr>
                <w:lang w:val="pt-BR"/>
              </w:rPr>
            </w:pPr>
            <w:r w:rsidRPr="00366C9E">
              <w:rPr>
                <w:sz w:val="14"/>
                <w:lang w:val="pt-BR"/>
              </w:rPr>
              <w:t>Testar se as respostas dependem da ordenação contemporânea das variáveis.</w:t>
            </w:r>
          </w:p>
        </w:tc>
        <w:tc>
          <w:tcPr>
            <w:tcW w:w="3135" w:type="dxa"/>
            <w:vAlign w:val="center"/>
            <w:tcMar>
              <w:top w:w="30" w:type="dxa"/>
              <w:start w:w="30" w:type="dxa"/>
              <w:bottom w:w="30" w:type="dxa"/>
              <w:end w:w="30" w:type="dxa"/>
            </w:tcMar>
          </w:tcPr>
          <w:p w14:paraId="1C5D86B3" w14:textId="77777777" w:rsidR="005F0DB9" w:rsidRPr="00366C9E" w:rsidRDefault="00000000">
            <w:pPr>
              <w:spacing w:before="0" w:after="0" w:line="240" w:lineRule="auto"/>
              <w:rPr>
                <w:lang w:val="pt-BR"/>
              </w:rPr>
            </w:pPr>
            <w:r w:rsidRPr="00366C9E">
              <w:rPr>
                <w:sz w:val="14"/>
                <w:lang w:val="pt-BR"/>
              </w:rPr>
              <w:t>Funciona como robustez de identificação dentro do VAR.</w:t>
            </w:r>
          </w:p>
        </w:tc>
      </w:tr>
      <w:tr w:rsidR="005F0DB9" w:rsidRPr="00CA3657" w14:paraId="7E39D6AE" w14:textId="77777777">
        <w:trPr>
          <w:jc w:val="center"/>
        </w:trPr>
        <w:tc>
          <w:tcPr>
            <w:tcW w:w="3135" w:type="dxa"/>
            <w:vAlign w:val="center"/>
            <w:tcMar>
              <w:top w:w="30" w:type="dxa"/>
              <w:start w:w="30" w:type="dxa"/>
              <w:bottom w:w="30" w:type="dxa"/>
              <w:end w:w="30" w:type="dxa"/>
            </w:tcMar>
          </w:tcPr>
          <w:p w14:paraId="238515F9" w14:textId="77777777" w:rsidR="005F0DB9" w:rsidRDefault="00000000">
            <w:pPr>
              <w:spacing w:before="0" w:after="0" w:line="240" w:lineRule="auto"/>
            </w:pPr>
            <w:proofErr w:type="spellStart"/>
            <w:r>
              <w:rPr>
                <w:sz w:val="14"/>
              </w:rPr>
              <w:t>Raízes</w:t>
            </w:r>
            <w:proofErr w:type="spellEnd"/>
            <w:r>
              <w:rPr>
                <w:sz w:val="14"/>
              </w:rPr>
              <w:t xml:space="preserve"> do VAR</w:t>
            </w:r>
          </w:p>
        </w:tc>
        <w:tc>
          <w:tcPr>
            <w:tcW w:w="3135" w:type="dxa"/>
            <w:vAlign w:val="center"/>
            <w:tcMar>
              <w:top w:w="30" w:type="dxa"/>
              <w:start w:w="30" w:type="dxa"/>
              <w:bottom w:w="30" w:type="dxa"/>
              <w:end w:w="30" w:type="dxa"/>
            </w:tcMar>
          </w:tcPr>
          <w:p w14:paraId="43A8C7C6" w14:textId="77777777" w:rsidR="005F0DB9" w:rsidRPr="00366C9E" w:rsidRDefault="00000000">
            <w:pPr>
              <w:spacing w:before="0" w:after="0" w:line="240" w:lineRule="auto"/>
              <w:rPr>
                <w:lang w:val="pt-BR"/>
              </w:rPr>
            </w:pPr>
            <w:r w:rsidRPr="00366C9E">
              <w:rPr>
                <w:sz w:val="14"/>
                <w:lang w:val="pt-BR"/>
              </w:rPr>
              <w:t>Verificar a estabilidade do sistema estimado.</w:t>
            </w:r>
          </w:p>
        </w:tc>
        <w:tc>
          <w:tcPr>
            <w:tcW w:w="3135" w:type="dxa"/>
            <w:vAlign w:val="center"/>
            <w:tcMar>
              <w:top w:w="30" w:type="dxa"/>
              <w:start w:w="30" w:type="dxa"/>
              <w:bottom w:w="30" w:type="dxa"/>
              <w:end w:w="30" w:type="dxa"/>
            </w:tcMar>
          </w:tcPr>
          <w:p w14:paraId="3D04DA5C" w14:textId="77777777" w:rsidR="005F0DB9" w:rsidRPr="00366C9E" w:rsidRDefault="00000000">
            <w:pPr>
              <w:spacing w:before="0" w:after="0" w:line="240" w:lineRule="auto"/>
              <w:rPr>
                <w:lang w:val="pt-BR"/>
              </w:rPr>
            </w:pPr>
            <w:r w:rsidRPr="00366C9E">
              <w:rPr>
                <w:sz w:val="14"/>
                <w:lang w:val="pt-BR"/>
              </w:rPr>
              <w:t>Indica se as respostas dinâmicas são compatíveis com um VAR estável.</w:t>
            </w:r>
          </w:p>
        </w:tc>
      </w:tr>
    </w:tbl>
    <w:p w14:paraId="0BEDDA8F" w14:textId="77777777" w:rsidR="005F0DB9" w:rsidRDefault="00000000">
      <w:pPr>
        <w:pStyle w:val="Heading2"/>
        <w:jc w:val="both"/>
      </w:pPr>
      <w:bookmarkStart w:id="49" w:name="_Toc229695976"/>
      <w:r>
        <w:rPr>
          <w:rFonts w:ascii="Times New Roman" w:hAnsi="Times New Roman"/>
        </w:rPr>
        <w:t>C.2 Funções impulso-resposta acumuladas</w:t>
      </w:r>
      <w:bookmarkEnd w:id="49"/>
    </w:p>
    <w:p w14:paraId="3EE6517A" w14:textId="77777777" w:rsidR="005F0DB9" w:rsidRPr="00366C9E" w:rsidRDefault="00000000">
      <w:pPr>
        <w:spacing w:after="120"/>
        <w:ind w:firstLine="706"/>
        <w:rPr>
          <w:lang w:val="pt-BR"/>
        </w:rPr>
      </w:pPr>
      <w:r w:rsidRPr="00366C9E">
        <w:rPr>
          <w:lang w:val="pt-BR"/>
        </w:rPr>
        <w:t xml:space="preserve">As funções impulso-resposta acumuladas do VAR devem ser lidas como uma verificação complementar das respostas obtidas pelas Local </w:t>
      </w:r>
      <w:proofErr w:type="spellStart"/>
      <w:r w:rsidRPr="00366C9E">
        <w:rPr>
          <w:lang w:val="pt-BR"/>
        </w:rPr>
        <w:t>Projections</w:t>
      </w:r>
      <w:proofErr w:type="spellEnd"/>
      <w:r w:rsidRPr="00366C9E">
        <w:rPr>
          <w:lang w:val="pt-BR"/>
        </w:rPr>
        <w:t>. O foco principal está nas respostas do IPCA Geral, do IPCA Transportes e da gasolina de refinaria aos choques no petróleo em reais.</w:t>
      </w:r>
    </w:p>
    <w:p w14:paraId="24D091A2" w14:textId="77777777" w:rsidR="005F0DB9" w:rsidRPr="00366C9E" w:rsidRDefault="00000000">
      <w:pPr>
        <w:rPr>
          <w:lang w:val="pt-BR"/>
        </w:rPr>
      </w:pPr>
      <w:r w:rsidRPr="00366C9E">
        <w:rPr>
          <w:lang w:val="pt-BR"/>
        </w:rPr>
        <w:br w:type="page"/>
      </w:r>
    </w:p>
    <w:p w14:paraId="706FC54C" w14:textId="77777777" w:rsidR="005F0DB9" w:rsidRPr="00366C9E" w:rsidRDefault="00000000">
      <w:pPr>
        <w:jc w:val="center"/>
        <w:rPr>
          <w:lang w:val="pt-BR"/>
        </w:rPr>
      </w:pPr>
      <w:r w:rsidRPr="00366C9E">
        <w:rPr>
          <w:b/>
          <w:sz w:val="20"/>
          <w:lang w:val="pt-BR"/>
        </w:rPr>
        <w:lastRenderedPageBreak/>
        <w:t>Figura C.1 — VAR: IRF acumulada do petróleo em reais para o IPCA Transportes</w:t>
      </w:r>
    </w:p>
    <w:p w14:paraId="0AF0DF76" w14:textId="77777777" w:rsidR="005F0DB9" w:rsidRDefault="00000000">
      <w:pPr>
        <w:jc w:val="center"/>
      </w:pPr>
      <w:r>
        <w:rPr>
          <w:noProof/>
        </w:rPr>
        <w:drawing>
          <wp:inline distT="0" distB="0" distL="0" distR="0" wp14:anchorId="6A21A3F5" wp14:editId="279BEEBC">
            <wp:extent cx="5760720"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1_var_irf_petroleo_ipca_transportes.png"/>
                    <pic:cNvPicPr/>
                  </pic:nvPicPr>
                  <pic:blipFill>
                    <a:blip r:embed="rId24"/>
                    <a:stretch>
                      <a:fillRect/>
                    </a:stretch>
                  </pic:blipFill>
                  <pic:spPr>
                    <a:xfrm>
                      <a:off x="0" y="0"/>
                      <a:ext cx="5760720" cy="2880360"/>
                    </a:xfrm>
                    <a:prstGeom prst="rect">
                      <a:avLst/>
                    </a:prstGeom>
                  </pic:spPr>
                </pic:pic>
              </a:graphicData>
            </a:graphic>
          </wp:inline>
        </w:drawing>
      </w:r>
    </w:p>
    <w:p w14:paraId="55B9663E" w14:textId="77777777" w:rsidR="005F0DB9" w:rsidRPr="00366C9E" w:rsidRDefault="00000000">
      <w:pPr>
        <w:spacing w:after="120"/>
        <w:ind w:firstLine="706"/>
        <w:rPr>
          <w:lang w:val="pt-BR"/>
        </w:rPr>
      </w:pPr>
      <w:r w:rsidRPr="00366C9E">
        <w:rPr>
          <w:lang w:val="pt-BR"/>
        </w:rPr>
        <w:t>A resposta do IPCA Transportes é usada para verificar se o componente mais diretamente relacionado a combustíveis reage ao choque energético em uma estrutura VAR.</w:t>
      </w:r>
    </w:p>
    <w:p w14:paraId="44943117" w14:textId="77777777" w:rsidR="005F0DB9" w:rsidRPr="00366C9E" w:rsidRDefault="00000000">
      <w:pPr>
        <w:rPr>
          <w:lang w:val="pt-BR"/>
        </w:rPr>
      </w:pPr>
      <w:r w:rsidRPr="00366C9E">
        <w:rPr>
          <w:lang w:val="pt-BR"/>
        </w:rPr>
        <w:br w:type="page"/>
      </w:r>
    </w:p>
    <w:p w14:paraId="042C0DA9" w14:textId="77777777" w:rsidR="005F0DB9" w:rsidRPr="00366C9E" w:rsidRDefault="00000000">
      <w:pPr>
        <w:jc w:val="center"/>
        <w:rPr>
          <w:lang w:val="pt-BR"/>
        </w:rPr>
      </w:pPr>
      <w:r w:rsidRPr="00366C9E">
        <w:rPr>
          <w:b/>
          <w:sz w:val="20"/>
          <w:lang w:val="pt-BR"/>
        </w:rPr>
        <w:lastRenderedPageBreak/>
        <w:t>Figura C.2 — VAR: IRF acumulada do petróleo em reais para o IPCA Geral</w:t>
      </w:r>
    </w:p>
    <w:p w14:paraId="2914B8C1" w14:textId="77777777" w:rsidR="005F0DB9" w:rsidRDefault="00000000">
      <w:pPr>
        <w:jc w:val="center"/>
      </w:pPr>
      <w:r>
        <w:rPr>
          <w:noProof/>
        </w:rPr>
        <w:drawing>
          <wp:inline distT="0" distB="0" distL="0" distR="0" wp14:anchorId="24225806" wp14:editId="54979AB9">
            <wp:extent cx="576072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2_var_irf_petroleo_ipca_geral.png"/>
                    <pic:cNvPicPr/>
                  </pic:nvPicPr>
                  <pic:blipFill>
                    <a:blip r:embed="rId25"/>
                    <a:stretch>
                      <a:fillRect/>
                    </a:stretch>
                  </pic:blipFill>
                  <pic:spPr>
                    <a:xfrm>
                      <a:off x="0" y="0"/>
                      <a:ext cx="5760720" cy="2880360"/>
                    </a:xfrm>
                    <a:prstGeom prst="rect">
                      <a:avLst/>
                    </a:prstGeom>
                  </pic:spPr>
                </pic:pic>
              </a:graphicData>
            </a:graphic>
          </wp:inline>
        </w:drawing>
      </w:r>
    </w:p>
    <w:p w14:paraId="1B008BF9" w14:textId="77777777" w:rsidR="005F0DB9" w:rsidRPr="00366C9E" w:rsidRDefault="00000000">
      <w:pPr>
        <w:spacing w:after="120"/>
        <w:ind w:firstLine="706"/>
        <w:rPr>
          <w:lang w:val="pt-BR"/>
        </w:rPr>
      </w:pPr>
      <w:r w:rsidRPr="00366C9E">
        <w:rPr>
          <w:lang w:val="pt-BR"/>
        </w:rPr>
        <w:t>A resposta do IPCA Geral permite comparar o efeito agregado com o efeito setorial observado no IPCA Transportes.</w:t>
      </w:r>
    </w:p>
    <w:p w14:paraId="7F068A59" w14:textId="77777777" w:rsidR="005F0DB9" w:rsidRPr="00366C9E" w:rsidRDefault="00000000">
      <w:pPr>
        <w:rPr>
          <w:lang w:val="pt-BR"/>
        </w:rPr>
      </w:pPr>
      <w:r w:rsidRPr="00366C9E">
        <w:rPr>
          <w:lang w:val="pt-BR"/>
        </w:rPr>
        <w:br w:type="page"/>
      </w:r>
    </w:p>
    <w:p w14:paraId="38F66FB2" w14:textId="77777777" w:rsidR="005F0DB9" w:rsidRPr="00366C9E" w:rsidRDefault="00000000">
      <w:pPr>
        <w:jc w:val="center"/>
        <w:rPr>
          <w:lang w:val="pt-BR"/>
        </w:rPr>
      </w:pPr>
      <w:r w:rsidRPr="00366C9E">
        <w:rPr>
          <w:b/>
          <w:sz w:val="20"/>
          <w:lang w:val="pt-BR"/>
        </w:rPr>
        <w:lastRenderedPageBreak/>
        <w:t>Figura C.3 — VAR: IRF acumulada do petróleo em reais para gasolina de refinaria</w:t>
      </w:r>
    </w:p>
    <w:p w14:paraId="6127C0C6" w14:textId="77777777" w:rsidR="005F0DB9" w:rsidRDefault="00000000">
      <w:pPr>
        <w:jc w:val="center"/>
      </w:pPr>
      <w:r>
        <w:rPr>
          <w:noProof/>
        </w:rPr>
        <w:drawing>
          <wp:inline distT="0" distB="0" distL="0" distR="0" wp14:anchorId="57177C0E" wp14:editId="3AFEFE8D">
            <wp:extent cx="5760720"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3_var_irf_petroleo_gasolina_refinaria.png"/>
                    <pic:cNvPicPr/>
                  </pic:nvPicPr>
                  <pic:blipFill>
                    <a:blip r:embed="rId26"/>
                    <a:stretch>
                      <a:fillRect/>
                    </a:stretch>
                  </pic:blipFill>
                  <pic:spPr>
                    <a:xfrm>
                      <a:off x="0" y="0"/>
                      <a:ext cx="5760720" cy="2880360"/>
                    </a:xfrm>
                    <a:prstGeom prst="rect">
                      <a:avLst/>
                    </a:prstGeom>
                  </pic:spPr>
                </pic:pic>
              </a:graphicData>
            </a:graphic>
          </wp:inline>
        </w:drawing>
      </w:r>
    </w:p>
    <w:p w14:paraId="4D1B6636" w14:textId="77777777" w:rsidR="005F0DB9" w:rsidRPr="00366C9E" w:rsidRDefault="00000000">
      <w:pPr>
        <w:spacing w:after="120"/>
        <w:ind w:firstLine="706"/>
        <w:rPr>
          <w:lang w:val="pt-BR"/>
        </w:rPr>
      </w:pPr>
      <w:r w:rsidRPr="00366C9E">
        <w:rPr>
          <w:lang w:val="pt-BR"/>
        </w:rPr>
        <w:t>A resposta da gasolina de refinaria avalia se a etapa de refino se comporta como canal intermediário de transmissão do choque internacional.</w:t>
      </w:r>
    </w:p>
    <w:p w14:paraId="2F2D103E" w14:textId="77777777" w:rsidR="005F0DB9" w:rsidRDefault="00000000">
      <w:pPr>
        <w:pStyle w:val="Heading2"/>
        <w:jc w:val="both"/>
      </w:pPr>
      <w:bookmarkStart w:id="50" w:name="_Toc229695977"/>
      <w:r>
        <w:rPr>
          <w:rFonts w:ascii="Times New Roman" w:hAnsi="Times New Roman"/>
        </w:rPr>
        <w:t>C.3 Decomposição da variância dos erros de previsão</w:t>
      </w:r>
      <w:bookmarkEnd w:id="50"/>
    </w:p>
    <w:p w14:paraId="6ED4E034" w14:textId="77777777" w:rsidR="005F0DB9" w:rsidRPr="00366C9E" w:rsidRDefault="00000000">
      <w:pPr>
        <w:spacing w:after="120"/>
        <w:ind w:firstLine="706"/>
        <w:rPr>
          <w:lang w:val="pt-BR"/>
        </w:rPr>
      </w:pPr>
      <w:r w:rsidRPr="00366C9E">
        <w:rPr>
          <w:lang w:val="pt-BR"/>
        </w:rPr>
        <w:t>A decomposição da variância dos erros de previsão (FEVD) complementa as funções impulso-resposta ao mostrar a parcela da incerteza futura do IPCA Transportes explicada pelos choques do sistema. No contexto deste TCC, a FEVD é útil para verificar se petróleo, câmbio e combustíveis ajudam a explicar a variância dos erros de previsão do componente de transportes.</w:t>
      </w:r>
    </w:p>
    <w:p w14:paraId="77AA283E" w14:textId="77777777" w:rsidR="005F0DB9" w:rsidRPr="00366C9E" w:rsidRDefault="00000000">
      <w:pPr>
        <w:rPr>
          <w:lang w:val="pt-BR"/>
        </w:rPr>
      </w:pPr>
      <w:r w:rsidRPr="00366C9E">
        <w:rPr>
          <w:lang w:val="pt-BR"/>
        </w:rPr>
        <w:br w:type="page"/>
      </w:r>
    </w:p>
    <w:p w14:paraId="55D6CE61" w14:textId="77777777" w:rsidR="005F0DB9" w:rsidRPr="00366C9E" w:rsidRDefault="00000000">
      <w:pPr>
        <w:jc w:val="center"/>
        <w:rPr>
          <w:lang w:val="pt-BR"/>
        </w:rPr>
      </w:pPr>
      <w:r w:rsidRPr="00366C9E">
        <w:rPr>
          <w:b/>
          <w:sz w:val="20"/>
          <w:lang w:val="pt-BR"/>
        </w:rPr>
        <w:lastRenderedPageBreak/>
        <w:t>Figura C.4 — VAR: FEVD do IPCA Transportes</w:t>
      </w:r>
    </w:p>
    <w:p w14:paraId="2CB842D2" w14:textId="77777777" w:rsidR="005F0DB9" w:rsidRDefault="00000000">
      <w:pPr>
        <w:jc w:val="center"/>
      </w:pPr>
      <w:r>
        <w:rPr>
          <w:noProof/>
        </w:rPr>
        <w:drawing>
          <wp:inline distT="0" distB="0" distL="0" distR="0" wp14:anchorId="63783C6A" wp14:editId="16B29C81">
            <wp:extent cx="5760720" cy="2880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4_var_fevd_ipca_transportes.png"/>
                    <pic:cNvPicPr/>
                  </pic:nvPicPr>
                  <pic:blipFill>
                    <a:blip r:embed="rId27"/>
                    <a:stretch>
                      <a:fillRect/>
                    </a:stretch>
                  </pic:blipFill>
                  <pic:spPr>
                    <a:xfrm>
                      <a:off x="0" y="0"/>
                      <a:ext cx="5760720" cy="2880360"/>
                    </a:xfrm>
                    <a:prstGeom prst="rect">
                      <a:avLst/>
                    </a:prstGeom>
                  </pic:spPr>
                </pic:pic>
              </a:graphicData>
            </a:graphic>
          </wp:inline>
        </w:drawing>
      </w:r>
    </w:p>
    <w:p w14:paraId="33E83520" w14:textId="77777777" w:rsidR="005F0DB9" w:rsidRPr="00366C9E" w:rsidRDefault="00000000">
      <w:pPr>
        <w:spacing w:after="120"/>
        <w:ind w:firstLine="706"/>
        <w:rPr>
          <w:lang w:val="pt-BR"/>
        </w:rPr>
      </w:pPr>
      <w:r w:rsidRPr="00366C9E">
        <w:rPr>
          <w:lang w:val="pt-BR"/>
        </w:rPr>
        <w:t>A FEVD deve ser interpretada como evidência complementar. Uma participação mais visível dos choques energéticos no IPCA Transportes, em comparação ao IPCA Geral, é compatível com a hipótese de que o choque do petróleo é parcialmente diluído na cesta agregada de consumo.</w:t>
      </w:r>
    </w:p>
    <w:p w14:paraId="6E4AE75C" w14:textId="77777777" w:rsidR="005F0DB9" w:rsidRDefault="00000000">
      <w:pPr>
        <w:pStyle w:val="Heading2"/>
        <w:jc w:val="both"/>
      </w:pPr>
      <w:bookmarkStart w:id="51" w:name="_Toc229695978"/>
      <w:r>
        <w:rPr>
          <w:rFonts w:ascii="Times New Roman" w:hAnsi="Times New Roman"/>
        </w:rPr>
        <w:t>C.4 Robustez à ordenação de Cholesky</w:t>
      </w:r>
      <w:bookmarkEnd w:id="51"/>
    </w:p>
    <w:p w14:paraId="4A9AB35A" w14:textId="77777777" w:rsidR="005F0DB9" w:rsidRPr="00366C9E" w:rsidRDefault="00000000">
      <w:pPr>
        <w:spacing w:after="120"/>
        <w:ind w:firstLine="706"/>
        <w:rPr>
          <w:lang w:val="pt-BR"/>
        </w:rPr>
      </w:pPr>
      <w:r w:rsidRPr="00366C9E">
        <w:rPr>
          <w:lang w:val="pt-BR"/>
        </w:rPr>
        <w:t xml:space="preserve">Como a identificação via </w:t>
      </w:r>
      <w:proofErr w:type="spellStart"/>
      <w:r w:rsidRPr="00366C9E">
        <w:rPr>
          <w:lang w:val="pt-BR"/>
        </w:rPr>
        <w:t>Cholesky</w:t>
      </w:r>
      <w:proofErr w:type="spellEnd"/>
      <w:r w:rsidRPr="00366C9E">
        <w:rPr>
          <w:lang w:val="pt-BR"/>
        </w:rPr>
        <w:t xml:space="preserve"> depende da ordenação contemporânea das variáveis, o apêndice inclui uma comparação entre a ordenação base e uma ordenação alternativa. Esse exercício testa se a resposta do IPCA Transportes ao petróleo depende excessivamente de uma única hipótese de identificação contemporânea.</w:t>
      </w:r>
    </w:p>
    <w:p w14:paraId="2BDF5226" w14:textId="77777777" w:rsidR="005F0DB9" w:rsidRPr="00366C9E" w:rsidRDefault="00000000">
      <w:pPr>
        <w:rPr>
          <w:lang w:val="pt-BR"/>
        </w:rPr>
      </w:pPr>
      <w:r w:rsidRPr="00366C9E">
        <w:rPr>
          <w:lang w:val="pt-BR"/>
        </w:rPr>
        <w:br w:type="page"/>
      </w:r>
    </w:p>
    <w:p w14:paraId="315F361A" w14:textId="77777777" w:rsidR="005F0DB9" w:rsidRPr="00366C9E" w:rsidRDefault="00000000">
      <w:pPr>
        <w:jc w:val="center"/>
        <w:rPr>
          <w:lang w:val="pt-BR"/>
        </w:rPr>
      </w:pPr>
      <w:r w:rsidRPr="00366C9E">
        <w:rPr>
          <w:b/>
          <w:sz w:val="20"/>
          <w:lang w:val="pt-BR"/>
        </w:rPr>
        <w:lastRenderedPageBreak/>
        <w:t xml:space="preserve">Figura C.5 — VAR: robustez à ordenação de </w:t>
      </w:r>
      <w:proofErr w:type="spellStart"/>
      <w:r w:rsidRPr="00366C9E">
        <w:rPr>
          <w:b/>
          <w:sz w:val="20"/>
          <w:lang w:val="pt-BR"/>
        </w:rPr>
        <w:t>Cholesky</w:t>
      </w:r>
      <w:proofErr w:type="spellEnd"/>
    </w:p>
    <w:p w14:paraId="2CAB4310" w14:textId="77777777" w:rsidR="005F0DB9" w:rsidRDefault="00000000">
      <w:pPr>
        <w:jc w:val="center"/>
      </w:pPr>
      <w:r>
        <w:rPr>
          <w:noProof/>
        </w:rPr>
        <w:drawing>
          <wp:inline distT="0" distB="0" distL="0" distR="0" wp14:anchorId="5D2ACD37" wp14:editId="4E0F9457">
            <wp:extent cx="5760720" cy="2880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5_var_cholesky_robustez_ipca_transportes.png"/>
                    <pic:cNvPicPr/>
                  </pic:nvPicPr>
                  <pic:blipFill>
                    <a:blip r:embed="rId28"/>
                    <a:stretch>
                      <a:fillRect/>
                    </a:stretch>
                  </pic:blipFill>
                  <pic:spPr>
                    <a:xfrm>
                      <a:off x="0" y="0"/>
                      <a:ext cx="5760720" cy="2880360"/>
                    </a:xfrm>
                    <a:prstGeom prst="rect">
                      <a:avLst/>
                    </a:prstGeom>
                  </pic:spPr>
                </pic:pic>
              </a:graphicData>
            </a:graphic>
          </wp:inline>
        </w:drawing>
      </w:r>
    </w:p>
    <w:p w14:paraId="41387875" w14:textId="77777777" w:rsidR="005F0DB9" w:rsidRPr="00366C9E" w:rsidRDefault="00000000">
      <w:pPr>
        <w:spacing w:after="120"/>
        <w:ind w:firstLine="706"/>
        <w:rPr>
          <w:lang w:val="pt-BR"/>
        </w:rPr>
      </w:pPr>
      <w:r w:rsidRPr="00366C9E">
        <w:rPr>
          <w:lang w:val="pt-BR"/>
        </w:rPr>
        <w:t>A leitura desse gráfico deve priorizar o sinal e a direção geral da resposta. Quando as trajetórias permanecem semelhantes entre as ordenações, a evidência é menos dependente de uma única estrutura de identificação contemporânea.</w:t>
      </w:r>
    </w:p>
    <w:p w14:paraId="2E71EA76" w14:textId="77777777" w:rsidR="005F0DB9" w:rsidRDefault="00000000">
      <w:pPr>
        <w:pStyle w:val="Heading2"/>
        <w:jc w:val="both"/>
      </w:pPr>
      <w:bookmarkStart w:id="52" w:name="_Toc229695979"/>
      <w:r>
        <w:rPr>
          <w:rFonts w:ascii="Times New Roman" w:hAnsi="Times New Roman"/>
        </w:rPr>
        <w:t>C.5 Estabilidade do sistema</w:t>
      </w:r>
      <w:bookmarkEnd w:id="52"/>
    </w:p>
    <w:p w14:paraId="633C6F0E" w14:textId="77777777" w:rsidR="005F0DB9" w:rsidRPr="00366C9E" w:rsidRDefault="00000000">
      <w:pPr>
        <w:spacing w:after="120"/>
        <w:ind w:firstLine="706"/>
        <w:rPr>
          <w:lang w:val="pt-BR"/>
        </w:rPr>
      </w:pPr>
      <w:r w:rsidRPr="00366C9E">
        <w:rPr>
          <w:lang w:val="pt-BR"/>
        </w:rPr>
        <w:t>A estabilidade do VAR é condição importante para interpretar as funções impulso-resposta. A análise das raízes inversas em relação ao círculo unitário indica se o sistema estimado apresenta dinâmica compatível com estabilidade.</w:t>
      </w:r>
    </w:p>
    <w:p w14:paraId="207D6326" w14:textId="77777777" w:rsidR="005F0DB9" w:rsidRPr="00366C9E" w:rsidRDefault="00000000">
      <w:pPr>
        <w:rPr>
          <w:lang w:val="pt-BR"/>
        </w:rPr>
      </w:pPr>
      <w:r w:rsidRPr="00366C9E">
        <w:rPr>
          <w:lang w:val="pt-BR"/>
        </w:rPr>
        <w:br w:type="page"/>
      </w:r>
    </w:p>
    <w:p w14:paraId="05517456" w14:textId="77777777" w:rsidR="005F0DB9" w:rsidRPr="00366C9E" w:rsidRDefault="00000000">
      <w:pPr>
        <w:jc w:val="center"/>
        <w:rPr>
          <w:lang w:val="pt-BR"/>
        </w:rPr>
      </w:pPr>
      <w:r w:rsidRPr="00366C9E">
        <w:rPr>
          <w:b/>
          <w:sz w:val="20"/>
          <w:lang w:val="pt-BR"/>
        </w:rPr>
        <w:lastRenderedPageBreak/>
        <w:t>Figura C.6 — VAR: raízes inversas e círculo unitário</w:t>
      </w:r>
    </w:p>
    <w:p w14:paraId="20E8BE51" w14:textId="77777777" w:rsidR="005F0DB9" w:rsidRDefault="00000000">
      <w:pPr>
        <w:jc w:val="center"/>
      </w:pPr>
      <w:r>
        <w:rPr>
          <w:noProof/>
        </w:rPr>
        <w:drawing>
          <wp:inline distT="0" distB="0" distL="0" distR="0" wp14:anchorId="46BAB3E2" wp14:editId="0393BC9F">
            <wp:extent cx="5120640" cy="51206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6_var_raizes_circulo_unitario.png"/>
                    <pic:cNvPicPr/>
                  </pic:nvPicPr>
                  <pic:blipFill>
                    <a:blip r:embed="rId29"/>
                    <a:stretch>
                      <a:fillRect/>
                    </a:stretch>
                  </pic:blipFill>
                  <pic:spPr>
                    <a:xfrm>
                      <a:off x="0" y="0"/>
                      <a:ext cx="5120640" cy="5120640"/>
                    </a:xfrm>
                    <a:prstGeom prst="rect">
                      <a:avLst/>
                    </a:prstGeom>
                  </pic:spPr>
                </pic:pic>
              </a:graphicData>
            </a:graphic>
          </wp:inline>
        </w:drawing>
      </w:r>
    </w:p>
    <w:p w14:paraId="1BD9F04F" w14:textId="77777777" w:rsidR="005F0DB9" w:rsidRPr="00366C9E" w:rsidRDefault="00000000">
      <w:pPr>
        <w:spacing w:after="120"/>
        <w:ind w:firstLine="706"/>
        <w:rPr>
          <w:lang w:val="pt-BR"/>
        </w:rPr>
      </w:pPr>
      <w:r w:rsidRPr="00366C9E">
        <w:rPr>
          <w:lang w:val="pt-BR"/>
        </w:rPr>
        <w:t>A figura deve ser usada como diagnóstico técnico. Quando as raízes inversas permanecem dentro do círculo unitário, há evidência favorável à estabilidade dinâmica do sistema estimado.</w:t>
      </w:r>
    </w:p>
    <w:p w14:paraId="12E4DA19" w14:textId="77777777" w:rsidR="005F0DB9" w:rsidRDefault="00000000">
      <w:pPr>
        <w:pStyle w:val="Heading2"/>
        <w:jc w:val="both"/>
      </w:pPr>
      <w:bookmarkStart w:id="53" w:name="_Toc229695980"/>
      <w:r>
        <w:rPr>
          <w:rFonts w:ascii="Times New Roman" w:hAnsi="Times New Roman"/>
        </w:rPr>
        <w:t>C.6 Síntese do papel do VAR no TCC</w:t>
      </w:r>
      <w:bookmarkEnd w:id="53"/>
    </w:p>
    <w:p w14:paraId="708FAAED" w14:textId="77777777" w:rsidR="005F0DB9" w:rsidRPr="00366C9E" w:rsidRDefault="00000000">
      <w:pPr>
        <w:spacing w:after="120"/>
        <w:ind w:firstLine="706"/>
        <w:rPr>
          <w:lang w:val="pt-BR"/>
        </w:rPr>
      </w:pPr>
      <w:r w:rsidRPr="00366C9E">
        <w:rPr>
          <w:lang w:val="pt-BR"/>
        </w:rPr>
        <w:t xml:space="preserve">Em síntese, o VAR deve ser interpretado como uma camada de robustez. A estratégia principal do trabalho permanece baseada nas Local </w:t>
      </w:r>
      <w:proofErr w:type="spellStart"/>
      <w:r w:rsidRPr="00366C9E">
        <w:rPr>
          <w:lang w:val="pt-BR"/>
        </w:rPr>
        <w:t>Projections</w:t>
      </w:r>
      <w:proofErr w:type="spellEnd"/>
      <w:r w:rsidRPr="00366C9E">
        <w:rPr>
          <w:lang w:val="pt-BR"/>
        </w:rPr>
        <w:t>, pois elas permitem maior flexibilidade por horizonte, melhor organização do canal de transmissão e incorporação direta de regimes e instrumentos externos. O VAR, por sua vez, adiciona uma verificação dinâmica multivariada tradicional, útil para confirmar se a direção dos resultados é compatível com outro método econométrico.</w:t>
      </w:r>
    </w:p>
    <w:p w14:paraId="529D28A1" w14:textId="77777777" w:rsidR="005F0DB9" w:rsidRPr="00366C9E" w:rsidRDefault="00000000">
      <w:pPr>
        <w:spacing w:after="120"/>
        <w:ind w:firstLine="706"/>
        <w:rPr>
          <w:lang w:val="pt-BR"/>
        </w:rPr>
      </w:pPr>
      <w:r w:rsidRPr="00366C9E">
        <w:rPr>
          <w:lang w:val="pt-BR"/>
        </w:rPr>
        <w:lastRenderedPageBreak/>
        <w:t>A leitura conjunta dos modelos deve destacar que a evidência mais consistente do trabalho é a transmissão dos choques de petróleo para combustíveis e para o IPCA Transportes. O IPCA Geral apresenta resposta mais fraca, compatível com a diluição do choque energético na cesta agregada. A Petrobras e a etapa de refinaria aparecem como elementos institucionais relevantes para a intensidade e o timing do repasse, embora os efeitos sejam heterogêneos entre combustíveis e regimes.</w:t>
      </w:r>
    </w:p>
    <w:sectPr w:rsidR="005F0DB9" w:rsidRPr="00366C9E" w:rsidSect="008E44CC">
      <w:headerReference w:type="default" r:id="rId30"/>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286E" w14:textId="77777777" w:rsidR="00475924" w:rsidRDefault="00475924" w:rsidP="0020033F">
      <w:pPr>
        <w:spacing w:line="240" w:lineRule="auto"/>
      </w:pPr>
      <w:r>
        <w:separator/>
      </w:r>
    </w:p>
  </w:endnote>
  <w:endnote w:type="continuationSeparator" w:id="0">
    <w:p w14:paraId="16808036" w14:textId="77777777" w:rsidR="00475924" w:rsidRDefault="00475924" w:rsidP="00200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BE53" w14:textId="77777777" w:rsidR="00475924" w:rsidRDefault="00475924" w:rsidP="0020033F">
      <w:pPr>
        <w:spacing w:line="240" w:lineRule="auto"/>
      </w:pPr>
      <w:r>
        <w:separator/>
      </w:r>
    </w:p>
  </w:footnote>
  <w:footnote w:type="continuationSeparator" w:id="0">
    <w:p w14:paraId="6BD9450E" w14:textId="77777777" w:rsidR="00475924" w:rsidRDefault="00475924" w:rsidP="00200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9791" w14:textId="77777777" w:rsidR="0020033F" w:rsidRDefault="0020033F" w:rsidP="0020033F">
    <w:pPr>
      <w:pStyle w:val="Header"/>
      <w:ind w:left="-1701" w:firstLine="0"/>
    </w:pPr>
    <w:r>
      <w:rPr>
        <w:noProof/>
      </w:rPr>
      <w:drawing>
        <wp:anchor distT="0" distB="0" distL="0" distR="0" simplePos="0" relativeHeight="251659264" behindDoc="1" locked="0" layoutInCell="1" hidden="0" allowOverlap="1" wp14:anchorId="6AB8A53C" wp14:editId="423996F3">
          <wp:simplePos x="0" y="0"/>
          <wp:positionH relativeFrom="page">
            <wp:posOffset>-7620</wp:posOffset>
          </wp:positionH>
          <wp:positionV relativeFrom="page">
            <wp:posOffset>-7620</wp:posOffset>
          </wp:positionV>
          <wp:extent cx="7795260" cy="1040130"/>
          <wp:effectExtent l="0" t="0" r="0" b="7620"/>
          <wp:wrapNone/>
          <wp:docPr id="1869280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95260" cy="1040130"/>
                  </a:xfrm>
                  <a:prstGeom prst="rect">
                    <a:avLst/>
                  </a:prstGeom>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4CC"/>
    <w:rsid w:val="000D72DB"/>
    <w:rsid w:val="001065E9"/>
    <w:rsid w:val="00160963"/>
    <w:rsid w:val="001A6596"/>
    <w:rsid w:val="0020033F"/>
    <w:rsid w:val="002A26FC"/>
    <w:rsid w:val="00326AA9"/>
    <w:rsid w:val="00366C9E"/>
    <w:rsid w:val="003B3C15"/>
    <w:rsid w:val="00475924"/>
    <w:rsid w:val="004D78E5"/>
    <w:rsid w:val="005C3052"/>
    <w:rsid w:val="005F0DB9"/>
    <w:rsid w:val="00670028"/>
    <w:rsid w:val="006F6FEC"/>
    <w:rsid w:val="008E44CC"/>
    <w:rsid w:val="009B3914"/>
    <w:rsid w:val="009C7F96"/>
    <w:rsid w:val="00AC58DA"/>
    <w:rsid w:val="00B85826"/>
    <w:rsid w:val="00C2440A"/>
    <w:rsid w:val="00CA3657"/>
    <w:rsid w:val="00CC258E"/>
    <w:rsid w:val="00CC2A85"/>
    <w:rsid w:val="00CF0295"/>
    <w:rsid w:val="00D01934"/>
    <w:rsid w:val="00D810CD"/>
    <w:rsid w:val="00E75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4A67"/>
  <w15:chartTrackingRefBased/>
  <w15:docId w15:val="{33848849-FAAE-41A3-971D-81B1A230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4CC"/>
    <w:pPr>
      <w:spacing w:after="0" w:line="360" w:lineRule="auto"/>
      <w:ind w:firstLine="709"/>
      <w:jc w:val="both"/>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autoRedefine/>
    <w:uiPriority w:val="9"/>
    <w:qFormat/>
    <w:rsid w:val="00160963"/>
    <w:pPr>
      <w:keepNext/>
      <w:keepLines/>
      <w:spacing w:before="360" w:after="80" w:line="278" w:lineRule="auto"/>
      <w:ind w:firstLine="0"/>
      <w:jc w:val="left"/>
      <w:outlineLvl w:val="0"/>
    </w:pPr>
    <w:rPr>
      <w:rFonts w:asciiTheme="majorHAnsi" w:eastAsiaTheme="majorEastAsia" w:hAnsiTheme="majorHAnsi" w:cstheme="majorBidi"/>
      <w:b/>
      <w:color w:val="000000" w:themeColor="text1"/>
      <w:kern w:val="2"/>
      <w:szCs w:val="40"/>
      <w:lang w:val="pt-BR"/>
      <w14:ligatures w14:val="standardContextual"/>
    </w:rPr>
  </w:style>
  <w:style w:type="paragraph" w:styleId="Heading2">
    <w:name w:val="heading 2"/>
    <w:basedOn w:val="Normal"/>
    <w:next w:val="Normal"/>
    <w:link w:val="Heading2Char"/>
    <w:autoRedefine/>
    <w:uiPriority w:val="9"/>
    <w:unhideWhenUsed/>
    <w:qFormat/>
    <w:rsid w:val="00160963"/>
    <w:pPr>
      <w:keepNext/>
      <w:keepLines/>
      <w:spacing w:before="160" w:after="80" w:line="278" w:lineRule="auto"/>
      <w:ind w:firstLine="0"/>
      <w:jc w:val="left"/>
      <w:outlineLvl w:val="1"/>
    </w:pPr>
    <w:rPr>
      <w:rFonts w:asciiTheme="majorHAnsi" w:eastAsiaTheme="majorEastAsia" w:hAnsiTheme="majorHAnsi" w:cstheme="majorBidi"/>
      <w:b/>
      <w:color w:val="000000" w:themeColor="text1"/>
      <w:kern w:val="2"/>
      <w:szCs w:val="32"/>
      <w:lang w:val="pt-BR"/>
      <w14:ligatures w14:val="standardContextual"/>
    </w:rPr>
  </w:style>
  <w:style w:type="paragraph" w:styleId="Heading3">
    <w:name w:val="heading 3"/>
    <w:basedOn w:val="Normal"/>
    <w:next w:val="Normal"/>
    <w:link w:val="Heading3Char"/>
    <w:autoRedefine/>
    <w:uiPriority w:val="9"/>
    <w:semiHidden/>
    <w:unhideWhenUsed/>
    <w:qFormat/>
    <w:rsid w:val="00160963"/>
    <w:pPr>
      <w:keepNext/>
      <w:keepLines/>
      <w:spacing w:before="160" w:after="80" w:line="278" w:lineRule="auto"/>
      <w:ind w:firstLine="0"/>
      <w:jc w:val="left"/>
      <w:outlineLvl w:val="2"/>
    </w:pPr>
    <w:rPr>
      <w:rFonts w:asciiTheme="minorHAnsi" w:eastAsiaTheme="majorEastAsia" w:hAnsiTheme="minorHAnsi" w:cstheme="majorBidi"/>
      <w:b/>
      <w:kern w:val="2"/>
      <w:szCs w:val="28"/>
      <w:lang w:val="pt-BR"/>
      <w14:ligatures w14:val="standardContextual"/>
    </w:rPr>
  </w:style>
  <w:style w:type="paragraph" w:styleId="Heading4">
    <w:name w:val="heading 4"/>
    <w:basedOn w:val="Normal"/>
    <w:next w:val="Normal"/>
    <w:link w:val="Heading4Char"/>
    <w:uiPriority w:val="9"/>
    <w:semiHidden/>
    <w:unhideWhenUsed/>
    <w:qFormat/>
    <w:rsid w:val="008E44CC"/>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Cs w:val="24"/>
      <w:lang w:val="pt-BR"/>
      <w14:ligatures w14:val="standardContextual"/>
    </w:rPr>
  </w:style>
  <w:style w:type="paragraph" w:styleId="Heading5">
    <w:name w:val="heading 5"/>
    <w:basedOn w:val="Normal"/>
    <w:next w:val="Normal"/>
    <w:link w:val="Heading5Char"/>
    <w:uiPriority w:val="9"/>
    <w:semiHidden/>
    <w:unhideWhenUsed/>
    <w:qFormat/>
    <w:rsid w:val="008E44CC"/>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Cs w:val="24"/>
      <w:lang w:val="pt-BR"/>
      <w14:ligatures w14:val="standardContextual"/>
    </w:rPr>
  </w:style>
  <w:style w:type="paragraph" w:styleId="Heading6">
    <w:name w:val="heading 6"/>
    <w:basedOn w:val="Normal"/>
    <w:next w:val="Normal"/>
    <w:link w:val="Heading6Char"/>
    <w:uiPriority w:val="9"/>
    <w:semiHidden/>
    <w:unhideWhenUsed/>
    <w:qFormat/>
    <w:rsid w:val="008E44CC"/>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kern w:val="2"/>
      <w:szCs w:val="24"/>
      <w:lang w:val="pt-BR"/>
      <w14:ligatures w14:val="standardContextual"/>
    </w:rPr>
  </w:style>
  <w:style w:type="paragraph" w:styleId="Heading7">
    <w:name w:val="heading 7"/>
    <w:basedOn w:val="Normal"/>
    <w:next w:val="Normal"/>
    <w:link w:val="Heading7Char"/>
    <w:uiPriority w:val="9"/>
    <w:semiHidden/>
    <w:unhideWhenUsed/>
    <w:qFormat/>
    <w:rsid w:val="008E44CC"/>
    <w:pPr>
      <w:keepNext/>
      <w:keepLines/>
      <w:spacing w:before="40" w:line="278" w:lineRule="auto"/>
      <w:ind w:firstLine="0"/>
      <w:jc w:val="left"/>
      <w:outlineLvl w:val="6"/>
    </w:pPr>
    <w:rPr>
      <w:rFonts w:asciiTheme="minorHAnsi" w:eastAsiaTheme="majorEastAsia" w:hAnsiTheme="minorHAnsi" w:cstheme="majorBidi"/>
      <w:color w:val="595959" w:themeColor="text1" w:themeTint="A6"/>
      <w:kern w:val="2"/>
      <w:szCs w:val="24"/>
      <w:lang w:val="pt-BR"/>
      <w14:ligatures w14:val="standardContextual"/>
    </w:rPr>
  </w:style>
  <w:style w:type="paragraph" w:styleId="Heading8">
    <w:name w:val="heading 8"/>
    <w:basedOn w:val="Normal"/>
    <w:next w:val="Normal"/>
    <w:link w:val="Heading8Char"/>
    <w:uiPriority w:val="9"/>
    <w:semiHidden/>
    <w:unhideWhenUsed/>
    <w:qFormat/>
    <w:rsid w:val="008E44CC"/>
    <w:pPr>
      <w:keepNext/>
      <w:keepLines/>
      <w:spacing w:line="278" w:lineRule="auto"/>
      <w:ind w:firstLine="0"/>
      <w:jc w:val="left"/>
      <w:outlineLvl w:val="7"/>
    </w:pPr>
    <w:rPr>
      <w:rFonts w:asciiTheme="minorHAnsi" w:eastAsiaTheme="majorEastAsia" w:hAnsiTheme="minorHAnsi" w:cstheme="majorBidi"/>
      <w:i/>
      <w:iCs/>
      <w:color w:val="272727" w:themeColor="text1" w:themeTint="D8"/>
      <w:kern w:val="2"/>
      <w:szCs w:val="24"/>
      <w:lang w:val="pt-BR"/>
      <w14:ligatures w14:val="standardContextual"/>
    </w:rPr>
  </w:style>
  <w:style w:type="paragraph" w:styleId="Heading9">
    <w:name w:val="heading 9"/>
    <w:basedOn w:val="Normal"/>
    <w:next w:val="Normal"/>
    <w:link w:val="Heading9Char"/>
    <w:uiPriority w:val="9"/>
    <w:semiHidden/>
    <w:unhideWhenUsed/>
    <w:qFormat/>
    <w:rsid w:val="008E44CC"/>
    <w:pPr>
      <w:keepNext/>
      <w:keepLines/>
      <w:spacing w:line="278" w:lineRule="auto"/>
      <w:ind w:firstLine="0"/>
      <w:jc w:val="left"/>
      <w:outlineLvl w:val="8"/>
    </w:pPr>
    <w:rPr>
      <w:rFonts w:asciiTheme="minorHAnsi" w:eastAsiaTheme="majorEastAsia" w:hAnsiTheme="minorHAnsi" w:cstheme="majorBidi"/>
      <w:color w:val="272727" w:themeColor="text1" w:themeTint="D8"/>
      <w:kern w:val="2"/>
      <w:szCs w:val="24"/>
      <w:lang w:val="pt-B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096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60963"/>
    <w:rPr>
      <w:rFonts w:eastAsiaTheme="majorEastAsia" w:cstheme="majorBidi"/>
      <w:sz w:val="28"/>
      <w:szCs w:val="28"/>
    </w:rPr>
  </w:style>
  <w:style w:type="character" w:customStyle="1" w:styleId="Heading1Char">
    <w:name w:val="Heading 1 Char"/>
    <w:basedOn w:val="DefaultParagraphFont"/>
    <w:link w:val="Heading1"/>
    <w:uiPriority w:val="9"/>
    <w:rsid w:val="00160963"/>
    <w:rPr>
      <w:rFonts w:asciiTheme="majorHAnsi" w:eastAsiaTheme="majorEastAsia" w:hAnsiTheme="majorHAnsi" w:cstheme="majorBidi"/>
      <w:color w:val="000000" w:themeColor="text1"/>
      <w:sz w:val="40"/>
      <w:szCs w:val="40"/>
    </w:rPr>
  </w:style>
  <w:style w:type="character" w:customStyle="1" w:styleId="Heading4Char">
    <w:name w:val="Heading 4 Char"/>
    <w:basedOn w:val="DefaultParagraphFont"/>
    <w:link w:val="Heading4"/>
    <w:uiPriority w:val="9"/>
    <w:semiHidden/>
    <w:rsid w:val="008E4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4CC"/>
    <w:rPr>
      <w:rFonts w:eastAsiaTheme="majorEastAsia" w:cstheme="majorBidi"/>
      <w:color w:val="272727" w:themeColor="text1" w:themeTint="D8"/>
    </w:rPr>
  </w:style>
  <w:style w:type="paragraph" w:styleId="Title">
    <w:name w:val="Title"/>
    <w:basedOn w:val="Normal"/>
    <w:next w:val="Normal"/>
    <w:link w:val="TitleChar"/>
    <w:uiPriority w:val="10"/>
    <w:qFormat/>
    <w:rsid w:val="008E44CC"/>
    <w:pPr>
      <w:spacing w:after="80" w:line="240" w:lineRule="auto"/>
      <w:ind w:firstLine="0"/>
      <w:contextualSpacing/>
      <w:jc w:val="left"/>
    </w:pPr>
    <w:rPr>
      <w:rFonts w:asciiTheme="majorHAnsi" w:eastAsiaTheme="majorEastAsia" w:hAnsiTheme="majorHAnsi" w:cstheme="majorBidi"/>
      <w:spacing w:val="-10"/>
      <w:kern w:val="28"/>
      <w:sz w:val="56"/>
      <w:szCs w:val="56"/>
      <w:lang w:val="pt-BR"/>
      <w14:ligatures w14:val="standardContextual"/>
    </w:rPr>
  </w:style>
  <w:style w:type="character" w:customStyle="1" w:styleId="TitleChar">
    <w:name w:val="Title Char"/>
    <w:basedOn w:val="DefaultParagraphFont"/>
    <w:link w:val="Title"/>
    <w:uiPriority w:val="10"/>
    <w:rsid w:val="008E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4CC"/>
    <w:pPr>
      <w:numPr>
        <w:ilvl w:val="1"/>
      </w:numPr>
      <w:spacing w:after="160" w:line="278" w:lineRule="auto"/>
      <w:ind w:firstLine="709"/>
      <w:jc w:val="left"/>
    </w:pPr>
    <w:rPr>
      <w:rFonts w:asciiTheme="minorHAnsi" w:eastAsiaTheme="majorEastAsia" w:hAnsiTheme="minorHAnsi" w:cstheme="majorBidi"/>
      <w:color w:val="595959" w:themeColor="text1" w:themeTint="A6"/>
      <w:spacing w:val="15"/>
      <w:kern w:val="2"/>
      <w:sz w:val="28"/>
      <w:szCs w:val="28"/>
      <w:lang w:val="pt-BR"/>
      <w14:ligatures w14:val="standardContextual"/>
    </w:rPr>
  </w:style>
  <w:style w:type="character" w:customStyle="1" w:styleId="SubtitleChar">
    <w:name w:val="Subtitle Char"/>
    <w:basedOn w:val="DefaultParagraphFont"/>
    <w:link w:val="Subtitle"/>
    <w:uiPriority w:val="11"/>
    <w:rsid w:val="008E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4CC"/>
    <w:pPr>
      <w:spacing w:before="160" w:after="160" w:line="278" w:lineRule="auto"/>
      <w:ind w:firstLine="0"/>
      <w:jc w:val="center"/>
    </w:pPr>
    <w:rPr>
      <w:rFonts w:asciiTheme="minorHAnsi" w:eastAsiaTheme="minorHAnsi" w:hAnsiTheme="minorHAnsi"/>
      <w:i/>
      <w:iCs/>
      <w:color w:val="404040" w:themeColor="text1" w:themeTint="BF"/>
      <w:kern w:val="2"/>
      <w:szCs w:val="24"/>
      <w:lang w:val="pt-BR"/>
      <w14:ligatures w14:val="standardContextual"/>
    </w:rPr>
  </w:style>
  <w:style w:type="character" w:customStyle="1" w:styleId="QuoteChar">
    <w:name w:val="Quote Char"/>
    <w:basedOn w:val="DefaultParagraphFont"/>
    <w:link w:val="Quote"/>
    <w:uiPriority w:val="29"/>
    <w:rsid w:val="008E44CC"/>
    <w:rPr>
      <w:i/>
      <w:iCs/>
      <w:color w:val="404040" w:themeColor="text1" w:themeTint="BF"/>
    </w:rPr>
  </w:style>
  <w:style w:type="paragraph" w:styleId="ListParagraph">
    <w:name w:val="List Paragraph"/>
    <w:basedOn w:val="Normal"/>
    <w:uiPriority w:val="34"/>
    <w:qFormat/>
    <w:rsid w:val="008E44CC"/>
    <w:pPr>
      <w:spacing w:after="160" w:line="278" w:lineRule="auto"/>
      <w:ind w:left="720" w:firstLine="0"/>
      <w:contextualSpacing/>
      <w:jc w:val="left"/>
    </w:pPr>
    <w:rPr>
      <w:rFonts w:asciiTheme="minorHAnsi" w:eastAsiaTheme="minorHAnsi" w:hAnsiTheme="minorHAnsi"/>
      <w:kern w:val="2"/>
      <w:szCs w:val="24"/>
      <w:lang w:val="pt-BR"/>
      <w14:ligatures w14:val="standardContextual"/>
    </w:rPr>
  </w:style>
  <w:style w:type="character" w:styleId="IntenseEmphasis">
    <w:name w:val="Intense Emphasis"/>
    <w:basedOn w:val="DefaultParagraphFont"/>
    <w:uiPriority w:val="21"/>
    <w:qFormat/>
    <w:rsid w:val="008E44CC"/>
    <w:rPr>
      <w:i/>
      <w:iCs/>
      <w:color w:val="0F4761" w:themeColor="accent1" w:themeShade="BF"/>
    </w:rPr>
  </w:style>
  <w:style w:type="paragraph" w:styleId="IntenseQuote">
    <w:name w:val="Intense Quote"/>
    <w:basedOn w:val="Normal"/>
    <w:next w:val="Normal"/>
    <w:link w:val="IntenseQuoteChar"/>
    <w:uiPriority w:val="30"/>
    <w:qFormat/>
    <w:rsid w:val="008E44C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lang w:val="pt-BR"/>
      <w14:ligatures w14:val="standardContextual"/>
    </w:rPr>
  </w:style>
  <w:style w:type="character" w:customStyle="1" w:styleId="IntenseQuoteChar">
    <w:name w:val="Intense Quote Char"/>
    <w:basedOn w:val="DefaultParagraphFont"/>
    <w:link w:val="IntenseQuote"/>
    <w:uiPriority w:val="30"/>
    <w:rsid w:val="008E44CC"/>
    <w:rPr>
      <w:i/>
      <w:iCs/>
      <w:color w:val="0F4761" w:themeColor="accent1" w:themeShade="BF"/>
    </w:rPr>
  </w:style>
  <w:style w:type="character" w:styleId="IntenseReference">
    <w:name w:val="Intense Reference"/>
    <w:basedOn w:val="DefaultParagraphFont"/>
    <w:uiPriority w:val="32"/>
    <w:qFormat/>
    <w:rsid w:val="008E44CC"/>
    <w:rPr>
      <w:b/>
      <w:bCs/>
      <w:smallCaps/>
      <w:color w:val="0F4761" w:themeColor="accent1" w:themeShade="BF"/>
      <w:spacing w:val="5"/>
    </w:rPr>
  </w:style>
  <w:style w:type="table" w:styleId="TableGrid">
    <w:name w:val="Table Grid"/>
    <w:basedOn w:val="TableNormal"/>
    <w:uiPriority w:val="59"/>
    <w:rsid w:val="008E44C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0033F"/>
    <w:rPr>
      <w:sz w:val="16"/>
      <w:szCs w:val="16"/>
    </w:rPr>
  </w:style>
  <w:style w:type="paragraph" w:styleId="CommentText">
    <w:name w:val="annotation text"/>
    <w:basedOn w:val="Normal"/>
    <w:link w:val="CommentTextChar"/>
    <w:uiPriority w:val="99"/>
    <w:unhideWhenUsed/>
    <w:rsid w:val="0020033F"/>
    <w:pPr>
      <w:spacing w:after="160" w:line="240" w:lineRule="auto"/>
      <w:ind w:firstLine="0"/>
      <w:jc w:val="left"/>
    </w:pPr>
    <w:rPr>
      <w:rFonts w:ascii="Calibri" w:eastAsia="Calibri" w:hAnsi="Calibri" w:cs="Times New Roman"/>
      <w:sz w:val="20"/>
      <w:szCs w:val="20"/>
      <w:lang w:val="pt-BR"/>
    </w:rPr>
  </w:style>
  <w:style w:type="character" w:customStyle="1" w:styleId="CommentTextChar">
    <w:name w:val="Comment Text Char"/>
    <w:basedOn w:val="DefaultParagraphFont"/>
    <w:link w:val="CommentText"/>
    <w:uiPriority w:val="99"/>
    <w:rsid w:val="0020033F"/>
    <w:rPr>
      <w:rFonts w:ascii="Calibri" w:eastAsia="Calibri" w:hAnsi="Calibri" w:cs="Times New Roman"/>
      <w:kern w:val="0"/>
      <w:sz w:val="20"/>
      <w:szCs w:val="20"/>
      <w14:ligatures w14:val="none"/>
    </w:rPr>
  </w:style>
  <w:style w:type="paragraph" w:styleId="Header">
    <w:name w:val="header"/>
    <w:basedOn w:val="Normal"/>
    <w:link w:val="HeaderChar"/>
    <w:uiPriority w:val="99"/>
    <w:unhideWhenUsed/>
    <w:rsid w:val="0020033F"/>
    <w:pPr>
      <w:tabs>
        <w:tab w:val="center" w:pos="4252"/>
        <w:tab w:val="right" w:pos="8504"/>
      </w:tabs>
      <w:spacing w:line="240" w:lineRule="auto"/>
    </w:pPr>
  </w:style>
  <w:style w:type="character" w:customStyle="1" w:styleId="HeaderChar">
    <w:name w:val="Header Char"/>
    <w:basedOn w:val="DefaultParagraphFont"/>
    <w:link w:val="Header"/>
    <w:uiPriority w:val="99"/>
    <w:rsid w:val="0020033F"/>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20033F"/>
    <w:pPr>
      <w:tabs>
        <w:tab w:val="center" w:pos="4252"/>
        <w:tab w:val="right" w:pos="8504"/>
      </w:tabs>
      <w:spacing w:line="240" w:lineRule="auto"/>
    </w:pPr>
  </w:style>
  <w:style w:type="character" w:customStyle="1" w:styleId="FooterChar">
    <w:name w:val="Footer Char"/>
    <w:basedOn w:val="DefaultParagraphFont"/>
    <w:link w:val="Footer"/>
    <w:uiPriority w:val="99"/>
    <w:rsid w:val="0020033F"/>
    <w:rPr>
      <w:rFonts w:ascii="Times New Roman" w:eastAsia="Times New Roman" w:hAnsi="Times New Roman"/>
      <w:kern w:val="0"/>
      <w:szCs w:val="22"/>
      <w:lang w:val="en-US"/>
      <w14:ligatures w14:val="none"/>
    </w:rPr>
  </w:style>
  <w:style w:type="paragraph" w:styleId="TOCHeading">
    <w:name w:val="TOC Heading"/>
    <w:basedOn w:val="Heading1"/>
    <w:next w:val="Normal"/>
    <w:uiPriority w:val="39"/>
    <w:unhideWhenUsed/>
    <w:qFormat/>
    <w:rsid w:val="00D810CD"/>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810CD"/>
    <w:pPr>
      <w:spacing w:after="100"/>
    </w:pPr>
  </w:style>
  <w:style w:type="paragraph" w:styleId="TOC2">
    <w:name w:val="toc 2"/>
    <w:basedOn w:val="Normal"/>
    <w:next w:val="Normal"/>
    <w:autoRedefine/>
    <w:uiPriority w:val="39"/>
    <w:unhideWhenUsed/>
    <w:rsid w:val="00D810CD"/>
    <w:pPr>
      <w:spacing w:after="100"/>
      <w:ind w:left="240"/>
    </w:pPr>
  </w:style>
  <w:style w:type="paragraph" w:styleId="TOC3">
    <w:name w:val="toc 3"/>
    <w:basedOn w:val="Normal"/>
    <w:next w:val="Normal"/>
    <w:autoRedefine/>
    <w:uiPriority w:val="39"/>
    <w:unhideWhenUsed/>
    <w:rsid w:val="00D810CD"/>
    <w:pPr>
      <w:spacing w:after="100"/>
      <w:ind w:left="480"/>
    </w:pPr>
  </w:style>
  <w:style w:type="character" w:styleId="Hyperlink">
    <w:name w:val="Hyperlink"/>
    <w:basedOn w:val="DefaultParagraphFont"/>
    <w:uiPriority w:val="99"/>
    <w:unhideWhenUsed/>
    <w:rsid w:val="00D810C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C9A66-2411-4752-9C59-CCCF8E209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18060</Words>
  <Characters>99335</Characters>
  <Application>Microsoft Office Word</Application>
  <DocSecurity>0</DocSecurity>
  <Lines>2365</Lines>
  <Paragraphs>1210</Paragraphs>
  <ScaleCrop>false</ScaleCrop>
  <Company/>
  <LinksUpToDate>false</LinksUpToDate>
  <CharactersWithSpaces>116185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Efeitos dos choques do preço do petróleo sobre a inflação no Brasil</dc:title>
  <dc:subject/>
  <dc:creator>Pedro Franck Minella</dc:creator>
  <cp:keywords/>
  <dc:description/>
  <cp:lastModifiedBy>Pedro Franck Minella</cp:lastModifiedBy>
  <cp:revision>2</cp:revision>
  <dcterms:created xsi:type="dcterms:W3CDTF">2026-05-15T03:06:00Z</dcterms:created>
  <dcterms:modified xsi:type="dcterms:W3CDTF">2026-05-15T03:06:00Z</dcterms:modified>
</cp:coreProperties>
</file>