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E1CB" w14:textId="77777777" w:rsidR="00803ECB" w:rsidRDefault="00803ECB">
      <w:pPr>
        <w:spacing w:after="0" w:line="360" w:lineRule="auto"/>
        <w:jc w:val="center"/>
        <w:rPr>
          <w:rFonts w:ascii="Arial" w:hAnsi="Arial"/>
          <w:b/>
          <w:bCs/>
          <w:sz w:val="24"/>
          <w:szCs w:val="24"/>
        </w:rPr>
      </w:pPr>
    </w:p>
    <w:p w14:paraId="42A6F04E" w14:textId="77777777" w:rsidR="00803ECB" w:rsidRDefault="00ED1359">
      <w:pPr>
        <w:spacing w:after="0" w:line="360" w:lineRule="auto"/>
        <w:jc w:val="center"/>
        <w:rPr>
          <w:rFonts w:ascii="Arial" w:hAnsi="Arial"/>
          <w:b/>
          <w:bCs/>
          <w:sz w:val="24"/>
          <w:szCs w:val="24"/>
        </w:rPr>
      </w:pPr>
      <w:r w:rsidRPr="00EF6B0F">
        <w:rPr>
          <w:rFonts w:ascii="Arial" w:hAnsi="Arial"/>
          <w:b/>
          <w:bCs/>
          <w:sz w:val="24"/>
          <w:szCs w:val="24"/>
        </w:rPr>
        <w:t>Ibmec-DF</w:t>
      </w:r>
    </w:p>
    <w:p w14:paraId="195DA5B9" w14:textId="77777777" w:rsidR="00803ECB" w:rsidRDefault="00ED1359">
      <w:pPr>
        <w:spacing w:after="0" w:line="360" w:lineRule="auto"/>
        <w:jc w:val="center"/>
        <w:rPr>
          <w:rFonts w:ascii="Arial" w:hAnsi="Arial"/>
          <w:b/>
          <w:bCs/>
          <w:sz w:val="24"/>
          <w:szCs w:val="24"/>
        </w:rPr>
      </w:pPr>
      <w:r w:rsidRPr="00EF6B0F">
        <w:rPr>
          <w:rFonts w:ascii="Arial" w:hAnsi="Arial"/>
          <w:b/>
          <w:bCs/>
          <w:sz w:val="24"/>
          <w:szCs w:val="24"/>
        </w:rPr>
        <w:t>Trabalho de Conclusão de Curso</w:t>
      </w:r>
    </w:p>
    <w:p w14:paraId="38AB6554" w14:textId="77777777" w:rsidR="00803ECB" w:rsidRDefault="00803ECB">
      <w:pPr>
        <w:spacing w:after="0" w:line="360" w:lineRule="auto"/>
        <w:jc w:val="center"/>
        <w:rPr>
          <w:rFonts w:ascii="Arial" w:hAnsi="Arial"/>
          <w:b/>
          <w:bCs/>
          <w:sz w:val="24"/>
          <w:szCs w:val="24"/>
        </w:rPr>
      </w:pPr>
    </w:p>
    <w:p w14:paraId="225B070F" w14:textId="77777777" w:rsidR="00803ECB" w:rsidRDefault="00803ECB">
      <w:pPr>
        <w:spacing w:after="0" w:line="360" w:lineRule="auto"/>
        <w:jc w:val="center"/>
        <w:rPr>
          <w:rFonts w:ascii="Arial" w:hAnsi="Arial"/>
          <w:b/>
          <w:bCs/>
          <w:sz w:val="24"/>
          <w:szCs w:val="24"/>
        </w:rPr>
      </w:pPr>
    </w:p>
    <w:p w14:paraId="192A7F20" w14:textId="77777777" w:rsidR="00803ECB" w:rsidRDefault="00803ECB">
      <w:pPr>
        <w:spacing w:after="0" w:line="360" w:lineRule="auto"/>
        <w:jc w:val="center"/>
        <w:rPr>
          <w:rFonts w:ascii="Arial" w:hAnsi="Arial"/>
          <w:b/>
          <w:bCs/>
          <w:sz w:val="24"/>
          <w:szCs w:val="24"/>
        </w:rPr>
      </w:pPr>
    </w:p>
    <w:p w14:paraId="0E5BBCB4" w14:textId="77777777" w:rsidR="00803ECB" w:rsidRDefault="00803ECB">
      <w:pPr>
        <w:spacing w:after="0" w:line="360" w:lineRule="auto"/>
        <w:jc w:val="center"/>
        <w:rPr>
          <w:rFonts w:ascii="Arial" w:hAnsi="Arial"/>
          <w:b/>
          <w:bCs/>
          <w:sz w:val="24"/>
          <w:szCs w:val="24"/>
        </w:rPr>
      </w:pPr>
    </w:p>
    <w:p w14:paraId="70630334" w14:textId="77777777" w:rsidR="00803ECB" w:rsidRDefault="00803ECB">
      <w:pPr>
        <w:spacing w:after="0" w:line="360" w:lineRule="auto"/>
        <w:jc w:val="center"/>
        <w:rPr>
          <w:rFonts w:ascii="Arial" w:hAnsi="Arial"/>
          <w:b/>
          <w:bCs/>
          <w:sz w:val="24"/>
          <w:szCs w:val="24"/>
        </w:rPr>
      </w:pPr>
    </w:p>
    <w:p w14:paraId="217EDC7A" w14:textId="77777777" w:rsidR="00803ECB" w:rsidRDefault="00803ECB">
      <w:pPr>
        <w:spacing w:after="0" w:line="360" w:lineRule="auto"/>
        <w:jc w:val="center"/>
        <w:rPr>
          <w:rFonts w:ascii="Arial" w:hAnsi="Arial"/>
          <w:b/>
          <w:bCs/>
          <w:sz w:val="24"/>
          <w:szCs w:val="24"/>
        </w:rPr>
      </w:pPr>
    </w:p>
    <w:p w14:paraId="1ADCEE18" w14:textId="77777777" w:rsidR="00803ECB" w:rsidRDefault="00ED1359">
      <w:pPr>
        <w:spacing w:after="0" w:line="360" w:lineRule="auto"/>
        <w:jc w:val="center"/>
        <w:rPr>
          <w:rFonts w:ascii="Arial" w:hAnsi="Arial"/>
          <w:b/>
          <w:bCs/>
          <w:sz w:val="24"/>
          <w:szCs w:val="24"/>
        </w:rPr>
      </w:pPr>
      <w:r w:rsidRPr="00EF6B0F">
        <w:rPr>
          <w:rFonts w:ascii="Arial" w:hAnsi="Arial"/>
          <w:b/>
          <w:bCs/>
          <w:sz w:val="24"/>
          <w:szCs w:val="24"/>
        </w:rPr>
        <w:t>Ciências Econômicas</w:t>
      </w:r>
    </w:p>
    <w:p w14:paraId="28A6C3EB" w14:textId="77777777" w:rsidR="00803ECB" w:rsidRDefault="00803ECB">
      <w:pPr>
        <w:spacing w:after="0" w:line="360" w:lineRule="auto"/>
        <w:jc w:val="center"/>
        <w:rPr>
          <w:rFonts w:ascii="Arial" w:hAnsi="Arial"/>
          <w:b/>
          <w:bCs/>
          <w:sz w:val="24"/>
          <w:szCs w:val="24"/>
        </w:rPr>
      </w:pPr>
    </w:p>
    <w:p w14:paraId="20B6E6DD" w14:textId="77777777" w:rsidR="00803ECB" w:rsidRDefault="00803ECB">
      <w:pPr>
        <w:spacing w:after="0" w:line="360" w:lineRule="auto"/>
        <w:jc w:val="center"/>
        <w:rPr>
          <w:rFonts w:ascii="Arial" w:hAnsi="Arial"/>
          <w:b/>
          <w:bCs/>
          <w:sz w:val="24"/>
          <w:szCs w:val="24"/>
        </w:rPr>
      </w:pPr>
    </w:p>
    <w:p w14:paraId="23C3739E" w14:textId="77777777" w:rsidR="00803ECB" w:rsidRDefault="00803ECB">
      <w:pPr>
        <w:spacing w:after="0" w:line="360" w:lineRule="auto"/>
        <w:jc w:val="center"/>
        <w:rPr>
          <w:rFonts w:ascii="Arial" w:hAnsi="Arial"/>
          <w:b/>
          <w:bCs/>
          <w:sz w:val="24"/>
          <w:szCs w:val="24"/>
        </w:rPr>
      </w:pPr>
    </w:p>
    <w:p w14:paraId="1C374B3E" w14:textId="77777777" w:rsidR="00803ECB" w:rsidRDefault="00803ECB">
      <w:pPr>
        <w:spacing w:after="0" w:line="360" w:lineRule="auto"/>
        <w:jc w:val="center"/>
        <w:rPr>
          <w:rFonts w:ascii="Arial" w:hAnsi="Arial"/>
          <w:b/>
          <w:bCs/>
          <w:sz w:val="24"/>
          <w:szCs w:val="24"/>
        </w:rPr>
      </w:pPr>
    </w:p>
    <w:p w14:paraId="104E5102" w14:textId="77777777" w:rsidR="00803ECB" w:rsidRDefault="00803ECB">
      <w:pPr>
        <w:spacing w:after="0" w:line="360" w:lineRule="auto"/>
        <w:jc w:val="center"/>
        <w:rPr>
          <w:rFonts w:ascii="Arial" w:hAnsi="Arial"/>
          <w:b/>
          <w:bCs/>
          <w:sz w:val="24"/>
          <w:szCs w:val="24"/>
        </w:rPr>
      </w:pPr>
    </w:p>
    <w:p w14:paraId="27867825" w14:textId="77777777" w:rsidR="00803ECB" w:rsidRDefault="00ED1359">
      <w:pPr>
        <w:spacing w:after="0" w:line="360" w:lineRule="auto"/>
        <w:jc w:val="center"/>
        <w:rPr>
          <w:rFonts w:ascii="Arial" w:hAnsi="Arial"/>
          <w:b/>
          <w:bCs/>
          <w:sz w:val="24"/>
          <w:szCs w:val="24"/>
        </w:rPr>
      </w:pPr>
      <w:r w:rsidRPr="00EF6B0F">
        <w:rPr>
          <w:rFonts w:ascii="Arial" w:hAnsi="Arial"/>
          <w:b/>
          <w:bCs/>
          <w:sz w:val="24"/>
          <w:szCs w:val="24"/>
        </w:rPr>
        <w:t>PEDRO FRANCK MINELLA</w:t>
      </w:r>
    </w:p>
    <w:p w14:paraId="6CBBE2AE" w14:textId="77777777" w:rsidR="00803ECB" w:rsidRDefault="00803ECB">
      <w:pPr>
        <w:jc w:val="center"/>
        <w:rPr>
          <w:rFonts w:ascii="Arial" w:hAnsi="Arial" w:cs="Arial"/>
          <w:sz w:val="24"/>
          <w:szCs w:val="24"/>
        </w:rPr>
      </w:pPr>
    </w:p>
    <w:p w14:paraId="7EF412BC" w14:textId="77777777" w:rsidR="00803ECB" w:rsidRDefault="00803ECB">
      <w:pPr>
        <w:jc w:val="center"/>
        <w:rPr>
          <w:rFonts w:ascii="Arial" w:hAnsi="Arial" w:cs="Arial"/>
          <w:b/>
          <w:bCs/>
          <w:sz w:val="24"/>
          <w:szCs w:val="24"/>
        </w:rPr>
      </w:pPr>
    </w:p>
    <w:p w14:paraId="747FBB4B" w14:textId="77777777" w:rsidR="00803ECB" w:rsidRDefault="00803ECB">
      <w:pPr>
        <w:jc w:val="center"/>
        <w:rPr>
          <w:rFonts w:ascii="Arial" w:hAnsi="Arial" w:cs="Arial"/>
          <w:b/>
          <w:bCs/>
          <w:sz w:val="24"/>
          <w:szCs w:val="24"/>
        </w:rPr>
      </w:pPr>
    </w:p>
    <w:p w14:paraId="634115F8" w14:textId="77777777" w:rsidR="00803ECB" w:rsidRDefault="00803ECB">
      <w:pPr>
        <w:jc w:val="center"/>
        <w:rPr>
          <w:rFonts w:ascii="Arial" w:hAnsi="Arial" w:cs="Arial"/>
          <w:b/>
          <w:bCs/>
          <w:sz w:val="24"/>
          <w:szCs w:val="24"/>
        </w:rPr>
      </w:pPr>
    </w:p>
    <w:p w14:paraId="52F4B052" w14:textId="77777777" w:rsidR="00803ECB" w:rsidRDefault="00803ECB">
      <w:pPr>
        <w:jc w:val="center"/>
        <w:rPr>
          <w:rFonts w:ascii="Arial" w:hAnsi="Arial" w:cs="Arial"/>
          <w:b/>
          <w:bCs/>
          <w:sz w:val="24"/>
          <w:szCs w:val="24"/>
        </w:rPr>
      </w:pPr>
    </w:p>
    <w:p w14:paraId="101D22D7" w14:textId="77777777" w:rsidR="00803ECB" w:rsidRDefault="00ED1359">
      <w:pPr>
        <w:rPr>
          <w:rFonts w:ascii="Arial" w:hAnsi="Arial" w:cs="Arial"/>
          <w:sz w:val="24"/>
          <w:szCs w:val="24"/>
          <w:u w:val="single"/>
        </w:rPr>
      </w:pPr>
      <w:r w:rsidRPr="00EF6B0F">
        <w:rPr>
          <w:rFonts w:ascii="Arial" w:hAnsi="Arial" w:cs="Arial"/>
          <w:noProof/>
          <w:sz w:val="24"/>
          <w:szCs w:val="24"/>
        </w:rPr>
        <mc:AlternateContent>
          <mc:Choice Requires="wps">
            <w:drawing>
              <wp:anchor distT="0" distB="0" distL="114300" distR="114300" simplePos="0" relativeHeight="251658240" behindDoc="1" locked="1" layoutInCell="1" allowOverlap="1" wp14:anchorId="5CD43F1E" wp14:editId="55865A75">
                <wp:simplePos x="0" y="0"/>
                <wp:positionH relativeFrom="margin">
                  <wp:posOffset>1648460</wp:posOffset>
                </wp:positionH>
                <wp:positionV relativeFrom="margin">
                  <wp:posOffset>8313420</wp:posOffset>
                </wp:positionV>
                <wp:extent cx="2426335" cy="578485"/>
                <wp:effectExtent l="0" t="0" r="0" b="0"/>
                <wp:wrapSquare wrapText="bothSides"/>
                <wp:docPr id="764934255" name="Caixa de Texto 1"/>
                <wp:cNvGraphicFramePr/>
                <a:graphic xmlns:a="http://schemas.openxmlformats.org/drawingml/2006/main">
                  <a:graphicData uri="http://schemas.microsoft.com/office/word/2010/wordprocessingShape">
                    <wps:wsp>
                      <wps:cNvSpPr txBox="1"/>
                      <wps:spPr>
                        <a:xfrm>
                          <a:off x="0" y="0"/>
                          <a:ext cx="2426335" cy="578485"/>
                        </a:xfrm>
                        <a:prstGeom prst="rect">
                          <a:avLst/>
                        </a:prstGeom>
                        <a:noFill/>
                        <a:ln w="6350">
                          <a:noFill/>
                        </a:ln>
                      </wps:spPr>
                      <wps:txbx>
                        <w:txbxContent>
                          <w:p w14:paraId="1F2AF27A" w14:textId="77777777" w:rsidR="00803ECB" w:rsidRDefault="00ED1359">
                            <w:pPr>
                              <w:tabs>
                                <w:tab w:val="left" w:pos="1843"/>
                              </w:tabs>
                              <w:jc w:val="center"/>
                              <w:rPr>
                                <w:rFonts w:ascii="Arial" w:hAnsi="Arial" w:cs="Arial"/>
                              </w:rPr>
                            </w:pPr>
                            <w:r>
                              <w:rPr>
                                <w:rFonts w:ascii="Arial" w:hAnsi="Arial" w:cs="Arial"/>
                              </w:rPr>
                              <w:t>Brasília/DF</w:t>
                            </w:r>
                          </w:p>
                          <w:p w14:paraId="4DA4F11C" w14:textId="77777777" w:rsidR="00803ECB" w:rsidRDefault="00ED1359">
                            <w:pPr>
                              <w:tabs>
                                <w:tab w:val="left" w:pos="1843"/>
                              </w:tabs>
                              <w:jc w:val="center"/>
                              <w:rPr>
                                <w:rFonts w:ascii="Arial" w:hAnsi="Arial" w:cs="Arial"/>
                              </w:rPr>
                            </w:pPr>
                            <w:r>
                              <w:rPr>
                                <w:rFonts w:ascii="Arial" w:hAnsi="Arial" w:cs="Arial"/>
                              </w:rPr>
                              <w:t>2026</w:t>
                            </w:r>
                          </w:p>
                          <w:p w14:paraId="4BC2A141" w14:textId="77777777" w:rsidR="00803ECB" w:rsidRDefault="00803ECB">
                            <w:pPr>
                              <w:tabs>
                                <w:tab w:val="left" w:pos="1843"/>
                              </w:tabs>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CD43F1E" id="_x0000_t202" coordsize="21600,21600" o:spt="202" path="m,l,21600r21600,l21600,xe">
                <v:stroke joinstyle="miter"/>
                <v:path gradientshapeok="t" o:connecttype="rect"/>
              </v:shapetype>
              <v:shape id="Caixa de Texto 1" o:spid="_x0000_s1026" type="#_x0000_t202" style="position:absolute;margin-left:129.8pt;margin-top:654.6pt;width:191.05pt;height:45.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" filled="f" stroked="f" strokeweight=".5pt">
                <v:textbox>
                  <w:txbxContent>
                    <w:p w14:paraId="1F2AF27A" w14:textId="77777777" w:rsidR="00803ECB" w:rsidRDefault="00ED1359">
                      <w:pPr>
                        <w:tabs>
                          <w:tab w:val="left" w:pos="1843"/>
                        </w:tabs>
                        <w:jc w:val="center"/>
                        <w:rPr>
                          <w:rFonts w:ascii="Arial" w:hAnsi="Arial" w:cs="Arial"/>
                        </w:rPr>
                      </w:pPr>
                      <w:r>
                        <w:rPr>
                          <w:rFonts w:ascii="Arial" w:hAnsi="Arial" w:cs="Arial"/>
                        </w:rPr>
                        <w:t>Brasília/DF</w:t>
                      </w:r>
                    </w:p>
                    <w:p w14:paraId="4DA4F11C" w14:textId="77777777" w:rsidR="00803ECB" w:rsidRDefault="00ED1359">
                      <w:pPr>
                        <w:tabs>
                          <w:tab w:val="left" w:pos="1843"/>
                        </w:tabs>
                        <w:jc w:val="center"/>
                        <w:rPr>
                          <w:rFonts w:ascii="Arial" w:hAnsi="Arial" w:cs="Arial"/>
                        </w:rPr>
                      </w:pPr>
                      <w:r>
                        <w:rPr>
                          <w:rFonts w:ascii="Arial" w:hAnsi="Arial" w:cs="Arial"/>
                        </w:rPr>
                        <w:t>2026</w:t>
                      </w:r>
                    </w:p>
                    <w:p w14:paraId="4BC2A141" w14:textId="77777777" w:rsidR="00803ECB" w:rsidRDefault="00803ECB">
                      <w:pPr>
                        <w:tabs>
                          <w:tab w:val="left" w:pos="1843"/>
                        </w:tabs>
                      </w:pPr>
                    </w:p>
                  </w:txbxContent>
                </v:textbox>
                <w10:wrap type="square" anchorx="margin" anchory="margin"/>
                <w10:anchorlock/>
              </v:shape>
            </w:pict>
          </mc:Fallback>
        </mc:AlternateContent>
      </w:r>
      <w:r>
        <w:br w:type="page"/>
      </w:r>
    </w:p>
    <w:p w14:paraId="48CE5EE8" w14:textId="77777777" w:rsidR="00803ECB" w:rsidRDefault="00ED1359">
      <w:pPr>
        <w:jc w:val="center"/>
        <w:rPr>
          <w:rFonts w:ascii="Arial" w:hAnsi="Arial" w:cs="Arial"/>
          <w:sz w:val="24"/>
          <w:szCs w:val="24"/>
          <w:u w:val="single"/>
        </w:rPr>
      </w:pPr>
      <w:r w:rsidRPr="00EF6B0F">
        <w:rPr>
          <w:rFonts w:ascii="Arial" w:hAnsi="Arial" w:cs="Arial"/>
          <w:sz w:val="24"/>
          <w:szCs w:val="24"/>
        </w:rPr>
        <w:lastRenderedPageBreak/>
        <w:t>PEDRO FRANCK MINELLA</w:t>
      </w:r>
    </w:p>
    <w:p w14:paraId="301BCB17" w14:textId="77777777" w:rsidR="00803ECB" w:rsidRDefault="00803ECB">
      <w:pPr>
        <w:jc w:val="center"/>
        <w:rPr>
          <w:rFonts w:ascii="Arial" w:hAnsi="Arial" w:cs="Arial"/>
          <w:sz w:val="24"/>
          <w:szCs w:val="24"/>
        </w:rPr>
      </w:pPr>
    </w:p>
    <w:p w14:paraId="354AFEE8" w14:textId="77777777" w:rsidR="00803ECB" w:rsidRDefault="00803ECB">
      <w:pPr>
        <w:jc w:val="center"/>
        <w:rPr>
          <w:rFonts w:ascii="Arial" w:hAnsi="Arial" w:cs="Arial"/>
          <w:sz w:val="24"/>
          <w:szCs w:val="24"/>
        </w:rPr>
      </w:pPr>
    </w:p>
    <w:p w14:paraId="1921E40C" w14:textId="77777777" w:rsidR="00803ECB" w:rsidRDefault="00803ECB">
      <w:pPr>
        <w:jc w:val="center"/>
        <w:rPr>
          <w:rFonts w:ascii="Arial" w:hAnsi="Arial" w:cs="Arial"/>
          <w:sz w:val="24"/>
          <w:szCs w:val="24"/>
        </w:rPr>
      </w:pPr>
    </w:p>
    <w:p w14:paraId="44366B10" w14:textId="77777777" w:rsidR="00803ECB" w:rsidRDefault="00803ECB">
      <w:pPr>
        <w:jc w:val="center"/>
        <w:rPr>
          <w:rFonts w:ascii="Arial" w:hAnsi="Arial" w:cs="Arial"/>
          <w:sz w:val="24"/>
          <w:szCs w:val="24"/>
        </w:rPr>
      </w:pPr>
    </w:p>
    <w:p w14:paraId="76B62252" w14:textId="77777777" w:rsidR="00803ECB" w:rsidRDefault="00803ECB">
      <w:pPr>
        <w:jc w:val="center"/>
        <w:rPr>
          <w:rFonts w:ascii="Arial" w:hAnsi="Arial" w:cs="Arial"/>
          <w:sz w:val="24"/>
          <w:szCs w:val="24"/>
        </w:rPr>
      </w:pPr>
    </w:p>
    <w:p w14:paraId="444F9801" w14:textId="77777777" w:rsidR="00803ECB" w:rsidRDefault="00ED1359">
      <w:pPr>
        <w:jc w:val="center"/>
        <w:rPr>
          <w:rFonts w:ascii="Arial" w:hAnsi="Arial" w:cs="Arial"/>
          <w:sz w:val="24"/>
          <w:szCs w:val="24"/>
        </w:rPr>
      </w:pPr>
      <w:r w:rsidRPr="00EF6B0F">
        <w:rPr>
          <w:rFonts w:ascii="Arial" w:hAnsi="Arial" w:cs="Arial"/>
          <w:sz w:val="24"/>
          <w:szCs w:val="24"/>
        </w:rPr>
        <w:t>Efeitos dos Choques do Preço do Petróleo sobre a Inflação no Brasil: Evidências via Combustíveis, Petrobras, VAR e Local Projections entre 2003 e 2026</w:t>
      </w:r>
    </w:p>
    <w:p w14:paraId="3C872DB6" w14:textId="77777777" w:rsidR="00803ECB" w:rsidRDefault="00803ECB">
      <w:pPr>
        <w:jc w:val="center"/>
        <w:rPr>
          <w:rFonts w:ascii="Arial" w:hAnsi="Arial" w:cs="Arial"/>
          <w:sz w:val="24"/>
          <w:szCs w:val="24"/>
        </w:rPr>
      </w:pPr>
    </w:p>
    <w:p w14:paraId="28F186AB" w14:textId="77777777" w:rsidR="00803ECB" w:rsidRDefault="00803ECB">
      <w:pPr>
        <w:jc w:val="center"/>
        <w:rPr>
          <w:rFonts w:ascii="Arial" w:hAnsi="Arial" w:cs="Arial"/>
          <w:sz w:val="24"/>
          <w:szCs w:val="24"/>
        </w:rPr>
      </w:pPr>
    </w:p>
    <w:p w14:paraId="54C82902" w14:textId="77777777" w:rsidR="00803ECB" w:rsidRDefault="00803ECB">
      <w:pPr>
        <w:jc w:val="center"/>
        <w:rPr>
          <w:rFonts w:ascii="Arial" w:hAnsi="Arial" w:cs="Arial"/>
          <w:sz w:val="24"/>
          <w:szCs w:val="24"/>
        </w:rPr>
      </w:pPr>
    </w:p>
    <w:p w14:paraId="1DDA183B" w14:textId="77777777" w:rsidR="00803ECB" w:rsidRDefault="00803ECB">
      <w:pPr>
        <w:jc w:val="center"/>
        <w:rPr>
          <w:rFonts w:ascii="Arial" w:hAnsi="Arial" w:cs="Arial"/>
          <w:sz w:val="24"/>
          <w:szCs w:val="24"/>
        </w:rPr>
      </w:pPr>
    </w:p>
    <w:p w14:paraId="52E0557E" w14:textId="77777777" w:rsidR="00803ECB" w:rsidRDefault="00803ECB">
      <w:pPr>
        <w:jc w:val="center"/>
        <w:rPr>
          <w:rFonts w:ascii="Arial" w:hAnsi="Arial" w:cs="Arial"/>
          <w:sz w:val="24"/>
          <w:szCs w:val="24"/>
        </w:rPr>
      </w:pPr>
    </w:p>
    <w:p w14:paraId="033C963F" w14:textId="77777777" w:rsidR="00803ECB" w:rsidRDefault="00803ECB">
      <w:pPr>
        <w:jc w:val="center"/>
        <w:rPr>
          <w:rFonts w:ascii="Arial" w:hAnsi="Arial" w:cs="Arial"/>
          <w:sz w:val="24"/>
          <w:szCs w:val="24"/>
        </w:rPr>
      </w:pPr>
    </w:p>
    <w:p w14:paraId="465CAFB3" w14:textId="77777777" w:rsidR="00803ECB" w:rsidRDefault="00ED1359">
      <w:pPr>
        <w:jc w:val="center"/>
        <w:rPr>
          <w:rFonts w:ascii="Arial" w:hAnsi="Arial" w:cs="Arial"/>
          <w:sz w:val="24"/>
          <w:szCs w:val="24"/>
        </w:rPr>
      </w:pPr>
      <w:r w:rsidRPr="00EF6B0F">
        <w:rPr>
          <w:rFonts w:ascii="Arial" w:hAnsi="Arial" w:cs="Arial"/>
          <w:sz w:val="24"/>
          <w:szCs w:val="24"/>
        </w:rPr>
        <w:t>Trabalho de Conclusão de Curso</w:t>
      </w:r>
    </w:p>
    <w:p w14:paraId="6CCD4470" w14:textId="77777777" w:rsidR="00803ECB" w:rsidRDefault="00803ECB">
      <w:pPr>
        <w:jc w:val="center"/>
        <w:rPr>
          <w:rFonts w:ascii="Arial" w:hAnsi="Arial" w:cs="Arial"/>
          <w:sz w:val="24"/>
          <w:szCs w:val="24"/>
        </w:rPr>
      </w:pPr>
    </w:p>
    <w:p w14:paraId="19C76870" w14:textId="77777777" w:rsidR="00803ECB" w:rsidRDefault="00803ECB">
      <w:pPr>
        <w:jc w:val="center"/>
        <w:rPr>
          <w:rFonts w:ascii="Arial" w:hAnsi="Arial" w:cs="Arial"/>
          <w:sz w:val="24"/>
          <w:szCs w:val="24"/>
        </w:rPr>
      </w:pPr>
    </w:p>
    <w:p w14:paraId="11FE4BF5" w14:textId="77777777" w:rsidR="00803ECB" w:rsidRDefault="00ED1359">
      <w:pPr>
        <w:spacing w:line="240" w:lineRule="auto"/>
        <w:ind w:left="4536"/>
        <w:jc w:val="both"/>
        <w:rPr>
          <w:rFonts w:ascii="Arial" w:hAnsi="Arial" w:cs="Arial"/>
          <w:sz w:val="24"/>
          <w:szCs w:val="24"/>
        </w:rPr>
      </w:pPr>
      <w:r w:rsidRPr="00EF6B0F">
        <w:rPr>
          <w:rFonts w:ascii="Arial" w:hAnsi="Arial" w:cs="Arial"/>
          <w:sz w:val="24"/>
          <w:szCs w:val="24"/>
        </w:rPr>
        <w:t>Trabalho de Conclusão de Curso apresentado como requisito para obtenção do título de Bacharel em Ciências Econômicas pelo Ibmec-DF</w:t>
      </w:r>
    </w:p>
    <w:p w14:paraId="63B4C37A" w14:textId="77777777" w:rsidR="00803ECB" w:rsidRDefault="00ED1359">
      <w:pPr>
        <w:spacing w:line="240" w:lineRule="auto"/>
        <w:ind w:left="4536"/>
        <w:jc w:val="both"/>
        <w:rPr>
          <w:rFonts w:ascii="Arial" w:hAnsi="Arial" w:cs="Arial"/>
          <w:sz w:val="24"/>
          <w:szCs w:val="24"/>
        </w:rPr>
      </w:pPr>
      <w:r w:rsidRPr="00EF6B0F">
        <w:rPr>
          <w:rFonts w:ascii="Arial" w:hAnsi="Arial" w:cs="Arial"/>
          <w:sz w:val="24"/>
          <w:szCs w:val="24"/>
        </w:rPr>
        <w:t>Orientadora: Prof (ª). Silvio Costa</w:t>
      </w:r>
    </w:p>
    <w:p w14:paraId="28BC187B" w14:textId="77777777" w:rsidR="00803ECB" w:rsidRDefault="00803ECB">
      <w:pPr>
        <w:spacing w:line="240" w:lineRule="auto"/>
        <w:ind w:left="4536"/>
        <w:jc w:val="both"/>
        <w:rPr>
          <w:rFonts w:ascii="Arial" w:hAnsi="Arial" w:cs="Arial"/>
          <w:sz w:val="24"/>
          <w:szCs w:val="24"/>
        </w:rPr>
      </w:pPr>
    </w:p>
    <w:p w14:paraId="5303F582" w14:textId="77777777" w:rsidR="00803ECB" w:rsidRDefault="00803ECB">
      <w:pPr>
        <w:spacing w:line="240" w:lineRule="auto"/>
        <w:ind w:left="4536"/>
        <w:jc w:val="both"/>
        <w:rPr>
          <w:rFonts w:ascii="Arial" w:hAnsi="Arial" w:cs="Arial"/>
          <w:sz w:val="24"/>
          <w:szCs w:val="24"/>
        </w:rPr>
      </w:pPr>
    </w:p>
    <w:p w14:paraId="59EE595C" w14:textId="77777777" w:rsidR="00803ECB" w:rsidRDefault="00803ECB">
      <w:pPr>
        <w:jc w:val="center"/>
        <w:rPr>
          <w:rFonts w:ascii="Arial" w:hAnsi="Arial" w:cs="Arial"/>
        </w:rPr>
      </w:pPr>
    </w:p>
    <w:p w14:paraId="27E71629" w14:textId="77777777" w:rsidR="00803ECB" w:rsidRDefault="00ED1359">
      <w:pPr>
        <w:rPr>
          <w:rFonts w:ascii="Arial" w:hAnsi="Arial" w:cs="Arial"/>
          <w:b/>
          <w:bCs/>
        </w:rPr>
      </w:pPr>
      <w:r w:rsidRPr="00EF6B0F">
        <w:rPr>
          <w:rFonts w:ascii="Arial" w:hAnsi="Arial" w:cs="Arial"/>
          <w:noProof/>
          <w:sz w:val="24"/>
          <w:szCs w:val="24"/>
        </w:rPr>
        <mc:AlternateContent>
          <mc:Choice Requires="wps">
            <w:drawing>
              <wp:anchor distT="0" distB="0" distL="114300" distR="114300" simplePos="0" relativeHeight="251660288" behindDoc="1" locked="1" layoutInCell="1" allowOverlap="1" wp14:anchorId="1E491E50" wp14:editId="761C9470">
                <wp:simplePos x="0" y="0"/>
                <wp:positionH relativeFrom="margin">
                  <wp:posOffset>1647190</wp:posOffset>
                </wp:positionH>
                <wp:positionV relativeFrom="margin">
                  <wp:posOffset>8509635</wp:posOffset>
                </wp:positionV>
                <wp:extent cx="2426335" cy="578485"/>
                <wp:effectExtent l="0" t="0" r="0" b="0"/>
                <wp:wrapTight wrapText="bothSides">
                  <wp:wrapPolygon edited="0">
                    <wp:start x="509" y="0"/>
                    <wp:lineTo x="509" y="20628"/>
                    <wp:lineTo x="21029" y="20628"/>
                    <wp:lineTo x="21029" y="0"/>
                    <wp:lineTo x="509" y="0"/>
                  </wp:wrapPolygon>
                </wp:wrapTight>
                <wp:docPr id="2042019969" name="Caixa de Texto 1"/>
                <wp:cNvGraphicFramePr/>
                <a:graphic xmlns:a="http://schemas.openxmlformats.org/drawingml/2006/main">
                  <a:graphicData uri="http://schemas.microsoft.com/office/word/2010/wordprocessingShape">
                    <wps:wsp>
                      <wps:cNvSpPr txBox="1"/>
                      <wps:spPr>
                        <a:xfrm>
                          <a:off x="0" y="0"/>
                          <a:ext cx="2426335" cy="578485"/>
                        </a:xfrm>
                        <a:prstGeom prst="rect">
                          <a:avLst/>
                        </a:prstGeom>
                        <a:noFill/>
                        <a:ln w="6350">
                          <a:noFill/>
                        </a:ln>
                      </wps:spPr>
                      <wps:txbx>
                        <w:txbxContent>
                          <w:p w14:paraId="17146734" w14:textId="77777777" w:rsidR="00803ECB" w:rsidRDefault="00ED1359">
                            <w:pPr>
                              <w:tabs>
                                <w:tab w:val="left" w:pos="1843"/>
                              </w:tabs>
                              <w:jc w:val="center"/>
                              <w:rPr>
                                <w:rFonts w:ascii="Arial" w:hAnsi="Arial" w:cs="Arial"/>
                              </w:rPr>
                            </w:pPr>
                            <w:r>
                              <w:rPr>
                                <w:rFonts w:ascii="Arial" w:hAnsi="Arial" w:cs="Arial"/>
                              </w:rPr>
                              <w:t>Brasília/DF</w:t>
                            </w:r>
                          </w:p>
                          <w:p w14:paraId="04C806F8" w14:textId="77777777" w:rsidR="00803ECB" w:rsidRDefault="00ED1359">
                            <w:pPr>
                              <w:tabs>
                                <w:tab w:val="left" w:pos="1843"/>
                              </w:tabs>
                              <w:jc w:val="center"/>
                              <w:rPr>
                                <w:rFonts w:ascii="Arial" w:hAnsi="Arial" w:cs="Arial"/>
                              </w:rPr>
                            </w:pPr>
                            <w:r>
                              <w:rPr>
                                <w:rFonts w:ascii="Arial" w:hAnsi="Arial" w:cs="Arial"/>
                              </w:rPr>
                              <w:t>2026</w:t>
                            </w:r>
                          </w:p>
                          <w:p w14:paraId="08BFF9BE" w14:textId="77777777" w:rsidR="00803ECB" w:rsidRDefault="00803ECB">
                            <w:pPr>
                              <w:tabs>
                                <w:tab w:val="left" w:pos="1843"/>
                              </w:tabs>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E491E50" id="_x0000_s1027" type="#_x0000_t202" style="position:absolute;margin-left:129.7pt;margin-top:670.05pt;width:191.05pt;height:45.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" filled="f" stroked="f" strokeweight=".5pt">
                <v:textbox>
                  <w:txbxContent>
                    <w:p w14:paraId="17146734" w14:textId="77777777" w:rsidR="00803ECB" w:rsidRDefault="00ED1359">
                      <w:pPr>
                        <w:tabs>
                          <w:tab w:val="left" w:pos="1843"/>
                        </w:tabs>
                        <w:jc w:val="center"/>
                        <w:rPr>
                          <w:rFonts w:ascii="Arial" w:hAnsi="Arial" w:cs="Arial"/>
                        </w:rPr>
                      </w:pPr>
                      <w:r>
                        <w:rPr>
                          <w:rFonts w:ascii="Arial" w:hAnsi="Arial" w:cs="Arial"/>
                        </w:rPr>
                        <w:t>Brasília/DF</w:t>
                      </w:r>
                    </w:p>
                    <w:p w14:paraId="04C806F8" w14:textId="77777777" w:rsidR="00803ECB" w:rsidRDefault="00ED1359">
                      <w:pPr>
                        <w:tabs>
                          <w:tab w:val="left" w:pos="1843"/>
                        </w:tabs>
                        <w:jc w:val="center"/>
                        <w:rPr>
                          <w:rFonts w:ascii="Arial" w:hAnsi="Arial" w:cs="Arial"/>
                        </w:rPr>
                      </w:pPr>
                      <w:r>
                        <w:rPr>
                          <w:rFonts w:ascii="Arial" w:hAnsi="Arial" w:cs="Arial"/>
                        </w:rPr>
                        <w:t>2026</w:t>
                      </w:r>
                    </w:p>
                    <w:p w14:paraId="08BFF9BE" w14:textId="77777777" w:rsidR="00803ECB" w:rsidRDefault="00803ECB">
                      <w:pPr>
                        <w:tabs>
                          <w:tab w:val="left" w:pos="1843"/>
                        </w:tabs>
                      </w:pPr>
                    </w:p>
                  </w:txbxContent>
                </v:textbox>
                <w10:wrap type="tight" anchorx="margin" anchory="margin"/>
                <w10:anchorlock/>
              </v:shape>
            </w:pict>
          </mc:Fallback>
        </mc:AlternateContent>
      </w:r>
      <w:r>
        <w:br w:type="page"/>
      </w:r>
    </w:p>
    <w:p w14:paraId="6749E069" w14:textId="77777777" w:rsidR="00803ECB" w:rsidRDefault="00ED1359">
      <w:pPr>
        <w:jc w:val="center"/>
        <w:rPr>
          <w:rFonts w:ascii="Arial" w:hAnsi="Arial" w:cs="Arial"/>
          <w:b/>
          <w:bCs/>
          <w:sz w:val="24"/>
          <w:szCs w:val="24"/>
        </w:rPr>
      </w:pPr>
      <w:r w:rsidRPr="008B4A6B">
        <w:rPr>
          <w:rFonts w:ascii="Arial" w:hAnsi="Arial" w:cs="Arial"/>
          <w:b/>
          <w:bCs/>
          <w:sz w:val="24"/>
          <w:szCs w:val="24"/>
        </w:rPr>
        <w:lastRenderedPageBreak/>
        <w:t>RESUMO</w:t>
      </w:r>
    </w:p>
    <w:p w14:paraId="1832FADB" w14:textId="77777777" w:rsidR="00803ECB" w:rsidRDefault="00ED1359">
      <w:pPr>
        <w:pStyle w:val="ResumoABNT"/>
        <w:rPr>
          <w:u w:val="single"/>
        </w:rPr>
      </w:pPr>
      <w:r>
        <w:t>Este trabalho analisa em que medida choques no preço internacional do petróleo são transmitidos aos preços domésticos dos combustíveis e à inflação brasileira entre 2003 e 2026. A hipótese central é que o repasse ocorre principalmente por meio dos combustíveis, com maior intensidade no IPCA Transportes do que no IPCA Geral, e que a política de preços da Petrobras altera o timing e a magnitude dessa transmissão. A estratégia empírica principal utiliza Local Projections com respostas acumuladas, controles mac</w:t>
      </w:r>
      <w:r>
        <w:t>roeconômicos, defasagens e inferência HAC/Newey-West. O trabalho também estima especificações com Brent em reais, modelos por regimes associados à Petrobras, testes de Wald para diferenças entre períodos e um exercício LP-IV que utiliza a série Oil Supply News Shock como instrumento externo para o petróleo em reais. Como robustez adicional, são utilizados modelos VAR com funções impulso-resposta, respostas acumuladas, FEVD e diagnósticos de resíduos. Os resultados indicam que os choques de petróleo são tran</w:t>
      </w:r>
      <w:r>
        <w:t>smitidos de forma mais clara aos combustíveis, especialmente ao diesel e à gasolina de refinaria. O efeito sobre o IPCA Geral é limitado, enquanto o IPCA Transportes apresenta resposta mais forte e consistente. As evidências por regime indicam heterogeneidade no repasse, e o instrumento externo confirma que os efeitos inflacionários são mais visíveis no curto prazo e nos componentes ligados a transporte.</w:t>
      </w:r>
    </w:p>
    <w:p w14:paraId="76CE6DCF" w14:textId="77777777" w:rsidR="00803ECB" w:rsidRDefault="00803ECB">
      <w:pPr>
        <w:pStyle w:val="ResumoABNT"/>
        <w:rPr>
          <w:u w:val="single"/>
        </w:rPr>
      </w:pPr>
    </w:p>
    <w:p w14:paraId="68579EA0" w14:textId="77777777" w:rsidR="00803ECB" w:rsidRDefault="00ED1359">
      <w:pPr>
        <w:pStyle w:val="ResumoABNT"/>
      </w:pPr>
      <w:r>
        <w:rPr>
          <w:rFonts w:eastAsia="Arial" w:cs="Arial"/>
          <w:b/>
        </w:rPr>
        <w:t xml:space="preserve">Palavras-chave: </w:t>
      </w:r>
      <w:r>
        <w:rPr>
          <w:rFonts w:eastAsia="Arial" w:cs="Arial"/>
        </w:rPr>
        <w:t>petróleo; combustíveis; inflação</w:t>
      </w:r>
      <w:r>
        <w:br w:type="page"/>
      </w:r>
    </w:p>
    <w:p w14:paraId="046D46DB" w14:textId="77777777" w:rsidR="00803ECB" w:rsidRDefault="00ED1359">
      <w:pPr>
        <w:jc w:val="center"/>
        <w:rPr>
          <w:rFonts w:ascii="Arial" w:hAnsi="Arial" w:cs="Arial"/>
          <w:b/>
          <w:bCs/>
          <w:sz w:val="24"/>
          <w:szCs w:val="24"/>
        </w:rPr>
      </w:pPr>
      <w:bookmarkStart w:id="0" w:name="_Toc225092285"/>
      <w:r w:rsidRPr="00B20D99">
        <w:rPr>
          <w:rFonts w:ascii="Arial" w:hAnsi="Arial" w:cs="Arial"/>
          <w:b/>
          <w:bCs/>
          <w:sz w:val="24"/>
          <w:szCs w:val="24"/>
        </w:rPr>
        <w:lastRenderedPageBreak/>
        <w:t>LISTA DE ILUSTRAÇÕES</w:t>
      </w:r>
      <w:bookmarkEnd w:id="0"/>
    </w:p>
    <w:p w14:paraId="6F43F428" w14:textId="77777777" w:rsidR="00803ECB" w:rsidRDefault="00803ECB">
      <w:pPr>
        <w:pStyle w:val="TituloABNTSemNumeracaoSumario"/>
      </w:pPr>
    </w:p>
    <w:p w14:paraId="1CFA9001" w14:textId="77777777" w:rsidR="00803ECB" w:rsidRDefault="00ED1359">
      <w:pPr>
        <w:tabs>
          <w:tab w:val="right" w:leader="dot" w:pos="9061"/>
        </w:tabs>
        <w:spacing w:after="0"/>
      </w:pPr>
      <w:r>
        <w:fldChar w:fldCharType="begin"/>
      </w:r>
      <w:r>
        <w:instrText>TOC \h \z \c "Figura"</w:instrText>
      </w:r>
      <w:r>
        <w:fldChar w:fldCharType="separate"/>
      </w:r>
      <w:hyperlink w:anchor="_Toc_1_9_0000000043" w:history="1">
        <w:r w:rsidR="00803ECB">
          <w:rPr>
            <w:rStyle w:val="Hyperlink"/>
          </w:rPr>
          <w:t>Figura 1 – Resposta acumulada do diesel a choque no petróleo, com IC 90%</w:t>
        </w:r>
        <w:r w:rsidR="00803ECB">
          <w:tab/>
        </w:r>
        <w:r w:rsidR="00803ECB">
          <w:fldChar w:fldCharType="begin"/>
        </w:r>
        <w:r w:rsidR="00803ECB">
          <w:instrText>PAGEREF _Toc_1_9_0000000043 \h</w:instrText>
        </w:r>
        <w:r w:rsidR="00803ECB">
          <w:fldChar w:fldCharType="separate"/>
        </w:r>
        <w:r w:rsidR="00803ECB">
          <w:t>43</w:t>
        </w:r>
        <w:r w:rsidR="00803ECB">
          <w:fldChar w:fldCharType="end"/>
        </w:r>
      </w:hyperlink>
    </w:p>
    <w:p w14:paraId="53733860" w14:textId="77777777" w:rsidR="00803ECB" w:rsidRDefault="00803ECB">
      <w:pPr>
        <w:tabs>
          <w:tab w:val="right" w:leader="dot" w:pos="9061"/>
        </w:tabs>
        <w:spacing w:after="0"/>
      </w:pPr>
      <w:hyperlink w:anchor="_Toc_1_9_0000000044" w:history="1">
        <w:r>
          <w:rPr>
            <w:rStyle w:val="Hyperlink"/>
          </w:rPr>
          <w:t>Figura 2 – da resposta acumulada da gasolina na refinaria a choque no petróleo</w:t>
        </w:r>
        <w:r>
          <w:tab/>
        </w:r>
        <w:r>
          <w:fldChar w:fldCharType="begin"/>
        </w:r>
        <w:r>
          <w:instrText>PAGEREF _Toc_1_9_0000000044 \h</w:instrText>
        </w:r>
        <w:r>
          <w:fldChar w:fldCharType="separate"/>
        </w:r>
        <w:r>
          <w:t>43</w:t>
        </w:r>
        <w:r>
          <w:fldChar w:fldCharType="end"/>
        </w:r>
      </w:hyperlink>
    </w:p>
    <w:p w14:paraId="064695B1" w14:textId="77777777" w:rsidR="00803ECB" w:rsidRDefault="00803ECB">
      <w:pPr>
        <w:tabs>
          <w:tab w:val="right" w:leader="dot" w:pos="9061"/>
        </w:tabs>
        <w:spacing w:after="0"/>
      </w:pPr>
      <w:hyperlink w:anchor="_Toc_1_9_0000000045" w:history="1">
        <w:r>
          <w:rPr>
            <w:rStyle w:val="Hyperlink"/>
          </w:rPr>
          <w:t>Figura 3 – Resposta acumulada da gasolina a choque no petróleo por horizonte mensal (LP).</w:t>
        </w:r>
        <w:r>
          <w:tab/>
        </w:r>
        <w:r>
          <w:fldChar w:fldCharType="begin"/>
        </w:r>
        <w:r>
          <w:instrText>PAGEREF _Toc_1_9_0000000045 \h</w:instrText>
        </w:r>
        <w:r>
          <w:fldChar w:fldCharType="separate"/>
        </w:r>
        <w:r>
          <w:t>44</w:t>
        </w:r>
        <w:r>
          <w:fldChar w:fldCharType="end"/>
        </w:r>
      </w:hyperlink>
    </w:p>
    <w:p w14:paraId="5CE96078" w14:textId="77777777" w:rsidR="00803ECB" w:rsidRDefault="00803ECB">
      <w:pPr>
        <w:tabs>
          <w:tab w:val="right" w:leader="dot" w:pos="9061"/>
        </w:tabs>
        <w:spacing w:after="0"/>
      </w:pPr>
      <w:hyperlink w:anchor="_Toc_1_9_0000000046" w:history="1">
        <w:r>
          <w:rPr>
            <w:rStyle w:val="Hyperlink"/>
          </w:rPr>
          <w:t>Figura 4 – Resposta acumulada da gasolina de refinaria sobre o IPCA Geral por horizonte</w:t>
        </w:r>
        <w:r>
          <w:tab/>
        </w:r>
        <w:r>
          <w:fldChar w:fldCharType="begin"/>
        </w:r>
        <w:r>
          <w:instrText>PAGEREF _Toc_1_9_0000000046 \h</w:instrText>
        </w:r>
        <w:r>
          <w:fldChar w:fldCharType="separate"/>
        </w:r>
        <w:r>
          <w:t>45</w:t>
        </w:r>
        <w:r>
          <w:fldChar w:fldCharType="end"/>
        </w:r>
      </w:hyperlink>
    </w:p>
    <w:p w14:paraId="0026CC24" w14:textId="77777777" w:rsidR="00803ECB" w:rsidRDefault="00803ECB">
      <w:pPr>
        <w:tabs>
          <w:tab w:val="right" w:leader="dot" w:pos="9061"/>
        </w:tabs>
        <w:spacing w:after="0"/>
      </w:pPr>
      <w:hyperlink w:anchor="_Toc_1_9_0000000047" w:history="1">
        <w:r>
          <w:rPr>
            <w:rStyle w:val="Hyperlink"/>
          </w:rPr>
          <w:t>Figura 5 – de resposta acumulada do modelo LP para IPCA geral</w:t>
        </w:r>
        <w:r>
          <w:tab/>
        </w:r>
        <w:r>
          <w:fldChar w:fldCharType="begin"/>
        </w:r>
        <w:r>
          <w:instrText>PAGEREF _Toc_1_9_0000000047 \h</w:instrText>
        </w:r>
        <w:r>
          <w:fldChar w:fldCharType="separate"/>
        </w:r>
        <w:r>
          <w:t>46</w:t>
        </w:r>
        <w:r>
          <w:fldChar w:fldCharType="end"/>
        </w:r>
      </w:hyperlink>
    </w:p>
    <w:p w14:paraId="6B722DCF" w14:textId="77777777" w:rsidR="00803ECB" w:rsidRDefault="00803ECB">
      <w:pPr>
        <w:tabs>
          <w:tab w:val="right" w:leader="dot" w:pos="9061"/>
        </w:tabs>
        <w:spacing w:after="0"/>
      </w:pPr>
      <w:hyperlink w:anchor="_Toc_1_9_0000000048" w:history="1">
        <w:r>
          <w:rPr>
            <w:rStyle w:val="Hyperlink"/>
          </w:rPr>
          <w:t>Figura 6 – Resposta acumulada estimada da gasolina sobre o IPCA Transporte</w:t>
        </w:r>
        <w:r>
          <w:tab/>
        </w:r>
        <w:r>
          <w:fldChar w:fldCharType="begin"/>
        </w:r>
        <w:r>
          <w:instrText>PAGEREF _Toc_1_9_0000000048 \h</w:instrText>
        </w:r>
        <w:r>
          <w:fldChar w:fldCharType="separate"/>
        </w:r>
        <w:r>
          <w:t>48</w:t>
        </w:r>
        <w:r>
          <w:fldChar w:fldCharType="end"/>
        </w:r>
      </w:hyperlink>
    </w:p>
    <w:p w14:paraId="165448E7" w14:textId="77777777" w:rsidR="00803ECB" w:rsidRDefault="00803ECB">
      <w:pPr>
        <w:tabs>
          <w:tab w:val="right" w:leader="dot" w:pos="9061"/>
        </w:tabs>
        <w:spacing w:after="0"/>
      </w:pPr>
      <w:hyperlink w:anchor="_Toc_1_9_0000000049" w:history="1">
        <w:r>
          <w:rPr>
            <w:rStyle w:val="Hyperlink"/>
          </w:rPr>
          <w:t>Figura 7 – Resposta acumulada do etanol sobre o IPCA Transporte (LP)</w:t>
        </w:r>
        <w:r>
          <w:tab/>
        </w:r>
        <w:r>
          <w:fldChar w:fldCharType="begin"/>
        </w:r>
        <w:r>
          <w:instrText>PAGEREF _Toc_1_9_0000000049 \h</w:instrText>
        </w:r>
        <w:r>
          <w:fldChar w:fldCharType="separate"/>
        </w:r>
        <w:r>
          <w:t>49</w:t>
        </w:r>
        <w:r>
          <w:fldChar w:fldCharType="end"/>
        </w:r>
      </w:hyperlink>
    </w:p>
    <w:p w14:paraId="3A7D7A98" w14:textId="77777777" w:rsidR="00803ECB" w:rsidRDefault="00803ECB">
      <w:pPr>
        <w:tabs>
          <w:tab w:val="right" w:leader="dot" w:pos="9061"/>
        </w:tabs>
        <w:spacing w:after="0"/>
      </w:pPr>
      <w:hyperlink w:anchor="_Toc_1_9_0000000050" w:history="1">
        <w:r>
          <w:rPr>
            <w:rStyle w:val="Hyperlink"/>
          </w:rPr>
          <w:t>Figura 8 – de resposta acumulada da gasolina sobre IPCA Transporte</w:t>
        </w:r>
        <w:r>
          <w:tab/>
        </w:r>
        <w:r>
          <w:fldChar w:fldCharType="begin"/>
        </w:r>
        <w:r>
          <w:instrText>PAGEREF _Toc_1_9_0000000050 \h</w:instrText>
        </w:r>
        <w:r>
          <w:fldChar w:fldCharType="separate"/>
        </w:r>
        <w:r>
          <w:t>49</w:t>
        </w:r>
        <w:r>
          <w:fldChar w:fldCharType="end"/>
        </w:r>
      </w:hyperlink>
    </w:p>
    <w:p w14:paraId="7AD4E74A" w14:textId="77777777" w:rsidR="00803ECB" w:rsidRDefault="00ED1359">
      <w:pPr>
        <w:pStyle w:val="ResumoABNT"/>
      </w:pPr>
      <w:r>
        <w:fldChar w:fldCharType="end"/>
      </w:r>
    </w:p>
    <w:p w14:paraId="54BA0C6D" w14:textId="77777777" w:rsidR="00803ECB" w:rsidRDefault="00ED1359">
      <w:r>
        <w:br w:type="page"/>
      </w:r>
    </w:p>
    <w:p w14:paraId="007B85E5" w14:textId="77777777" w:rsidR="00803ECB" w:rsidRDefault="00ED1359">
      <w:pPr>
        <w:jc w:val="center"/>
        <w:rPr>
          <w:rFonts w:ascii="Arial" w:hAnsi="Arial" w:cs="Arial"/>
          <w:b/>
          <w:bCs/>
          <w:sz w:val="24"/>
          <w:szCs w:val="24"/>
        </w:rPr>
      </w:pPr>
      <w:bookmarkStart w:id="1" w:name="_Toc225092286"/>
      <w:r w:rsidRPr="001E77AB">
        <w:rPr>
          <w:rFonts w:ascii="Arial" w:hAnsi="Arial" w:cs="Arial"/>
          <w:b/>
          <w:bCs/>
          <w:sz w:val="24"/>
          <w:szCs w:val="24"/>
        </w:rPr>
        <w:lastRenderedPageBreak/>
        <w:t>LISTA DE TABELAS</w:t>
      </w:r>
      <w:bookmarkEnd w:id="1"/>
    </w:p>
    <w:p w14:paraId="1DCC62EF" w14:textId="77777777" w:rsidR="00803ECB" w:rsidRDefault="00803ECB">
      <w:pPr>
        <w:pStyle w:val="TituloABNTSemNumeracaoSumario"/>
      </w:pPr>
    </w:p>
    <w:p w14:paraId="44FC1BE7" w14:textId="77777777" w:rsidR="00803ECB" w:rsidRDefault="00ED1359">
      <w:pPr>
        <w:tabs>
          <w:tab w:val="right" w:leader="dot" w:pos="9061"/>
        </w:tabs>
        <w:spacing w:after="0"/>
      </w:pPr>
      <w:r>
        <w:fldChar w:fldCharType="begin"/>
      </w:r>
      <w:r>
        <w:instrText>TOC \h \z \c "Tabela"</w:instrText>
      </w:r>
      <w:r>
        <w:fldChar w:fldCharType="separate"/>
      </w:r>
      <w:hyperlink w:anchor="_Toc_1_9_0000000051" w:history="1">
        <w:r w:rsidR="00803ECB">
          <w:rPr>
            <w:rStyle w:val="Hyperlink"/>
          </w:rPr>
          <w:t>Tabela 1 – Resumo dos principais modelos e sua utilidade para o desenho empírico da pesquisa</w:t>
        </w:r>
        <w:r w:rsidR="00803ECB">
          <w:tab/>
        </w:r>
        <w:r w:rsidR="00803ECB">
          <w:fldChar w:fldCharType="begin"/>
        </w:r>
        <w:r w:rsidR="00803ECB">
          <w:instrText>PAGEREF _Toc_1_9_0000000051 \h</w:instrText>
        </w:r>
        <w:r w:rsidR="00803ECB">
          <w:fldChar w:fldCharType="separate"/>
        </w:r>
        <w:r w:rsidR="00803ECB">
          <w:t>27</w:t>
        </w:r>
        <w:r w:rsidR="00803ECB">
          <w:fldChar w:fldCharType="end"/>
        </w:r>
      </w:hyperlink>
    </w:p>
    <w:p w14:paraId="16C7514A" w14:textId="77777777" w:rsidR="00803ECB" w:rsidRDefault="00803ECB">
      <w:pPr>
        <w:tabs>
          <w:tab w:val="right" w:leader="dot" w:pos="9061"/>
        </w:tabs>
        <w:spacing w:after="0"/>
      </w:pPr>
      <w:hyperlink w:anchor="_Toc_1_9_0000000052" w:history="1">
        <w:r>
          <w:rPr>
            <w:rStyle w:val="Hyperlink"/>
          </w:rPr>
          <w:t>Tabela 2 – Variáveis utilizadas na estimação</w:t>
        </w:r>
        <w:r>
          <w:tab/>
        </w:r>
        <w:r>
          <w:fldChar w:fldCharType="begin"/>
        </w:r>
        <w:r>
          <w:instrText>PAGEREF _Toc_1_9_0000000052 \h</w:instrText>
        </w:r>
        <w:r>
          <w:fldChar w:fldCharType="separate"/>
        </w:r>
        <w:r>
          <w:t>29</w:t>
        </w:r>
        <w:r>
          <w:fldChar w:fldCharType="end"/>
        </w:r>
      </w:hyperlink>
    </w:p>
    <w:p w14:paraId="77862FF0" w14:textId="77777777" w:rsidR="00803ECB" w:rsidRDefault="00803ECB">
      <w:pPr>
        <w:tabs>
          <w:tab w:val="right" w:leader="dot" w:pos="9061"/>
        </w:tabs>
        <w:spacing w:after="0"/>
      </w:pPr>
      <w:hyperlink w:anchor="_Toc_1_9_0000000053" w:history="1">
        <w:r>
          <w:rPr>
            <w:rStyle w:val="Hyperlink"/>
          </w:rPr>
          <w:t>Tabela 3 – Estrutura dos blocos de análise e relações estimadas no modelo de repasse de preços</w:t>
        </w:r>
        <w:r>
          <w:tab/>
        </w:r>
        <w:r>
          <w:fldChar w:fldCharType="begin"/>
        </w:r>
        <w:r>
          <w:instrText>PAGEREF _Toc_1_9_0000000053 \h</w:instrText>
        </w:r>
        <w:r>
          <w:fldChar w:fldCharType="separate"/>
        </w:r>
        <w:r>
          <w:t>34</w:t>
        </w:r>
        <w:r>
          <w:fldChar w:fldCharType="end"/>
        </w:r>
      </w:hyperlink>
    </w:p>
    <w:p w14:paraId="71EA02E5" w14:textId="77777777" w:rsidR="00803ECB" w:rsidRDefault="00803ECB">
      <w:pPr>
        <w:tabs>
          <w:tab w:val="right" w:leader="dot" w:pos="9061"/>
        </w:tabs>
        <w:spacing w:after="0"/>
      </w:pPr>
      <w:hyperlink w:anchor="_Toc_1_9_0000000054" w:history="1">
        <w:r>
          <w:rPr>
            <w:rStyle w:val="Hyperlink"/>
          </w:rPr>
          <w:t>Tabela 4 – Especificações metodológicas do modelo VAR utilizado no trabalho</w:t>
        </w:r>
        <w:r>
          <w:tab/>
        </w:r>
        <w:r>
          <w:fldChar w:fldCharType="begin"/>
        </w:r>
        <w:r>
          <w:instrText>PAGEREF _Toc_1_9_0000000054 \h</w:instrText>
        </w:r>
        <w:r>
          <w:fldChar w:fldCharType="separate"/>
        </w:r>
        <w:r>
          <w:t>36</w:t>
        </w:r>
        <w:r>
          <w:fldChar w:fldCharType="end"/>
        </w:r>
      </w:hyperlink>
    </w:p>
    <w:p w14:paraId="397DFD02" w14:textId="77777777" w:rsidR="00803ECB" w:rsidRDefault="00803ECB">
      <w:pPr>
        <w:tabs>
          <w:tab w:val="right" w:leader="dot" w:pos="9061"/>
        </w:tabs>
        <w:spacing w:after="0"/>
      </w:pPr>
      <w:hyperlink w:anchor="_Toc_1_9_0000000055" w:history="1">
        <w:r>
          <w:rPr>
            <w:rStyle w:val="Hyperlink"/>
          </w:rPr>
          <w:t>Tabela 5 – Resumo dos diagnósticos e testes de especificação do modelo VAR</w:t>
        </w:r>
        <w:r>
          <w:tab/>
        </w:r>
        <w:r>
          <w:fldChar w:fldCharType="begin"/>
        </w:r>
        <w:r>
          <w:instrText>PAGEREF _Toc_1_9_0000000055 \h</w:instrText>
        </w:r>
        <w:r>
          <w:fldChar w:fldCharType="separate"/>
        </w:r>
        <w:r>
          <w:t>39</w:t>
        </w:r>
        <w:r>
          <w:fldChar w:fldCharType="end"/>
        </w:r>
      </w:hyperlink>
    </w:p>
    <w:p w14:paraId="31600C45" w14:textId="77777777" w:rsidR="00803ECB" w:rsidRDefault="00803ECB">
      <w:pPr>
        <w:tabs>
          <w:tab w:val="right" w:leader="dot" w:pos="9061"/>
        </w:tabs>
        <w:spacing w:after="0"/>
      </w:pPr>
      <w:hyperlink w:anchor="_Toc_1_9_0000000056" w:history="1">
        <w:r>
          <w:rPr>
            <w:rStyle w:val="Hyperlink"/>
          </w:rPr>
          <w:t>Tabela 6 – Respostas acumuladas do petróleo sobre combustíveis selecionados</w:t>
        </w:r>
        <w:r>
          <w:tab/>
        </w:r>
        <w:r>
          <w:fldChar w:fldCharType="begin"/>
        </w:r>
        <w:r>
          <w:instrText>PAGEREF _Toc_1_9_0000000056 \h</w:instrText>
        </w:r>
        <w:r>
          <w:fldChar w:fldCharType="separate"/>
        </w:r>
        <w:r>
          <w:t>42</w:t>
        </w:r>
        <w:r>
          <w:fldChar w:fldCharType="end"/>
        </w:r>
      </w:hyperlink>
    </w:p>
    <w:p w14:paraId="4CC3850A" w14:textId="77777777" w:rsidR="00803ECB" w:rsidRDefault="00803ECB">
      <w:pPr>
        <w:tabs>
          <w:tab w:val="right" w:leader="dot" w:pos="9061"/>
        </w:tabs>
        <w:spacing w:after="0"/>
      </w:pPr>
      <w:hyperlink w:anchor="_Toc_1_9_0000000057" w:history="1">
        <w:r>
          <w:rPr>
            <w:rStyle w:val="Hyperlink"/>
          </w:rPr>
          <w:t>Tabela 7 – Respostas acumuladas dos combustíveis sobre o IPCA Geral e o IPCA Transporte</w:t>
        </w:r>
        <w:r>
          <w:tab/>
        </w:r>
        <w:r>
          <w:fldChar w:fldCharType="begin"/>
        </w:r>
        <w:r>
          <w:instrText>PAGEREF _Toc_1_9_0000000057 \h</w:instrText>
        </w:r>
        <w:r>
          <w:fldChar w:fldCharType="separate"/>
        </w:r>
        <w:r>
          <w:t>47</w:t>
        </w:r>
        <w:r>
          <w:fldChar w:fldCharType="end"/>
        </w:r>
      </w:hyperlink>
    </w:p>
    <w:p w14:paraId="03D39F89" w14:textId="77777777" w:rsidR="00803ECB" w:rsidRDefault="00803ECB">
      <w:pPr>
        <w:tabs>
          <w:tab w:val="right" w:leader="dot" w:pos="9061"/>
        </w:tabs>
        <w:spacing w:after="0"/>
      </w:pPr>
      <w:hyperlink w:anchor="_Toc_1_9_0000000058" w:history="1">
        <w:r>
          <w:rPr>
            <w:rStyle w:val="Hyperlink"/>
          </w:rPr>
          <w:t>Tabela 8 – Respostas acumuladas do Brent em reais em 12 meses</w:t>
        </w:r>
        <w:r>
          <w:tab/>
        </w:r>
        <w:r>
          <w:fldChar w:fldCharType="begin"/>
        </w:r>
        <w:r>
          <w:instrText>PAGEREF _Toc_1_9_0000000058 \h</w:instrText>
        </w:r>
        <w:r>
          <w:fldChar w:fldCharType="separate"/>
        </w:r>
        <w:r>
          <w:t>52</w:t>
        </w:r>
        <w:r>
          <w:fldChar w:fldCharType="end"/>
        </w:r>
      </w:hyperlink>
    </w:p>
    <w:p w14:paraId="689C0882" w14:textId="77777777" w:rsidR="00803ECB" w:rsidRDefault="00803ECB">
      <w:pPr>
        <w:tabs>
          <w:tab w:val="right" w:leader="dot" w:pos="9061"/>
        </w:tabs>
        <w:spacing w:after="0"/>
      </w:pPr>
      <w:hyperlink w:anchor="_Toc_1_9_0000000059" w:history="1">
        <w:r>
          <w:rPr>
            <w:rStyle w:val="Hyperlink"/>
          </w:rPr>
          <w:t>Tabela 9 – Resultados por regime e teste de Wald</w:t>
        </w:r>
        <w:r>
          <w:tab/>
        </w:r>
        <w:r>
          <w:fldChar w:fldCharType="begin"/>
        </w:r>
        <w:r>
          <w:instrText>PAGEREF _Toc_1_9_0000000059 \h</w:instrText>
        </w:r>
        <w:r>
          <w:fldChar w:fldCharType="separate"/>
        </w:r>
        <w:r>
          <w:t>53</w:t>
        </w:r>
        <w:r>
          <w:fldChar w:fldCharType="end"/>
        </w:r>
      </w:hyperlink>
    </w:p>
    <w:p w14:paraId="44FF56D7" w14:textId="77777777" w:rsidR="00803ECB" w:rsidRDefault="00803ECB">
      <w:pPr>
        <w:tabs>
          <w:tab w:val="right" w:leader="dot" w:pos="9061"/>
        </w:tabs>
        <w:spacing w:after="0"/>
      </w:pPr>
      <w:hyperlink w:anchor="_Toc_1_9_0000000060" w:history="1">
        <w:r>
          <w:rPr>
            <w:rStyle w:val="Hyperlink"/>
          </w:rPr>
          <w:t>Tabela 10 – LP direta e LP-IV com Oil Supply News Shock</w:t>
        </w:r>
        <w:r>
          <w:tab/>
        </w:r>
        <w:r>
          <w:fldChar w:fldCharType="begin"/>
        </w:r>
        <w:r>
          <w:instrText>PAGEREF _Toc_1_9_0000000060 \h</w:instrText>
        </w:r>
        <w:r>
          <w:fldChar w:fldCharType="separate"/>
        </w:r>
        <w:r>
          <w:t>54</w:t>
        </w:r>
        <w:r>
          <w:fldChar w:fldCharType="end"/>
        </w:r>
      </w:hyperlink>
    </w:p>
    <w:p w14:paraId="12B35A5D" w14:textId="77777777" w:rsidR="00803ECB" w:rsidRDefault="00803ECB">
      <w:pPr>
        <w:tabs>
          <w:tab w:val="right" w:leader="dot" w:pos="9061"/>
        </w:tabs>
        <w:spacing w:after="0"/>
      </w:pPr>
      <w:hyperlink w:anchor="_Toc_1_9_0000000061" w:history="1">
        <w:r>
          <w:rPr>
            <w:rStyle w:val="Hyperlink"/>
          </w:rPr>
          <w:t>Tabela 11 – Evidências de robustez a serem reportadas no VAR</w:t>
        </w:r>
        <w:r>
          <w:tab/>
        </w:r>
        <w:r>
          <w:fldChar w:fldCharType="begin"/>
        </w:r>
        <w:r>
          <w:instrText>PAGEREF _Toc_1_9_0000000061 \h</w:instrText>
        </w:r>
        <w:r>
          <w:fldChar w:fldCharType="separate"/>
        </w:r>
        <w:r>
          <w:t>55</w:t>
        </w:r>
        <w:r>
          <w:fldChar w:fldCharType="end"/>
        </w:r>
      </w:hyperlink>
    </w:p>
    <w:p w14:paraId="059E569D" w14:textId="77777777" w:rsidR="00803ECB" w:rsidRDefault="00ED1359">
      <w:pPr>
        <w:pStyle w:val="ResumoABNT"/>
      </w:pPr>
      <w:r>
        <w:fldChar w:fldCharType="end"/>
      </w:r>
    </w:p>
    <w:p w14:paraId="266D7AB0" w14:textId="77777777" w:rsidR="00803ECB" w:rsidRDefault="00ED1359">
      <w:r>
        <w:br w:type="page"/>
      </w:r>
    </w:p>
    <w:p w14:paraId="51086783" w14:textId="77777777" w:rsidR="00803ECB" w:rsidRDefault="00ED1359">
      <w:pPr>
        <w:jc w:val="center"/>
        <w:rPr>
          <w:rFonts w:ascii="Arial" w:hAnsi="Arial" w:cs="Arial"/>
          <w:b/>
          <w:bCs/>
          <w:sz w:val="24"/>
          <w:szCs w:val="24"/>
        </w:rPr>
      </w:pPr>
      <w:bookmarkStart w:id="2" w:name="_Toc225092287"/>
      <w:r w:rsidRPr="001E77AB">
        <w:rPr>
          <w:rFonts w:ascii="Arial" w:hAnsi="Arial" w:cs="Arial"/>
          <w:b/>
          <w:bCs/>
          <w:sz w:val="24"/>
          <w:szCs w:val="24"/>
        </w:rPr>
        <w:lastRenderedPageBreak/>
        <w:t>LISTA DE ABREVIATURAS E SIGLAS</w:t>
      </w:r>
      <w:bookmarkEnd w:id="2"/>
    </w:p>
    <w:p w14:paraId="4A77E18F" w14:textId="77777777" w:rsidR="00803ECB" w:rsidRDefault="00803ECB">
      <w:pPr>
        <w:pStyle w:val="TituloABNTSemNumeracaoSumario"/>
      </w:pPr>
    </w:p>
    <w:p w14:paraId="74150409" w14:textId="77777777" w:rsidR="00803ECB" w:rsidRDefault="00803ECB">
      <w:pPr>
        <w:pStyle w:val="ResumoABNT"/>
      </w:pPr>
    </w:p>
    <w:p w14:paraId="6548CC59" w14:textId="77777777" w:rsidR="00803ECB" w:rsidRDefault="00ED1359">
      <w:pPr>
        <w:pStyle w:val="TextoABNT"/>
      </w:pPr>
      <w:r>
        <w:t>ADF</w:t>
      </w:r>
      <w:r>
        <w:tab/>
      </w:r>
      <w:r>
        <w:tab/>
        <w:t>Augmented Dickey-Fuller</w:t>
      </w:r>
    </w:p>
    <w:p w14:paraId="34D44E92" w14:textId="77777777" w:rsidR="00803ECB" w:rsidRDefault="00ED1359">
      <w:pPr>
        <w:pStyle w:val="TextoABNT"/>
      </w:pPr>
      <w:r>
        <w:t>ANP</w:t>
      </w:r>
      <w:r>
        <w:tab/>
      </w:r>
      <w:r>
        <w:tab/>
        <w:t>Agência Nacional do Petróleo, Gás Natural e Biocombustíveis</w:t>
      </w:r>
    </w:p>
    <w:p w14:paraId="4FD70184" w14:textId="77777777" w:rsidR="00803ECB" w:rsidRPr="008C71E7" w:rsidRDefault="00ED1359">
      <w:pPr>
        <w:pStyle w:val="TextoABNT"/>
        <w:rPr>
          <w:lang w:val="en-US"/>
        </w:rPr>
      </w:pPr>
      <w:r w:rsidRPr="008C71E7">
        <w:rPr>
          <w:lang w:val="en-US"/>
        </w:rPr>
        <w:t>DF</w:t>
      </w:r>
      <w:r w:rsidRPr="008C71E7">
        <w:rPr>
          <w:lang w:val="en-US"/>
        </w:rPr>
        <w:tab/>
      </w:r>
      <w:r w:rsidRPr="008C71E7">
        <w:rPr>
          <w:lang w:val="en-US"/>
        </w:rPr>
        <w:tab/>
        <w:t>Distrito Federal</w:t>
      </w:r>
    </w:p>
    <w:p w14:paraId="066213ED" w14:textId="77777777" w:rsidR="00803ECB" w:rsidRPr="008C71E7" w:rsidRDefault="00ED1359">
      <w:pPr>
        <w:pStyle w:val="TextoABNT"/>
        <w:rPr>
          <w:lang w:val="en-US"/>
        </w:rPr>
      </w:pPr>
      <w:r w:rsidRPr="008C71E7">
        <w:rPr>
          <w:lang w:val="en-US"/>
        </w:rPr>
        <w:t>FEVD</w:t>
      </w:r>
      <w:r w:rsidRPr="008C71E7">
        <w:rPr>
          <w:lang w:val="en-US"/>
        </w:rPr>
        <w:tab/>
      </w:r>
      <w:r w:rsidRPr="008C71E7">
        <w:rPr>
          <w:lang w:val="en-US"/>
        </w:rPr>
        <w:tab/>
        <w:t>Forecast Error Variance Decomposition</w:t>
      </w:r>
    </w:p>
    <w:p w14:paraId="7BA31EF2" w14:textId="77777777" w:rsidR="00803ECB" w:rsidRDefault="00ED1359">
      <w:pPr>
        <w:pStyle w:val="TextoABNT"/>
      </w:pPr>
      <w:r>
        <w:t>HAC</w:t>
      </w:r>
      <w:r>
        <w:tab/>
      </w:r>
      <w:r>
        <w:tab/>
        <w:t>Heteroskedasticity and Autocorrelation Consistent</w:t>
      </w:r>
    </w:p>
    <w:p w14:paraId="3BE71E6E" w14:textId="77777777" w:rsidR="00803ECB" w:rsidRDefault="00ED1359">
      <w:pPr>
        <w:pStyle w:val="TextoABNT"/>
      </w:pPr>
      <w:r>
        <w:t>IBGE</w:t>
      </w:r>
      <w:r>
        <w:tab/>
      </w:r>
      <w:r>
        <w:tab/>
        <w:t>Instituto Brasileiro de Geografia e Estatística</w:t>
      </w:r>
    </w:p>
    <w:p w14:paraId="2C8726D2" w14:textId="77777777" w:rsidR="00803ECB" w:rsidRDefault="00ED1359">
      <w:pPr>
        <w:pStyle w:val="TextoABNT"/>
      </w:pPr>
      <w:r>
        <w:t>IPCA</w:t>
      </w:r>
      <w:r>
        <w:tab/>
      </w:r>
      <w:r>
        <w:tab/>
        <w:t>Índice Nacional de Preços ao Consumidor Amplo</w:t>
      </w:r>
    </w:p>
    <w:p w14:paraId="57E91D5B" w14:textId="77777777" w:rsidR="00803ECB" w:rsidRPr="008C71E7" w:rsidRDefault="00ED1359">
      <w:pPr>
        <w:pStyle w:val="TextoABNT"/>
        <w:rPr>
          <w:lang w:val="en-US"/>
        </w:rPr>
      </w:pPr>
      <w:r w:rsidRPr="008C71E7">
        <w:rPr>
          <w:lang w:val="en-US"/>
        </w:rPr>
        <w:t>IRF</w:t>
      </w:r>
      <w:r w:rsidRPr="008C71E7">
        <w:rPr>
          <w:lang w:val="en-US"/>
        </w:rPr>
        <w:tab/>
      </w:r>
      <w:r w:rsidRPr="008C71E7">
        <w:rPr>
          <w:lang w:val="en-US"/>
        </w:rPr>
        <w:tab/>
        <w:t>Impulse Response Function</w:t>
      </w:r>
    </w:p>
    <w:p w14:paraId="25180872" w14:textId="77777777" w:rsidR="00803ECB" w:rsidRPr="008C71E7" w:rsidRDefault="00ED1359">
      <w:pPr>
        <w:pStyle w:val="TextoABNT"/>
        <w:rPr>
          <w:lang w:val="en-US"/>
        </w:rPr>
      </w:pPr>
      <w:r w:rsidRPr="008C71E7">
        <w:rPr>
          <w:lang w:val="en-US"/>
        </w:rPr>
        <w:t>IV</w:t>
      </w:r>
      <w:r w:rsidRPr="008C71E7">
        <w:rPr>
          <w:lang w:val="en-US"/>
        </w:rPr>
        <w:tab/>
      </w:r>
      <w:r w:rsidRPr="008C71E7">
        <w:rPr>
          <w:lang w:val="en-US"/>
        </w:rPr>
        <w:tab/>
        <w:t>Instrumental Variables</w:t>
      </w:r>
    </w:p>
    <w:p w14:paraId="2608D5D5" w14:textId="77777777" w:rsidR="00803ECB" w:rsidRPr="008C71E7" w:rsidRDefault="00ED1359">
      <w:pPr>
        <w:pStyle w:val="TextoABNT"/>
        <w:rPr>
          <w:lang w:val="en-US"/>
        </w:rPr>
      </w:pPr>
      <w:r w:rsidRPr="008C71E7">
        <w:rPr>
          <w:lang w:val="en-US"/>
        </w:rPr>
        <w:t>KPSS</w:t>
      </w:r>
      <w:r w:rsidRPr="008C71E7">
        <w:rPr>
          <w:lang w:val="en-US"/>
        </w:rPr>
        <w:tab/>
      </w:r>
      <w:r w:rsidRPr="008C71E7">
        <w:rPr>
          <w:lang w:val="en-US"/>
        </w:rPr>
        <w:tab/>
        <w:t>Kwiatkowski-Phillips-Schmidt-Shin</w:t>
      </w:r>
    </w:p>
    <w:p w14:paraId="3C000CBE" w14:textId="77777777" w:rsidR="00803ECB" w:rsidRPr="008C71E7" w:rsidRDefault="00ED1359">
      <w:pPr>
        <w:pStyle w:val="TextoABNT"/>
        <w:rPr>
          <w:lang w:val="en-US"/>
        </w:rPr>
      </w:pPr>
      <w:r w:rsidRPr="008C71E7">
        <w:rPr>
          <w:lang w:val="en-US"/>
        </w:rPr>
        <w:t>LP</w:t>
      </w:r>
      <w:r w:rsidRPr="008C71E7">
        <w:rPr>
          <w:lang w:val="en-US"/>
        </w:rPr>
        <w:tab/>
      </w:r>
      <w:r w:rsidRPr="008C71E7">
        <w:rPr>
          <w:lang w:val="en-US"/>
        </w:rPr>
        <w:tab/>
        <w:t>Local Projections</w:t>
      </w:r>
    </w:p>
    <w:p w14:paraId="68F5AFFC" w14:textId="77777777" w:rsidR="00803ECB" w:rsidRDefault="00ED1359">
      <w:pPr>
        <w:pStyle w:val="TextoABNT"/>
      </w:pPr>
      <w:r>
        <w:t>PPI</w:t>
      </w:r>
      <w:r>
        <w:tab/>
      </w:r>
      <w:r>
        <w:tab/>
        <w:t>Preço de Paridade de Importação</w:t>
      </w:r>
    </w:p>
    <w:p w14:paraId="346D4405" w14:textId="77777777" w:rsidR="00803ECB" w:rsidRDefault="00ED1359">
      <w:pPr>
        <w:pStyle w:val="TextoABNT"/>
      </w:pPr>
      <w:r>
        <w:t>TCC</w:t>
      </w:r>
      <w:r>
        <w:tab/>
      </w:r>
      <w:r>
        <w:tab/>
        <w:t>Trabalho de Conclusão de Curso</w:t>
      </w:r>
    </w:p>
    <w:p w14:paraId="5ED735C0" w14:textId="77777777" w:rsidR="00803ECB" w:rsidRDefault="00ED1359">
      <w:pPr>
        <w:pStyle w:val="TextoABNT"/>
      </w:pPr>
      <w:r>
        <w:t>VAR</w:t>
      </w:r>
      <w:r>
        <w:tab/>
      </w:r>
      <w:r>
        <w:tab/>
        <w:t>Vetoriais Autorregressivos</w:t>
      </w:r>
    </w:p>
    <w:p w14:paraId="013600F6" w14:textId="77777777" w:rsidR="00803ECB" w:rsidRDefault="00ED1359">
      <w:pPr>
        <w:pStyle w:val="ResumoABNT"/>
      </w:pPr>
      <w:r>
        <w:br w:type="page"/>
      </w:r>
    </w:p>
    <w:sdt>
      <w:sdtPr>
        <w:rPr>
          <w:rFonts w:asciiTheme="minorHAnsi" w:hAnsiTheme="minorHAnsi"/>
          <w:b w:val="0"/>
          <w:caps w:val="0"/>
          <w:sz w:val="22"/>
        </w:rPr>
        <w:id w:val="-656836953"/>
        <w:docPartObj>
          <w:docPartGallery w:val="Table of Contents"/>
          <w:docPartUnique/>
        </w:docPartObj>
      </w:sdtPr>
      <w:sdtEndPr>
        <w:rPr>
          <w:bCs/>
        </w:rPr>
      </w:sdtEndPr>
      <w:sdtContent>
        <w:p w14:paraId="0FCF9AA9" w14:textId="77777777" w:rsidR="00803ECB" w:rsidRDefault="00ED1359">
          <w:pPr>
            <w:pStyle w:val="TOC1"/>
            <w:jc w:val="center"/>
          </w:pPr>
          <w:r w:rsidRPr="0001038E">
            <w:t>Sumário</w:t>
          </w:r>
        </w:p>
        <w:p w14:paraId="2A6D0F34" w14:textId="77777777" w:rsidR="00803ECB" w:rsidRDefault="00ED1359">
          <w:pPr>
            <w:pStyle w:val="TOC1"/>
            <w:tabs>
              <w:tab w:val="right" w:leader="dot" w:pos="9061"/>
            </w:tabs>
          </w:pPr>
          <w:r>
            <w:rPr>
              <w:rFonts w:cs="Arial"/>
              <w:szCs w:val="24"/>
            </w:rPr>
            <w:fldChar w:fldCharType="begin"/>
          </w:r>
          <w:r>
            <w:rPr>
              <w:rFonts w:cs="Arial"/>
              <w:szCs w:val="24"/>
            </w:rPr>
            <w:instrText>TOC \o "1-3" \h \z \u</w:instrText>
          </w:r>
          <w:r>
            <w:rPr>
              <w:rFonts w:cs="Arial"/>
              <w:szCs w:val="24"/>
            </w:rPr>
            <w:fldChar w:fldCharType="separate"/>
          </w:r>
          <w:hyperlink w:anchor="_Toc_1_3_0000000001" w:history="1">
            <w:r w:rsidR="00803ECB">
              <w:rPr>
                <w:rStyle w:val="Hyperlink"/>
              </w:rPr>
              <w:t>1</w:t>
            </w:r>
            <w:r w:rsidR="00803ECB">
              <w:t xml:space="preserve"> </w:t>
            </w:r>
            <w:r w:rsidR="00803ECB">
              <w:rPr>
                <w:rStyle w:val="Hyperlink"/>
              </w:rPr>
              <w:t>INTRODUÇÃO</w:t>
            </w:r>
            <w:r w:rsidR="00803ECB">
              <w:tab/>
            </w:r>
            <w:r w:rsidR="00803ECB">
              <w:fldChar w:fldCharType="begin"/>
            </w:r>
            <w:r w:rsidR="00803ECB">
              <w:instrText>PAGEREF _Toc_1_3_0000000001 \h</w:instrText>
            </w:r>
            <w:r w:rsidR="00803ECB">
              <w:fldChar w:fldCharType="separate"/>
            </w:r>
            <w:r w:rsidR="00803ECB">
              <w:t>9</w:t>
            </w:r>
            <w:r w:rsidR="00803ECB">
              <w:fldChar w:fldCharType="end"/>
            </w:r>
          </w:hyperlink>
        </w:p>
        <w:p w14:paraId="34ECF9A6" w14:textId="77777777" w:rsidR="00803ECB" w:rsidRDefault="00803ECB">
          <w:pPr>
            <w:pStyle w:val="TOC1"/>
            <w:tabs>
              <w:tab w:val="right" w:leader="dot" w:pos="9061"/>
            </w:tabs>
          </w:pPr>
          <w:hyperlink w:anchor="_Toc_1_3_0000000002" w:history="1">
            <w:r>
              <w:rPr>
                <w:rStyle w:val="Hyperlink"/>
              </w:rPr>
              <w:t>2</w:t>
            </w:r>
            <w:r>
              <w:t xml:space="preserve"> </w:t>
            </w:r>
            <w:r>
              <w:rPr>
                <w:rStyle w:val="Hyperlink"/>
              </w:rPr>
              <w:t>REVISÃO BIBLIOGRÁFICA</w:t>
            </w:r>
            <w:r>
              <w:tab/>
            </w:r>
            <w:r>
              <w:fldChar w:fldCharType="begin"/>
            </w:r>
            <w:r>
              <w:instrText>PAGEREF _Toc_1_3_0000000002 \h</w:instrText>
            </w:r>
            <w:r>
              <w:fldChar w:fldCharType="separate"/>
            </w:r>
            <w:r>
              <w:t>13</w:t>
            </w:r>
            <w:r>
              <w:fldChar w:fldCharType="end"/>
            </w:r>
          </w:hyperlink>
        </w:p>
        <w:p w14:paraId="02321689" w14:textId="77777777" w:rsidR="00803ECB" w:rsidRDefault="00803ECB">
          <w:pPr>
            <w:pStyle w:val="TOC2"/>
          </w:pPr>
          <w:hyperlink w:anchor="_Toc_1_3_0000000003" w:history="1">
            <w:r>
              <w:rPr>
                <w:rStyle w:val="Hyperlink"/>
              </w:rPr>
              <w:t>2.1</w:t>
            </w:r>
            <w:r>
              <w:t xml:space="preserve"> </w:t>
            </w:r>
            <w:r>
              <w:rPr>
                <w:rStyle w:val="Hyperlink"/>
              </w:rPr>
              <w:t>Choques do petróleo, inflação e atividade econômica</w:t>
            </w:r>
            <w:r>
              <w:tab/>
            </w:r>
            <w:r>
              <w:fldChar w:fldCharType="begin"/>
            </w:r>
            <w:r>
              <w:instrText>PAGEREF _Toc_1_3_0000000003 \h</w:instrText>
            </w:r>
            <w:r>
              <w:fldChar w:fldCharType="separate"/>
            </w:r>
            <w:r>
              <w:t>13</w:t>
            </w:r>
            <w:r>
              <w:fldChar w:fldCharType="end"/>
            </w:r>
          </w:hyperlink>
        </w:p>
        <w:p w14:paraId="56972A99" w14:textId="77777777" w:rsidR="00803ECB" w:rsidRDefault="00803ECB">
          <w:pPr>
            <w:pStyle w:val="TOC2"/>
          </w:pPr>
          <w:hyperlink w:anchor="_Toc_1_3_0000000004" w:history="1">
            <w:r>
              <w:rPr>
                <w:rStyle w:val="Hyperlink"/>
              </w:rPr>
              <w:t>2.2</w:t>
            </w:r>
            <w:r>
              <w:t xml:space="preserve"> </w:t>
            </w:r>
            <w:r>
              <w:rPr>
                <w:rStyle w:val="Hyperlink"/>
              </w:rPr>
              <w:t>Petróleo em moeda doméstica, câmbio e pass-through inflacionário</w:t>
            </w:r>
            <w:r>
              <w:tab/>
            </w:r>
            <w:r>
              <w:fldChar w:fldCharType="begin"/>
            </w:r>
            <w:r>
              <w:instrText>PAGEREF _Toc_1_3_0000000004 \h</w:instrText>
            </w:r>
            <w:r>
              <w:fldChar w:fldCharType="separate"/>
            </w:r>
            <w:r>
              <w:t>15</w:t>
            </w:r>
            <w:r>
              <w:fldChar w:fldCharType="end"/>
            </w:r>
          </w:hyperlink>
        </w:p>
        <w:p w14:paraId="004A00D9" w14:textId="77777777" w:rsidR="00803ECB" w:rsidRDefault="00803ECB">
          <w:pPr>
            <w:pStyle w:val="TOC2"/>
          </w:pPr>
          <w:hyperlink w:anchor="_Toc_1_3_0000000005" w:history="1">
            <w:r>
              <w:rPr>
                <w:rStyle w:val="Hyperlink"/>
              </w:rPr>
              <w:t>2.3</w:t>
            </w:r>
            <w:r>
              <w:t xml:space="preserve"> </w:t>
            </w:r>
            <w:r>
              <w:rPr>
                <w:rStyle w:val="Hyperlink"/>
              </w:rPr>
              <w:t>Formação dos preços de combustíveis e especificidades brasileiras</w:t>
            </w:r>
            <w:r>
              <w:tab/>
            </w:r>
            <w:r>
              <w:fldChar w:fldCharType="begin"/>
            </w:r>
            <w:r>
              <w:instrText>PAGEREF _Toc_1_3_0000000005 \h</w:instrText>
            </w:r>
            <w:r>
              <w:fldChar w:fldCharType="separate"/>
            </w:r>
            <w:r>
              <w:t>16</w:t>
            </w:r>
            <w:r>
              <w:fldChar w:fldCharType="end"/>
            </w:r>
          </w:hyperlink>
        </w:p>
        <w:p w14:paraId="320F3BAE" w14:textId="77777777" w:rsidR="00803ECB" w:rsidRDefault="00803ECB">
          <w:pPr>
            <w:pStyle w:val="TOC2"/>
          </w:pPr>
          <w:hyperlink w:anchor="_Toc_1_3_0000000006" w:history="1">
            <w:r>
              <w:rPr>
                <w:rStyle w:val="Hyperlink"/>
              </w:rPr>
              <w:t>2.4</w:t>
            </w:r>
            <w:r>
              <w:t xml:space="preserve"> </w:t>
            </w:r>
            <w:r>
              <w:rPr>
                <w:rStyle w:val="Hyperlink"/>
              </w:rPr>
              <w:t>Evidências empíricas internacionais sobre petróleo e inflação</w:t>
            </w:r>
            <w:r>
              <w:tab/>
            </w:r>
            <w:r>
              <w:fldChar w:fldCharType="begin"/>
            </w:r>
            <w:r>
              <w:instrText>PAGEREF _Toc_1_3_0000000006 \h</w:instrText>
            </w:r>
            <w:r>
              <w:fldChar w:fldCharType="separate"/>
            </w:r>
            <w:r>
              <w:t>18</w:t>
            </w:r>
            <w:r>
              <w:fldChar w:fldCharType="end"/>
            </w:r>
          </w:hyperlink>
        </w:p>
        <w:p w14:paraId="0D715A8E" w14:textId="77777777" w:rsidR="00803ECB" w:rsidRDefault="00803ECB">
          <w:pPr>
            <w:pStyle w:val="TOC2"/>
          </w:pPr>
          <w:hyperlink w:anchor="_Toc_1_3_0000000007" w:history="1">
            <w:r>
              <w:rPr>
                <w:rStyle w:val="Hyperlink"/>
              </w:rPr>
              <w:t>2.5</w:t>
            </w:r>
            <w:r>
              <w:t xml:space="preserve"> </w:t>
            </w:r>
            <w:r>
              <w:rPr>
                <w:rStyle w:val="Hyperlink"/>
              </w:rPr>
              <w:t>Modelos VAR e funções impulso-resposta como referência de robustez</w:t>
            </w:r>
            <w:r>
              <w:tab/>
            </w:r>
            <w:r>
              <w:fldChar w:fldCharType="begin"/>
            </w:r>
            <w:r>
              <w:instrText>PAGEREF _Toc_1_3_0000000007 \h</w:instrText>
            </w:r>
            <w:r>
              <w:fldChar w:fldCharType="separate"/>
            </w:r>
            <w:r>
              <w:t>19</w:t>
            </w:r>
            <w:r>
              <w:fldChar w:fldCharType="end"/>
            </w:r>
          </w:hyperlink>
        </w:p>
        <w:p w14:paraId="50ABC15E" w14:textId="77777777" w:rsidR="00803ECB" w:rsidRDefault="00803ECB">
          <w:pPr>
            <w:pStyle w:val="TOC1"/>
            <w:tabs>
              <w:tab w:val="right" w:leader="dot" w:pos="9061"/>
            </w:tabs>
          </w:pPr>
          <w:hyperlink w:anchor="_Toc_1_3_0000000008" w:history="1">
            <w:r>
              <w:rPr>
                <w:rStyle w:val="Hyperlink"/>
              </w:rPr>
              <w:t>3</w:t>
            </w:r>
            <w:r>
              <w:t xml:space="preserve"> </w:t>
            </w:r>
            <w:r>
              <w:rPr>
                <w:rStyle w:val="Hyperlink"/>
              </w:rPr>
              <w:t>METODOLOGIA</w:t>
            </w:r>
            <w:r>
              <w:tab/>
            </w:r>
            <w:r>
              <w:fldChar w:fldCharType="begin"/>
            </w:r>
            <w:r>
              <w:instrText>PAGEREF _Toc_1_3_0000000008 \h</w:instrText>
            </w:r>
            <w:r>
              <w:fldChar w:fldCharType="separate"/>
            </w:r>
            <w:r>
              <w:t>22</w:t>
            </w:r>
            <w:r>
              <w:fldChar w:fldCharType="end"/>
            </w:r>
          </w:hyperlink>
        </w:p>
        <w:p w14:paraId="68260D6F" w14:textId="77777777" w:rsidR="00803ECB" w:rsidRDefault="00803ECB">
          <w:pPr>
            <w:pStyle w:val="TOC2"/>
          </w:pPr>
          <w:hyperlink w:anchor="_Toc_1_3_0000000009" w:history="1">
            <w:r>
              <w:rPr>
                <w:rStyle w:val="Hyperlink"/>
              </w:rPr>
              <w:t>3.1</w:t>
            </w:r>
            <w:r>
              <w:t xml:space="preserve"> </w:t>
            </w:r>
            <w:r>
              <w:rPr>
                <w:rStyle w:val="Hyperlink"/>
              </w:rPr>
              <w:t>Extensões de local projections relevantes para o tema</w:t>
            </w:r>
            <w:r>
              <w:tab/>
            </w:r>
            <w:r>
              <w:fldChar w:fldCharType="begin"/>
            </w:r>
            <w:r>
              <w:instrText>PAGEREF _Toc_1_3_0000000009 \h</w:instrText>
            </w:r>
            <w:r>
              <w:fldChar w:fldCharType="separate"/>
            </w:r>
            <w:r>
              <w:t>23</w:t>
            </w:r>
            <w:r>
              <w:fldChar w:fldCharType="end"/>
            </w:r>
          </w:hyperlink>
        </w:p>
        <w:p w14:paraId="16DE56CF" w14:textId="77777777" w:rsidR="00803ECB" w:rsidRDefault="00803ECB">
          <w:pPr>
            <w:pStyle w:val="TOC2"/>
          </w:pPr>
          <w:hyperlink w:anchor="_Toc_1_3_0000000010" w:history="1">
            <w:r>
              <w:rPr>
                <w:rStyle w:val="Hyperlink"/>
              </w:rPr>
              <w:t>3.2</w:t>
            </w:r>
            <w:r>
              <w:t xml:space="preserve"> </w:t>
            </w:r>
            <w:r>
              <w:rPr>
                <w:rStyle w:val="Hyperlink"/>
              </w:rPr>
              <w:t>Aplicação ao canal Petrobras, combustíveis e IPCA</w:t>
            </w:r>
            <w:r>
              <w:tab/>
            </w:r>
            <w:r>
              <w:fldChar w:fldCharType="begin"/>
            </w:r>
            <w:r>
              <w:instrText>PAGEREF _Toc_1_3_0000000010 \h</w:instrText>
            </w:r>
            <w:r>
              <w:fldChar w:fldCharType="separate"/>
            </w:r>
            <w:r>
              <w:t>25</w:t>
            </w:r>
            <w:r>
              <w:fldChar w:fldCharType="end"/>
            </w:r>
          </w:hyperlink>
        </w:p>
        <w:p w14:paraId="6AB503DC" w14:textId="77777777" w:rsidR="00803ECB" w:rsidRDefault="00803ECB">
          <w:pPr>
            <w:pStyle w:val="TOC2"/>
          </w:pPr>
          <w:hyperlink w:anchor="_Toc_1_3_0000000011" w:history="1">
            <w:r>
              <w:rPr>
                <w:rStyle w:val="Hyperlink"/>
              </w:rPr>
              <w:t>3.3</w:t>
            </w:r>
            <w:r>
              <w:t xml:space="preserve"> </w:t>
            </w:r>
            <w:r>
              <w:rPr>
                <w:rStyle w:val="Hyperlink"/>
              </w:rPr>
              <w:t>Síntese crítica da literatura e contribuição da pesquisa</w:t>
            </w:r>
            <w:r>
              <w:tab/>
            </w:r>
            <w:r>
              <w:fldChar w:fldCharType="begin"/>
            </w:r>
            <w:r>
              <w:instrText>PAGEREF _Toc_1_3_0000000011 \h</w:instrText>
            </w:r>
            <w:r>
              <w:fldChar w:fldCharType="separate"/>
            </w:r>
            <w:r>
              <w:t>26</w:t>
            </w:r>
            <w:r>
              <w:fldChar w:fldCharType="end"/>
            </w:r>
          </w:hyperlink>
        </w:p>
        <w:p w14:paraId="3D6205C2" w14:textId="77777777" w:rsidR="00803ECB" w:rsidRDefault="00803ECB">
          <w:pPr>
            <w:pStyle w:val="TOC2"/>
          </w:pPr>
          <w:hyperlink w:anchor="_Toc_1_3_0000000012" w:history="1">
            <w:r>
              <w:rPr>
                <w:rStyle w:val="Hyperlink"/>
              </w:rPr>
              <w:t>3.4</w:t>
            </w:r>
            <w:r>
              <w:t xml:space="preserve"> </w:t>
            </w:r>
            <w:r>
              <w:rPr>
                <w:rStyle w:val="Hyperlink"/>
              </w:rPr>
              <w:t>Síntese dos principais modelos incorporados</w:t>
            </w:r>
            <w:r>
              <w:tab/>
            </w:r>
            <w:r>
              <w:fldChar w:fldCharType="begin"/>
            </w:r>
            <w:r>
              <w:instrText>PAGEREF _Toc_1_3_0000000012 \h</w:instrText>
            </w:r>
            <w:r>
              <w:fldChar w:fldCharType="separate"/>
            </w:r>
            <w:r>
              <w:t>27</w:t>
            </w:r>
            <w:r>
              <w:fldChar w:fldCharType="end"/>
            </w:r>
          </w:hyperlink>
        </w:p>
        <w:p w14:paraId="7483C076" w14:textId="77777777" w:rsidR="00803ECB" w:rsidRDefault="00803ECB">
          <w:pPr>
            <w:pStyle w:val="TOC1"/>
            <w:tabs>
              <w:tab w:val="right" w:leader="dot" w:pos="9061"/>
            </w:tabs>
          </w:pPr>
          <w:hyperlink w:anchor="_Toc_1_3_0000000013" w:history="1">
            <w:r>
              <w:rPr>
                <w:rStyle w:val="Hyperlink"/>
              </w:rPr>
              <w:t>4</w:t>
            </w:r>
            <w:r>
              <w:t xml:space="preserve"> </w:t>
            </w:r>
            <w:r>
              <w:rPr>
                <w:rStyle w:val="Hyperlink"/>
              </w:rPr>
              <w:t>METODOLOGIA</w:t>
            </w:r>
            <w:r>
              <w:tab/>
            </w:r>
            <w:r>
              <w:fldChar w:fldCharType="begin"/>
            </w:r>
            <w:r>
              <w:instrText>PAGEREF _Toc_1_3_0000000013 \h</w:instrText>
            </w:r>
            <w:r>
              <w:fldChar w:fldCharType="separate"/>
            </w:r>
            <w:r>
              <w:t>29</w:t>
            </w:r>
            <w:r>
              <w:fldChar w:fldCharType="end"/>
            </w:r>
          </w:hyperlink>
        </w:p>
        <w:p w14:paraId="7D7B58AA" w14:textId="77777777" w:rsidR="00803ECB" w:rsidRDefault="00803ECB">
          <w:pPr>
            <w:pStyle w:val="TOC2"/>
          </w:pPr>
          <w:hyperlink w:anchor="_Toc_1_3_0000000014" w:history="1">
            <w:r>
              <w:rPr>
                <w:rStyle w:val="Hyperlink"/>
              </w:rPr>
              <w:t>4.1</w:t>
            </w:r>
            <w:r>
              <w:t xml:space="preserve"> </w:t>
            </w:r>
            <w:r>
              <w:rPr>
                <w:rStyle w:val="Hyperlink"/>
              </w:rPr>
              <w:t>Base de dados, frequência e amostra</w:t>
            </w:r>
            <w:r>
              <w:tab/>
            </w:r>
            <w:r>
              <w:fldChar w:fldCharType="begin"/>
            </w:r>
            <w:r>
              <w:instrText>PAGEREF _Toc_1_3_0000000014 \h</w:instrText>
            </w:r>
            <w:r>
              <w:fldChar w:fldCharType="separate"/>
            </w:r>
            <w:r>
              <w:t>29</w:t>
            </w:r>
            <w:r>
              <w:fldChar w:fldCharType="end"/>
            </w:r>
          </w:hyperlink>
        </w:p>
        <w:p w14:paraId="00055DE2" w14:textId="77777777" w:rsidR="00803ECB" w:rsidRDefault="00803ECB">
          <w:pPr>
            <w:pStyle w:val="TOC2"/>
          </w:pPr>
          <w:hyperlink w:anchor="_Toc_1_3_0000000015" w:history="1">
            <w:r>
              <w:rPr>
                <w:rStyle w:val="Hyperlink"/>
              </w:rPr>
              <w:t>4.2</w:t>
            </w:r>
            <w:r>
              <w:t xml:space="preserve"> </w:t>
            </w:r>
            <w:r>
              <w:rPr>
                <w:rStyle w:val="Hyperlink"/>
              </w:rPr>
              <w:t>Transformação das séries</w:t>
            </w:r>
            <w:r>
              <w:tab/>
            </w:r>
            <w:r>
              <w:fldChar w:fldCharType="begin"/>
            </w:r>
            <w:r>
              <w:instrText>PAGEREF _Toc_1_3_0000000015 \h</w:instrText>
            </w:r>
            <w:r>
              <w:fldChar w:fldCharType="separate"/>
            </w:r>
            <w:r>
              <w:t>30</w:t>
            </w:r>
            <w:r>
              <w:fldChar w:fldCharType="end"/>
            </w:r>
          </w:hyperlink>
        </w:p>
        <w:p w14:paraId="68EF5EC5" w14:textId="77777777" w:rsidR="00803ECB" w:rsidRDefault="00803ECB">
          <w:pPr>
            <w:pStyle w:val="TOC2"/>
          </w:pPr>
          <w:hyperlink w:anchor="_Toc_1_3_0000000016" w:history="1">
            <w:r>
              <w:rPr>
                <w:rStyle w:val="Hyperlink"/>
              </w:rPr>
              <w:t>4.3</w:t>
            </w:r>
            <w:r>
              <w:t xml:space="preserve"> </w:t>
            </w:r>
            <w:r>
              <w:rPr>
                <w:rStyle w:val="Hyperlink"/>
              </w:rPr>
              <w:t>Testes preliminares das séries</w:t>
            </w:r>
            <w:r>
              <w:tab/>
            </w:r>
            <w:r>
              <w:fldChar w:fldCharType="begin"/>
            </w:r>
            <w:r>
              <w:instrText>PAGEREF _Toc_1_3_0000000016 \h</w:instrText>
            </w:r>
            <w:r>
              <w:fldChar w:fldCharType="separate"/>
            </w:r>
            <w:r>
              <w:t>31</w:t>
            </w:r>
            <w:r>
              <w:fldChar w:fldCharType="end"/>
            </w:r>
          </w:hyperlink>
        </w:p>
        <w:p w14:paraId="4213AA32" w14:textId="77777777" w:rsidR="00803ECB" w:rsidRDefault="00803ECB">
          <w:pPr>
            <w:pStyle w:val="TOC2"/>
          </w:pPr>
          <w:hyperlink w:anchor="_Toc_1_3_0000000017" w:history="1">
            <w:r>
              <w:rPr>
                <w:rStyle w:val="Hyperlink"/>
              </w:rPr>
              <w:t>4.4</w:t>
            </w:r>
            <w:r>
              <w:t xml:space="preserve"> </w:t>
            </w:r>
            <w:r>
              <w:rPr>
                <w:rStyle w:val="Hyperlink"/>
              </w:rPr>
              <w:t>Modelo principal: Local Projections</w:t>
            </w:r>
            <w:r>
              <w:tab/>
            </w:r>
            <w:r>
              <w:fldChar w:fldCharType="begin"/>
            </w:r>
            <w:r>
              <w:instrText>PAGEREF _Toc_1_3_0000000017 \h</w:instrText>
            </w:r>
            <w:r>
              <w:fldChar w:fldCharType="separate"/>
            </w:r>
            <w:r>
              <w:t>31</w:t>
            </w:r>
            <w:r>
              <w:fldChar w:fldCharType="end"/>
            </w:r>
          </w:hyperlink>
        </w:p>
        <w:p w14:paraId="077526D2" w14:textId="77777777" w:rsidR="00803ECB" w:rsidRDefault="00803ECB">
          <w:pPr>
            <w:pStyle w:val="TOC2"/>
          </w:pPr>
          <w:hyperlink w:anchor="_Toc_1_3_0000000018" w:history="1">
            <w:r>
              <w:rPr>
                <w:rStyle w:val="Hyperlink"/>
              </w:rPr>
              <w:t>4.5</w:t>
            </w:r>
            <w:r>
              <w:t xml:space="preserve"> </w:t>
            </w:r>
            <w:r>
              <w:rPr>
                <w:rStyle w:val="Hyperlink"/>
              </w:rPr>
              <w:t>Controles, defasagens e inferência nas Local Projections</w:t>
            </w:r>
            <w:r>
              <w:tab/>
            </w:r>
            <w:r>
              <w:fldChar w:fldCharType="begin"/>
            </w:r>
            <w:r>
              <w:instrText>PAGEREF _Toc_1_3_0000000018 \h</w:instrText>
            </w:r>
            <w:r>
              <w:fldChar w:fldCharType="separate"/>
            </w:r>
            <w:r>
              <w:t>32</w:t>
            </w:r>
            <w:r>
              <w:fldChar w:fldCharType="end"/>
            </w:r>
          </w:hyperlink>
        </w:p>
        <w:p w14:paraId="345EF3EC" w14:textId="77777777" w:rsidR="00803ECB" w:rsidRDefault="00803ECB">
          <w:pPr>
            <w:pStyle w:val="TOC2"/>
          </w:pPr>
          <w:hyperlink w:anchor="_Toc_1_3_0000000019" w:history="1">
            <w:r>
              <w:rPr>
                <w:rStyle w:val="Hyperlink"/>
              </w:rPr>
              <w:t>4.6</w:t>
            </w:r>
            <w:r>
              <w:t xml:space="preserve"> </w:t>
            </w:r>
            <w:r>
              <w:rPr>
                <w:rStyle w:val="Hyperlink"/>
              </w:rPr>
              <w:t>Blocos de transmissão nas Local Projections</w:t>
            </w:r>
            <w:r>
              <w:tab/>
            </w:r>
            <w:r>
              <w:fldChar w:fldCharType="begin"/>
            </w:r>
            <w:r>
              <w:instrText>PAGEREF _Toc_1_3_0000000019 \h</w:instrText>
            </w:r>
            <w:r>
              <w:fldChar w:fldCharType="separate"/>
            </w:r>
            <w:r>
              <w:t>33</w:t>
            </w:r>
            <w:r>
              <w:fldChar w:fldCharType="end"/>
            </w:r>
          </w:hyperlink>
        </w:p>
        <w:p w14:paraId="39C06FF7" w14:textId="77777777" w:rsidR="00803ECB" w:rsidRDefault="00803ECB">
          <w:pPr>
            <w:pStyle w:val="TOC2"/>
          </w:pPr>
          <w:hyperlink w:anchor="_Toc_1_3_0000000020" w:history="1">
            <w:r>
              <w:rPr>
                <w:rStyle w:val="Hyperlink"/>
              </w:rPr>
              <w:t>4.7</w:t>
            </w:r>
            <w:r>
              <w:t xml:space="preserve"> </w:t>
            </w:r>
            <w:r>
              <w:rPr>
                <w:rStyle w:val="Hyperlink"/>
              </w:rPr>
              <w:t>Quadro 2 - Blocos de estimação das Local Projections</w:t>
            </w:r>
            <w:r>
              <w:tab/>
            </w:r>
            <w:r>
              <w:fldChar w:fldCharType="begin"/>
            </w:r>
            <w:r>
              <w:instrText>PAGEREF _Toc_1_3_0000000020 \h</w:instrText>
            </w:r>
            <w:r>
              <w:fldChar w:fldCharType="separate"/>
            </w:r>
            <w:r>
              <w:t>34</w:t>
            </w:r>
            <w:r>
              <w:fldChar w:fldCharType="end"/>
            </w:r>
          </w:hyperlink>
        </w:p>
        <w:p w14:paraId="2694184B" w14:textId="77777777" w:rsidR="00803ECB" w:rsidRDefault="00803ECB">
          <w:pPr>
            <w:pStyle w:val="TOC2"/>
          </w:pPr>
          <w:hyperlink w:anchor="_Toc_1_3_0000000021" w:history="1">
            <w:r>
              <w:rPr>
                <w:rStyle w:val="Hyperlink"/>
              </w:rPr>
              <w:t>4.8</w:t>
            </w:r>
            <w:r>
              <w:t xml:space="preserve"> </w:t>
            </w:r>
            <w:r>
              <w:rPr>
                <w:rStyle w:val="Hyperlink"/>
              </w:rPr>
              <w:t>Modelo VAR como exercício de robustez</w:t>
            </w:r>
            <w:r>
              <w:tab/>
            </w:r>
            <w:r>
              <w:fldChar w:fldCharType="begin"/>
            </w:r>
            <w:r>
              <w:instrText>PAGEREF _Toc_1_3_0000000021 \h</w:instrText>
            </w:r>
            <w:r>
              <w:fldChar w:fldCharType="separate"/>
            </w:r>
            <w:r>
              <w:t>35</w:t>
            </w:r>
            <w:r>
              <w:fldChar w:fldCharType="end"/>
            </w:r>
          </w:hyperlink>
        </w:p>
        <w:p w14:paraId="1A74CC9D" w14:textId="77777777" w:rsidR="00803ECB" w:rsidRDefault="00803ECB">
          <w:pPr>
            <w:pStyle w:val="TOC2"/>
          </w:pPr>
          <w:hyperlink w:anchor="_Toc_1_3_0000000022" w:history="1">
            <w:r>
              <w:rPr>
                <w:rStyle w:val="Hyperlink"/>
              </w:rPr>
              <w:t>4.9</w:t>
            </w:r>
            <w:r>
              <w:t xml:space="preserve"> </w:t>
            </w:r>
            <w:r>
              <w:rPr>
                <w:rStyle w:val="Hyperlink"/>
              </w:rPr>
              <w:t>Quadro 3 - Características do VAR</w:t>
            </w:r>
            <w:r>
              <w:tab/>
            </w:r>
            <w:r>
              <w:fldChar w:fldCharType="begin"/>
            </w:r>
            <w:r>
              <w:instrText>PAGEREF _Toc_1_3_0000000022 \h</w:instrText>
            </w:r>
            <w:r>
              <w:fldChar w:fldCharType="separate"/>
            </w:r>
            <w:r>
              <w:t>36</w:t>
            </w:r>
            <w:r>
              <w:fldChar w:fldCharType="end"/>
            </w:r>
          </w:hyperlink>
        </w:p>
        <w:p w14:paraId="0DDA74EF" w14:textId="77777777" w:rsidR="00803ECB" w:rsidRDefault="00803ECB">
          <w:pPr>
            <w:pStyle w:val="TOC2"/>
          </w:pPr>
          <w:hyperlink w:anchor="_Toc_1_3_0000000023" w:history="1">
            <w:r>
              <w:rPr>
                <w:rStyle w:val="Hyperlink"/>
              </w:rPr>
              <w:t>4.10</w:t>
            </w:r>
            <w:r>
              <w:t xml:space="preserve"> </w:t>
            </w:r>
            <w:r>
              <w:rPr>
                <w:rStyle w:val="Hyperlink"/>
              </w:rPr>
              <w:t>Identificação, Cholesky e funções impulso-resposta no VAR</w:t>
            </w:r>
            <w:r>
              <w:tab/>
            </w:r>
            <w:r>
              <w:fldChar w:fldCharType="begin"/>
            </w:r>
            <w:r>
              <w:instrText>PAGEREF _Toc_1_3_0000000023 \h</w:instrText>
            </w:r>
            <w:r>
              <w:fldChar w:fldCharType="separate"/>
            </w:r>
            <w:r>
              <w:t>36</w:t>
            </w:r>
            <w:r>
              <w:fldChar w:fldCharType="end"/>
            </w:r>
          </w:hyperlink>
        </w:p>
        <w:p w14:paraId="10C4BCC2" w14:textId="77777777" w:rsidR="00803ECB" w:rsidRDefault="00803ECB">
          <w:pPr>
            <w:pStyle w:val="TOC2"/>
          </w:pPr>
          <w:hyperlink w:anchor="_Toc_1_3_0000000024" w:history="1">
            <w:r>
              <w:rPr>
                <w:rStyle w:val="Hyperlink"/>
              </w:rPr>
              <w:t>4.11</w:t>
            </w:r>
            <w:r>
              <w:t xml:space="preserve"> </w:t>
            </w:r>
            <w:r>
              <w:rPr>
                <w:rStyle w:val="Hyperlink"/>
              </w:rPr>
              <w:t>Decomposição da variância do erro de previsão: FEVD</w:t>
            </w:r>
            <w:r>
              <w:tab/>
            </w:r>
            <w:r>
              <w:fldChar w:fldCharType="begin"/>
            </w:r>
            <w:r>
              <w:instrText>PAGEREF _Toc_1_3_0000000024 \h</w:instrText>
            </w:r>
            <w:r>
              <w:fldChar w:fldCharType="separate"/>
            </w:r>
            <w:r>
              <w:t>37</w:t>
            </w:r>
            <w:r>
              <w:fldChar w:fldCharType="end"/>
            </w:r>
          </w:hyperlink>
        </w:p>
        <w:p w14:paraId="668A2056" w14:textId="77777777" w:rsidR="00803ECB" w:rsidRDefault="00803ECB">
          <w:pPr>
            <w:pStyle w:val="TOC2"/>
          </w:pPr>
          <w:hyperlink w:anchor="_Toc_1_3_0000000025" w:history="1">
            <w:r>
              <w:rPr>
                <w:rStyle w:val="Hyperlink"/>
              </w:rPr>
              <w:t>4.12</w:t>
            </w:r>
            <w:r>
              <w:t xml:space="preserve"> </w:t>
            </w:r>
            <w:r>
              <w:rPr>
                <w:rStyle w:val="Hyperlink"/>
              </w:rPr>
              <w:t>Diagnósticos estatísticos do VAR</w:t>
            </w:r>
            <w:r>
              <w:tab/>
            </w:r>
            <w:r>
              <w:fldChar w:fldCharType="begin"/>
            </w:r>
            <w:r>
              <w:instrText>PAGEREF _Toc_1_3_0000000025 \h</w:instrText>
            </w:r>
            <w:r>
              <w:fldChar w:fldCharType="separate"/>
            </w:r>
            <w:r>
              <w:t>38</w:t>
            </w:r>
            <w:r>
              <w:fldChar w:fldCharType="end"/>
            </w:r>
          </w:hyperlink>
        </w:p>
        <w:p w14:paraId="5C07767B" w14:textId="77777777" w:rsidR="00803ECB" w:rsidRDefault="00803ECB">
          <w:pPr>
            <w:pStyle w:val="TOC2"/>
          </w:pPr>
          <w:hyperlink w:anchor="_Toc_1_3_0000000026" w:history="1">
            <w:r>
              <w:rPr>
                <w:rStyle w:val="Hyperlink"/>
              </w:rPr>
              <w:t>4.13</w:t>
            </w:r>
            <w:r>
              <w:t xml:space="preserve"> </w:t>
            </w:r>
            <w:r>
              <w:rPr>
                <w:rStyle w:val="Hyperlink"/>
              </w:rPr>
              <w:t>Quadro 4 - Diagnósticos estatísticos do VAR</w:t>
            </w:r>
            <w:r>
              <w:tab/>
            </w:r>
            <w:r>
              <w:fldChar w:fldCharType="begin"/>
            </w:r>
            <w:r>
              <w:instrText>PAGEREF _Toc_1_3_0000000026 \h</w:instrText>
            </w:r>
            <w:r>
              <w:fldChar w:fldCharType="separate"/>
            </w:r>
            <w:r>
              <w:t>39</w:t>
            </w:r>
            <w:r>
              <w:fldChar w:fldCharType="end"/>
            </w:r>
          </w:hyperlink>
        </w:p>
        <w:p w14:paraId="25593476" w14:textId="77777777" w:rsidR="00803ECB" w:rsidRDefault="00803ECB">
          <w:pPr>
            <w:pStyle w:val="TOC2"/>
          </w:pPr>
          <w:hyperlink w:anchor="_Toc_1_3_0000000027" w:history="1">
            <w:r>
              <w:rPr>
                <w:rStyle w:val="Hyperlink"/>
              </w:rPr>
              <w:t>4.14</w:t>
            </w:r>
            <w:r>
              <w:t xml:space="preserve"> </w:t>
            </w:r>
            <w:r>
              <w:rPr>
                <w:rStyle w:val="Hyperlink"/>
              </w:rPr>
              <w:t>Critérios de comparação entre Local Projections e VAR</w:t>
            </w:r>
            <w:r>
              <w:tab/>
            </w:r>
            <w:r>
              <w:fldChar w:fldCharType="begin"/>
            </w:r>
            <w:r>
              <w:instrText>PAGEREF _Toc_1_3_0000000027 \h</w:instrText>
            </w:r>
            <w:r>
              <w:fldChar w:fldCharType="separate"/>
            </w:r>
            <w:r>
              <w:t>39</w:t>
            </w:r>
            <w:r>
              <w:fldChar w:fldCharType="end"/>
            </w:r>
          </w:hyperlink>
        </w:p>
        <w:p w14:paraId="6A3E5C4B" w14:textId="77777777" w:rsidR="00803ECB" w:rsidRDefault="00803ECB">
          <w:pPr>
            <w:pStyle w:val="TOC1"/>
            <w:tabs>
              <w:tab w:val="right" w:leader="dot" w:pos="9061"/>
            </w:tabs>
          </w:pPr>
          <w:hyperlink w:anchor="_Toc_1_3_0000000028" w:history="1">
            <w:r>
              <w:rPr>
                <w:rStyle w:val="Hyperlink"/>
              </w:rPr>
              <w:t>5</w:t>
            </w:r>
            <w:r>
              <w:t xml:space="preserve"> </w:t>
            </w:r>
            <w:r>
              <w:rPr>
                <w:rStyle w:val="Hyperlink"/>
              </w:rPr>
              <w:t>RESULTADOS</w:t>
            </w:r>
            <w:r>
              <w:tab/>
            </w:r>
            <w:r>
              <w:fldChar w:fldCharType="begin"/>
            </w:r>
            <w:r>
              <w:instrText>PAGEREF _Toc_1_3_0000000028 \h</w:instrText>
            </w:r>
            <w:r>
              <w:fldChar w:fldCharType="separate"/>
            </w:r>
            <w:r>
              <w:t>41</w:t>
            </w:r>
            <w:r>
              <w:fldChar w:fldCharType="end"/>
            </w:r>
          </w:hyperlink>
        </w:p>
        <w:p w14:paraId="7567A9BF" w14:textId="77777777" w:rsidR="00803ECB" w:rsidRDefault="00803ECB">
          <w:pPr>
            <w:pStyle w:val="TOC2"/>
          </w:pPr>
          <w:hyperlink w:anchor="_Toc_1_3_0000000029" w:history="1">
            <w:r>
              <w:rPr>
                <w:rStyle w:val="Hyperlink"/>
              </w:rPr>
              <w:t>5.1</w:t>
            </w:r>
            <w:r>
              <w:t xml:space="preserve"> </w:t>
            </w:r>
            <w:r>
              <w:rPr>
                <w:rStyle w:val="Hyperlink"/>
              </w:rPr>
              <w:t>Comparação entre as especificações estimadas</w:t>
            </w:r>
            <w:r>
              <w:tab/>
            </w:r>
            <w:r>
              <w:fldChar w:fldCharType="begin"/>
            </w:r>
            <w:r>
              <w:instrText>PAGEREF _Toc_1_3_0000000029 \h</w:instrText>
            </w:r>
            <w:r>
              <w:fldChar w:fldCharType="separate"/>
            </w:r>
            <w:r>
              <w:t>41</w:t>
            </w:r>
            <w:r>
              <w:fldChar w:fldCharType="end"/>
            </w:r>
          </w:hyperlink>
        </w:p>
        <w:p w14:paraId="24E7F1EF" w14:textId="77777777" w:rsidR="00803ECB" w:rsidRDefault="00803ECB">
          <w:pPr>
            <w:pStyle w:val="TOC2"/>
          </w:pPr>
          <w:hyperlink w:anchor="_Toc_1_3_0000000030" w:history="1">
            <w:r>
              <w:rPr>
                <w:rStyle w:val="Hyperlink"/>
              </w:rPr>
              <w:t>5.2</w:t>
            </w:r>
            <w:r>
              <w:t xml:space="preserve"> </w:t>
            </w:r>
            <w:r>
              <w:rPr>
                <w:rStyle w:val="Hyperlink"/>
              </w:rPr>
              <w:t>Choques do petróleo e preços dos combustíveis</w:t>
            </w:r>
            <w:r>
              <w:tab/>
            </w:r>
            <w:r>
              <w:fldChar w:fldCharType="begin"/>
            </w:r>
            <w:r>
              <w:instrText>PAGEREF _Toc_1_3_0000000030 \h</w:instrText>
            </w:r>
            <w:r>
              <w:fldChar w:fldCharType="separate"/>
            </w:r>
            <w:r>
              <w:t>42</w:t>
            </w:r>
            <w:r>
              <w:fldChar w:fldCharType="end"/>
            </w:r>
          </w:hyperlink>
        </w:p>
        <w:p w14:paraId="713926E0" w14:textId="77777777" w:rsidR="00803ECB" w:rsidRDefault="00803ECB">
          <w:pPr>
            <w:pStyle w:val="TOC1"/>
            <w:tabs>
              <w:tab w:val="right" w:leader="dot" w:pos="9061"/>
            </w:tabs>
          </w:pPr>
          <w:hyperlink w:anchor="_Toc_1_3_0000000031" w:history="1">
            <w:r>
              <w:rPr>
                <w:rStyle w:val="Hyperlink"/>
              </w:rPr>
              <w:t>6</w:t>
            </w:r>
            <w:r>
              <w:t xml:space="preserve"> </w:t>
            </w:r>
            <w:r>
              <w:rPr>
                <w:rStyle w:val="Hyperlink"/>
              </w:rPr>
              <w:t>Combustíveis e IPCA Geral</w:t>
            </w:r>
            <w:r>
              <w:tab/>
            </w:r>
            <w:r>
              <w:fldChar w:fldCharType="begin"/>
            </w:r>
            <w:r>
              <w:instrText>PAGEREF _Toc_1_3_0000000031 \h</w:instrText>
            </w:r>
            <w:r>
              <w:fldChar w:fldCharType="separate"/>
            </w:r>
            <w:r>
              <w:t>45</w:t>
            </w:r>
            <w:r>
              <w:fldChar w:fldCharType="end"/>
            </w:r>
          </w:hyperlink>
        </w:p>
        <w:p w14:paraId="38956366" w14:textId="77777777" w:rsidR="00803ECB" w:rsidRDefault="00803ECB">
          <w:pPr>
            <w:pStyle w:val="TOC1"/>
            <w:tabs>
              <w:tab w:val="right" w:leader="dot" w:pos="9061"/>
            </w:tabs>
          </w:pPr>
          <w:hyperlink w:anchor="_Toc_1_3_0000000032" w:history="1">
            <w:r>
              <w:rPr>
                <w:rStyle w:val="Hyperlink"/>
              </w:rPr>
              <w:t>7</w:t>
            </w:r>
            <w:r>
              <w:t xml:space="preserve"> </w:t>
            </w:r>
            <w:r>
              <w:rPr>
                <w:rStyle w:val="Hyperlink"/>
              </w:rPr>
              <w:t>Combustíveis e IPCA Transporte</w:t>
            </w:r>
            <w:r>
              <w:tab/>
            </w:r>
            <w:r>
              <w:fldChar w:fldCharType="begin"/>
            </w:r>
            <w:r>
              <w:instrText>PAGEREF _Toc_1_3_0000000032 \h</w:instrText>
            </w:r>
            <w:r>
              <w:fldChar w:fldCharType="separate"/>
            </w:r>
            <w:r>
              <w:t>47</w:t>
            </w:r>
            <w:r>
              <w:fldChar w:fldCharType="end"/>
            </w:r>
          </w:hyperlink>
        </w:p>
        <w:p w14:paraId="56131BFE" w14:textId="77777777" w:rsidR="00803ECB" w:rsidRDefault="00803ECB">
          <w:pPr>
            <w:pStyle w:val="TOC1"/>
            <w:tabs>
              <w:tab w:val="right" w:leader="dot" w:pos="9061"/>
            </w:tabs>
          </w:pPr>
          <w:hyperlink w:anchor="_Toc_1_3_0000000033" w:history="1">
            <w:r>
              <w:rPr>
                <w:rStyle w:val="Hyperlink"/>
              </w:rPr>
              <w:t>8</w:t>
            </w:r>
            <w:r>
              <w:t xml:space="preserve"> </w:t>
            </w:r>
            <w:r>
              <w:rPr>
                <w:rStyle w:val="Hyperlink"/>
              </w:rPr>
              <w:t>Efeito direto do petróleo sobre a inflação e papel do canal dos combustíveis</w:t>
            </w:r>
            <w:r>
              <w:tab/>
            </w:r>
            <w:r>
              <w:fldChar w:fldCharType="begin"/>
            </w:r>
            <w:r>
              <w:instrText>PAGEREF _Toc_1_3_0000000033 \h</w:instrText>
            </w:r>
            <w:r>
              <w:fldChar w:fldCharType="separate"/>
            </w:r>
            <w:r>
              <w:t>51</w:t>
            </w:r>
            <w:r>
              <w:fldChar w:fldCharType="end"/>
            </w:r>
          </w:hyperlink>
        </w:p>
        <w:p w14:paraId="3625B43E" w14:textId="77777777" w:rsidR="00803ECB" w:rsidRDefault="00803ECB">
          <w:pPr>
            <w:pStyle w:val="TOC1"/>
            <w:tabs>
              <w:tab w:val="right" w:leader="dot" w:pos="9061"/>
            </w:tabs>
          </w:pPr>
          <w:hyperlink w:anchor="_Toc_1_3_0000000034" w:history="1">
            <w:r>
              <w:rPr>
                <w:rStyle w:val="Hyperlink"/>
              </w:rPr>
              <w:t>9</w:t>
            </w:r>
            <w:r>
              <w:t xml:space="preserve"> </w:t>
            </w:r>
            <w:r>
              <w:rPr>
                <w:rStyle w:val="Hyperlink"/>
              </w:rPr>
              <w:t>Robustez com Brent em reais, regimes Petrobras e choque externo de oferta</w:t>
            </w:r>
            <w:r>
              <w:tab/>
            </w:r>
            <w:r>
              <w:fldChar w:fldCharType="begin"/>
            </w:r>
            <w:r>
              <w:instrText>PAGEREF _Toc_1_3_0000000034 \h</w:instrText>
            </w:r>
            <w:r>
              <w:fldChar w:fldCharType="separate"/>
            </w:r>
            <w:r>
              <w:t>52</w:t>
            </w:r>
            <w:r>
              <w:fldChar w:fldCharType="end"/>
            </w:r>
          </w:hyperlink>
        </w:p>
        <w:p w14:paraId="5F80879D" w14:textId="77777777" w:rsidR="00803ECB" w:rsidRDefault="00803ECB">
          <w:pPr>
            <w:pStyle w:val="TOC2"/>
          </w:pPr>
          <w:hyperlink w:anchor="_Toc_1_3_0000000035" w:history="1">
            <w:r>
              <w:rPr>
                <w:rStyle w:val="Hyperlink"/>
              </w:rPr>
              <w:t>9.1</w:t>
            </w:r>
            <w:r>
              <w:t xml:space="preserve"> </w:t>
            </w:r>
            <w:r>
              <w:rPr>
                <w:rStyle w:val="Hyperlink"/>
              </w:rPr>
              <w:t>Brent em reais e comparação com petróleo em dólares</w:t>
            </w:r>
            <w:r>
              <w:tab/>
            </w:r>
            <w:r>
              <w:fldChar w:fldCharType="begin"/>
            </w:r>
            <w:r>
              <w:instrText>PAGEREF _Toc_1_3_0000000035 \h</w:instrText>
            </w:r>
            <w:r>
              <w:fldChar w:fldCharType="separate"/>
            </w:r>
            <w:r>
              <w:t>52</w:t>
            </w:r>
            <w:r>
              <w:fldChar w:fldCharType="end"/>
            </w:r>
          </w:hyperlink>
        </w:p>
        <w:p w14:paraId="60DF6AC0" w14:textId="77777777" w:rsidR="00803ECB" w:rsidRDefault="00803ECB">
          <w:pPr>
            <w:pStyle w:val="TOC2"/>
          </w:pPr>
          <w:hyperlink w:anchor="_Toc_1_3_0000000036" w:history="1">
            <w:r>
              <w:rPr>
                <w:rStyle w:val="Hyperlink"/>
              </w:rPr>
              <w:t>9.2</w:t>
            </w:r>
            <w:r>
              <w:t xml:space="preserve"> </w:t>
            </w:r>
            <w:r>
              <w:rPr>
                <w:rStyle w:val="Hyperlink"/>
              </w:rPr>
              <w:t>Regimes Petrobras e teste de diferença entre períodos</w:t>
            </w:r>
            <w:r>
              <w:tab/>
            </w:r>
            <w:r>
              <w:fldChar w:fldCharType="begin"/>
            </w:r>
            <w:r>
              <w:instrText>PAGEREF _Toc_1_3_0000000036 \h</w:instrText>
            </w:r>
            <w:r>
              <w:fldChar w:fldCharType="separate"/>
            </w:r>
            <w:r>
              <w:t>52</w:t>
            </w:r>
            <w:r>
              <w:fldChar w:fldCharType="end"/>
            </w:r>
          </w:hyperlink>
        </w:p>
        <w:p w14:paraId="760F23FC" w14:textId="77777777" w:rsidR="00803ECB" w:rsidRDefault="00803ECB">
          <w:pPr>
            <w:pStyle w:val="TOC2"/>
          </w:pPr>
          <w:hyperlink w:anchor="_Toc_1_3_0000000037" w:history="1">
            <w:r>
              <w:rPr>
                <w:rStyle w:val="Hyperlink"/>
              </w:rPr>
              <w:t>9.3</w:t>
            </w:r>
            <w:r>
              <w:t xml:space="preserve"> </w:t>
            </w:r>
            <w:r>
              <w:rPr>
                <w:rStyle w:val="Hyperlink"/>
              </w:rPr>
              <w:t>Choque externo de oferta e LP-IV</w:t>
            </w:r>
            <w:r>
              <w:tab/>
            </w:r>
            <w:r>
              <w:fldChar w:fldCharType="begin"/>
            </w:r>
            <w:r>
              <w:instrText>PAGEREF _Toc_1_3_0000000037 \h</w:instrText>
            </w:r>
            <w:r>
              <w:fldChar w:fldCharType="separate"/>
            </w:r>
            <w:r>
              <w:t>53</w:t>
            </w:r>
            <w:r>
              <w:fldChar w:fldCharType="end"/>
            </w:r>
          </w:hyperlink>
        </w:p>
        <w:p w14:paraId="3DE46B64" w14:textId="77777777" w:rsidR="00803ECB" w:rsidRDefault="00803ECB">
          <w:pPr>
            <w:pStyle w:val="TOC1"/>
            <w:tabs>
              <w:tab w:val="right" w:leader="dot" w:pos="9061"/>
            </w:tabs>
          </w:pPr>
          <w:hyperlink w:anchor="_Toc_1_3_0000000038" w:history="1">
            <w:r>
              <w:rPr>
                <w:rStyle w:val="Hyperlink"/>
              </w:rPr>
              <w:t>10</w:t>
            </w:r>
            <w:r>
              <w:t xml:space="preserve"> </w:t>
            </w:r>
            <w:r>
              <w:rPr>
                <w:rStyle w:val="Hyperlink"/>
              </w:rPr>
              <w:t>Robustez com o modelo VAR</w:t>
            </w:r>
            <w:r>
              <w:tab/>
            </w:r>
            <w:r>
              <w:fldChar w:fldCharType="begin"/>
            </w:r>
            <w:r>
              <w:instrText>PAGEREF _Toc_1_3_0000000038 \h</w:instrText>
            </w:r>
            <w:r>
              <w:fldChar w:fldCharType="separate"/>
            </w:r>
            <w:r>
              <w:t>55</w:t>
            </w:r>
            <w:r>
              <w:fldChar w:fldCharType="end"/>
            </w:r>
          </w:hyperlink>
        </w:p>
        <w:p w14:paraId="7EF8A414" w14:textId="77777777" w:rsidR="00803ECB" w:rsidRDefault="00803ECB">
          <w:pPr>
            <w:pStyle w:val="TOC1"/>
            <w:tabs>
              <w:tab w:val="right" w:leader="dot" w:pos="9061"/>
            </w:tabs>
          </w:pPr>
          <w:hyperlink w:anchor="_Toc_1_3_0000000039" w:history="1">
            <w:r>
              <w:rPr>
                <w:rStyle w:val="Hyperlink"/>
              </w:rPr>
              <w:t>11</w:t>
            </w:r>
            <w:r>
              <w:t xml:space="preserve"> </w:t>
            </w:r>
            <w:r>
              <w:rPr>
                <w:rStyle w:val="Hyperlink"/>
              </w:rPr>
              <w:t>Síntese dos resultados</w:t>
            </w:r>
            <w:r>
              <w:tab/>
            </w:r>
            <w:r>
              <w:fldChar w:fldCharType="begin"/>
            </w:r>
            <w:r>
              <w:instrText>PAGEREF _Toc_1_3_0000000039 \h</w:instrText>
            </w:r>
            <w:r>
              <w:fldChar w:fldCharType="separate"/>
            </w:r>
            <w:r>
              <w:t>57</w:t>
            </w:r>
            <w:r>
              <w:fldChar w:fldCharType="end"/>
            </w:r>
          </w:hyperlink>
        </w:p>
        <w:p w14:paraId="23BBA1C8" w14:textId="77777777" w:rsidR="00803ECB" w:rsidRDefault="00803ECB">
          <w:pPr>
            <w:pStyle w:val="TOC1"/>
            <w:tabs>
              <w:tab w:val="right" w:leader="dot" w:pos="9061"/>
            </w:tabs>
          </w:pPr>
          <w:hyperlink w:anchor="_Toc_1_3_0000000040" w:history="1">
            <w:r>
              <w:rPr>
                <w:rStyle w:val="Hyperlink"/>
              </w:rPr>
              <w:t>12</w:t>
            </w:r>
            <w:r>
              <w:t xml:space="preserve"> </w:t>
            </w:r>
            <w:r>
              <w:rPr>
                <w:rStyle w:val="Hyperlink"/>
              </w:rPr>
              <w:t>CONCLUSÃO</w:t>
            </w:r>
            <w:r>
              <w:tab/>
            </w:r>
            <w:r>
              <w:fldChar w:fldCharType="begin"/>
            </w:r>
            <w:r>
              <w:instrText>PAGEREF _Toc_1_3_0000000040 \h</w:instrText>
            </w:r>
            <w:r>
              <w:fldChar w:fldCharType="separate"/>
            </w:r>
            <w:r>
              <w:t>58</w:t>
            </w:r>
            <w:r>
              <w:fldChar w:fldCharType="end"/>
            </w:r>
          </w:hyperlink>
        </w:p>
        <w:p w14:paraId="703A3BB6" w14:textId="77777777" w:rsidR="00803ECB" w:rsidRDefault="00803ECB">
          <w:pPr>
            <w:pStyle w:val="TOC2"/>
          </w:pPr>
          <w:hyperlink w:anchor="_Toc_1_3_0000000041" w:history="1">
            <w:r>
              <w:rPr>
                <w:rStyle w:val="Hyperlink"/>
              </w:rPr>
              <w:t>12.1</w:t>
            </w:r>
            <w:r>
              <w:t xml:space="preserve"> </w:t>
            </w:r>
            <w:r>
              <w:rPr>
                <w:rStyle w:val="Hyperlink"/>
              </w:rPr>
              <w:t>REFERÊNCIAS</w:t>
            </w:r>
            <w:r>
              <w:tab/>
            </w:r>
            <w:r>
              <w:fldChar w:fldCharType="begin"/>
            </w:r>
            <w:r>
              <w:instrText>PAGEREF _Toc_1_3_0000000041 \h</w:instrText>
            </w:r>
            <w:r>
              <w:fldChar w:fldCharType="separate"/>
            </w:r>
            <w:r>
              <w:t>59</w:t>
            </w:r>
            <w:r>
              <w:fldChar w:fldCharType="end"/>
            </w:r>
          </w:hyperlink>
        </w:p>
        <w:p w14:paraId="0511AEF4" w14:textId="77777777" w:rsidR="00803ECB" w:rsidRDefault="00803ECB">
          <w:pPr>
            <w:pStyle w:val="TOC1"/>
            <w:tabs>
              <w:tab w:val="right" w:leader="dot" w:pos="9061"/>
            </w:tabs>
          </w:pPr>
          <w:hyperlink w:anchor="_Toc_1_3_0000000042" w:history="1">
            <w:r>
              <w:rPr>
                <w:rStyle w:val="Hyperlink"/>
              </w:rPr>
              <w:t>REFERÊNCIAS</w:t>
            </w:r>
            <w:r>
              <w:tab/>
            </w:r>
            <w:r>
              <w:fldChar w:fldCharType="begin"/>
            </w:r>
            <w:r>
              <w:instrText>PAGEREF _Toc_1_3_0000000042 \h</w:instrText>
            </w:r>
            <w:r>
              <w:fldChar w:fldCharType="separate"/>
            </w:r>
            <w:r>
              <w:t>60</w:t>
            </w:r>
            <w:r>
              <w:fldChar w:fldCharType="end"/>
            </w:r>
          </w:hyperlink>
        </w:p>
        <w:p w14:paraId="1271879B" w14:textId="77777777" w:rsidR="00803ECB" w:rsidRDefault="00ED1359">
          <w:pPr>
            <w:rPr>
              <w:rFonts w:ascii="Arial" w:hAnsi="Arial" w:cs="Arial"/>
              <w:sz w:val="24"/>
              <w:szCs w:val="24"/>
            </w:rPr>
          </w:pPr>
          <w:r>
            <w:rPr>
              <w:rFonts w:ascii="Arial" w:hAnsi="Arial" w:cs="Arial"/>
              <w:sz w:val="24"/>
              <w:szCs w:val="24"/>
            </w:rPr>
            <w:fldChar w:fldCharType="end"/>
          </w:r>
        </w:p>
        <w:p w14:paraId="286C0B4B" w14:textId="77777777" w:rsidR="00803ECB" w:rsidRDefault="00803ECB">
          <w:pPr>
            <w:rPr>
              <w:rFonts w:ascii="Arial" w:hAnsi="Arial" w:cs="Arial"/>
              <w:sz w:val="24"/>
              <w:szCs w:val="24"/>
            </w:rPr>
          </w:pPr>
        </w:p>
        <w:p w14:paraId="53FA08BF" w14:textId="77777777" w:rsidR="00803ECB" w:rsidRDefault="00ED1359">
          <w:pPr>
            <w:rPr>
              <w:b/>
              <w:bCs/>
            </w:rPr>
            <w:sectPr w:rsidR="00803ECB" w:rsidSect="00D17AFD">
              <w:type w:val="continuous"/>
              <w:pgSz w:w="11906" w:h="16838"/>
              <w:pgMar w:top="1701" w:right="1134" w:bottom="1134" w:left="1701" w:header="720" w:footer="720" w:gutter="0"/>
              <w:cols w:space="720"/>
            </w:sectPr>
          </w:pPr>
        </w:p>
      </w:sdtContent>
    </w:sdt>
    <w:p w14:paraId="3A2E72AF" w14:textId="77777777" w:rsidR="00803ECB" w:rsidRDefault="00803ECB">
      <w:pPr>
        <w:pStyle w:val="TituloABNTSemNumeracaoSumario"/>
        <w:jc w:val="left"/>
      </w:pPr>
    </w:p>
    <w:p w14:paraId="22F2819C" w14:textId="77777777" w:rsidR="00803ECB" w:rsidRDefault="00ED1359">
      <w:pPr>
        <w:pStyle w:val="TituloABNT"/>
      </w:pPr>
      <w:bookmarkStart w:id="3" w:name="_Toc_1_3_0000000001"/>
      <w:r>
        <w:t>INTRODUÇÃO</w:t>
      </w:r>
      <w:bookmarkEnd w:id="3"/>
    </w:p>
    <w:p w14:paraId="4C6315F0" w14:textId="77777777" w:rsidR="00803ECB" w:rsidRDefault="00ED1359">
      <w:pPr>
        <w:pStyle w:val="TextoABNT"/>
      </w:pPr>
      <w:r>
        <w:t>A dinâmica dos preços de energia ocupa posição central na análise macroeconômica, especialmente em economias emergentes abertas e sujeitas a choques externos. O petróleo, além de ser uma commodity estratégica para produção, transporte e formação de custos, funciona como um importante canal de transmissão de pressões internacionais para os preços domésticos. Variações no preço internacional do barril podem se propagar por diferentes mecanismos, como taxa de câmbio, custos de refino, preços dos combustíveis a</w:t>
      </w:r>
      <w:r>
        <w:t>o consumidor, expectativas de inflação, fretes e índices agregados de preços. No caso brasileiro, esse processo ganha complexidade adicional porque a transmissão dos preços internacionais para os combustíveis domésticos não depende apenas das condições de mercado, mas também da política de preços praticada pela Petrobras.</w:t>
      </w:r>
    </w:p>
    <w:p w14:paraId="104D70FB" w14:textId="77777777" w:rsidR="00803ECB" w:rsidRDefault="00ED1359">
      <w:pPr>
        <w:pStyle w:val="TextoABNT"/>
      </w:pPr>
      <w:r>
        <w:t>A experiência brasileira mostra que o repasse de choques internacionais do petróleo para os preços internos não é mecânico nem constante ao longo do tempo. Em alguns períodos, os preços domésticos dos combustíveis se aproximaram mais rapidamente das cotações internacionais, refletindo movimentos do petróleo e da taxa de câmbio. Em outros momentos, a política de preços da Petrobras suavizou ou retardou parte desse repasse, reduzindo temporariamente a sensibilidade dos preços domésticos às oscilações externas</w:t>
      </w:r>
      <w:r>
        <w:t>. Essa característica torna o Brasil um caso relevante para o estudo do pass-through energético, pois o efeito final sobre a inflação depende tanto da magnitude do choque externo quanto da forma como ele é absorvido pela estrutura doméstica de preços.</w:t>
      </w:r>
    </w:p>
    <w:p w14:paraId="05F40A07" w14:textId="77777777" w:rsidR="00803ECB" w:rsidRDefault="00ED1359">
      <w:pPr>
        <w:pStyle w:val="TextoABNT"/>
      </w:pPr>
      <w:r>
        <w:t xml:space="preserve">A literatura macroeconômica reconhece há décadas que choques no preço do petróleo podem produzir efeitos relevantes sobre a atividade econômica e a inflação. Trabalhos como Hamilton (1983) associaram choques petrolíferos a flutuações macroeconômicas, enquanto contribuições posteriores, como Kilian (2009), destacaram a importância de distinguir choques de oferta, choques de demanda global e choques de demanda específica por petróleo. Essa distinção é fundamental porque nem toda elevação do petróleo possui a </w:t>
      </w:r>
      <w:r>
        <w:t>mesma interpretação econômica. Um aumento provocado por maior demanda global pode estar associado à expansão da atividade mundial, enquanto uma elevação causada por restrição de oferta tende a representar pressão de custos. Assim, analisar o efeito do petróleo sobre a inflação exige cuidado na identificação do choque e na interpretação de seus canais de transmissão.</w:t>
      </w:r>
    </w:p>
    <w:p w14:paraId="7E3174E6" w14:textId="77777777" w:rsidR="00803ECB" w:rsidRDefault="00ED1359">
      <w:pPr>
        <w:pStyle w:val="TextoABNT"/>
      </w:pPr>
      <w:r>
        <w:lastRenderedPageBreak/>
        <w:t>No Brasil, a relação entre petróleo, combustíveis e inflação assume importância especial por causa da composição do IPCA e do peso dos combustíveis no grupo de transportes. Gasolina, etanol e óleo diesel possuem efeitos diretos e indiretos sobre os preços ao consumidor. O efeito direto ocorre quando a variação do combustível aparece no próprio índice de preços. O efeito indireto ocorre quando o aumento dos combustíveis encarece o transporte, o frete, a distribuição e outros custos de produção, podendo press</w:t>
      </w:r>
      <w:r>
        <w:t>ionar outros bens e serviços. Ainda assim, a magnitude desse repasse para o IPCA Geral tende a ser menor do que para o IPCA Transportes, pois o índice agregado dilui o choque entre diversos grupos de consumo.</w:t>
      </w:r>
    </w:p>
    <w:p w14:paraId="4A5E8AE6" w14:textId="77777777" w:rsidR="00803ECB" w:rsidRDefault="00ED1359">
      <w:pPr>
        <w:pStyle w:val="TextoABNT"/>
      </w:pPr>
      <w:r>
        <w:t xml:space="preserve">Diante desse contexto, este trabalho busca responder à seguinte pergunta: em que medida choques no preço internacional do petróleo são transmitidos aos preços domésticos de combustíveis e à inflação brasileira entre 2003 e 2026? A pergunta envolve três dimensões principais. A primeira é a transmissão do petróleo para os combustíveis domésticos, especialmente gasolina, etanol, óleo diesel e preço da gasolina na refinaria. A segunda é o efeito dos combustíveis sobre o IPCA Transportes, que representa o canal </w:t>
      </w:r>
      <w:r>
        <w:t>mais diretamente exposto ao choque. A terceira é o impacto sobre o IPCA Geral, que permite avaliar se a pressão setorial se transforma em inflação agregada.</w:t>
      </w:r>
    </w:p>
    <w:p w14:paraId="28037066" w14:textId="77777777" w:rsidR="00803ECB" w:rsidRDefault="00ED1359">
      <w:pPr>
        <w:pStyle w:val="TextoABNT"/>
      </w:pPr>
      <w:r>
        <w:t>A hipótese central do trabalho é que o repasse dos choques de petróleo para a inflação brasileira ocorre principalmente por meio dos combustíveis, com efeito mais evidente sobre o IPCA Transportes do que sobre o IPCA Geral. Espera-se que choques positivos no petróleo afetem os combustíveis domésticos, mas que a intensidade desse repasse varie ao longo do tempo em função de mudanças na política de preços da Petrobras, da taxa de câmbio, do ciclo econômico e das condições do regime inflacionário. Também se es</w:t>
      </w:r>
      <w:r>
        <w:t>pera que o impacto sobre o IPCA Geral seja mais limitado e menos persistente, uma vez que a inflação agregada depende de um conjunto mais amplo de componentes.</w:t>
      </w:r>
    </w:p>
    <w:p w14:paraId="26FBC08A" w14:textId="77777777" w:rsidR="00803ECB" w:rsidRDefault="00ED1359">
      <w:pPr>
        <w:pStyle w:val="TextoABNT"/>
      </w:pPr>
      <w:r>
        <w:t>A contribuição deste estudo está em combinar a análise do canal energético com uma estratégia empírica voltada à dinâmica temporal do repasse. Em vez de observar apenas correlações contemporâneas, o trabalho estima como os efeitos se acumulam ao longo dos meses após o choque. Para isso, a estratégia empírica principal é baseada em modelos de Local Projections, propostos por Jordà (2005), que permitem estimar diretamente a resposta acumulada dos combustíveis e da inflação em diferentes horizontes. Essa abord</w:t>
      </w:r>
      <w:r>
        <w:t xml:space="preserve">agem é especialmente adequada para o objetivo </w:t>
      </w:r>
      <w:r>
        <w:lastRenderedPageBreak/>
        <w:t>do trabalho porque permite organizar o mecanismo de transmissão em etapas: petróleo para combustíveis, combustíveis para IPCA Transportes e IPCA Geral, petróleo para inflação com controle pelos combustíveis e comparação entre regimes de política de preços.</w:t>
      </w:r>
    </w:p>
    <w:p w14:paraId="23162C8D" w14:textId="77777777" w:rsidR="00803ECB" w:rsidRDefault="00ED1359">
      <w:pPr>
        <w:pStyle w:val="TextoABNT"/>
      </w:pPr>
      <w:r>
        <w:t>Além das Local Projections, o trabalho utiliza um modelo de Vetores Autorregressivos, denominado VAR, como exercício de robustez. O VAR não é tratado como especificação principal, mas como uma forma complementar de verificar se os principais sinais encontrados pelas Local Projections permanecem consistentes em uma estrutura dinâmica multivariada tradicional. Enquanto as Local Projections oferecem maior flexibilidade para estimar respostas acumuladas horizonte a horizonte e separar canais específicos de tran</w:t>
      </w:r>
      <w:r>
        <w:t>smissão, o VAR permite analisar a interação conjunta entre as variáveis, recuperar funções impulso-resposta e comparar a direção, a persistência e a coerência dos choques em um sistema dinâmico. Dessa forma, o uso do VAR fortalece a análise ao verificar se a evidência central do repasse petróleo-combustíveis-inflação também aparece sob uma abordagem econométrica alternativa.</w:t>
      </w:r>
    </w:p>
    <w:p w14:paraId="24B7DC77" w14:textId="77777777" w:rsidR="00803ECB" w:rsidRDefault="00ED1359">
      <w:pPr>
        <w:pStyle w:val="TextoABNT"/>
      </w:pPr>
      <w:r>
        <w:t xml:space="preserve">No modelo de </w:t>
      </w:r>
      <w:r>
        <w:rPr>
          <w:i/>
        </w:rPr>
        <w:t>Local Projections</w:t>
      </w:r>
      <w:r>
        <w:t xml:space="preserve">, a variável dependente é construída como a resposta acumulada da variável de interesse entre o mês do choque e o horizonte futuro. Essa escolha é adequada para a análise da inflação, pois permite interpretar o coeficiente estimado como o efeito acumulado de um choque ao longo de determinado período. O modelo inclui defasagens da variável dependente, defasagens do choque, controles macroeconômicos, </w:t>
      </w:r>
      <w:r>
        <w:rPr>
          <w:i/>
        </w:rPr>
        <w:t>dummies</w:t>
      </w:r>
      <w:r>
        <w:t xml:space="preserve"> sazonais e erros-padrão robustos do tipo HAC/Newey-West. Os choques são padronizados, de modo que os c</w:t>
      </w:r>
      <w:r>
        <w:t>oeficientes possam ser interpretados como a resposta da variável dependente a um choque de um desvio-padrão na variável de impulso.</w:t>
      </w:r>
    </w:p>
    <w:p w14:paraId="3C918065" w14:textId="77777777" w:rsidR="00803ECB" w:rsidRDefault="00ED1359">
      <w:pPr>
        <w:pStyle w:val="TextoABNT"/>
      </w:pPr>
      <w:r>
        <w:t>Uma preocupação importante do trabalho é distinguir o efeito total do petróleo sobre a inflação do efeito que ocorre por meio dos combustíveis. O efeito total mede a resposta da inflação ao choque do petróleo considerando todos os canais possíveis de transmissão. Já a especificação com controle pelos combustíveis permite verificar se o petróleo ainda possui impacto sobre a inflação depois que os preços domésticos dos combustíveis são incluídos no modelo. Caso o efeito do petróleo diminua após a inclusão des</w:t>
      </w:r>
      <w:r>
        <w:t>ses controles, há evidência de que os combustíveis funcionam como canal de mediação entre o choque externo e a inflação doméstica.</w:t>
      </w:r>
    </w:p>
    <w:p w14:paraId="34F78140" w14:textId="77777777" w:rsidR="00803ECB" w:rsidRDefault="00ED1359">
      <w:pPr>
        <w:pStyle w:val="TextoABNT"/>
      </w:pPr>
      <w:r>
        <w:t xml:space="preserve">Por fim, a amostra de 2003 a 2026 compreende períodos distintos da política de preços da Petrobras e diferentes contextos macroeconômicos. Por isso, o trabalho </w:t>
      </w:r>
      <w:r>
        <w:lastRenderedPageBreak/>
        <w:t xml:space="preserve">considera divisões de amostra associadas a regimes de precificação. A quebra em 2015 é tratada como uma divisão empírica de transição, associada ao fim do período de maior represamento de preços e ao início do realinhamento dos combustíveis domésticos aos preços internacionais. Ela não deve ser confundida com a adoção formal da política de paridade de importação, que se consolida em 2016, nem com a nova estratégia comercial anunciada em 2023. Assim, os resultados por regime são interpretados como evidência </w:t>
      </w:r>
      <w:r>
        <w:t xml:space="preserve">de heterogeneidade institucional, e não como prova de que todo o período pós-2015 formou um regime único e homogêneo. A estrutura do estudo está organizada em revisão da literatura, descrição da base de dados, metodologia econométrica, apresentação dos resultados e conclusão. Com isso, busca-se avaliar não apenas se o petróleo afeta a inflação brasileira, mas por quais canais esse efeito ocorre, com que intensidade aparece no IPCA Transportes, em que medida se transmite para o IPCA Geral e se os resultados </w:t>
      </w:r>
      <w:r>
        <w:t>permanecem consistentes quando comparados com a evidência de robustez obtida pelo VAR.</w:t>
      </w:r>
    </w:p>
    <w:p w14:paraId="162656EF" w14:textId="77777777" w:rsidR="00803ECB" w:rsidRDefault="00ED1359">
      <w:pPr>
        <w:pStyle w:val="TituloABNT"/>
        <w:pageBreakBefore/>
      </w:pPr>
      <w:bookmarkStart w:id="4" w:name="_Toc_1_3_0000000002"/>
      <w:r>
        <w:lastRenderedPageBreak/>
        <w:t>REVISÃO BIBLIOGRÁFICA</w:t>
      </w:r>
      <w:bookmarkEnd w:id="4"/>
    </w:p>
    <w:p w14:paraId="57E1CAC4" w14:textId="77777777" w:rsidR="00803ECB" w:rsidRDefault="00ED1359">
      <w:pPr>
        <w:pStyle w:val="TextoABNT"/>
      </w:pPr>
      <w:r>
        <w:t>Esta revisão bibliográfica sistematiza os fundamentos teóricos e empíricos necessários à análise da transmissão de choques no preço internacional do petróleo para os preços domésticos de combustíveis e, posteriormente, para a inflação brasileira. A discussão parte da literatura clássica sobre choques de petróleo e inflação, incorpora a literatura recente de local projections e reposiciona o problema para o caso brasileiro, no qual a estrutura de refino, a política comercial da Petrobras, a formação dos preç</w:t>
      </w:r>
      <w:r>
        <w:t>os de gasolina e diesel e a composição do IPCA modificam a intensidade e a velocidade do repasse.</w:t>
      </w:r>
    </w:p>
    <w:p w14:paraId="0C2CA709" w14:textId="77777777" w:rsidR="00803ECB" w:rsidRDefault="00ED1359">
      <w:pPr>
        <w:pStyle w:val="TextoABNT"/>
      </w:pPr>
      <w:r>
        <w:t>O eixo central da revisão é que a transmissão do petróleo à inflação não deve ser tratada como uma relação mecânica e homogênea. A variação do barril em dólares precisa ser convertida em preço relevante para a economia doméstica por meio da taxa de câmbio; em seguida, esse choque passa pela etapa de formação de preços no refino, pela distribuição, pela revenda e pela estrutura tributária; por fim, atinge os subitens do IPCA, especialmente os ligados a combustíveis, transportes e custos logísticos. Portanto,</w:t>
      </w:r>
      <w:r>
        <w:t xml:space="preserve"> a análise adequada do caso brasileiro requer separar, sempre que possível, três níveis de transmissão: preço internacional do petróleo, preço doméstico na refinaria e preço final ao consumidor.</w:t>
      </w:r>
    </w:p>
    <w:p w14:paraId="2810B1FA" w14:textId="77777777" w:rsidR="00803ECB" w:rsidRDefault="00ED1359">
      <w:pPr>
        <w:pStyle w:val="TextoABNT"/>
      </w:pPr>
      <w:r>
        <w:t xml:space="preserve">A escolha metodológica parte das </w:t>
      </w:r>
      <w:r>
        <w:rPr>
          <w:i/>
        </w:rPr>
        <w:t>local projections</w:t>
      </w:r>
      <w:r>
        <w:t xml:space="preserve"> como estratégia empírica principal, mas mantém os modelos VAR como referência de robustez. Enquanto modelos VAR tradicionais estimam um sistema dinâmico conjunto e recuperam funções impulso-resposta a partir da estrutura estimada, as </w:t>
      </w:r>
      <w:r>
        <w:rPr>
          <w:i/>
        </w:rPr>
        <w:t>local projections</w:t>
      </w:r>
      <w:r>
        <w:t xml:space="preserve"> estimam diretamente a resposta de uma variável em cada horizonte temporal. Essa diferença permite maior flexibilidade na inclusão de controles, variáveis institucionais, regimes e respostas heterogêneas. Ao mesmo tempo, o VAR permanece útil c</w:t>
      </w:r>
      <w:r>
        <w:t xml:space="preserve">omo comparação porque verifica se os sinais centrais encontrados nas </w:t>
      </w:r>
      <w:r>
        <w:rPr>
          <w:i/>
        </w:rPr>
        <w:t>local projections</w:t>
      </w:r>
      <w:r>
        <w:t xml:space="preserve"> também aparecem em uma estrutura multivariada tradicional. Essa combinação é particularmente relevante para o presente tema, porque o repasse do petróleo para a inflação brasileira pode variar conforme o regime de preços da Petrobras, a fase do ciclo econômico, a taxa de câmbio, a política monetária e a composição dos combustíveis no índice de preços.</w:t>
      </w:r>
    </w:p>
    <w:p w14:paraId="23889605" w14:textId="77777777" w:rsidR="00803ECB" w:rsidRDefault="00ED1359">
      <w:pPr>
        <w:pStyle w:val="SubtituloABNT"/>
      </w:pPr>
      <w:bookmarkStart w:id="5" w:name="_Toc_1_3_0000000003"/>
      <w:r>
        <w:t>Choques do petróleo, inflação e atividade econômica</w:t>
      </w:r>
      <w:bookmarkEnd w:id="5"/>
    </w:p>
    <w:p w14:paraId="49EFFB42" w14:textId="77777777" w:rsidR="00803ECB" w:rsidRDefault="00ED1359">
      <w:pPr>
        <w:pStyle w:val="TextoABNT"/>
      </w:pPr>
      <w:r>
        <w:t xml:space="preserve">A literatura sobre petróleo e macroeconomia se desenvolveu, inicialmente, a partir da interpretação de que elevações expressivas no preço do barril funcionariam como choques adversos de oferta. Nesse tipo de choque, a energia mais cara eleva </w:t>
      </w:r>
      <w:r>
        <w:lastRenderedPageBreak/>
        <w:t>os custos de produção, reduz a renda real disponível, pressiona preços finais e pode desacelerar a atividade econômica. Hamilton (2003) é uma referência central nesse debate ao mostrar que aumentos relevantes no preço do petróleo precederam diversos episódios recessivos nos Estados Unidos no período pós-guerra. A contribuição do autor não se restringe à associação histórica entre petróleo e recessões; ela também reforça a ideia de que choques de energia podem afetar simultaneamente inflação e produto.</w:t>
      </w:r>
    </w:p>
    <w:p w14:paraId="1686EAB8" w14:textId="77777777" w:rsidR="00803ECB" w:rsidRDefault="00ED1359">
      <w:pPr>
        <w:pStyle w:val="TextoABNT"/>
      </w:pPr>
      <w:r>
        <w:t xml:space="preserve">Uma das formas clássicas de representar o choque de petróleo na literatura de Hamilton é o </w:t>
      </w:r>
      <w:r>
        <w:rPr>
          <w:i/>
        </w:rPr>
        <w:t>net oil price increase</w:t>
      </w:r>
      <w:r>
        <w:t>, isto é, uma medida que considera apenas aumentos do preço do petróleo acima do maior valor observado em determinado período anterior. De forma simplificada, essa medida pode ser escrita como:</w:t>
      </w:r>
    </w:p>
    <w:p w14:paraId="50E76338" w14:textId="77777777" w:rsidR="00803ECB" w:rsidRDefault="00ED1359">
      <w:pPr>
        <w:pStyle w:val="TextoABNT"/>
      </w:pPr>
      <m:oMathPara>
        <m:oMath>
          <m:r>
            <w:rPr>
              <w:rFonts w:ascii="Cambria Math" w:eastAsia="Cambria Math" w:hAnsi="Cambria Math" w:cs="Cambria Math"/>
            </w:rPr>
            <m:t>NOPI</m:t>
          </m:r>
          <m:r>
            <w:rPr>
              <w:rFonts w:ascii="Cambria Math" w:eastAsia="Cambria Math" w:hAnsi="Cambria Math" w:cs="Cambria Math"/>
            </w:rPr>
            <m:t>=</m:t>
          </m:r>
          <m:r>
            <w:rPr>
              <w:rFonts w:ascii="Cambria Math" w:eastAsia="Cambria Math" w:hAnsi="Cambria Math" w:cs="Cambria Math"/>
            </w:rPr>
            <m:t>max</m:t>
          </m:r>
          <m:d>
            <m:dPr>
              <m:begChr m:val="{"/>
              <m:endChr m:val="}"/>
              <m:ctrlPr>
                <w:rPr>
                  <w:rFonts w:ascii="Cambria Math" w:hAnsi="Cambria Math"/>
                </w:rPr>
              </m:ctrlPr>
            </m:dPr>
            <m:e>
              <m:r>
                <w:rPr>
                  <w:rFonts w:ascii="Cambria Math" w:eastAsia="Cambria Math" w:hAnsi="Cambria Math" w:cs="Cambria Math"/>
                </w:rPr>
                <m:t>0,</m:t>
              </m:r>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P</m:t>
                  </m:r>
                  <m:sSup>
                    <m:sSupPr>
                      <m:ctrlPr>
                        <w:rPr>
                          <w:rFonts w:ascii="Cambria Math" w:hAnsi="Cambria Math"/>
                        </w:rPr>
                      </m:ctrlPr>
                    </m:sSupPr>
                    <m:e/>
                    <m:sup>
                      <m:r>
                        <w:rPr>
                          <w:rFonts w:ascii="Cambria Math" w:eastAsia="Cambria Math" w:hAnsi="Cambria Math" w:cs="Cambria Math"/>
                        </w:rPr>
                        <m:t>i</m:t>
                      </m:r>
                    </m:sup>
                  </m:sSup>
                </m:e>
              </m:d>
              <m:r>
                <w:rPr>
                  <w:rFonts w:ascii="Cambria Math" w:eastAsia="Cambria Math" w:hAnsi="Cambria Math" w:cs="Cambria Math"/>
                </w:rPr>
                <m:t>-</m:t>
              </m:r>
              <m:r>
                <w:rPr>
                  <w:rFonts w:ascii="Cambria Math" w:eastAsia="Cambria Math" w:hAnsi="Cambria Math" w:cs="Cambria Math"/>
                </w:rPr>
                <m:t>max</m:t>
              </m:r>
              <m:d>
                <m:dPr>
                  <m:begChr m:val="["/>
                  <m:endChr m:val="]"/>
                  <m:ctrlPr>
                    <w:rPr>
                      <w:rFonts w:ascii="Cambria Math" w:hAnsi="Cambria Math"/>
                    </w:rPr>
                  </m:ctrlPr>
                </m:dPr>
                <m:e>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sSup>
                        <m:sSupPr>
                          <m:ctrlPr>
                            <w:rPr>
                              <w:rFonts w:ascii="Cambria Math" w:hAnsi="Cambria Math"/>
                            </w:rPr>
                          </m:ctrlPr>
                        </m:sSupPr>
                        <m:e/>
                        <m:sup>
                          <m:r>
                            <w:rPr>
                              <w:rFonts w:ascii="Cambria Math" w:eastAsia="Cambria Math" w:hAnsi="Cambria Math" w:cs="Cambria Math"/>
                            </w:rPr>
                            <m:t>i</m:t>
                          </m:r>
                        </m:sup>
                      </m:sSup>
                    </m:e>
                  </m:d>
                  <m:r>
                    <w:rPr>
                      <w:rFonts w:ascii="Cambria Math" w:eastAsia="Cambria Math" w:hAnsi="Cambria Math" w:cs="Cambria Math"/>
                    </w:rPr>
                    <m:t>,...,</m:t>
                  </m:r>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12</m:t>
                          </m:r>
                        </m:sub>
                      </m:sSub>
                      <m:sSup>
                        <m:sSupPr>
                          <m:ctrlPr>
                            <w:rPr>
                              <w:rFonts w:ascii="Cambria Math" w:hAnsi="Cambria Math"/>
                            </w:rPr>
                          </m:ctrlPr>
                        </m:sSupPr>
                        <m:e/>
                        <m:sup>
                          <m:r>
                            <w:rPr>
                              <w:rFonts w:ascii="Cambria Math" w:eastAsia="Cambria Math" w:hAnsi="Cambria Math" w:cs="Cambria Math"/>
                            </w:rPr>
                            <m:t>i</m:t>
                          </m:r>
                        </m:sup>
                      </m:sSup>
                    </m:e>
                  </m:d>
                </m:e>
              </m:d>
            </m:e>
          </m:d>
        </m:oMath>
      </m:oMathPara>
    </w:p>
    <w:p w14:paraId="57D63508" w14:textId="77777777" w:rsidR="00803ECB" w:rsidRDefault="00ED1359">
      <w:pPr>
        <w:pStyle w:val="TextoABNT"/>
      </w:pPr>
      <w:r>
        <w:t>(1)</w:t>
      </w:r>
    </w:p>
    <w:p w14:paraId="4FBD5E01" w14:textId="77777777" w:rsidR="00803ECB" w:rsidRDefault="00ED1359">
      <w:pPr>
        <w:pStyle w:val="TextoABNT"/>
      </w:pPr>
      <w:r>
        <w:t>Em que NOPIₜ representa o aumento líquido do preço do petróleo no período t e Pₜₜⁱₜ representa o preço do petróleo. A intuição dessa medida é que pequenas variações ou movimentos que apenas recuperam quedas anteriores podem não ter o mesmo efeito macroeconômico que uma alta capaz de superar o pico recente. Para o presente trabalho, essa formulação é útil porque mostra que o impacto inflacionário do petróleo pode depender da intensidade e da novidade do choque, e não apenas da variação mensal do barril.</w:t>
      </w:r>
    </w:p>
    <w:p w14:paraId="2ECC2DFF" w14:textId="77777777" w:rsidR="00803ECB" w:rsidRDefault="00ED1359">
      <w:pPr>
        <w:pStyle w:val="TextoABNT"/>
      </w:pPr>
      <w:r>
        <w:t>Com o avanço da literatura, tornou-se claro que nem toda elevação do preço do petróleo possui a mesma origem. Kilian (2009) argumenta que movimentos do preço do petróleo podem refletir choques de oferta, choques de demanda agregada global ou choques de demanda específica por petróleo, como aqueles associados à demanda precaucional. Essa distinção é essencial porque um aumento do petróleo causado por forte demanda global pode vir acompanhado de maior atividade econômica, enquanto um aumento causado por restr</w:t>
      </w:r>
      <w:r>
        <w:t>ição de oferta pode ter efeitos mais diretamente contracionistas e inflacionários.</w:t>
      </w:r>
    </w:p>
    <w:p w14:paraId="6A0D5D1C" w14:textId="77777777" w:rsidR="00803ECB" w:rsidRDefault="00ED1359">
      <w:pPr>
        <w:pStyle w:val="TextoABNT"/>
      </w:pPr>
      <w:r>
        <w:t>A decomposição proposta por Kilian pode ser representada por um sistema estrutural que relaciona produção mundial de petróleo, atividade econômica global e preço real do petróleo:</w:t>
      </w:r>
    </w:p>
    <w:p w14:paraId="1DB9F455" w14:textId="77777777" w:rsidR="00803ECB" w:rsidRDefault="00ED1359">
      <w:pPr>
        <w:pStyle w:val="TextoABNT"/>
      </w:pPr>
      <m:oMathPara>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0</m:t>
              </m:r>
            </m:sub>
          </m:sSub>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Σ</m:t>
              </m:r>
            </m:e>
            <m:sub>
              <m:d>
                <m:dPr>
                  <m:begChr m:val="{"/>
                  <m:endChr m:val="}"/>
                  <m:ctrlPr>
                    <w:rPr>
                      <w:rFonts w:ascii="Cambria Math" w:hAnsi="Cambria Math"/>
                    </w:rPr>
                  </m:ctrlPr>
                </m:dPr>
                <m:e>
                  <m:r>
                    <w:rPr>
                      <w:rFonts w:ascii="Cambria Math" w:eastAsia="Cambria Math" w:hAnsi="Cambria Math" w:cs="Cambria Math"/>
                    </w:rPr>
                    <m:t>i</m:t>
                  </m:r>
                  <m:r>
                    <w:rPr>
                      <w:rFonts w:ascii="Cambria Math" w:eastAsia="Cambria Math" w:hAnsi="Cambria Math" w:cs="Cambria Math"/>
                    </w:rPr>
                    <m:t>=1</m:t>
                  </m:r>
                </m:e>
              </m:d>
            </m:sub>
            <m:sup>
              <m:r>
                <w:rPr>
                  <w:rFonts w:ascii="Cambria Math" w:eastAsia="Cambria Math" w:hAnsi="Cambria Math" w:cs="Cambria Math"/>
                </w:rPr>
                <m:t>n</m:t>
              </m:r>
            </m:sup>
          </m:sSubSup>
          <m:d>
            <m:dPr>
              <m:begChr m:val="{"/>
              <m:endChr m:val="}"/>
              <m:ctrlPr>
                <w:rPr>
                  <w:rFonts w:ascii="Cambria Math" w:hAnsi="Cambria Math"/>
                </w:rPr>
              </m:ctrlPr>
            </m:dPr>
            <m:e>
              <m:r>
                <w:rPr>
                  <w:rFonts w:ascii="Cambria Math" w:eastAsia="Cambria Math" w:hAnsi="Cambria Math" w:cs="Cambria Math"/>
                </w:rPr>
                <m:t>p</m:t>
              </m:r>
            </m:e>
          </m:d>
          <m:r>
            <w:rPr>
              <w:rFonts w:ascii="Cambria Math" w:eastAsia="Cambria Math" w:hAnsi="Cambria Math" w:cs="Cambria Math"/>
            </w:rPr>
            <m:t>Ay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ε</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Δprod</m:t>
                  </m:r>
                  <m:sSup>
                    <m:sSupPr>
                      <m:ctrlPr>
                        <w:rPr>
                          <w:rFonts w:ascii="Cambria Math" w:hAnsi="Cambria Math"/>
                        </w:rPr>
                      </m:ctrlPr>
                    </m:sSupPr>
                    <m:e/>
                    <m:sup>
                      <m:r>
                        <w:rPr>
                          <w:rFonts w:ascii="Cambria Math" w:eastAsia="Cambria Math" w:hAnsi="Cambria Math" w:cs="Cambria Math"/>
                        </w:rPr>
                        <m:t>i</m:t>
                      </m:r>
                    </m:sup>
                  </m:sSup>
                  <m:r>
                    <w:rPr>
                      <w:rFonts w:ascii="Cambria Math" w:eastAsia="Cambria Math" w:hAnsi="Cambria Math" w:cs="Cambria Math"/>
                    </w:rPr>
                    <m:t>,</m:t>
                  </m:r>
                  <m:r>
                    <w:rPr>
                      <w:rFonts w:ascii="Cambria Math" w:eastAsia="Cambria Math" w:hAnsi="Cambria Math" w:cs="Cambria Math"/>
                    </w:rPr>
                    <m:t>rea</m:t>
                  </m:r>
                  <m:r>
                    <w:rPr>
                      <w:rFonts w:ascii="Cambria Math" w:eastAsia="Cambria Math" w:hAnsi="Cambria Math" w:cs="Cambria Math"/>
                    </w:rPr>
                    <m:t>,</m:t>
                  </m:r>
                  <m:r>
                    <w:rPr>
                      <w:rFonts w:ascii="Cambria Math" w:eastAsia="Cambria Math" w:hAnsi="Cambria Math" w:cs="Cambria Math"/>
                    </w:rPr>
                    <m:t>rpo</m:t>
                  </m:r>
                </m:e>
              </m:d>
            </m:e>
            <m:sup>
              <m:r>
                <w:rPr>
                  <w:rFonts w:ascii="Cambria Math" w:eastAsia="Cambria Math" w:hAnsi="Cambria Math" w:cs="Cambria Math"/>
                </w:rPr>
                <m:t>'</m:t>
              </m:r>
            </m:sup>
          </m:sSup>
        </m:oMath>
      </m:oMathPara>
    </w:p>
    <w:p w14:paraId="01DF2FB5" w14:textId="77777777" w:rsidR="00803ECB" w:rsidRDefault="00ED1359">
      <w:pPr>
        <w:pStyle w:val="TextoABNT"/>
      </w:pPr>
      <w:r>
        <w:t>(2)</w:t>
      </w:r>
    </w:p>
    <w:p w14:paraId="6A35E986" w14:textId="77777777" w:rsidR="00803ECB" w:rsidRDefault="00ED1359">
      <w:pPr>
        <w:pStyle w:val="TextoABNT"/>
      </w:pPr>
      <w:r>
        <w:lastRenderedPageBreak/>
        <w:t>Nessa formulação, Δprodₜₜⁱₜ representa a variação da produção mundial de petróleo, reaₜ é uma medida de atividade econômica global, rpoₜ é o preço real do petróleo e εₜ reúne os choques estruturais. A principal implicação dessa equação para a presente pesquisa é que o preço do barril não deve ser analisado apenas como variável exógena única. A origem do choque importa para a magnitude, a duração e o canal de transmissão para a inflação brasileira.</w:t>
      </w:r>
    </w:p>
    <w:p w14:paraId="314CB16B" w14:textId="77777777" w:rsidR="00803ECB" w:rsidRDefault="00ED1359">
      <w:pPr>
        <w:pStyle w:val="TextoABNT"/>
      </w:pPr>
      <w:r>
        <w:t>A literatura também mostra que o efeito do petróleo sobre a inflação não é uniforme entre todos os componentes dos índices de preços. Hooker (2002) observa que, a partir dos anos 1980, o impacto do petróleo sobre a inflação norte-americana tornou-se mais concentrado nos componentes diretamente ligados à energia, com menor disseminação para medidas de núcleo. Esse resultado é relevante para o caso brasileiro porque sugere que o IPCA cheio pode esconder mecanismos importantes quando analisado de forma agregad</w:t>
      </w:r>
      <w:r>
        <w:t>a. Por isso, torna-se necessário separar o IPCA geral, o IPCA de transportes e os subitens diretamente ligados a combustíveis.</w:t>
      </w:r>
    </w:p>
    <w:p w14:paraId="663F2A63" w14:textId="77777777" w:rsidR="00803ECB" w:rsidRDefault="00ED1359">
      <w:pPr>
        <w:pStyle w:val="TextoABNT"/>
      </w:pPr>
      <w:r>
        <w:t>Blanchard e Galí (2007) reforçam essa leitura ao comparar os choques dos anos 1970 com choques posteriores. Os autores mostram que os efeitos macroeconômicos do petróleo se tornaram menos severos em economias avançadas, resultado associado a uma menor intensidade energética, maior flexibilidade dos mercados e maior credibilidade da política monetária. A contribuição desse estudo está em mostrar que o repasse do petróleo à inflação depende do regime macroeconômico e institucional. Assim, não se deve presumir</w:t>
      </w:r>
      <w:r>
        <w:t xml:space="preserve"> um coeficiente fixo de transmissão ao longo do tempo.</w:t>
      </w:r>
    </w:p>
    <w:p w14:paraId="204A13F9" w14:textId="77777777" w:rsidR="00803ECB" w:rsidRDefault="00ED1359">
      <w:pPr>
        <w:pStyle w:val="SubtituloABNT"/>
      </w:pPr>
      <w:bookmarkStart w:id="6" w:name="_Toc_1_3_0000000004"/>
      <w:r>
        <w:t>Petróleo em moeda doméstica, câmbio e pass-through inflacionário</w:t>
      </w:r>
      <w:bookmarkEnd w:id="6"/>
    </w:p>
    <w:p w14:paraId="54ED0289" w14:textId="77777777" w:rsidR="00803ECB" w:rsidRDefault="00ED1359">
      <w:pPr>
        <w:pStyle w:val="TextoABNT"/>
      </w:pPr>
      <w:r>
        <w:t>Em economias abertas, a transmissão do petróleo para a inflação depende não apenas do preço internacional em dólares, mas também da taxa de câmbio. Para países como o Brasil, o choque relevante para empresas, refinarias, importadores e consumidores é o preço do petróleo em reais. Esse mecanismo pode ser representado por:</w:t>
      </w:r>
    </w:p>
    <w:p w14:paraId="23871BC3" w14:textId="77777777" w:rsidR="00803ECB" w:rsidRDefault="00ED1359">
      <w:pPr>
        <w:pStyle w:val="TextoABNT"/>
      </w:pPr>
      <m:oMathPara>
        <m:oMath>
          <m:r>
            <w:rPr>
              <w:rFonts w:ascii="Cambria Math" w:eastAsia="Cambria Math" w:hAnsi="Cambria Math" w:cs="Cambria Math"/>
            </w:rPr>
            <m:t>P</m:t>
          </m:r>
          <m:sSup>
            <m:sSupPr>
              <m:ctrlPr>
                <w:rPr>
                  <w:rFonts w:ascii="Cambria Math" w:hAnsi="Cambria Math"/>
                </w:rPr>
              </m:ctrlPr>
            </m:sSupPr>
            <m:e/>
            <m:sup>
              <m:r>
                <w:rPr>
                  <w:rFonts w:ascii="Cambria Math" w:eastAsia="Cambria Math" w:hAnsi="Cambria Math" w:cs="Cambria Math"/>
                </w:rPr>
                <m:t>i</m:t>
              </m:r>
            </m:sup>
          </m:sSup>
          <m:r>
            <w:rPr>
              <w:rFonts w:ascii="Cambria Math" w:eastAsia="Cambria Math" w:hAnsi="Cambria Math" w:cs="Cambria Math"/>
            </w:rPr>
            <m:t>,=</m:t>
          </m:r>
          <m:r>
            <w:rPr>
              <w:rFonts w:ascii="Cambria Math" w:eastAsia="Cambria Math" w:hAnsi="Cambria Math" w:cs="Cambria Math"/>
            </w:rPr>
            <m:t>E</m:t>
          </m:r>
          <m:r>
            <w:rPr>
              <w:rFonts w:ascii="Cambria Math" w:eastAsia="Cambria Math" w:hAnsi="Cambria Math" w:cs="Cambria Math"/>
            </w:rPr>
            <m:t>⋅</m:t>
          </m:r>
          <m:r>
            <w:rPr>
              <w:rFonts w:ascii="Cambria Math" w:eastAsia="Cambria Math" w:hAnsi="Cambria Math" w:cs="Cambria Math"/>
            </w:rPr>
            <m:t>P</m:t>
          </m:r>
          <m:sSup>
            <m:sSupPr>
              <m:ctrlPr>
                <w:rPr>
                  <w:rFonts w:ascii="Cambria Math" w:hAnsi="Cambria Math"/>
                </w:rPr>
              </m:ctrlPr>
            </m:sSupPr>
            <m:e/>
            <m:sup>
              <m:r>
                <w:rPr>
                  <w:rFonts w:ascii="Cambria Math" w:eastAsia="Cambria Math" w:hAnsi="Cambria Math" w:cs="Cambria Math"/>
                </w:rPr>
                <m:t>i</m:t>
              </m:r>
            </m:sup>
          </m:s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3</m:t>
              </m:r>
            </m:e>
          </m:d>
        </m:oMath>
      </m:oMathPara>
    </w:p>
    <w:p w14:paraId="1140C117" w14:textId="77777777" w:rsidR="00803ECB" w:rsidRDefault="00ED1359">
      <w:pPr>
        <w:pStyle w:val="TextoABNT"/>
      </w:pPr>
      <w:r>
        <w:t xml:space="preserve">Em que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int</m:t>
            </m:r>
            <m:r>
              <w:rPr>
                <w:rFonts w:ascii="Cambria Math" w:eastAsia="Cambria Math" w:hAnsi="Cambria Math" w:cs="Cambria Math"/>
              </w:rPr>
              <m:t>,</m:t>
            </m:r>
            <m:r>
              <w:rPr>
                <w:rFonts w:ascii="Cambria Math" w:eastAsia="Cambria Math" w:hAnsi="Cambria Math" w:cs="Cambria Math"/>
              </w:rPr>
              <m:t>t</m:t>
            </m:r>
          </m:sub>
        </m:sSub>
      </m:oMath>
      <w:r>
        <w:t xml:space="preserve"> representa o preço do petróleo em moeda doméstica,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t</m:t>
            </m:r>
          </m:sub>
        </m:sSub>
      </m:oMath>
      <w:r>
        <w:t xml:space="preserve"> é a taxa de câmbio nominal, medida em reais por dólar, e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ext</m:t>
            </m:r>
            <m:r>
              <w:rPr>
                <w:rFonts w:ascii="Cambria Math" w:eastAsia="Cambria Math" w:hAnsi="Cambria Math" w:cs="Cambria Math"/>
              </w:rPr>
              <m:t>,</m:t>
            </m:r>
            <m:r>
              <w:rPr>
                <w:rFonts w:ascii="Cambria Math" w:eastAsia="Cambria Math" w:hAnsi="Cambria Math" w:cs="Cambria Math"/>
              </w:rPr>
              <m:t>t</m:t>
            </m:r>
          </m:sub>
        </m:sSub>
      </m:oMath>
      <w:r>
        <w:t xml:space="preserve"> é o preço internacional do petróleo em dólares. A equação mostra que a inflação doméstica pode ser pressio</w:t>
      </w:r>
      <w:r>
        <w:lastRenderedPageBreak/>
        <w:t>nada tanto por alta do barril em dólar quanto por depreciação cambial. No caso brasileiro, essa distinção é decisiva, pois choques externos frequentemente chegam ao mercado doméstico combinados com movimentos relevantes da taxa de câmbio.</w:t>
      </w:r>
    </w:p>
    <w:p w14:paraId="7C3C3A23" w14:textId="77777777" w:rsidR="00803ECB" w:rsidRDefault="00ED1359">
      <w:pPr>
        <w:pStyle w:val="TextoABNT"/>
      </w:pPr>
      <w:r>
        <w:t>A relação entre petróleo, câmbio e inflação pode ser incorporada a uma curva de Phillips aberta. Em uma forma reduzida, a inflação depende de expectativas, inércia, hiato do produto e fatores externos, como câmbio e commodities:</w:t>
      </w:r>
    </w:p>
    <w:p w14:paraId="2D8F460E" w14:textId="77777777" w:rsidR="00803ECB" w:rsidRDefault="00ED1359">
      <w:pPr>
        <w:pStyle w:val="TextoABNT"/>
      </w:pPr>
      <m:oMathPara>
        <m:oMath>
          <m:r>
            <w:rPr>
              <w:rFonts w:ascii="Cambria Math" w:eastAsia="Cambria Math" w:hAnsi="Cambria Math" w:cs="Cambria Math"/>
            </w:rPr>
            <m:t>π</m:t>
          </m:r>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1</m:t>
              </m:r>
            </m:sub>
          </m:sSub>
          <m:r>
            <w:rPr>
              <w:rFonts w:ascii="Cambria Math" w:eastAsia="Cambria Math" w:hAnsi="Cambria Math" w:cs="Cambria Math"/>
            </w:rPr>
            <m:t>E</m:t>
          </m:r>
          <m:d>
            <m:dPr>
              <m:ctrlPr>
                <w:rPr>
                  <w:rFonts w:ascii="Cambria Math" w:hAnsi="Cambria Math"/>
                </w:rPr>
              </m:ctrlPr>
            </m:dPr>
            <m:e>
              <m:r>
                <w:rPr>
                  <w:rFonts w:ascii="Cambria Math" w:eastAsia="Cambria Math" w:hAnsi="Cambria Math" w:cs="Cambria Math"/>
                </w:rPr>
                <m:t>π</m:t>
              </m:r>
              <m:sSub>
                <m:sSubPr>
                  <m:ctrlPr>
                    <w:rPr>
                      <w:rFonts w:ascii="Cambria Math" w:hAnsi="Cambria Math"/>
                    </w:rPr>
                  </m:ctrlPr>
                </m:sSubPr>
                <m:e/>
                <m:sub>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2</m:t>
              </m:r>
            </m:sub>
          </m:sSub>
          <m:r>
            <w:rPr>
              <w:rFonts w:ascii="Cambria Math" w:eastAsia="Cambria Math" w:hAnsi="Cambria Math" w:cs="Cambria Math"/>
            </w:rPr>
            <m:t>π</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3</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4</m:t>
              </m:r>
            </m:sub>
          </m:sSub>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u</m:t>
          </m:r>
        </m:oMath>
      </m:oMathPara>
    </w:p>
    <w:p w14:paraId="6C7F4BF1" w14:textId="77777777" w:rsidR="00803ECB" w:rsidRDefault="00ED1359">
      <w:pPr>
        <w:pStyle w:val="TextoABNT"/>
      </w:pPr>
      <w:r>
        <w:t>(4)</w:t>
      </w:r>
    </w:p>
    <w:p w14:paraId="6A9159FA" w14:textId="77777777" w:rsidR="00803ECB" w:rsidRDefault="00ED1359">
      <w:pPr>
        <w:pStyle w:val="TextoABNT"/>
      </w:pPr>
      <w:r>
        <w:t>Nessa equação, πₜ representa a inflação, Eₜ(πₜ₊₁) corresponde às expectativas de inflação, πₜ₋₁ capta a inércia inflacionária, yₜ representa o hiato do produto e zₜ reúne variáveis externas, como câmbio e preço internacional do petróleo. Para o presente trabalho, o termo zₜ é central, pois permite incorporar pressões de custo vindas de fora da economia doméstica.</w:t>
      </w:r>
    </w:p>
    <w:p w14:paraId="6535CEB8" w14:textId="77777777" w:rsidR="00803ECB" w:rsidRDefault="00ED1359">
      <w:pPr>
        <w:pStyle w:val="TextoABNT"/>
      </w:pPr>
      <w:r>
        <w:t>A literatura sobre pass-through cambial acrescenta que o repasse de choques externos para a inflação não é necessariamente completo nem imediato. Ele depende da credibilidade da política monetária, da indexação, da composição do índice de preços, do grau de abertura, da concorrência nos setores afetados e da persistência do choque. No Brasil, a combinação entre câmbio, petróleo e combustíveis torna esse mecanismo especialmente relevante, uma vez que gasolina, diesel e gás possuem peso direto no IPCA e també</w:t>
      </w:r>
      <w:r>
        <w:t>m afetam custos de transporte, logística e produção.</w:t>
      </w:r>
    </w:p>
    <w:p w14:paraId="5C484F32" w14:textId="77777777" w:rsidR="00803ECB" w:rsidRDefault="00ED1359">
      <w:pPr>
        <w:pStyle w:val="SubtituloABNT"/>
      </w:pPr>
      <w:bookmarkStart w:id="7" w:name="_Toc_1_3_0000000005"/>
      <w:r>
        <w:t>Formação dos preços de combustíveis e especificidades brasileiras</w:t>
      </w:r>
      <w:bookmarkEnd w:id="7"/>
    </w:p>
    <w:p w14:paraId="5D130FA6" w14:textId="77777777" w:rsidR="00803ECB" w:rsidRDefault="00ED1359">
      <w:pPr>
        <w:pStyle w:val="TextoABNT"/>
      </w:pPr>
      <w:r>
        <w:t>A transmissão do petróleo para a inflação brasileira possui uma característica institucional importante: o preço final dos combustíveis não resulta apenas da cotação internacional do barril. Ele é mediado pelo preço praticado nas refinarias, pela política comercial da Petrobras, pela estrutura tributária, pela mistura obrigatória de biocombustíveis, pelas margens de distribuição e revenda e pela competição regional. Assim, a análise do pass-through no Brasil exige separar a etapa internacional, a etapa de r</w:t>
      </w:r>
      <w:r>
        <w:t>efino e a etapa de preço final ao consumidor.</w:t>
      </w:r>
    </w:p>
    <w:p w14:paraId="3F4C2F04" w14:textId="77777777" w:rsidR="00803ECB" w:rsidRDefault="00ED1359">
      <w:pPr>
        <w:pStyle w:val="TextoABNT"/>
      </w:pPr>
      <w:r>
        <w:t xml:space="preserve">Almeida, Oliveira e Losekann (2015) destacam que a Petrobras exerceu, durante longo período, papel dominante no refino e na importação de derivados, o que fez da empresa uma instituição central na formação dos preços internos de combustíveis. Em determinados períodos, a política de preços de combustíveis foi utilizada como mecanismo de suavização inflacionária, com reajustes nas refinarias inferiores aos que seriam sugeridos pela paridade internacional. Esse fato cria uma diferença </w:t>
      </w:r>
      <w:r>
        <w:lastRenderedPageBreak/>
        <w:t>importante entre o caso brasileiro e economias nas quais os preços domésticos seguem de forma mais automática a referência internacional.</w:t>
      </w:r>
    </w:p>
    <w:p w14:paraId="68B492E1" w14:textId="77777777" w:rsidR="00803ECB" w:rsidRDefault="00ED1359">
      <w:pPr>
        <w:pStyle w:val="TextoABNT"/>
      </w:pPr>
      <w:r>
        <w:t>A formação do preço da gasolina ao consumidor pode ser representada, de modo simplificado, como:</w:t>
      </w:r>
    </w:p>
    <w:p w14:paraId="7273A730" w14:textId="77777777" w:rsidR="00803ECB" w:rsidRDefault="00ED1359">
      <w:pPr>
        <w:pStyle w:val="TextoABNT"/>
      </w:pPr>
      <m:oMathPara>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C</m:t>
          </m:r>
          <m:sSup>
            <m:sSupPr>
              <m:ctrlPr>
                <w:rPr>
                  <w:rFonts w:ascii="Cambria Math" w:hAnsi="Cambria Math"/>
                </w:rPr>
              </m:ctrlPr>
            </m:sSupPr>
            <m:e/>
            <m:sup>
              <m:r>
                <w:rPr>
                  <w:rFonts w:ascii="Cambria Math" w:eastAsia="Cambria Math" w:hAnsi="Cambria Math" w:cs="Cambria Math"/>
                </w:rPr>
                <m:t>n</m:t>
              </m:r>
            </m:sup>
          </m:sSup>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5</m:t>
              </m:r>
            </m:e>
          </m:d>
        </m:oMath>
      </m:oMathPara>
    </w:p>
    <w:p w14:paraId="59E1DA64" w14:textId="77777777" w:rsidR="00803ECB" w:rsidRDefault="00ED1359">
      <w:pPr>
        <w:pStyle w:val="TextoABNT"/>
      </w:pPr>
      <w:r>
        <w:t xml:space="preserve">Em que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m:t>
            </m:r>
          </m:sub>
        </m:sSub>
      </m:oMath>
      <w:r>
        <w:t xml:space="preserve"> é o preço da gasolina ao consumidor,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ref</m:t>
            </m:r>
          </m:sub>
        </m:sSub>
      </m:oMath>
      <w:r>
        <w:t xml:space="preserve"> representa o preço na refinaria,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etanol</m:t>
            </m:r>
          </m:sub>
        </m:sSub>
      </m:oMath>
      <w:r>
        <w:t xml:space="preserve"> corresponde ao custo associado ao etanol anidro,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t</m:t>
            </m:r>
          </m:sub>
        </m:sSub>
      </m:oMath>
      <w:r>
        <w:t xml:space="preserve"> reúne tributos federais e estaduais e </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t</m:t>
            </m:r>
          </m:sub>
        </m:sSub>
      </m:oMath>
      <w:r>
        <w:t xml:space="preserve"> representa margens de distribuição e revenda. A equação mostra que a cotação do petróleo influencia o preço final apenas indiretamente, por meio do preço na refinaria e de seus efeitos sobre o custo de oportunidade de importação, mas o preço final também depende de componentes domésticos.</w:t>
      </w:r>
    </w:p>
    <w:p w14:paraId="48841534" w14:textId="77777777" w:rsidR="00803ECB" w:rsidRDefault="00ED1359">
      <w:pPr>
        <w:pStyle w:val="TextoABNT"/>
      </w:pPr>
      <w:r>
        <w:t>Uma forma de medir a intensidade do repasse entre o petróleo e o combustível ao consumidor é o coeficiente de pass-through:</w:t>
      </w:r>
    </w:p>
    <w:p w14:paraId="0E2E54CB" w14:textId="77777777" w:rsidR="00803ECB" w:rsidRDefault="00ED1359">
      <w:pPr>
        <w:pStyle w:val="TextoABNT"/>
      </w:pPr>
      <m:oMathPara>
        <m:oMath>
          <m:r>
            <w:rPr>
              <w:rFonts w:ascii="Cambria Math" w:eastAsia="Cambria Math" w:hAnsi="Cambria Math" w:cs="Cambria Math"/>
            </w:rPr>
            <m:t>θ</m:t>
          </m:r>
          <m:r>
            <w:rPr>
              <w:rFonts w:ascii="Cambria Math" w:eastAsia="Cambria Math" w:hAnsi="Cambria Math" w:cs="Cambria Math"/>
            </w:rPr>
            <m:t>=</m:t>
          </m:r>
          <m:r>
            <w:rPr>
              <w:rFonts w:ascii="Cambria Math" w:eastAsia="Cambria Math" w:hAnsi="Cambria Math" w:cs="Cambria Math"/>
            </w:rPr>
            <m:t>ΔP</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ΔP</m:t>
          </m:r>
          <m:sSup>
            <m:sSupPr>
              <m:ctrlPr>
                <w:rPr>
                  <w:rFonts w:ascii="Cambria Math" w:hAnsi="Cambria Math"/>
                </w:rPr>
              </m:ctrlPr>
            </m:sSupPr>
            <m:e/>
            <m:sup>
              <m:r>
                <w:rPr>
                  <w:rFonts w:ascii="Cambria Math" w:eastAsia="Cambria Math" w:hAnsi="Cambria Math" w:cs="Cambria Math"/>
                </w:rPr>
                <m:t>i</m:t>
              </m:r>
            </m:sup>
          </m:s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6</m:t>
              </m:r>
            </m:e>
          </m:d>
        </m:oMath>
      </m:oMathPara>
    </w:p>
    <w:p w14:paraId="2277AE9D" w14:textId="77777777" w:rsidR="00803ECB" w:rsidRDefault="00ED1359">
      <w:pPr>
        <w:pStyle w:val="TextoABNT"/>
      </w:pPr>
      <w:r>
        <w:t xml:space="preserve">Em que </w:t>
      </w:r>
      <m:oMath>
        <m:sSub>
          <m:sSubPr>
            <m:ctrlPr>
              <w:rPr>
                <w:rFonts w:ascii="Cambria Math" w:hAnsi="Cambria Math"/>
              </w:rPr>
            </m:ctrlPr>
          </m:sSubPr>
          <m:e>
            <m:r>
              <w:rPr>
                <w:rFonts w:ascii="Cambria Math" w:eastAsia="Cambria Math" w:hAnsi="Cambria Math" w:cs="Cambria Math"/>
              </w:rPr>
              <m:t>θ</m:t>
            </m:r>
          </m:e>
          <m:sub>
            <m:r>
              <w:rPr>
                <w:rFonts w:ascii="Cambria Math" w:eastAsia="Cambria Math" w:hAnsi="Cambria Math" w:cs="Cambria Math"/>
              </w:rPr>
              <m:t>t</m:t>
            </m:r>
          </m:sub>
        </m:sSub>
      </m:oMath>
      <w:r>
        <w:t xml:space="preserve"> mede o repasse acumulado ou pontual, no horizonte </w:t>
      </w:r>
      <m:oMath>
        <m:r>
          <w:rPr>
            <w:rFonts w:ascii="Cambria Math" w:eastAsia="Cambria Math" w:hAnsi="Cambria Math" w:cs="Cambria Math"/>
          </w:rPr>
          <m:t>h</m:t>
        </m:r>
      </m:oMath>
      <w:r>
        <w:t>, de uma variação do petróleo em reais para o preço doméstico do combustível. Valores próximos de um indicariam repasse mais completo; valores inferiores a um indicariam amortecimento; e valores superiores a um poderiam sugerir amplificação por câmbio, tributos, margens ou ajustes defasados. No caso brasileiro, esse coeficiente não deve ser tratado como constante no tempo, pois mudanças na política comercial da Petrobras e na tributação podem alterar sua magnitude.</w:t>
      </w:r>
    </w:p>
    <w:p w14:paraId="64727FB8" w14:textId="77777777" w:rsidR="00803ECB" w:rsidRDefault="00ED1359">
      <w:pPr>
        <w:pStyle w:val="TextoABNT"/>
      </w:pPr>
      <w:r>
        <w:t>As mudanças na estratégia comercial da Petrobras reforçam a necessidade de considerar regimes institucionais. Entre 2011 e 2014, a política de preços ficou mais associada à contenção de reajustes domésticos, o que reduziu temporariamente a sensibilidade dos combustíveis aos movimentos do petróleo e do câmbio. A partir de 2015, iniciou-se um processo de realinhamento de preços, seguido pela formalização da política de paridade de importação em 2016. Em 2023, a Petrobras anunciou uma nova estratégia comercial</w:t>
      </w:r>
      <w:r>
        <w:t>, menos vinculada a uma regra mecânica de paridade e mais dependente de custos alternativos, condições competitivas e valor marginal para a empresa. Essa sequência institucional indica que o canal internacional não se transmite automaticamente aos preços domésticos. Portanto, a análise por regimes deve ser interpretada como um exercício de heterogeneidade do repasse, e não como uma simples comparação entre dois períodos perfeitamente homogêneos.</w:t>
      </w:r>
    </w:p>
    <w:p w14:paraId="179AA903" w14:textId="77777777" w:rsidR="00803ECB" w:rsidRDefault="00ED1359">
      <w:pPr>
        <w:pStyle w:val="SubtituloABNT"/>
      </w:pPr>
      <w:bookmarkStart w:id="8" w:name="_Toc_1_3_0000000006"/>
      <w:r>
        <w:lastRenderedPageBreak/>
        <w:t>Evidências empíricas internacionais sobre petróleo e inflação</w:t>
      </w:r>
      <w:bookmarkEnd w:id="8"/>
    </w:p>
    <w:p w14:paraId="23529289" w14:textId="77777777" w:rsidR="00803ECB" w:rsidRDefault="00ED1359">
      <w:pPr>
        <w:pStyle w:val="TextoABNT"/>
      </w:pPr>
      <w:r>
        <w:t>A literatura empírica internacional confirma que o petróleo afeta a inflação, mas mostra que a intensidade e a persistência do efeito variam entre países, períodos e componentes do índice de preços. Choi et al. (2018), em estudo com painel de economias avançadas e em desenvolvimento, estimam o repasse do petróleo para a inflação doméstica e encontram evidência de que choques no preço do petróleo elevam a inflação no curto prazo, com efeitos que tendem a se dissipar ao longo do tempo. A contribuição do artig</w:t>
      </w:r>
      <w:r>
        <w:t>o é relevante porque fornece um benchmark internacional para o pass-through de petróleo, mas sua limitação para o caso brasileiro está em não modelar detalhadamente a etapa institucional de refino e precificação doméstica.</w:t>
      </w:r>
    </w:p>
    <w:p w14:paraId="31CC5F52" w14:textId="77777777" w:rsidR="00803ECB" w:rsidRDefault="00ED1359">
      <w:pPr>
        <w:pStyle w:val="TextoABNT"/>
      </w:pPr>
      <w:r>
        <w:t xml:space="preserve">O modelo empírico de Choi et al. (2018) pode ser aproximado por uma </w:t>
      </w:r>
      <w:r>
        <w:rPr>
          <w:i/>
        </w:rPr>
        <w:t>local projection</w:t>
      </w:r>
      <w:r>
        <w:t xml:space="preserve"> em painel:</w:t>
      </w:r>
    </w:p>
    <w:p w14:paraId="0871A68F" w14:textId="77777777" w:rsidR="00803ECB" w:rsidRDefault="00ED1359">
      <w:pPr>
        <w:pStyle w:val="TextoABNT"/>
      </w:pPr>
      <m:oMathPara>
        <m:oMath>
          <m:r>
            <w:rPr>
              <w:rFonts w:ascii="Cambria Math" w:eastAsia="Cambria Math" w:hAnsi="Cambria Math" w:cs="Cambria Math"/>
            </w:rPr>
            <m:t>π</m:t>
          </m:r>
          <m:r>
            <w:rPr>
              <w:rFonts w:ascii="Cambria Math" w:eastAsia="Cambria Math" w:hAnsi="Cambria Math" w:cs="Cambria Math"/>
            </w:rPr>
            <m:t>,</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π</m:t>
          </m:r>
          <m:r>
            <w:rPr>
              <w:rFonts w:ascii="Cambria Math" w:eastAsia="Cambria Math" w:hAnsi="Cambria Math" w:cs="Cambria Math"/>
            </w:rPr>
            <m:t>,</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τ</m:t>
          </m:r>
          <m:r>
            <w:rPr>
              <w:rFonts w:ascii="Cambria Math" w:eastAsia="Cambria Math" w:hAnsi="Cambria Math" w:cs="Cambria Math"/>
            </w:rPr>
            <m:t>,+</m:t>
          </m:r>
          <m:r>
            <w:rPr>
              <w:rFonts w:ascii="Cambria Math" w:eastAsia="Cambria Math" w:hAnsi="Cambria Math" w:cs="Cambria Math"/>
            </w:rPr>
            <m:t>βΔoil</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h</m:t>
              </m:r>
            </m:sub>
          </m:sSub>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ϵ</m:t>
          </m:r>
          <m:r>
            <w:rPr>
              <w:rFonts w:ascii="Cambria Math" w:eastAsia="Cambria Math" w:hAnsi="Cambria Math" w:cs="Cambria Math"/>
            </w:rPr>
            <m:t>,</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d>
                <m:dPr>
                  <m:ctrlPr>
                    <w:rPr>
                      <w:rFonts w:ascii="Cambria Math" w:hAnsi="Cambria Math"/>
                    </w:rPr>
                  </m:ctrlPr>
                </m:dPr>
                <m:e/>
              </m:d>
            </m:sup>
          </m:sSup>
        </m:oMath>
      </m:oMathPara>
    </w:p>
    <w:p w14:paraId="0B0F604B" w14:textId="77777777" w:rsidR="00803ECB" w:rsidRDefault="00ED1359">
      <w:pPr>
        <w:pStyle w:val="TextoABNT"/>
      </w:pPr>
      <w:r>
        <w:t>(7)</w:t>
      </w:r>
    </w:p>
    <w:p w14:paraId="67EDD464" w14:textId="77777777" w:rsidR="00803ECB" w:rsidRDefault="00ED1359">
      <w:pPr>
        <w:pStyle w:val="TextoABNT"/>
      </w:pPr>
      <w:r>
        <w:t xml:space="preserve">Em que </w:t>
      </w:r>
      <m:oMath>
        <m:sSub>
          <m:sSubPr>
            <m:ctrlPr>
              <w:rPr>
                <w:rFonts w:ascii="Cambria Math" w:hAnsi="Cambria Math"/>
              </w:rPr>
            </m:ctrlPr>
          </m:sSubPr>
          <m:e>
            <m:r>
              <w:rPr>
                <w:rFonts w:ascii="Cambria Math" w:eastAsia="Cambria Math" w:hAnsi="Cambria Math" w:cs="Cambria Math"/>
              </w:rPr>
              <m:t>π</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+h</m:t>
            </m:r>
          </m:sub>
        </m:sSub>
      </m:oMath>
      <w:r>
        <w:t xml:space="preserve"> representa a inflação do país </w:t>
      </w:r>
      <m:oMath>
        <m:r>
          <w:rPr>
            <w:rFonts w:ascii="Cambria Math" w:eastAsia="Cambria Math" w:hAnsi="Cambria Math" w:cs="Cambria Math"/>
          </w:rPr>
          <m:t>i</m:t>
        </m:r>
      </m:oMath>
      <w:r>
        <w:t xml:space="preserve"> no horizonte </w:t>
      </w:r>
      <m:oMath>
        <m:r>
          <w:rPr>
            <w:rFonts w:ascii="Cambria Math" w:eastAsia="Cambria Math" w:hAnsi="Cambria Math" w:cs="Cambria Math"/>
          </w:rPr>
          <m:t>h</m:t>
        </m:r>
      </m:oMath>
      <w:r>
        <w:t xml:space="preserve">, </w:t>
      </w:r>
      <m:oMath>
        <m:r>
          <w:rPr>
            <w:rFonts w:ascii="Cambria Math" w:eastAsia="Cambria Math" w:hAnsi="Cambria Math" w:cs="Cambria Math"/>
          </w:rPr>
          <m:t>Δoi</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t</m:t>
            </m:r>
          </m:sub>
        </m:sSub>
      </m:oMath>
      <w:r>
        <w:t xml:space="preserve"> é o choque no preço do petróleo 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sub>
        </m:sSub>
      </m:oMath>
      <w:r>
        <w:t xml:space="preserve"> reúne controles macroeconômicos. A presença de efeitos fixos de país e de tempo permite controlar diferenças estruturais entre economias e choques globais comuns. Essa estrutura é útil para o presente trabalho porque pode ser adaptada para um painel regional brasileiro, caso se utilizem áreas do IPCA ou preços regionais de combustíveis.</w:t>
      </w:r>
    </w:p>
    <w:p w14:paraId="29F9F48B" w14:textId="77777777" w:rsidR="00803ECB" w:rsidRDefault="00ED1359">
      <w:pPr>
        <w:pStyle w:val="TextoABNT"/>
      </w:pPr>
      <w:r>
        <w:t>Hwang e Zhu (2024) avançam ao mostrar que o repasse do petróleo depende do estado da economia e do regime de metas de inflação. A evidência sugere que o efeito inflacionário do petróleo pode ser mais intenso em fases de expansão e que regimes monetários mais críveis podem reduzir a persistência do desvio inflacionário. Essa conclusão dialoga diretamente com o caso brasileiro, uma vez que choques de petróleo podem ocorrer em ambientes de inflação já elevada, expectativas desancoradas ou política monetária re</w:t>
      </w:r>
      <w:r>
        <w:t>stritiva, modificando a resposta do IPCA.</w:t>
      </w:r>
    </w:p>
    <w:p w14:paraId="752747C4" w14:textId="77777777" w:rsidR="00803ECB" w:rsidRDefault="00ED1359">
      <w:pPr>
        <w:pStyle w:val="TextoABNT"/>
      </w:pPr>
      <w:r>
        <w:t xml:space="preserve">Estudos recentes também têm destacado os efeitos de segunda ordem. Alvarez e Kroen (2025) investigam a origem energética do surto inflacionário global recente e mostram que choques de energia se propagam de maneira heterogênea entre setores, principalmente conforme a intensidade energética e a rigidez de preços. Allon-Pineda, Ocampo e Santos (2025), ao estudarem choques de óleo e alimentos, mostram que os efeitos indiretos e as expectativas podem ser tão relevantes quanto o </w:t>
      </w:r>
      <w:r>
        <w:lastRenderedPageBreak/>
        <w:t>efeito direto sobre itens energéticos. Para o Brasil, esses resultados reforçam a necessidade de distinguir o efeito imediato sobre combustíveis do efeito posterior sobre transportes, alimentos, serviços e expectativas.</w:t>
      </w:r>
    </w:p>
    <w:p w14:paraId="7EF93125" w14:textId="77777777" w:rsidR="00803ECB" w:rsidRDefault="00ED1359">
      <w:pPr>
        <w:pStyle w:val="TextoABNT"/>
      </w:pPr>
      <w:r>
        <w:t xml:space="preserve">Cornejo, Hallack e Matias (2025), ao analisarem países da América Latina e Caribe, mostram que a estrutura energética pode amortecer ou amplificar o repasse de choques de petróleo e gás para a inflação. A evidência é relevante porque indica que o canal energético não depende apenas do preço internacional do petróleo, mas também da matriz energética, do peso dos combustíveis fósseis no consumo e das instituições nacionais de formação de preços. No caso brasileiro, mesmo com uma matriz elétrica relativamente </w:t>
      </w:r>
      <w:r>
        <w:t>renovável, a dependência do transporte rodoviário torna diesel e gasolina canais importantes de transmissão.</w:t>
      </w:r>
    </w:p>
    <w:p w14:paraId="38DF5DE4" w14:textId="77777777" w:rsidR="00803ECB" w:rsidRDefault="00ED1359">
      <w:pPr>
        <w:pStyle w:val="SubtituloABNT"/>
      </w:pPr>
      <w:bookmarkStart w:id="9" w:name="_Toc_1_3_0000000007"/>
      <w:r>
        <w:t>Modelos VAR e funções impulso-resposta como referência de robustez</w:t>
      </w:r>
      <w:bookmarkEnd w:id="9"/>
    </w:p>
    <w:p w14:paraId="6C21BAA2" w14:textId="77777777" w:rsidR="00803ECB" w:rsidRDefault="00ED1359">
      <w:pPr>
        <w:pStyle w:val="TextoABNT"/>
      </w:pPr>
      <w:r>
        <w:t xml:space="preserve">Além das </w:t>
      </w:r>
      <w:r>
        <w:rPr>
          <w:i/>
        </w:rPr>
        <w:t>local projections</w:t>
      </w:r>
      <w:r>
        <w:t>, a literatura de choques macroeconômicos utiliza amplamente modelos de Vetores Autorregressivos, conhecidos como VAR. A referência central dessa abordagem é Sims (1980), que propôs os VARs como alternativa a modelos macroeconométricos excessivamente restritivos, nos quais muitas relações eram impostas previamente pelo pesquisador. A contribuição de Sims está em tratar as variáveis macroeconômicas como parte de um sistema dinâmico conjunto, no qual cada variável pode responder às suas própr</w:t>
      </w:r>
      <w:r>
        <w:t>ias defasagens e às defasagens das demais variáveis do sistema. Essa estrutura é especialmente útil para estudar choques de petróleo, câmbio, combustíveis e inflação, pois esses preços interagem ao longo do tempo e dificilmente podem ser tratados como relações puramente isoladas.</w:t>
      </w:r>
    </w:p>
    <w:p w14:paraId="6501CBA4" w14:textId="77777777" w:rsidR="00803ECB" w:rsidRDefault="00ED1359">
      <w:pPr>
        <w:pStyle w:val="TextoABNT"/>
      </w:pPr>
      <w:r>
        <w:t>Uma forma reduzida de representar um VAR com controles exógenos pode ser escrita como: (8) Em que Yₜ é o vetor de variáveis endógenas, c é o vetor de constantes, A₁,...,Aₜ são matrizes de coeficientes associados às defasagens, Xₜ reúne controles exógenos, B é a matriz de coeficientes desses controles e uₜ é o vetor de resíduos. No contexto deste trabalho, Yₜ pode reunir variáveis como preço do petróleo, taxa de câmbio, preços de combustíveis, IPCA Geral, IPCA Transportes, Selic e expectativas de inflação, d</w:t>
      </w:r>
      <w:r>
        <w:t>ependendo da especificação estimada.</w:t>
      </w:r>
    </w:p>
    <w:p w14:paraId="10EE36E9" w14:textId="77777777" w:rsidR="00803ECB" w:rsidRDefault="00ED1359">
      <w:pPr>
        <w:pStyle w:val="TextoABNT"/>
      </w:pPr>
      <m:oMathPara>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AY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BX</m:t>
          </m:r>
          <m:r>
            <w:rPr>
              <w:rFonts w:ascii="Cambria Math" w:eastAsia="Cambria Math" w:hAnsi="Cambria Math" w:cs="Cambria Math"/>
            </w:rPr>
            <m:t>+</m:t>
          </m:r>
          <m:r>
            <w:rPr>
              <w:rFonts w:ascii="Cambria Math" w:eastAsia="Cambria Math" w:hAnsi="Cambria Math" w:cs="Cambria Math"/>
            </w:rPr>
            <m:t>u</m:t>
          </m:r>
        </m:oMath>
      </m:oMathPara>
    </w:p>
    <w:p w14:paraId="1DBD4471" w14:textId="77777777" w:rsidR="00803ECB" w:rsidRDefault="00ED1359">
      <w:pPr>
        <w:pStyle w:val="TextoABNT"/>
      </w:pPr>
      <w:r>
        <w:t xml:space="preserve">A partir do VAR, é possível recuperar funções impulso-resposta, que descrevem como as variáveis do sistema reagem ao longo do tempo a um choque em uma variável específica. De forma esquemática, a resposta ao choque </w:t>
      </w:r>
      <m:oMath>
        <m:r>
          <w:rPr>
            <w:rFonts w:ascii="Cambria Math" w:eastAsia="Cambria Math" w:hAnsi="Cambria Math" w:cs="Cambria Math"/>
          </w:rPr>
          <m:t>j</m:t>
        </m:r>
      </m:oMath>
      <w:r>
        <w:t xml:space="preserve"> no horizonte </w:t>
      </w:r>
      <m:oMath>
        <m:r>
          <w:rPr>
            <w:rFonts w:ascii="Cambria Math" w:eastAsia="Cambria Math" w:hAnsi="Cambria Math" w:cs="Cambria Math"/>
          </w:rPr>
          <m:t>h</m:t>
        </m:r>
      </m:oMath>
      <w:r>
        <w:t xml:space="preserve"> pode ser representada por: Nessa expressão, </w:t>
      </w:r>
      <m:oMath>
        <m:sSub>
          <m:sSubPr>
            <m:ctrlPr>
              <w:rPr>
                <w:rFonts w:ascii="Cambria Math" w:hAnsi="Cambria Math"/>
              </w:rPr>
            </m:ctrlPr>
          </m:sSubPr>
          <m:e>
            <m:r>
              <w:rPr>
                <w:rFonts w:ascii="Cambria Math" w:eastAsia="Cambria Math" w:hAnsi="Cambria Math" w:cs="Cambria Math"/>
              </w:rPr>
              <m:t>Ψ</m:t>
            </m:r>
          </m:e>
          <m:sub>
            <m:r>
              <w:rPr>
                <w:rFonts w:ascii="Cambria Math" w:eastAsia="Cambria Math" w:hAnsi="Cambria Math" w:cs="Cambria Math"/>
              </w:rPr>
              <m:t>h</m:t>
            </m:r>
          </m:sub>
        </m:sSub>
      </m:oMath>
      <w:r>
        <w:t xml:space="preserve"> representa a matriz de respostas </w:t>
      </w:r>
      <w:r>
        <w:lastRenderedPageBreak/>
        <w:t xml:space="preserve">dinâmicas no horizonte </w:t>
      </w:r>
      <m:oMath>
        <m:r>
          <w:rPr>
            <w:rFonts w:ascii="Cambria Math" w:eastAsia="Cambria Math" w:hAnsi="Cambria Math" w:cs="Cambria Math"/>
          </w:rPr>
          <m:t>h</m:t>
        </m:r>
      </m:oMath>
      <w:r>
        <w:t xml:space="preserve"> e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j</m:t>
            </m:r>
          </m:sub>
        </m:sSub>
      </m:oMath>
      <w:r>
        <w:t xml:space="preserve"> identifica o choque estrutural de interesse. No caso do presente trabalho, as funções impulso-resposta do VAR permitem observar se um choque no petróleo ou nos combustíveis gera respostas compatíveis com aquelas obtidas pelas </w:t>
      </w:r>
      <w:r>
        <w:rPr>
          <w:i/>
        </w:rPr>
        <w:t>local projections</w:t>
      </w:r>
      <w:r>
        <w:t>. O objetivo não é substituir a estratégia principal, mas verificar a direção, a persistência e a coerência econômica dos resultados em uma estrutura alternativa.</w:t>
      </w:r>
    </w:p>
    <w:p w14:paraId="00F75495" w14:textId="77777777" w:rsidR="00803ECB" w:rsidRDefault="00ED1359">
      <w:pPr>
        <w:pStyle w:val="TextoABNT"/>
      </w:pPr>
      <m:oMathPara>
        <m:oMath>
          <m:r>
            <w:rPr>
              <w:rFonts w:ascii="Cambria Math" w:eastAsia="Cambria Math" w:hAnsi="Cambria Math" w:cs="Cambria Math"/>
            </w:rPr>
            <m:t>IRF</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∂ε</m:t>
          </m:r>
          <m:r>
            <w:rPr>
              <w:rFonts w:ascii="Cambria Math" w:eastAsia="Cambria Math" w:hAnsi="Cambria Math" w:cs="Cambria Math"/>
            </w:rPr>
            <m:t>,=</m:t>
          </m:r>
          <m:r>
            <w:rPr>
              <w:rFonts w:ascii="Cambria Math" w:eastAsia="Cambria Math" w:hAnsi="Cambria Math" w:cs="Cambria Math"/>
            </w:rPr>
            <m:t>Ψe</m:t>
          </m:r>
          <m:d>
            <m:dPr>
              <m:ctrlPr>
                <w:rPr>
                  <w:rFonts w:ascii="Cambria Math" w:hAnsi="Cambria Math"/>
                </w:rPr>
              </m:ctrlPr>
            </m:dPr>
            <m:e>
              <m:r>
                <w:rPr>
                  <w:rFonts w:ascii="Cambria Math" w:eastAsia="Cambria Math" w:hAnsi="Cambria Math" w:cs="Cambria Math"/>
                </w:rPr>
                <m:t>9</m:t>
              </m:r>
            </m:e>
          </m:d>
        </m:oMath>
      </m:oMathPara>
    </w:p>
    <w:p w14:paraId="2B748E14" w14:textId="77777777" w:rsidR="00803ECB" w:rsidRDefault="00ED1359">
      <w:pPr>
        <w:pStyle w:val="TextoABNT"/>
      </w:pPr>
      <w:r>
        <w:t>Quando se utiliza uma identificação recursiva, como a decomposição de Cholesky, a ordenação das variáveis passa a ter importância. A intuição é que as variáveis posicionadas antes no sistema podem afetar contemporaneamente as variáveis posteriores, enquanto as posteriores afetam as anteriores apenas com defasagem. Por isso, a escolha da ordenação precisa seguir uma lógica econômica. Em um estudo sobre petróleo, combustíveis e inflação, é razoável ordenar primeiro os choques externos, como petróleo e câmbio,</w:t>
      </w:r>
      <w:r>
        <w:t xml:space="preserve"> depois os preços domésticos de combustíveis e, por fim, as medidas de inflação e política monetária. Essa estrutura é compatível com a hipótese de que choques internacionais se transmitem gradualmente para preços domésticos e inflação.</w:t>
      </w:r>
    </w:p>
    <w:p w14:paraId="317B66B7" w14:textId="77777777" w:rsidR="00803ECB" w:rsidRDefault="00ED1359">
      <w:pPr>
        <w:pStyle w:val="TextoABNT"/>
      </w:pPr>
      <w:r>
        <w:t xml:space="preserve">No presente estudo, o modelo VAR é utilizado como exercício de robustez. Isso significa que ele não é tratado como a especificação principal, mas como uma checagem complementar dos resultados obtidos nas </w:t>
      </w:r>
      <w:r>
        <w:rPr>
          <w:i/>
        </w:rPr>
        <w:t>local projections</w:t>
      </w:r>
      <w:r>
        <w:t xml:space="preserve">. Essa escolha se justifica porque as </w:t>
      </w:r>
      <w:r>
        <w:rPr>
          <w:i/>
        </w:rPr>
        <w:t>local projections</w:t>
      </w:r>
      <w:r>
        <w:t xml:space="preserve"> são mais adequadas para organizar o canal de transmissão em blocos e estimar respostas acumuladas de forma direta, enquanto o VAR permite verificar se os principais sinais aparecem também em um sistema dinâmico conjunto. Assim, se os resultados do VAR apontarem para respostas com direção semelhante às encontradas nas </w:t>
      </w:r>
      <w:r>
        <w:rPr>
          <w:i/>
        </w:rPr>
        <w:t>local projections</w:t>
      </w:r>
      <w:r>
        <w:t>, a evidência empírica do repasse petróleo-combustíveis-inflação se torna mais consistente.</w:t>
      </w:r>
    </w:p>
    <w:p w14:paraId="66204A77" w14:textId="77777777" w:rsidR="00803ECB" w:rsidRDefault="00ED1359">
      <w:pPr>
        <w:pStyle w:val="TextoABNT"/>
      </w:pPr>
      <w:r>
        <w:t xml:space="preserve">A utilização do VAR como robustez também dialoga com a literatura recente que compara VARs e </w:t>
      </w:r>
      <w:r>
        <w:rPr>
          <w:i/>
        </w:rPr>
        <w:t>local projections</w:t>
      </w:r>
      <w:r>
        <w:t xml:space="preserve">. Plagborg-Møller e Wolf (2021) mostram que, sob condições adequadas, os dois métodos podem estimar objetos populacionais semelhantes. A diferença prática está nas propriedades de amostra finita, no grau de flexibilidade e na forma como a dinâmica é imposta. Portanto, a combinação entre </w:t>
      </w:r>
      <w:r>
        <w:rPr>
          <w:i/>
        </w:rPr>
        <w:t>local projections</w:t>
      </w:r>
      <w:r>
        <w:t xml:space="preserve"> e VAR fortalece a pesquisa porque reduz a dependência de uma única especificação econométrica.</w:t>
      </w:r>
    </w:p>
    <w:p w14:paraId="7FD5A077" w14:textId="77777777" w:rsidR="00803ECB" w:rsidRDefault="00ED1359">
      <w:pPr>
        <w:pStyle w:val="TituloABNT"/>
        <w:pageBreakBefore/>
      </w:pPr>
      <w:bookmarkStart w:id="10" w:name="_Toc_1_3_0000000008"/>
      <w:r>
        <w:lastRenderedPageBreak/>
        <w:t>METODOLOGIA</w:t>
      </w:r>
      <w:bookmarkEnd w:id="10"/>
    </w:p>
    <w:p w14:paraId="4179E6AC" w14:textId="77777777" w:rsidR="00803ECB" w:rsidRDefault="00ED1359">
      <w:pPr>
        <w:pStyle w:val="TextoABNT"/>
      </w:pPr>
      <w:r>
        <w:t xml:space="preserve">A escolha da metodologia de </w:t>
      </w:r>
      <w:r>
        <w:rPr>
          <w:i/>
        </w:rPr>
        <w:t>local projections</w:t>
      </w:r>
      <w:r>
        <w:t xml:space="preserve"> se justifica porque o objetivo da pesquisa não é apenas estimar correlações entre petróleo e inflação, mas recuperar o perfil temporal do repasse em diferentes horizontes. Jordà (2005) propõe as </w:t>
      </w:r>
      <w:r>
        <w:rPr>
          <w:i/>
        </w:rPr>
        <w:t>local projections</w:t>
      </w:r>
      <w:r>
        <w:t xml:space="preserve"> como alternativa direta à estimação de funções impulso-resposta. Em vez de estimar um sistema VAR completo e obter respostas por iteração, estima-se uma regressão separada para cada horizonte </w:t>
      </w:r>
      <m:oMath>
        <m:r>
          <w:rPr>
            <w:rFonts w:ascii="Cambria Math" w:eastAsia="Cambria Math" w:hAnsi="Cambria Math" w:cs="Cambria Math"/>
          </w:rPr>
          <m:t>h</m:t>
        </m:r>
      </m:oMath>
      <w:r>
        <w:t xml:space="preserve">. A forma canônica é: (11) Nessa equação,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m:t>
            </m:r>
            <m:r>
              <w:rPr>
                <w:rFonts w:ascii="Cambria Math" w:eastAsia="Cambria Math" w:hAnsi="Cambria Math" w:cs="Cambria Math"/>
              </w:rPr>
              <m:t>+h</m:t>
            </m:r>
          </m:sub>
        </m:sSub>
      </m:oMath>
      <w:r>
        <w:t xml:space="preserve"> é a variável de resposta no horizonte </w:t>
      </w:r>
      <m:oMath>
        <m:r>
          <w:rPr>
            <w:rFonts w:ascii="Cambria Math" w:eastAsia="Cambria Math" w:hAnsi="Cambria Math" w:cs="Cambria Math"/>
          </w:rPr>
          <m:t>h</m:t>
        </m:r>
      </m:oMath>
      <w:r>
        <w:t xml:space="preserv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oMath>
      <w:r>
        <w:t xml:space="preserve"> é o choque de interesse, </w:t>
      </w:r>
      <m:oMath>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t</m:t>
            </m:r>
            <m:r>
              <m:rPr>
                <m:scr m:val="script"/>
              </m:rPr>
              <w:rPr>
                <w:rFonts w:ascii="Cambria Math" w:eastAsia="Cambria Math" w:hAnsi="Cambria Math" w:cs="Cambria Math"/>
              </w:rPr>
              <m:t>-l</m:t>
            </m:r>
          </m:sub>
        </m:sSub>
      </m:oMath>
      <w:r>
        <w:t xml:space="preserve"> é o conjunto de controles defasados e </w:t>
      </w:r>
      <m:oMath>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h</m:t>
            </m:r>
          </m:sub>
        </m:sSub>
      </m:oMath>
      <w:r>
        <w:t xml:space="preserve"> é a resposta estimada no horizonte </w:t>
      </w:r>
      <m:oMath>
        <m:r>
          <w:rPr>
            <w:rFonts w:ascii="Cambria Math" w:eastAsia="Cambria Math" w:hAnsi="Cambria Math" w:cs="Cambria Math"/>
          </w:rPr>
          <m:t>h</m:t>
        </m:r>
      </m:oMath>
      <w:r>
        <w:t xml:space="preserve">. A principal vantagem das </w:t>
      </w:r>
      <w:r>
        <w:rPr>
          <w:i/>
        </w:rPr>
        <w:t>local projections</w:t>
      </w:r>
      <w:r>
        <w:t xml:space="preserve"> é a flexibilidade. É possível incluir controles específicos, variáveis institucionais, </w:t>
      </w:r>
      <w:r>
        <w:rPr>
          <w:i/>
        </w:rPr>
        <w:t>dummies</w:t>
      </w:r>
      <w:r>
        <w:t xml:space="preserve"> de regime, interações e instrumentos de forma relativamente simples. A principal limitação é que as estimativas podem apresentar maior variância, especialmente em horizontes longos ou em amostras pequenas.</w:t>
      </w:r>
    </w:p>
    <w:p w14:paraId="7C932E9F" w14:textId="77777777" w:rsidR="00803ECB" w:rsidRDefault="00ED1359">
      <w:pPr>
        <w:pStyle w:val="TextoABNT"/>
      </w:pPr>
      <m:oMathPara>
        <m:oMath>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Γ</m:t>
          </m:r>
          <m:sSub>
            <m:sSubPr>
              <m:ctrlPr>
                <w:rPr>
                  <w:rFonts w:ascii="Cambria Math" w:hAnsi="Cambria Math"/>
                </w:rPr>
              </m:ctrlPr>
            </m:sSubPr>
            <m:e/>
            <m:sub>
              <m:r>
                <w:rPr>
                  <w:rFonts w:ascii="Cambria Math" w:eastAsia="Cambria Math" w:hAnsi="Cambria Math" w:cs="Cambria Math"/>
                </w:rPr>
                <m:t>+</m:t>
              </m:r>
            </m:sub>
          </m:sSub>
          <m:r>
            <m:rPr>
              <m:scr m:val="script"/>
            </m:rPr>
            <w:rPr>
              <w:rFonts w:ascii="Cambria Math" w:eastAsia="Cambria Math" w:hAnsi="Cambria Math" w:cs="Cambria Math"/>
            </w:rPr>
            <m:t>l</m:t>
          </m:r>
          <m:r>
            <w:rPr>
              <w:rFonts w:ascii="Cambria Math" w:eastAsia="Cambria Math" w:hAnsi="Cambria Math" w:cs="Cambria Math"/>
            </w:rPr>
            <m:t>W</m:t>
          </m:r>
          <m:sSub>
            <m:sSubPr>
              <m:ctrlPr>
                <w:rPr>
                  <w:rFonts w:ascii="Cambria Math" w:hAnsi="Cambria Math"/>
                </w:rPr>
              </m:ctrlPr>
            </m:sSubPr>
            <m:e/>
            <m:sub>
              <m:r>
                <w:rPr>
                  <w:rFonts w:ascii="Cambria Math" w:eastAsia="Cambria Math" w:hAnsi="Cambria Math" w:cs="Cambria Math"/>
                </w:rPr>
                <m:t>-</m:t>
              </m:r>
            </m:sub>
          </m:sSub>
          <m:r>
            <m:rPr>
              <m:scr m:val="script"/>
            </m:rPr>
            <w:rPr>
              <w:rFonts w:ascii="Cambria Math" w:eastAsia="Cambria Math" w:hAnsi="Cambria Math" w:cs="Cambria Math"/>
            </w:rPr>
            <m:t>l+</m:t>
          </m:r>
          <m:r>
            <w:rPr>
              <w:rFonts w:ascii="Cambria Math" w:eastAsia="Cambria Math" w:hAnsi="Cambria Math" w:cs="Cambria Math"/>
            </w:rPr>
            <m:t>u</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m:rPr>
                  <m:scr m:val="script"/>
                </m:rPr>
                <w:rPr>
                  <w:rFonts w:ascii="Cambria Math" w:eastAsia="Cambria Math" w:hAnsi="Cambria Math" w:cs="Cambria Math"/>
                </w:rPr>
                <m:t>l</m:t>
              </m:r>
            </m:sup>
          </m:sSup>
          <m:sSup>
            <m:sSupPr>
              <m:ctrlPr>
                <w:rPr>
                  <w:rFonts w:ascii="Cambria Math" w:hAnsi="Cambria Math"/>
                </w:rPr>
              </m:ctrlPr>
            </m:sSupPr>
            <m:e/>
            <m:sup>
              <m:r>
                <m:rPr>
                  <m:scr m:val="script"/>
                </m:rPr>
                <w:rPr>
                  <w:rFonts w:ascii="Cambria Math" w:eastAsia="Cambria Math" w:hAnsi="Cambria Math" w:cs="Cambria Math"/>
                </w:rPr>
                <m:t>l</m:t>
              </m:r>
            </m:sup>
          </m:sSup>
          <m:r>
            <w:rPr>
              <w:rFonts w:ascii="Cambria Math" w:eastAsia="Cambria Math" w:hAnsi="Cambria Math" w:cs="Cambria Math"/>
            </w:rPr>
            <m:t>,h=</m:t>
          </m:r>
          <m:r>
            <w:rPr>
              <w:rFonts w:ascii="Cambria Math" w:eastAsia="Cambria Math" w:hAnsi="Cambria Math" w:cs="Cambria Math"/>
            </w:rPr>
            <m:t>0,,</m:t>
          </m:r>
          <m:r>
            <w:rPr>
              <w:rFonts w:ascii="Cambria Math" w:eastAsia="Cambria Math" w:hAnsi="Cambria Math" w:cs="Cambria Math"/>
            </w:rPr>
            <m:t>H</m:t>
          </m:r>
        </m:oMath>
      </m:oMathPara>
    </w:p>
    <w:p w14:paraId="3570774F" w14:textId="77777777" w:rsidR="00803ECB" w:rsidRDefault="00ED1359">
      <w:pPr>
        <w:pStyle w:val="TextoABNT"/>
      </w:pPr>
      <w:r>
        <w:t xml:space="preserve">Plagborg-Møller e Wolf (2021) mostram que, sob condições adequadas, </w:t>
      </w:r>
      <w:r>
        <w:rPr>
          <w:i/>
        </w:rPr>
        <w:t>local projections</w:t>
      </w:r>
      <w:r>
        <w:t xml:space="preserve"> e VARs estimam o mesmo objeto populacional. A diferença central, portanto, não é necessariamente o estimando, mas as propriedades de amostra finita. Em termos aplicados, isso significa que a escolha entre VAR e LP envolve um </w:t>
      </w:r>
      <w:r>
        <w:rPr>
          <w:i/>
        </w:rPr>
        <w:t>trade-off</w:t>
      </w:r>
      <w:r>
        <w:t xml:space="preserve"> entre eficiência e robustez. Para o presente estudo, a LP é particularmente atraente porque permite modelar explicitamente o canal petróleo em reais, preço na refinaria, preço ao consumidor e IPCA, além de comparar respostas por subamostras e regimes de preci</w:t>
      </w:r>
      <w:r>
        <w:t>ficação.</w:t>
      </w:r>
    </w:p>
    <w:p w14:paraId="369DDAC1" w14:textId="77777777" w:rsidR="00803ECB" w:rsidRDefault="00ED1359">
      <w:pPr>
        <w:pStyle w:val="TextoABNT"/>
      </w:pPr>
      <w:r>
        <w:t xml:space="preserve">Kilian e Kim (2011) ressaltam que as </w:t>
      </w:r>
      <w:r>
        <w:rPr>
          <w:i/>
        </w:rPr>
        <w:t>local projections</w:t>
      </w:r>
      <w:r>
        <w:t xml:space="preserve"> podem produzir intervalos de confiança mais amplos e, em amostras finitas, menor precisão do que alguns modelos VAR corretamente especificados. Essa crítica é importante para o presente trabalho porque a amostra mensal brasileira, apesar de relativamente longa desde 2003, pode se tornar curta quando dividida em regimes, como pré e pós-mudanças na política de preços. Por isso, a aplicação deve usar inferência robusta, bandas de confiança apropriadas, testes de sensibilidade para o número de</w:t>
      </w:r>
      <w:r>
        <w:t xml:space="preserve"> defasagens e, quando necessário, versões suavizadas ou regularizadas das LPs.</w:t>
      </w:r>
    </w:p>
    <w:p w14:paraId="1B849B6E" w14:textId="77777777" w:rsidR="008C71E7" w:rsidRDefault="00ED1359">
      <w:pPr>
        <w:pStyle w:val="TextoABNT"/>
      </w:pPr>
      <w:r>
        <w:t xml:space="preserve">Li, Plagborg-Møller e Wolf (2024) aprofundam essa discussão ao comparar LPs e VARs em numerosos processos geradores de dados. O resultado reforça o diagnóstico de que as LPs tendem a ter menor viés, mas maior variância. Para a presente pesquisa, a implicação é que o uso de </w:t>
      </w:r>
      <w:r>
        <w:rPr>
          <w:i/>
        </w:rPr>
        <w:t>local projections</w:t>
      </w:r>
      <w:r>
        <w:t xml:space="preserve"> deve ser acompanhado de</w:t>
      </w:r>
    </w:p>
    <w:p w14:paraId="60DDFBC6" w14:textId="7B0575C9" w:rsidR="00803ECB" w:rsidRDefault="00ED1359">
      <w:pPr>
        <w:pStyle w:val="TextoABNT"/>
      </w:pPr>
      <w:r>
        <w:lastRenderedPageBreak/>
        <w:t xml:space="preserve"> especificações parcimoniosas, controles bem escolhidos e interpretação cuidadosa das bandas de confiança. Não se deve apresentar a LP como método automaticamente superior, mas como método mais flexível para responder a uma pergunta institucionalmente complexa.</w:t>
      </w:r>
    </w:p>
    <w:p w14:paraId="3F10B6B8" w14:textId="77777777" w:rsidR="00803ECB" w:rsidRDefault="00ED1359">
      <w:pPr>
        <w:pStyle w:val="SubtituloABNT"/>
      </w:pPr>
      <w:bookmarkStart w:id="11" w:name="_Toc_1_3_0000000009"/>
      <w:r>
        <w:t>Extensões de local projections relevantes para o tema</w:t>
      </w:r>
      <w:bookmarkEnd w:id="11"/>
    </w:p>
    <w:p w14:paraId="7F3E77DF" w14:textId="77777777" w:rsidR="00803ECB" w:rsidRDefault="00ED1359">
      <w:pPr>
        <w:pStyle w:val="TextoABNT"/>
      </w:pPr>
      <w:r>
        <w:t xml:space="preserve">A literatura recente desenvolveu várias extensões das </w:t>
      </w:r>
      <w:r>
        <w:rPr>
          <w:i/>
        </w:rPr>
        <w:t>local projections</w:t>
      </w:r>
      <w:r>
        <w:t xml:space="preserve"> que são úteis para estudar choques de petróleo e inflação. A primeira é a LP-IV, que combina </w:t>
      </w:r>
      <w:r>
        <w:rPr>
          <w:i/>
        </w:rPr>
        <w:t>local projections</w:t>
      </w:r>
      <w:r>
        <w:t xml:space="preserve"> com variáveis instrumentais. Essa abordagem é adequada quando o choque observado é potencialmente endógeno. No caso brasileiro, o preço doméstico do combustível pode responder simultaneamente à conjuntura inflacionária, à política de preços da Petrobras, ao câmbio e às condições de oferta. Portanto, tratá-lo como variável exógena pode gerar viés.</w:t>
      </w:r>
    </w:p>
    <w:p w14:paraId="1A89ADB6" w14:textId="77777777" w:rsidR="00803ECB" w:rsidRDefault="00ED1359">
      <w:pPr>
        <w:pStyle w:val="TextoABNT"/>
      </w:pPr>
      <w:r>
        <w:t xml:space="preserve">A LP-IV pode ser representada em duas etapas. A primeira etapa isola a componente exógena do choque. A segunda etapa estima a resposta da variável de interesse à parte instrumentada do choque: em que </w:t>
      </w:r>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m:t>
            </m:r>
          </m:sub>
        </m:sSub>
      </m:oMath>
      <w:r>
        <w:t xml:space="preserve"> é o instrumento,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oMath>
      <w:r>
        <w:t xml:space="preserve"> é a variável de choque potencialmente endógena e </w:t>
      </w:r>
      <m:oMath>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x</m:t>
                </m:r>
              </m:e>
            </m:acc>
          </m:e>
          <m:sub>
            <m:r>
              <w:rPr>
                <w:rFonts w:ascii="Cambria Math" w:eastAsia="Cambria Math" w:hAnsi="Cambria Math" w:cs="Cambria Math"/>
              </w:rPr>
              <m:t>t</m:t>
            </m:r>
          </m:sub>
        </m:sSub>
      </m:oMath>
      <w:r>
        <w:t xml:space="preserve"> é sua componente prevista pela primeira etapa. Para o presente trabalho, instrumentos possíveis incluem choques globais de oferta de petróleo, variações externas do Brent em reais, eventos geopolíticos relevantes e medidas de disrupção de refino ou abastecimento quando puderem ser tratadas como plausivelmente exógenas.</w:t>
      </w:r>
    </w:p>
    <w:p w14:paraId="2ED9D0CC" w14:textId="77777777" w:rsidR="00803ECB" w:rsidRDefault="00ED1359">
      <w:pPr>
        <w:pStyle w:val="TextoABNT"/>
      </w:pPr>
      <m:oMathPara>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πz</m:t>
          </m:r>
          <m:r>
            <w:rPr>
              <w:rFonts w:ascii="Cambria Math" w:eastAsia="Cambria Math" w:hAnsi="Cambria Math" w:cs="Cambria Math"/>
            </w:rPr>
            <m:t>+</m:t>
          </m:r>
          <m:r>
            <w:rPr>
              <w:rFonts w:ascii="Cambria Math" w:eastAsia="Cambria Math" w:hAnsi="Cambria Math" w:cs="Cambria Math"/>
            </w:rPr>
            <m:t>ΛWt</m:t>
          </m:r>
          <m:r>
            <w:rPr>
              <w:rFonts w:ascii="Cambria Math" w:eastAsia="Cambria Math" w:hAnsi="Cambria Math" w:cs="Cambria Math"/>
            </w:rPr>
            <m:t>+</m:t>
          </m:r>
          <m:r>
            <w:rPr>
              <w:rFonts w:ascii="Cambria Math" w:eastAsia="Cambria Math" w:hAnsi="Cambria Math" w:cs="Cambria Math"/>
            </w:rPr>
            <m:t>v</m:t>
          </m:r>
          <m:r>
            <w:rPr>
              <w:rFonts w:ascii="Cambria Math" w:eastAsia="Cambria Math" w:hAnsi="Cambria Math" w:cs="Cambria Math"/>
            </w:rPr>
            <m:t>12</m:t>
          </m:r>
        </m:oMath>
      </m:oMathPara>
    </w:p>
    <w:p w14:paraId="752BE5FE" w14:textId="77777777" w:rsidR="00803ECB" w:rsidRDefault="00ED1359">
      <w:pPr>
        <w:pStyle w:val="TextoABNT"/>
      </w:pPr>
      <m:oMathPara>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m:t>
              </m:r>
              <m:r>
                <w:rPr>
                  <w:rFonts w:ascii="Cambria Math" w:eastAsia="Cambria Math" w:hAnsi="Cambria Math" w:cs="Cambria Math"/>
                </w:rPr>
                <m: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h</m:t>
              </m:r>
            </m:sub>
          </m:sSub>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ϵ</m:t>
              </m:r>
            </m:e>
            <m:sub>
              <m:r>
                <w:rPr>
                  <w:rFonts w:ascii="Cambria Math" w:eastAsia="Cambria Math" w:hAnsi="Cambria Math" w:cs="Cambria Math"/>
                </w:rPr>
                <m:t>-</m:t>
              </m:r>
              <m:r>
                <w:rPr>
                  <w:rFonts w:ascii="Cambria Math" w:eastAsia="Cambria Math" w:hAnsi="Cambria Math" w:cs="Cambria Math"/>
                </w:rPr>
                <m:t>+</m:t>
              </m:r>
            </m:sub>
          </m:sSub>
          <m:d>
            <m:dPr>
              <m:ctrlPr>
                <w:rPr>
                  <w:rFonts w:ascii="Cambria Math" w:hAnsi="Cambria Math"/>
                </w:rPr>
              </m:ctrlPr>
            </m:dPr>
            <m:e>
              <m:r>
                <w:rPr>
                  <w:rFonts w:ascii="Cambria Math" w:eastAsia="Cambria Math" w:hAnsi="Cambria Math" w:cs="Cambria Math"/>
                </w:rPr>
                <m:t>13</m:t>
              </m:r>
            </m:e>
          </m:d>
        </m:oMath>
      </m:oMathPara>
    </w:p>
    <w:p w14:paraId="302330D8" w14:textId="77777777" w:rsidR="00803ECB" w:rsidRDefault="00ED1359">
      <w:pPr>
        <w:pStyle w:val="TextoABNT"/>
      </w:pPr>
      <w:r>
        <w:t xml:space="preserve">A segunda extensão relevante é a </w:t>
      </w:r>
      <w:r>
        <w:rPr>
          <w:i/>
        </w:rPr>
        <w:t>state-dependent local projection</w:t>
      </w:r>
      <w:r>
        <w:t xml:space="preserve">, utilizada quando o efeito do choque depende do estado da economia ou do regime institucional. No caso do petróleo e dos combustíveis no Brasil, o estado pode ser definido pelo regime de precificação, pela existência de desalinhamento entre a referência internacional e o preço doméstico, por períodos de inflação elevada ou por episódios de mudança tributária. Uma forma comum de especificar esse modelo é: (14) em que F(sₜ₋₁) é uma função que indica o estado da economia ou do </w:t>
      </w:r>
      <w:r>
        <w:t>regime. Gonçalves et al. (2024) alertam que a interpretação causal das LPs dependentes de estado requer cuidado quando o estado é endógeno ao próprio choque. Por isso, para o caso brasileiro, um regime institucional datável, como a mudança de estratégia comercial da Petrobras, tende a ser mais defensável do que estados definidos apenas pela inflação corrente ou pelo hiato, que podem responder ao próprio choque de petróleo.</w:t>
      </w:r>
    </w:p>
    <w:p w14:paraId="511593C7" w14:textId="77777777" w:rsidR="00803ECB" w:rsidRDefault="00ED1359">
      <w:pPr>
        <w:pStyle w:val="TextoABNT"/>
      </w:pPr>
      <m:oMathPara>
        <m:oMath>
          <m:r>
            <w:rPr>
              <w:rFonts w:ascii="Cambria Math" w:eastAsia="Cambria Math" w:hAnsi="Cambria Math" w:cs="Cambria Math"/>
            </w:rPr>
            <w:lastRenderedPageBreak/>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L</m:t>
          </m:r>
          <m:d>
            <m:dPr>
              <m:begChr m:val="["/>
              <m:endChr m:val="]"/>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s</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e>
              </m:d>
            </m:e>
          </m: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β</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HF</m:t>
          </m:r>
          <m:d>
            <m:dPr>
              <m:ctrlPr>
                <w:rPr>
                  <w:rFonts w:ascii="Cambria Math" w:hAnsi="Cambria Math"/>
                </w:rPr>
              </m:ctrlPr>
            </m:dPr>
            <m:e>
              <m:r>
                <w:rPr>
                  <w:rFonts w:ascii="Cambria Math" w:eastAsia="Cambria Math" w:hAnsi="Cambria Math" w:cs="Cambria Math"/>
                </w:rPr>
                <m:t>s</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e>
          </m: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Γ</m:t>
          </m:r>
          <m:r>
            <w:rPr>
              <w:rFonts w:ascii="Cambria Math" w:eastAsia="Cambria Math" w:hAnsi="Cambria Math" w:cs="Cambria Math"/>
            </w:rPr>
            <m:t>_h</m:t>
          </m:r>
          <m:r>
            <w:rPr>
              <w:rFonts w:ascii="Cambria Math" w:eastAsia="Cambria Math" w:hAnsi="Cambria Math" w:cs="Cambria Math"/>
            </w:rPr>
            <m:t>W</m:t>
          </m:r>
          <m:r>
            <w:rPr>
              <w:rFonts w:ascii="Cambria Math" w:eastAsia="Cambria Math" w:hAnsi="Cambria Math" w:cs="Cambria Math"/>
            </w:rPr>
            <m:t>_</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ϵ</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43D313CE" w14:textId="77777777" w:rsidR="00803ECB" w:rsidRDefault="00ED1359">
      <w:pPr>
        <w:pStyle w:val="TextoABNT"/>
      </w:pPr>
      <w:r>
        <w:t xml:space="preserve">A terceira extensão é a </w:t>
      </w:r>
      <w:r>
        <w:rPr>
          <w:i/>
        </w:rPr>
        <w:t>smooth local projection</w:t>
      </w:r>
      <w:r>
        <w:t xml:space="preserve">, desenvolvida por Barnichon e Brownlees (2019). A ideia é impor suavidade à sequência de respostas ao longo dos horizontes, reduzindo a variância das estimativas. Em vez de estimar βₜ de forma completamente independente para cada horizonte, pode-se escrever: (15) em que Bₜ(h) representa funções de base, como </w:t>
      </w:r>
      <w:r>
        <w:rPr>
          <w:i/>
        </w:rPr>
        <w:t>splines</w:t>
      </w:r>
      <w:r>
        <w:t>, e bₜ são coeficientes estimados. Essa abordagem é útil quando se espera que o repasse do petróleo para a inflação siga um perfil relativamente suave, sem oscilações brus</w:t>
      </w:r>
      <w:r>
        <w:t>cas entre meses consecutivos. No entanto, seu uso exige cautela, pois a suavização pode esconder assimetrias ou quebras reais de regime.</w:t>
      </w:r>
    </w:p>
    <w:p w14:paraId="13ABAFDD" w14:textId="77777777" w:rsidR="00803ECB" w:rsidRDefault="00ED1359">
      <w:pPr>
        <w:pStyle w:val="TextoABNT"/>
      </w:pPr>
      <m:oMathPara>
        <m:oMath>
          <m:r>
            <w:rPr>
              <w:rFonts w:ascii="Cambria Math" w:eastAsia="Cambria Math" w:hAnsi="Cambria Math" w:cs="Cambria Math"/>
            </w:rPr>
            <m:t>β</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r>
            <w:rPr>
              <w:rFonts w:ascii="Cambria Math" w:eastAsia="Cambria Math" w:hAnsi="Cambria Math" w:cs="Cambria Math"/>
            </w:rPr>
            <m:t>Σ</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=1</m:t>
                  </m:r>
                </m:e>
              </m:d>
            </m:e>
            <m:sup>
              <m:r>
                <w:rPr>
                  <w:rFonts w:ascii="Cambria Math" w:eastAsia="Cambria Math" w:hAnsi="Cambria Math" w:cs="Cambria Math"/>
                </w:rPr>
                <m:t>∧</m:t>
              </m:r>
            </m:sup>
          </m:sSup>
          <m:d>
            <m:dPr>
              <m:begChr m:val="{"/>
              <m:endChr m:val="}"/>
              <m:ctrlPr>
                <w:rPr>
                  <w:rFonts w:ascii="Cambria Math" w:hAnsi="Cambria Math"/>
                </w:rPr>
              </m:ctrlPr>
            </m:dPr>
            <m:e>
              <m:r>
                <w:rPr>
                  <w:rFonts w:ascii="Cambria Math" w:eastAsia="Cambria Math" w:hAnsi="Cambria Math" w:cs="Cambria Math"/>
                </w:rPr>
                <m:t>M</m:t>
              </m:r>
            </m:e>
          </m:d>
          <m:r>
            <w:rPr>
              <w:rFonts w:ascii="Cambria Math" w:eastAsia="Cambria Math" w:hAnsi="Cambria Math" w:cs="Cambria Math"/>
            </w:rPr>
            <m:t>bB</m:t>
          </m:r>
          <m:d>
            <m:dPr>
              <m:ctrlPr>
                <w:rPr>
                  <w:rFonts w:ascii="Cambria Math" w:hAnsi="Cambria Math"/>
                </w:rPr>
              </m:ctrlPr>
            </m:dPr>
            <m:e>
              <m:r>
                <w:rPr>
                  <w:rFonts w:ascii="Cambria Math" w:eastAsia="Cambria Math" w:hAnsi="Cambria Math" w:cs="Cambria Math"/>
                </w:rPr>
                <m:t>h</m:t>
              </m:r>
            </m:e>
          </m:d>
        </m:oMath>
      </m:oMathPara>
    </w:p>
    <w:p w14:paraId="3C866596" w14:textId="77777777" w:rsidR="00803ECB" w:rsidRDefault="00ED1359">
      <w:pPr>
        <w:pStyle w:val="TextoABNT"/>
      </w:pPr>
      <w:r>
        <w:t xml:space="preserve">A quarta extensão é a </w:t>
      </w:r>
      <w:r>
        <w:rPr>
          <w:i/>
        </w:rPr>
        <w:t>Bayesian local projection</w:t>
      </w:r>
      <w:r>
        <w:t xml:space="preserve">, associada a Ferreira, Miranda-Agrippino e Ricco (2025). A proposta é reduzir a variância das LPs por meio de </w:t>
      </w:r>
      <w:r>
        <w:rPr>
          <w:i/>
        </w:rPr>
        <w:t>priors</w:t>
      </w:r>
      <w:r>
        <w:t xml:space="preserve"> que regularizam os coeficientes. De modo simplificado, pode-se assumir: (16) em que θₜ reúne os parâmetros da regressão no horizonte h. Essa estratégia é útil para amostras curtas, modelos com muitos controles ou respostas muito ruidosas. Para o presente estudo, uma LP bayesiana poderia ser utilizada como robustez, especialmente em subamostras ou modelos com várias v</w:t>
      </w:r>
      <w:r>
        <w:t>ariáveis institucionais.</w:t>
      </w:r>
    </w:p>
    <w:p w14:paraId="0AF3FD18" w14:textId="77777777" w:rsidR="00803ECB" w:rsidRDefault="00ED1359">
      <w:pPr>
        <w:pStyle w:val="TextoABNT"/>
      </w:pPr>
      <m:oMathPara>
        <m:oMath>
          <m:r>
            <w:rPr>
              <w:rFonts w:ascii="Cambria Math" w:eastAsia="Cambria Math" w:hAnsi="Cambria Math" w:cs="Cambria Math"/>
            </w:rPr>
            <m:t>θ</m:t>
          </m:r>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μ</m:t>
              </m:r>
              <m:r>
                <w:rPr>
                  <w:rFonts w:ascii="Cambria Math" w:eastAsia="Cambria Math" w:hAnsi="Cambria Math" w:cs="Cambria Math"/>
                </w:rPr>
                <m:t>,</m:t>
              </m:r>
              <m:r>
                <w:rPr>
                  <w:rFonts w:ascii="Cambria Math" w:eastAsia="Cambria Math" w:hAnsi="Cambria Math" w:cs="Cambria Math"/>
                </w:rPr>
                <m:t>Ω</m:t>
              </m:r>
            </m:e>
          </m:d>
        </m:oMath>
      </m:oMathPara>
    </w:p>
    <w:p w14:paraId="4D412DC7" w14:textId="77777777" w:rsidR="00803ECB" w:rsidRDefault="00ED1359">
      <w:pPr>
        <w:pStyle w:val="TextoABNT"/>
      </w:pPr>
      <w:r>
        <w:t>A quinta extensão é a local projection com parâmetros variando no tempo, ou TVP-LP, discutida por Inoue, Rossi e Wang (2024). Essa abordagem permite que a resposta ao choque mude ao longo do tempo: (17) Essa formulação é particularmente adequada para o caso brasileiro, pois a relação entre petróleo, Petrobras, combustíveis e inflação mudou ao longo das últimas duas décadas. Períodos de maior controle de preços, adoção de paridade de importação, choques tributários e nova estratégia comercial podem alterar β</w:t>
      </w:r>
      <w:r>
        <w:t>ₜ</w:t>
      </w:r>
      <w:r>
        <w:t>,ₜ, isto é, a resposta da inflação ao choque.</w:t>
      </w:r>
    </w:p>
    <w:p w14:paraId="5885FDA3" w14:textId="77777777" w:rsidR="00803ECB" w:rsidRDefault="00ED1359">
      <w:pPr>
        <w:pStyle w:val="TextoABNT"/>
      </w:pPr>
      <m:oMathPara>
        <m:oMath>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r>
            <w:rPr>
              <w:rFonts w:ascii="Cambria Math" w:eastAsia="Cambria Math" w:hAnsi="Cambria Math" w:cs="Cambria Math"/>
            </w:rPr>
            <m:t>,×+</m:t>
          </m:r>
          <m:r>
            <w:rPr>
              <w:rFonts w:ascii="Cambria Math" w:eastAsia="Cambria Math" w:hAnsi="Cambria Math" w:cs="Cambria Math"/>
            </w:rPr>
            <m:t>Γ</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t</m:t>
              </m:r>
            </m:sub>
          </m:sSub>
          <m:r>
            <w:rPr>
              <w:rFonts w:ascii="Cambria Math" w:eastAsia="Cambria Math" w:hAnsi="Cambria Math" w:cs="Cambria Math"/>
            </w:rPr>
            <m:t>+</m:t>
          </m:r>
          <m:r>
            <w:rPr>
              <w:rFonts w:ascii="Cambria Math" w:eastAsia="Cambria Math" w:hAnsi="Cambria Math" w:cs="Cambria Math"/>
            </w:rPr>
            <m:t>ε</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oMath>
      </m:oMathPara>
    </w:p>
    <w:p w14:paraId="276047F5" w14:textId="77777777" w:rsidR="00803ECB" w:rsidRDefault="00ED1359">
      <w:pPr>
        <w:pStyle w:val="TextoABNT"/>
      </w:pPr>
      <w:r>
        <w:t xml:space="preserve">Por fim, a literatura recente também discute decomposições de variância em ambiente de </w:t>
      </w:r>
      <w:r>
        <w:rPr>
          <w:i/>
        </w:rPr>
        <w:t>local projections</w:t>
      </w:r>
      <w:r>
        <w:t xml:space="preserve">. Gorodnichenko e Lee (2020) propõem estimar </w:t>
      </w:r>
      <w:r>
        <w:rPr>
          <w:i/>
        </w:rPr>
        <w:t>forecast error variance decompositions</w:t>
      </w:r>
      <w:r>
        <w:t xml:space="preserve"> a partir de respostas estruturais obtidas por LP. De forma esquemática, a participação de um choque j na variância do erro de previsão da variável k pode ser escrita como: (18) Essa extensão é relevante porque permite quantificar a importância relativa de choques de petróleo, câmbio, refino, expectativas </w:t>
      </w:r>
      <w:r>
        <w:lastRenderedPageBreak/>
        <w:t>e atividade na variância da inflação. Embora a FEVD por LP exija identificação estrutural mais forte, ela</w:t>
      </w:r>
      <w:r>
        <w:t xml:space="preserve"> pode complementar as funções impulso-resposta ao mostrar não apenas a direção do efeito, mas também sua contribuição relativa para a incerteza inflacionária.</w:t>
      </w:r>
    </w:p>
    <w:p w14:paraId="33B55181" w14:textId="77777777" w:rsidR="00803ECB" w:rsidRDefault="00ED1359">
      <w:pPr>
        <w:pStyle w:val="TextoABNT"/>
      </w:pPr>
      <m:oMathPara>
        <m:oMath>
          <m:r>
            <w:rPr>
              <w:rFonts w:ascii="Cambria Math" w:eastAsia="Cambria Math" w:hAnsi="Cambria Math" w:cs="Cambria Math"/>
            </w:rPr>
            <m:t>FEVD</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sSup>
                <m:sSupPr>
                  <m:ctrlPr>
                    <w:rPr>
                      <w:rFonts w:ascii="Cambria Math" w:hAnsi="Cambria Math"/>
                    </w:rPr>
                  </m:ctrlPr>
                </m:sSupPr>
                <m:e/>
                <m:sup>
                  <m:r>
                    <w:rPr>
                      <w:rFonts w:ascii="Cambria Math" w:eastAsia="Cambria Math" w:hAnsi="Cambria Math" w:cs="Cambria Math"/>
                    </w:rPr>
                    <m:t>-</m:t>
                  </m:r>
                  <m:r>
                    <w:rPr>
                      <w:rFonts w:ascii="Cambria Math" w:eastAsia="Cambria Math" w:hAnsi="Cambria Math" w:cs="Cambria Math"/>
                    </w:rPr>
                    <m:t>1</m:t>
                  </m:r>
                </m:sup>
              </m:sSup>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e</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Ψe</m:t>
                      </m:r>
                    </m:e>
                  </m:d>
                </m:e>
                <m:sup>
                  <m:r>
                    <w:rPr>
                      <w:rFonts w:ascii="Cambria Math" w:eastAsia="Cambria Math" w:hAnsi="Cambria Math" w:cs="Cambria Math"/>
                    </w:rPr>
                    <m:t>2</m:t>
                  </m:r>
                </m:sup>
              </m:sSup>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sSup>
                <m:sSupPr>
                  <m:ctrlPr>
                    <w:rPr>
                      <w:rFonts w:ascii="Cambria Math" w:hAnsi="Cambria Math"/>
                    </w:rPr>
                  </m:ctrlPr>
                </m:sSupPr>
                <m:e/>
                <m:sup>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e</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ΨΣΨ</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e</m:t>
              </m:r>
            </m:e>
          </m:d>
        </m:oMath>
      </m:oMathPara>
    </w:p>
    <w:p w14:paraId="4E0490FD" w14:textId="77777777" w:rsidR="00803ECB" w:rsidRDefault="00ED1359">
      <w:pPr>
        <w:pStyle w:val="SubtituloABNT"/>
      </w:pPr>
      <w:bookmarkStart w:id="12" w:name="_Toc_1_3_0000000010"/>
      <w:r>
        <w:t>Aplicação ao canal Petrobras, combustíveis e IPCA</w:t>
      </w:r>
      <w:bookmarkEnd w:id="12"/>
    </w:p>
    <w:p w14:paraId="203B0C8F" w14:textId="77777777" w:rsidR="00803ECB" w:rsidRDefault="00ED1359">
      <w:pPr>
        <w:pStyle w:val="TextoABNT"/>
      </w:pPr>
      <w:r>
        <w:t>A partir da literatura revisada, o canal de transmissão relevante para o Brasil pode ser organizado em quatro etapas. A primeira é o choque internacional, representado pelo preço do Brent em dólares. A segunda é a conversão desse choque para reais, por meio da taxa de câmbio. A terceira é a transmissão para os preços domésticos de combustíveis, mediada pela refinaria, pela política comercial da Petrobras, por tributos e por margens de distribuição e revenda. A quarta é o impacto sobre o IPCA, tanto por efei</w:t>
      </w:r>
      <w:r>
        <w:t>to direto nos subitens de combustíveis quanto por efeitos indiretos em transportes, frete, alimentos e expectativas.</w:t>
      </w:r>
    </w:p>
    <w:p w14:paraId="145D8AD7" w14:textId="77777777" w:rsidR="00803ECB" w:rsidRDefault="00ED1359">
      <w:pPr>
        <w:pStyle w:val="TextoABNT"/>
      </w:pPr>
      <w:r>
        <w:t xml:space="preserve">Uma especificação reduzida para a primeira etapa do canal pode estimar o efeito do petróleo em reais sobre o preço doméstico do combustível: (19) em que pₜ₊ₜₜₜₜₜ pode representar gasolina, diesel ou etanol, e W_t inclui controles como inflação passada, atividade, sazonalidade, câmbio, tributos e </w:t>
      </w:r>
      <w:r>
        <w:rPr>
          <w:i/>
        </w:rPr>
        <w:t>dummies</w:t>
      </w:r>
      <w:r>
        <w:t xml:space="preserve"> de mudanças institucionais. Essa equação mede a primeira perna do repasse: do choque internacional em reais para o preço doméstico do combustível.</w:t>
      </w:r>
    </w:p>
    <w:p w14:paraId="63A4191E" w14:textId="77777777" w:rsidR="00803ECB" w:rsidRDefault="00ED1359">
      <w:pPr>
        <w:pStyle w:val="TextoABNT"/>
      </w:pPr>
      <m:oMathPara>
        <m:oMath>
          <m:r>
            <w:rPr>
              <w:rFonts w:ascii="Cambria Math" w:eastAsia="Cambria Math" w:hAnsi="Cambria Math" w:cs="Cambria Math"/>
            </w:rPr>
            <m:t>Δp</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βΔln</m:t>
          </m:r>
          <m:d>
            <m:dPr>
              <m:ctrlPr>
                <w:rPr>
                  <w:rFonts w:ascii="Cambria Math" w:hAnsi="Cambria Math"/>
                </w:rPr>
              </m:ctrlPr>
            </m:dPr>
            <m:e>
              <m:r>
                <w:rPr>
                  <w:rFonts w:ascii="Cambria Math" w:eastAsia="Cambria Math" w:hAnsi="Cambria Math" w:cs="Cambria Math"/>
                </w:rPr>
                <m:t>Brent</m:t>
              </m:r>
              <m:r>
                <w:rPr>
                  <w:rFonts w:ascii="Cambria Math" w:eastAsia="Cambria Math" w:hAnsi="Cambria Math" w:cs="Cambria Math"/>
                </w:rPr>
                <m:t>⋅</m:t>
              </m:r>
              <m:r>
                <w:rPr>
                  <w:rFonts w:ascii="Cambria Math" w:eastAsia="Cambria Math" w:hAnsi="Cambria Math" w:cs="Cambria Math"/>
                </w:rPr>
                <m:t>E</m:t>
              </m:r>
            </m:e>
          </m:d>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Γ</m:t>
          </m:r>
          <m:sSub>
            <m:sSubPr>
              <m:ctrlPr>
                <w:rPr>
                  <w:rFonts w:ascii="Cambria Math" w:hAnsi="Cambria Math"/>
                </w:rPr>
              </m:ctrlPr>
            </m:sSubPr>
            <m:e/>
            <m:sub>
              <m:r>
                <w:rPr>
                  <w:rFonts w:ascii="Cambria Math" w:eastAsia="Cambria Math" w:hAnsi="Cambria Math" w:cs="Cambria Math"/>
                </w:rPr>
                <m:t>,</m:t>
              </m:r>
            </m:sub>
          </m:sSub>
          <m:r>
            <m:rPr>
              <m:scr m:val="script"/>
            </m:rPr>
            <w:rPr>
              <w:rFonts w:ascii="Cambria Math" w:eastAsia="Cambria Math" w:hAnsi="Cambria Math" w:cs="Cambria Math"/>
            </w:rPr>
            <m:t>l</m:t>
          </m:r>
          <m:r>
            <w:rPr>
              <w:rFonts w:ascii="Cambria Math" w:eastAsia="Cambria Math" w:hAnsi="Cambria Math" w:cs="Cambria Math"/>
            </w:rPr>
            <m:t>W</m:t>
          </m:r>
          <m:sSub>
            <m:sSubPr>
              <m:ctrlPr>
                <w:rPr>
                  <w:rFonts w:ascii="Cambria Math" w:hAnsi="Cambria Math"/>
                </w:rPr>
              </m:ctrlPr>
            </m:sSubPr>
            <m:e/>
            <m:sub>
              <m:r>
                <w:rPr>
                  <w:rFonts w:ascii="Cambria Math" w:eastAsia="Cambria Math" w:hAnsi="Cambria Math" w:cs="Cambria Math"/>
                </w:rPr>
                <m:t>-</m:t>
              </m:r>
            </m:sub>
          </m:sSub>
          <m:r>
            <m:rPr>
              <m:scr m:val="script"/>
            </m:rPr>
            <w:rPr>
              <w:rFonts w:ascii="Cambria Math" w:eastAsia="Cambria Math" w:hAnsi="Cambria Math" w:cs="Cambria Math"/>
            </w:rPr>
            <m:t>l+</m:t>
          </m:r>
          <m:r>
            <w:rPr>
              <w:rFonts w:ascii="Cambria Math" w:eastAsia="Cambria Math" w:hAnsi="Cambria Math" w:cs="Cambria Math"/>
            </w:rPr>
            <m:t>ϵ</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29648AE3" w14:textId="77777777" w:rsidR="00803ECB" w:rsidRDefault="00ED1359">
      <w:pPr>
        <w:pStyle w:val="TextoABNT"/>
      </w:pPr>
      <w:r>
        <w:t>A segunda etapa consiste em estimar o efeito do preço do combustível sobre a inflação. Uma especificação possível é: (20) Quando Δpₜₜₜₜₜ for potencialmente endógeno, a variável deve ser instrumentada por choques externos ou por medidas plausivelmente exógenas de pressão sobre o preço doméstico. Essa etapa é central porque permite separar o efeito do combustível sobre o IPCA geral, o IPCA de transportes e os subitens específicos. O coeficiente θₜ mede a resposta da inflação no horizonte h a uma variação do c</w:t>
      </w:r>
      <w:r>
        <w:t>ombustível.</w:t>
      </w:r>
    </w:p>
    <w:p w14:paraId="1130EB07" w14:textId="77777777" w:rsidR="00803ECB" w:rsidRDefault="00ED1359">
      <w:pPr>
        <w:pStyle w:val="TextoABNT"/>
      </w:pPr>
      <m:oMathPara>
        <m:oMath>
          <m:r>
            <w:rPr>
              <w:rFonts w:ascii="Cambria Math" w:eastAsia="Cambria Math" w:hAnsi="Cambria Math" w:cs="Cambria Math"/>
            </w:rPr>
            <m:t>Δπ</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θΔp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Φ</m:t>
              </m:r>
            </m:e>
            <m:sub>
              <m:r>
                <w:rPr>
                  <w:rFonts w:ascii="Cambria Math" w:eastAsia="Cambria Math" w:hAnsi="Cambria Math" w:cs="Cambria Math"/>
                </w:rPr>
                <m:t>h</m:t>
              </m:r>
            </m:sub>
          </m:sSub>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t</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v</m:t>
              </m:r>
            </m:e>
            <m:sub>
              <m:r>
                <w:rPr>
                  <w:rFonts w:ascii="Cambria Math" w:eastAsia="Cambria Math" w:hAnsi="Cambria Math" w:cs="Cambria Math"/>
                </w:rPr>
                <m:t>t</m:t>
              </m:r>
              <m:r>
                <w:rPr>
                  <w:rFonts w:ascii="Cambria Math" w:eastAsia="Cambria Math" w:hAnsi="Cambria Math" w:cs="Cambria Math"/>
                </w:rPr>
                <m:t>+h</m:t>
              </m:r>
            </m:sub>
            <m:sup>
              <m:d>
                <m:dPr>
                  <m:ctrlPr>
                    <w:rPr>
                      <w:rFonts w:ascii="Cambria Math" w:hAnsi="Cambria Math"/>
                    </w:rPr>
                  </m:ctrlPr>
                </m:dPr>
                <m:e>
                  <m:r>
                    <w:rPr>
                      <w:rFonts w:ascii="Cambria Math" w:eastAsia="Cambria Math" w:hAnsi="Cambria Math" w:cs="Cambria Math"/>
                    </w:rPr>
                    <m:t>h</m:t>
                  </m:r>
                </m:e>
              </m:d>
            </m:sup>
          </m:sSubSup>
        </m:oMath>
      </m:oMathPara>
    </w:p>
    <w:p w14:paraId="1CB526BD" w14:textId="77777777" w:rsidR="00803ECB" w:rsidRDefault="00ED1359">
      <w:pPr>
        <w:pStyle w:val="TextoABNT"/>
      </w:pPr>
      <w:r>
        <w:t xml:space="preserve">Para captar a dimensão institucional, uma especificação dependente de regime pode comparar o repasse antes e depois de mudanças na política comercial da Petrobras: (21) em que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t</m:t>
            </m:r>
          </m:sub>
        </m:sSub>
      </m:oMath>
      <w:r>
        <w:t xml:space="preserve"> é uma dummy que assume valor igual a um no período posterior à mudança de regime. Se </w:t>
      </w:r>
      <m:oMath>
        <m:sSubSup>
          <m:sSubSupPr>
            <m:ctrlPr>
              <w:rPr>
                <w:rFonts w:ascii="Cambria Math" w:hAnsi="Cambria Math"/>
              </w:rPr>
            </m:ctrlPr>
          </m:sSubSupPr>
          <m:e>
            <m:r>
              <w:rPr>
                <w:rFonts w:ascii="Cambria Math" w:eastAsia="Cambria Math" w:hAnsi="Cambria Math" w:cs="Cambria Math"/>
              </w:rPr>
              <m:t>β</m:t>
            </m:r>
          </m:e>
          <m:sub>
            <m:r>
              <w:rPr>
                <w:rFonts w:ascii="Cambria Math" w:eastAsia="Cambria Math" w:hAnsi="Cambria Math" w:cs="Cambria Math"/>
              </w:rPr>
              <m:t>t</m:t>
            </m:r>
          </m:sub>
          <m:sup>
            <m:r>
              <w:rPr>
                <w:rFonts w:ascii="Cambria Math" w:eastAsia="Cambria Math" w:hAnsi="Cambria Math" w:cs="Cambria Math"/>
              </w:rPr>
              <m:t>pre</m:t>
            </m:r>
          </m:sup>
        </m:sSubSup>
      </m:oMath>
      <w:r>
        <w:t xml:space="preserve"> e </w:t>
      </w:r>
      <m:oMath>
        <m:sSubSup>
          <m:sSubSupPr>
            <m:ctrlPr>
              <w:rPr>
                <w:rFonts w:ascii="Cambria Math" w:hAnsi="Cambria Math"/>
              </w:rPr>
            </m:ctrlPr>
          </m:sSubSupPr>
          <m:e>
            <m:r>
              <w:rPr>
                <w:rFonts w:ascii="Cambria Math" w:eastAsia="Cambria Math" w:hAnsi="Cambria Math" w:cs="Cambria Math"/>
              </w:rPr>
              <m:t>β</m:t>
            </m:r>
          </m:e>
          <m:sub>
            <m:r>
              <w:rPr>
                <w:rFonts w:ascii="Cambria Math" w:eastAsia="Cambria Math" w:hAnsi="Cambria Math" w:cs="Cambria Math"/>
              </w:rPr>
              <m:t>t</m:t>
            </m:r>
          </m:sub>
          <m:sup>
            <m:r>
              <w:rPr>
                <w:rFonts w:ascii="Cambria Math" w:eastAsia="Cambria Math" w:hAnsi="Cambria Math" w:cs="Cambria Math"/>
              </w:rPr>
              <m:t>post</m:t>
            </m:r>
          </m:sup>
        </m:sSubSup>
      </m:oMath>
      <w:r>
        <w:t xml:space="preserve"> forem estatisticamente distintos, haverá </w:t>
      </w:r>
      <w:r>
        <w:lastRenderedPageBreak/>
        <w:t>evidência de que o regime de precificação alterou a transmissão dos choques de petróleo e combustíveis para a inflação. Essa especificação se conecta diretamente à hipótese de que a Petrobras pode suavizar, retardar ou alterar a intensidade do repasse.</w:t>
      </w:r>
    </w:p>
    <w:p w14:paraId="6C9BE72A" w14:textId="77777777" w:rsidR="00803ECB" w:rsidRDefault="00ED1359">
      <w:pPr>
        <w:pStyle w:val="TextoABNT"/>
      </w:pPr>
      <m:oMathPara>
        <m:oMath>
          <m:r>
            <w:rPr>
              <w:rFonts w:ascii="Cambria Math" w:eastAsia="Cambria Math" w:hAnsi="Cambria Math" w:cs="Cambria Math"/>
            </w:rPr>
            <m:t>Δ</m:t>
          </m:r>
          <m:sSub>
            <m:sSubPr>
              <m:ctrlPr>
                <w:rPr>
                  <w:rFonts w:ascii="Cambria Math" w:hAnsi="Cambria Math"/>
                </w:rPr>
              </m:ctrlPr>
            </m:sSubPr>
            <m:e>
              <m:r>
                <w:rPr>
                  <w:rFonts w:ascii="Cambria Math" w:eastAsia="Cambria Math" w:hAnsi="Cambria Math" w:cs="Cambria Math"/>
                </w:rPr>
                <m:t>π</m:t>
              </m:r>
            </m:e>
            <m:sub>
              <m:r>
                <w:rPr>
                  <w:rFonts w:ascii="Cambria Math" w:eastAsia="Cambria Math" w:hAnsi="Cambria Math" w:cs="Cambria Math"/>
                </w:rPr>
                <m:t>t</m:t>
              </m:r>
              <m:r>
                <w:rPr>
                  <w:rFonts w:ascii="Cambria Math" w:eastAsia="Cambria Math" w:hAnsi="Cambria Math" w:cs="Cambria Math"/>
                </w:rPr>
                <m:t>+h</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sSup>
            <m:sSupPr>
              <m:ctrlPr>
                <w:rPr>
                  <w:rFonts w:ascii="Cambria Math" w:hAnsi="Cambria Math"/>
                </w:rPr>
              </m:ctrlPr>
            </m:sSupPr>
            <m:e/>
            <m:sup>
              <m:acc>
                <m:accPr>
                  <m:ctrlPr>
                    <w:rPr>
                      <w:rFonts w:ascii="Cambria Math" w:hAnsi="Cambria Math"/>
                    </w:rPr>
                  </m:ctrlPr>
                </m:accPr>
                <m:e/>
              </m:acc>
            </m:sup>
          </m:sSup>
          <m:d>
            <m:dPr>
              <m:begChr m:val="{"/>
              <m:endChr m:val="}"/>
              <m:ctrlPr>
                <w:rPr>
                  <w:rFonts w:ascii="Cambria Math" w:hAnsi="Cambria Math"/>
                </w:rPr>
              </m:ctrlPr>
            </m:dPr>
            <m:e>
              <m:r>
                <w:rPr>
                  <w:rFonts w:ascii="Cambria Math" w:eastAsia="Cambria Math" w:hAnsi="Cambria Math" w:cs="Cambria Math"/>
                </w:rPr>
                <m:t>pre</m:t>
              </m:r>
            </m:e>
          </m:d>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D</m:t>
              </m:r>
            </m:e>
          </m: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β</m:t>
          </m:r>
          <m:sSup>
            <m:sSupPr>
              <m:ctrlPr>
                <w:rPr>
                  <w:rFonts w:ascii="Cambria Math" w:hAnsi="Cambria Math"/>
                </w:rPr>
              </m:ctrlPr>
            </m:sSupPr>
            <m:e/>
            <m:sup>
              <m:acc>
                <m:accPr>
                  <m:ctrlPr>
                    <w:rPr>
                      <w:rFonts w:ascii="Cambria Math" w:hAnsi="Cambria Math"/>
                    </w:rPr>
                  </m:ctrlPr>
                </m:accPr>
                <m:e/>
              </m:acc>
            </m:sup>
          </m:sSup>
          <m:d>
            <m:dPr>
              <m:begChr m:val="{"/>
              <m:endChr m:val="}"/>
              <m:ctrlPr>
                <w:rPr>
                  <w:rFonts w:ascii="Cambria Math" w:hAnsi="Cambria Math"/>
                </w:rPr>
              </m:ctrlPr>
            </m:dPr>
            <m:e>
              <m:r>
                <w:rPr>
                  <w:rFonts w:ascii="Cambria Math" w:eastAsia="Cambria Math" w:hAnsi="Cambria Math" w:cs="Cambria Math"/>
                </w:rPr>
                <m:t>post</m:t>
              </m:r>
            </m:e>
          </m:d>
          <m:r>
            <w:rPr>
              <w:rFonts w:ascii="Cambria Math" w:eastAsia="Cambria Math" w:hAnsi="Cambria Math" w:cs="Cambria Math"/>
            </w:rPr>
            <m:t>Dx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h</m:t>
              </m:r>
            </m:sub>
          </m:sSub>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t</m:t>
              </m:r>
            </m:sub>
          </m:sSub>
          <m:r>
            <w:rPr>
              <w:rFonts w:ascii="Cambria Math" w:eastAsia="Cambria Math" w:hAnsi="Cambria Math" w:cs="Cambria Math"/>
            </w:rPr>
            <m:t>+</m:t>
          </m:r>
          <m:r>
            <w:rPr>
              <w:rFonts w:ascii="Cambria Math" w:eastAsia="Cambria Math" w:hAnsi="Cambria Math" w:cs="Cambria Math"/>
            </w:rPr>
            <m:t>ϵ</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acc>
                <m:accPr>
                  <m:ctrlPr>
                    <w:rPr>
                      <w:rFonts w:ascii="Cambria Math" w:hAnsi="Cambria Math"/>
                    </w:rPr>
                  </m:ctrlPr>
                </m:accPr>
                <m:e/>
              </m:acc>
            </m:sup>
          </m:sSup>
          <m:sSup>
            <m:sSupPr>
              <m:ctrlPr>
                <w:rPr>
                  <w:rFonts w:ascii="Cambria Math" w:hAnsi="Cambria Math"/>
                </w:rPr>
              </m:ctrlPr>
            </m:sSupPr>
            <m:e/>
            <m:sup>
              <m:acc>
                <m:accPr>
                  <m:ctrlPr>
                    <w:rPr>
                      <w:rFonts w:ascii="Cambria Math" w:hAnsi="Cambria Math"/>
                    </w:rPr>
                  </m:ctrlPr>
                </m:accPr>
                <m:e/>
              </m:acc>
            </m:sup>
          </m:sSup>
        </m:oMath>
      </m:oMathPara>
    </w:p>
    <w:p w14:paraId="3400338A" w14:textId="77777777" w:rsidR="00803ECB" w:rsidRDefault="00ED1359">
      <w:pPr>
        <w:pStyle w:val="TextoABNT"/>
      </w:pPr>
      <w:r>
        <w:t xml:space="preserve">Em uma extensão regional, pode-se explorar diferenças entre áreas de coleta do IPCA e mercados locais de combustíveis. Uma panel LP pode ser escrita como: (22) em que </w:t>
      </w:r>
      <m:oMath>
        <m:r>
          <w:rPr>
            <w:rFonts w:ascii="Cambria Math" w:eastAsia="Cambria Math" w:hAnsi="Cambria Math" w:cs="Cambria Math"/>
          </w:rPr>
          <m:t>r</m:t>
        </m:r>
      </m:oMath>
      <w:r>
        <w:t xml:space="preserve"> representa a região ou área de coleta, </w:t>
      </w:r>
      <m:oMath>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t</m:t>
            </m:r>
          </m:sub>
        </m:sSub>
      </m:oMath>
      <w:r>
        <w:t xml:space="preserve"> são efeitos fixos regionais e </w:t>
      </w:r>
      <m:oMath>
        <m:sSub>
          <m:sSubPr>
            <m:ctrlPr>
              <w:rPr>
                <w:rFonts w:ascii="Cambria Math" w:hAnsi="Cambria Math"/>
              </w:rPr>
            </m:ctrlPr>
          </m:sSubPr>
          <m:e>
            <m:r>
              <w:rPr>
                <w:rFonts w:ascii="Cambria Math" w:eastAsia="Cambria Math" w:hAnsi="Cambria Math" w:cs="Cambria Math"/>
              </w:rPr>
              <m:t>τ</m:t>
            </m:r>
          </m:e>
          <m:sub>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t</m:t>
            </m:r>
          </m:sub>
        </m:sSub>
      </m:oMath>
      <w:r>
        <w:t xml:space="preserve"> são efeitos fixos de tempo. Essa abordagem é útil porque a transmissão de combustíveis pode variar conforme logística, competição, proximidade de refinarias, estrutura tributária estadual e peso regional dos itens no índice. Embora mais exigente em dados, essa estratégia aproxima a pesquisa da literatura internacional recente que explora a heterogeneidade espacial no pass-through de petróleo.</w:t>
      </w:r>
    </w:p>
    <w:p w14:paraId="06C60396" w14:textId="77777777" w:rsidR="00803ECB" w:rsidRDefault="00ED1359">
      <w:pPr>
        <w:pStyle w:val="TextoABNT"/>
      </w:pPr>
      <m:oMathPara>
        <m:oMath>
          <m:r>
            <w:rPr>
              <w:rFonts w:ascii="Cambria Math" w:eastAsia="Cambria Math" w:hAnsi="Cambria Math" w:cs="Cambria Math"/>
            </w:rPr>
            <m:t>Δπ</m:t>
          </m:r>
          <m:r>
            <w:rPr>
              <w:rFonts w:ascii="Cambria Math" w:eastAsia="Cambria Math" w:hAnsi="Cambria Math" w:cs="Cambria Math"/>
            </w:rPr>
            <m:t>,</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τ</m:t>
          </m:r>
          <m:r>
            <w:rPr>
              <w:rFonts w:ascii="Cambria Math" w:eastAsia="Cambria Math" w:hAnsi="Cambria Math" w:cs="Cambria Math"/>
            </w:rPr>
            <m:t>,+</m:t>
          </m:r>
          <m:r>
            <w:rPr>
              <w:rFonts w:ascii="Cambria Math" w:eastAsia="Cambria Math" w:hAnsi="Cambria Math" w:cs="Cambria Math"/>
            </w:rPr>
            <m:t>βs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groupChr>
                <m:groupChrPr>
                  <m:chr m:val="¯"/>
                  <m:ctrlPr>
                    <w:rPr>
                      <w:rFonts w:ascii="Cambria Math" w:hAnsi="Cambria Math"/>
                    </w:rPr>
                  </m:ctrlPr>
                </m:groupChrPr>
                <m:e>
                  <m:r>
                    <w:rPr>
                      <w:rFonts w:ascii="Cambria Math" w:eastAsia="Cambria Math" w:hAnsi="Cambria Math" w:cs="Cambria Math"/>
                    </w:rPr>
                    <m:t>h</m:t>
                  </m:r>
                </m:e>
              </m:groupChr>
            </m:sub>
          </m:sSub>
          <m:r>
            <w:rPr>
              <w:rFonts w:ascii="Cambria Math" w:eastAsia="Cambria Math" w:hAnsi="Cambria Math" w:cs="Cambria Math"/>
            </w:rPr>
            <m:t>W</m:t>
          </m:r>
          <m:r>
            <w:rPr>
              <w:rFonts w:ascii="Cambria Math" w:eastAsia="Cambria Math" w:hAnsi="Cambria Math" w:cs="Cambria Math"/>
            </w:rPr>
            <m:t>,+</m:t>
          </m:r>
          <m:r>
            <w:rPr>
              <w:rFonts w:ascii="Cambria Math" w:eastAsia="Cambria Math" w:hAnsi="Cambria Math" w:cs="Cambria Math"/>
            </w:rPr>
            <m:t>ε</m:t>
          </m:r>
          <m:r>
            <w:rPr>
              <w:rFonts w:ascii="Cambria Math" w:eastAsia="Cambria Math" w:hAnsi="Cambria Math" w:cs="Cambria Math"/>
            </w:rPr>
            <m:t>,</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75844BC9" w14:textId="77777777" w:rsidR="00803ECB" w:rsidRDefault="00ED1359">
      <w:pPr>
        <w:pStyle w:val="SubtituloABNT"/>
      </w:pPr>
      <w:bookmarkStart w:id="13" w:name="_Toc_1_3_0000000011"/>
      <w:r>
        <w:t>Síntese crítica da literatura e contribuição da pesquisa</w:t>
      </w:r>
      <w:bookmarkEnd w:id="13"/>
    </w:p>
    <w:p w14:paraId="6F5C43FF" w14:textId="77777777" w:rsidR="00803ECB" w:rsidRDefault="00ED1359">
      <w:pPr>
        <w:pStyle w:val="TextoABNT"/>
      </w:pPr>
      <w:r>
        <w:t xml:space="preserve">A literatura revisada permite identificar quatro consensos. Primeiro, choques no preço do petróleo podem afetar a inflação, mas a magnitude do efeito depende da origem do choque, do regime macroeconômico, da estrutura energética e da credibilidade da política monetária. Segundo, o repasse tende a ser mais forte em componentes diretamente ligados à energia e aos transportes, o que justifica a análise desagregada do IPCA. Terceiro, em economias abertas, o câmbio é parte indispensável do canal de transmissão, </w:t>
      </w:r>
      <w:r>
        <w:t>pois o preço relevante para a inflação doméstica é o petróleo em moeda nacional. Quarto, no Brasil, a política de preços e a estrutura de refino da Petrobras impedem que o repasse seja tratado como automático.</w:t>
      </w:r>
    </w:p>
    <w:p w14:paraId="41A96FB8" w14:textId="77777777" w:rsidR="00803ECB" w:rsidRDefault="00ED1359">
      <w:pPr>
        <w:pStyle w:val="TextoABNT"/>
      </w:pPr>
      <w:r>
        <w:t>A incorporação das local projections amplia a contribuição potencial da pesquisa porque permite estimar o perfil temporal do repasse de forma flexível. Em vez de restringir a análise a um sistema VAR único, a pesquisa pode estimar respostas diretas horizonte a horizonte, comparar o IPCA geral e o IPCA de transportes, introduzir controles defasados, testar regimes institucionais, instrumentar o preço doméstico do combustível e, eventualmente, explorar a heterogeneidade regional. Essa flexibilidade é compatív</w:t>
      </w:r>
      <w:r>
        <w:t>el com a complexidade institucional do mercado brasileiro de combustíveis.</w:t>
      </w:r>
    </w:p>
    <w:p w14:paraId="1C2FB6D8" w14:textId="77777777" w:rsidR="00803ECB" w:rsidRDefault="00ED1359">
      <w:pPr>
        <w:pStyle w:val="TextoABNT"/>
      </w:pPr>
      <w:r>
        <w:lastRenderedPageBreak/>
        <w:t>A lacuna que permanece na literatura brasileira está na articulação conjunta entre preço internacional do petróleo, câmbio, preço na refinaria, preço ao consumidor e diferentes recortes do IPCA. Muitos estudos tratam petróleo e inflação de forma agregada, enquanto outros discutem a formação dos preços de combustíveis sem estimar detalhadamente a dinâmica temporal do repasse para a inflação. A presente pesquisa se insere exatamente nesse espaço, ao propor uma análise do canal combustíveis como meio de propag</w:t>
      </w:r>
      <w:r>
        <w:t>ação do choque internacional do petróleo para a inflação brasileira, com atenção específica à refinaria da Petrobras como etapa intermediária do mecanismo de transmissão.</w:t>
      </w:r>
    </w:p>
    <w:p w14:paraId="6D863D81" w14:textId="77777777" w:rsidR="00803ECB" w:rsidRDefault="00ED1359">
      <w:pPr>
        <w:pStyle w:val="TextoABNT"/>
      </w:pPr>
      <w:r>
        <w:t>Portanto, a revisão bibliográfica sustenta três hipóteses centrais. A primeira é que choques positivos no preço do petróleo em reais elevam os preços domésticos de combustíveis, mas esse repasse depende do regime de precificação e da política comercial da Petrobras. A segunda é que o impacto sobre o IPCA é mais intenso no grupo de transportes e nos subitens diretamente ligados aos combustíveis do que no índice agregado. A terceira é que há efeitos indiretos relevantes, sobretudo via diesel, custos de transp</w:t>
      </w:r>
      <w:r>
        <w:t>orte, expectativas e bens comercializáveis. Essas hipóteses são coerentes com a literatura internacional e justificam o uso de local projections como estratégia empírica principal.</w:t>
      </w:r>
    </w:p>
    <w:p w14:paraId="51F2712D" w14:textId="77777777" w:rsidR="00803ECB" w:rsidRDefault="00ED1359">
      <w:pPr>
        <w:pStyle w:val="SubtituloABNT"/>
      </w:pPr>
      <w:bookmarkStart w:id="14" w:name="_Toc_1_3_0000000012"/>
      <w:r>
        <w:t>Síntese dos principais modelos incorporados</w:t>
      </w:r>
      <w:bookmarkEnd w:id="14"/>
    </w:p>
    <w:p w14:paraId="5CECBA2A" w14:textId="77777777" w:rsidR="00803ECB" w:rsidRDefault="00ED1359">
      <w:pPr>
        <w:pStyle w:val="TextoABNT"/>
      </w:pPr>
      <w:r>
        <w:t>O Quadro 1 resume os principais modelos discutidos e sua utilidade para o desenho empírico da pesquisa.</w:t>
      </w:r>
    </w:p>
    <w:p w14:paraId="00AECFE7" w14:textId="77777777" w:rsidR="00803ECB" w:rsidRDefault="00ED1359">
      <w:pPr>
        <w:pStyle w:val="LegendaIlustracao"/>
      </w:pPr>
      <w:bookmarkStart w:id="15" w:name="_Toc_1_9_0000000051"/>
      <w:r>
        <w:t xml:space="preserve">Tabela </w:t>
      </w:r>
      <w:r>
        <w:fldChar w:fldCharType="begin"/>
      </w:r>
      <w:r>
        <w:instrText>SEQ Tabela</w:instrText>
      </w:r>
      <w:r>
        <w:fldChar w:fldCharType="separate"/>
      </w:r>
      <w:r>
        <w:t>1</w:t>
      </w:r>
      <w:r>
        <w:fldChar w:fldCharType="end"/>
      </w:r>
      <w:r>
        <w:t xml:space="preserve"> – Resumo dos principais modelos e sua utilidade para o desenho empírico da pesquisa</w:t>
      </w:r>
      <w:bookmarkEnd w:id="15"/>
    </w:p>
    <w:tbl>
      <w:tblPr>
        <w:tblW w:w="5000" w:type="pct"/>
        <w:tblLook w:val="0600" w:firstRow="0" w:lastRow="0" w:firstColumn="0" w:lastColumn="0" w:noHBand="1" w:noVBand="1"/>
      </w:tblPr>
      <w:tblGrid>
        <w:gridCol w:w="1499"/>
        <w:gridCol w:w="3932"/>
        <w:gridCol w:w="3640"/>
      </w:tblGrid>
      <w:tr w:rsidR="00803ECB" w14:paraId="55F11C75" w14:textId="77777777">
        <w:tc>
          <w:tcPr>
            <w:tcW w:w="0" w:type="auto"/>
            <w:tcBorders>
              <w:top w:val="single" w:sz="4" w:space="0" w:color="auto"/>
              <w:bottom w:val="single" w:sz="4" w:space="0" w:color="auto"/>
            </w:tcBorders>
            <w:vAlign w:val="center"/>
          </w:tcPr>
          <w:p w14:paraId="4D6A80F2" w14:textId="77777777" w:rsidR="00803ECB" w:rsidRDefault="00ED1359">
            <w:pPr>
              <w:pStyle w:val="TextoABNT"/>
              <w:ind w:firstLine="0"/>
              <w:rPr>
                <w:rFonts w:eastAsia="Arial" w:cs="Arial"/>
                <w:sz w:val="20"/>
              </w:rPr>
            </w:pPr>
            <w:r>
              <w:rPr>
                <w:rFonts w:eastAsia="Arial" w:cs="Arial"/>
                <w:sz w:val="20"/>
              </w:rPr>
              <w:t>Modelo</w:t>
            </w:r>
          </w:p>
        </w:tc>
        <w:tc>
          <w:tcPr>
            <w:tcW w:w="0" w:type="auto"/>
            <w:tcBorders>
              <w:top w:val="single" w:sz="4" w:space="0" w:color="auto"/>
              <w:bottom w:val="single" w:sz="4" w:space="0" w:color="auto"/>
            </w:tcBorders>
            <w:vAlign w:val="center"/>
          </w:tcPr>
          <w:p w14:paraId="09E1AE51" w14:textId="77777777" w:rsidR="00803ECB" w:rsidRDefault="00ED1359">
            <w:pPr>
              <w:pStyle w:val="TextoABNT"/>
              <w:ind w:firstLine="0"/>
              <w:rPr>
                <w:rFonts w:eastAsia="Arial" w:cs="Arial"/>
                <w:sz w:val="20"/>
              </w:rPr>
            </w:pPr>
            <w:r>
              <w:rPr>
                <w:rFonts w:eastAsia="Arial" w:cs="Arial"/>
                <w:sz w:val="20"/>
              </w:rPr>
              <w:t>Equação-base</w:t>
            </w:r>
          </w:p>
        </w:tc>
        <w:tc>
          <w:tcPr>
            <w:tcW w:w="0" w:type="auto"/>
            <w:tcBorders>
              <w:top w:val="single" w:sz="4" w:space="0" w:color="auto"/>
              <w:bottom w:val="single" w:sz="4" w:space="0" w:color="auto"/>
            </w:tcBorders>
            <w:vAlign w:val="center"/>
          </w:tcPr>
          <w:p w14:paraId="31E915AB" w14:textId="77777777" w:rsidR="00803ECB" w:rsidRDefault="00ED1359">
            <w:pPr>
              <w:pStyle w:val="TextoABNT"/>
              <w:ind w:firstLine="0"/>
              <w:rPr>
                <w:rFonts w:eastAsia="Arial" w:cs="Arial"/>
                <w:sz w:val="20"/>
              </w:rPr>
            </w:pPr>
            <w:r>
              <w:rPr>
                <w:rFonts w:eastAsia="Arial" w:cs="Arial"/>
                <w:sz w:val="20"/>
              </w:rPr>
              <w:t>Utilidade para o trabalho</w:t>
            </w:r>
          </w:p>
        </w:tc>
      </w:tr>
      <w:tr w:rsidR="00803ECB" w14:paraId="3A551EEA" w14:textId="77777777">
        <w:tc>
          <w:tcPr>
            <w:tcW w:w="0" w:type="auto"/>
            <w:tcBorders>
              <w:top w:val="single" w:sz="4" w:space="0" w:color="auto"/>
            </w:tcBorders>
            <w:vAlign w:val="center"/>
          </w:tcPr>
          <w:p w14:paraId="1DDD9E74" w14:textId="77777777" w:rsidR="00803ECB" w:rsidRDefault="00ED1359">
            <w:pPr>
              <w:pStyle w:val="TextoABNT"/>
              <w:ind w:firstLine="0"/>
              <w:rPr>
                <w:rFonts w:eastAsia="Arial" w:cs="Arial"/>
                <w:sz w:val="20"/>
              </w:rPr>
            </w:pPr>
            <w:r>
              <w:rPr>
                <w:rFonts w:eastAsia="Arial" w:cs="Arial"/>
                <w:sz w:val="20"/>
              </w:rPr>
              <w:t>Choque de petróleo de Hamilton</w:t>
            </w:r>
          </w:p>
        </w:tc>
        <w:tc>
          <w:tcPr>
            <w:tcW w:w="0" w:type="auto"/>
            <w:tcBorders>
              <w:top w:val="single" w:sz="4" w:space="0" w:color="auto"/>
            </w:tcBorders>
            <w:vAlign w:val="center"/>
          </w:tcPr>
          <w:p w14:paraId="5A149BD6" w14:textId="77777777" w:rsidR="00803ECB" w:rsidRDefault="00ED1359">
            <w:pPr>
              <w:pStyle w:val="TextoABNT"/>
              <w:ind w:firstLine="0"/>
              <w:rPr>
                <w:rFonts w:eastAsia="Arial" w:cs="Arial"/>
                <w:sz w:val="20"/>
              </w:rPr>
            </w:pPr>
            <w:r>
              <w:rPr>
                <w:rFonts w:eastAsia="Arial" w:cs="Arial"/>
                <w:sz w:val="20"/>
              </w:rPr>
              <w:t>NOPIₜ = max{0, ln(Pₜₜⁱₜ) - max ln(Pₜ₋ₜ^oil)}</w:t>
            </w:r>
          </w:p>
        </w:tc>
        <w:tc>
          <w:tcPr>
            <w:tcW w:w="0" w:type="auto"/>
            <w:tcBorders>
              <w:top w:val="single" w:sz="4" w:space="0" w:color="auto"/>
            </w:tcBorders>
            <w:vAlign w:val="center"/>
          </w:tcPr>
          <w:p w14:paraId="63AB3675" w14:textId="77777777" w:rsidR="00803ECB" w:rsidRDefault="00ED1359">
            <w:pPr>
              <w:pStyle w:val="TextoABNT"/>
              <w:ind w:firstLine="0"/>
              <w:rPr>
                <w:rFonts w:eastAsia="Arial" w:cs="Arial"/>
                <w:sz w:val="20"/>
              </w:rPr>
            </w:pPr>
            <w:r>
              <w:rPr>
                <w:rFonts w:eastAsia="Arial" w:cs="Arial"/>
                <w:sz w:val="20"/>
              </w:rPr>
              <w:t>Mede choques relevantes como aumentos acima do pico recente.</w:t>
            </w:r>
          </w:p>
        </w:tc>
      </w:tr>
      <w:tr w:rsidR="00803ECB" w14:paraId="7A371CF6" w14:textId="77777777">
        <w:tc>
          <w:tcPr>
            <w:tcW w:w="0" w:type="auto"/>
            <w:vAlign w:val="center"/>
          </w:tcPr>
          <w:p w14:paraId="6E8FCCE0" w14:textId="77777777" w:rsidR="00803ECB" w:rsidRDefault="00ED1359">
            <w:pPr>
              <w:pStyle w:val="TextoABNT"/>
              <w:ind w:firstLine="0"/>
              <w:rPr>
                <w:rFonts w:eastAsia="Arial" w:cs="Arial"/>
                <w:sz w:val="20"/>
              </w:rPr>
            </w:pPr>
            <w:r>
              <w:rPr>
                <w:rFonts w:eastAsia="Arial" w:cs="Arial"/>
                <w:sz w:val="20"/>
              </w:rPr>
              <w:t>SVAR de Kilian</w:t>
            </w:r>
          </w:p>
        </w:tc>
        <w:tc>
          <w:tcPr>
            <w:tcW w:w="0" w:type="auto"/>
            <w:vAlign w:val="center"/>
          </w:tcPr>
          <w:p w14:paraId="1DB38D5C" w14:textId="77777777" w:rsidR="00803ECB" w:rsidRDefault="00ED1359">
            <w:pPr>
              <w:pStyle w:val="TextoABNT"/>
              <w:ind w:firstLine="0"/>
              <w:rPr>
                <w:rFonts w:eastAsia="Arial" w:cs="Arial"/>
                <w:sz w:val="20"/>
              </w:rPr>
            </w:pPr>
            <w:r>
              <w:rPr>
                <w:rFonts w:eastAsia="Arial" w:cs="Arial"/>
                <w:sz w:val="20"/>
              </w:rPr>
              <w:t>A₀ yₜ = α + Σ Aₜ yₜ₋ₜ + εₜ</w:t>
            </w:r>
          </w:p>
        </w:tc>
        <w:tc>
          <w:tcPr>
            <w:tcW w:w="0" w:type="auto"/>
            <w:vAlign w:val="center"/>
          </w:tcPr>
          <w:p w14:paraId="0C42D020" w14:textId="77777777" w:rsidR="00803ECB" w:rsidRDefault="00ED1359">
            <w:pPr>
              <w:pStyle w:val="TextoABNT"/>
              <w:ind w:firstLine="0"/>
              <w:rPr>
                <w:rFonts w:eastAsia="Arial" w:cs="Arial"/>
                <w:sz w:val="20"/>
              </w:rPr>
            </w:pPr>
            <w:r>
              <w:rPr>
                <w:rFonts w:eastAsia="Arial" w:cs="Arial"/>
                <w:sz w:val="20"/>
              </w:rPr>
              <w:t>Distingue choques de oferta, demanda global e demanda específica por petróleo.</w:t>
            </w:r>
          </w:p>
        </w:tc>
      </w:tr>
      <w:tr w:rsidR="00803ECB" w14:paraId="271D2615" w14:textId="77777777">
        <w:tc>
          <w:tcPr>
            <w:tcW w:w="0" w:type="auto"/>
            <w:vAlign w:val="center"/>
          </w:tcPr>
          <w:p w14:paraId="2F5EF231" w14:textId="77777777" w:rsidR="00803ECB" w:rsidRDefault="00ED1359">
            <w:pPr>
              <w:pStyle w:val="TextoABNT"/>
              <w:ind w:firstLine="0"/>
              <w:rPr>
                <w:rFonts w:eastAsia="Arial" w:cs="Arial"/>
                <w:sz w:val="20"/>
              </w:rPr>
            </w:pPr>
            <w:r>
              <w:rPr>
                <w:rFonts w:eastAsia="Arial" w:cs="Arial"/>
                <w:sz w:val="20"/>
              </w:rPr>
              <w:t>Curva de Phillips aberta</w:t>
            </w:r>
          </w:p>
        </w:tc>
        <w:tc>
          <w:tcPr>
            <w:tcW w:w="0" w:type="auto"/>
            <w:vAlign w:val="center"/>
          </w:tcPr>
          <w:p w14:paraId="687E2022" w14:textId="77777777" w:rsidR="00803ECB" w:rsidRDefault="00ED1359">
            <w:pPr>
              <w:pStyle w:val="TextoABNT"/>
              <w:ind w:firstLine="0"/>
              <w:rPr>
                <w:rFonts w:eastAsia="Arial" w:cs="Arial"/>
                <w:sz w:val="20"/>
              </w:rPr>
            </w:pPr>
            <w:r>
              <w:rPr>
                <w:rFonts w:eastAsia="Arial" w:cs="Arial"/>
                <w:sz w:val="20"/>
              </w:rPr>
              <w:t>πₜ = α + β₁Eₜπₜ₊₁ + β₂πₜ₋₁ + β₃yₜ + β₄zₜ + uₜ</w:t>
            </w:r>
          </w:p>
        </w:tc>
        <w:tc>
          <w:tcPr>
            <w:tcW w:w="0" w:type="auto"/>
            <w:vAlign w:val="center"/>
          </w:tcPr>
          <w:p w14:paraId="49A3AC7D" w14:textId="77777777" w:rsidR="00803ECB" w:rsidRDefault="00ED1359">
            <w:pPr>
              <w:pStyle w:val="TextoABNT"/>
              <w:ind w:firstLine="0"/>
              <w:rPr>
                <w:rFonts w:eastAsia="Arial" w:cs="Arial"/>
                <w:sz w:val="20"/>
              </w:rPr>
            </w:pPr>
            <w:r>
              <w:rPr>
                <w:rFonts w:eastAsia="Arial" w:cs="Arial"/>
                <w:sz w:val="20"/>
              </w:rPr>
              <w:t>Integra câmbio, petróleo, expectativas e hiato na inflação doméstica.</w:t>
            </w:r>
          </w:p>
        </w:tc>
      </w:tr>
      <w:tr w:rsidR="00803ECB" w14:paraId="3BAA0487" w14:textId="77777777">
        <w:tc>
          <w:tcPr>
            <w:tcW w:w="0" w:type="auto"/>
            <w:vAlign w:val="center"/>
          </w:tcPr>
          <w:p w14:paraId="244AB1F9" w14:textId="77777777" w:rsidR="00803ECB" w:rsidRDefault="00ED1359">
            <w:pPr>
              <w:pStyle w:val="TextoABNT"/>
              <w:ind w:firstLine="0"/>
              <w:rPr>
                <w:rFonts w:eastAsia="Arial" w:cs="Arial"/>
                <w:sz w:val="20"/>
              </w:rPr>
            </w:pPr>
            <w:r>
              <w:rPr>
                <w:rFonts w:eastAsia="Arial" w:cs="Arial"/>
                <w:sz w:val="20"/>
              </w:rPr>
              <w:t>Modelo VAR de Sims</w:t>
            </w:r>
          </w:p>
        </w:tc>
        <w:tc>
          <w:tcPr>
            <w:tcW w:w="0" w:type="auto"/>
            <w:vAlign w:val="center"/>
          </w:tcPr>
          <w:p w14:paraId="609A55BA" w14:textId="77777777" w:rsidR="00803ECB" w:rsidRDefault="00ED1359">
            <w:pPr>
              <w:pStyle w:val="TextoABNT"/>
              <w:ind w:firstLine="0"/>
              <w:rPr>
                <w:rFonts w:eastAsia="Arial" w:cs="Arial"/>
                <w:sz w:val="20"/>
              </w:rPr>
            </w:pPr>
            <w:r>
              <w:rPr>
                <w:rFonts w:eastAsia="Arial" w:cs="Arial"/>
                <w:sz w:val="20"/>
              </w:rPr>
              <w:t>Yₜ = c + Σₜ₌₁ₜ AₜYₜ₋ₜ + BXₜ + uₜ; IRFₜ(h) = Ψₜeₜ</w:t>
            </w:r>
          </w:p>
        </w:tc>
        <w:tc>
          <w:tcPr>
            <w:tcW w:w="0" w:type="auto"/>
            <w:vAlign w:val="center"/>
          </w:tcPr>
          <w:p w14:paraId="1BD7AA39" w14:textId="77777777" w:rsidR="00803ECB" w:rsidRDefault="00ED1359">
            <w:pPr>
              <w:pStyle w:val="TextoABNT"/>
              <w:ind w:firstLine="0"/>
              <w:rPr>
                <w:rFonts w:eastAsia="Arial" w:cs="Arial"/>
                <w:sz w:val="20"/>
              </w:rPr>
            </w:pPr>
            <w:r>
              <w:rPr>
                <w:rFonts w:eastAsia="Arial" w:cs="Arial"/>
                <w:sz w:val="20"/>
              </w:rPr>
              <w:t>Serve como referência tradicional para respostas dinâmicas e como robustez ao modelo principal de local projections.</w:t>
            </w:r>
          </w:p>
        </w:tc>
      </w:tr>
      <w:tr w:rsidR="00803ECB" w14:paraId="42022979" w14:textId="77777777">
        <w:tc>
          <w:tcPr>
            <w:tcW w:w="0" w:type="auto"/>
            <w:vAlign w:val="center"/>
          </w:tcPr>
          <w:p w14:paraId="047C9540" w14:textId="77777777" w:rsidR="00803ECB" w:rsidRDefault="00ED1359">
            <w:pPr>
              <w:pStyle w:val="TextoABNT"/>
              <w:ind w:firstLine="0"/>
              <w:rPr>
                <w:rFonts w:eastAsia="Arial" w:cs="Arial"/>
                <w:sz w:val="20"/>
              </w:rPr>
            </w:pPr>
            <w:r>
              <w:rPr>
                <w:rFonts w:eastAsia="Arial" w:cs="Arial"/>
                <w:sz w:val="20"/>
              </w:rPr>
              <w:lastRenderedPageBreak/>
              <w:t>Local projection linear</w:t>
            </w:r>
          </w:p>
        </w:tc>
        <w:tc>
          <w:tcPr>
            <w:tcW w:w="0" w:type="auto"/>
            <w:vAlign w:val="center"/>
          </w:tcPr>
          <w:p w14:paraId="3A76626F" w14:textId="77777777" w:rsidR="00803ECB" w:rsidRDefault="00ED1359">
            <w:pPr>
              <w:pStyle w:val="TextoABNT"/>
              <w:ind w:firstLine="0"/>
              <w:rPr>
                <w:rFonts w:eastAsia="Arial" w:cs="Arial"/>
                <w:sz w:val="20"/>
              </w:rPr>
            </w:pPr>
            <w:r>
              <w:rPr>
                <w:rFonts w:eastAsia="Arial" w:cs="Arial"/>
                <w:sz w:val="20"/>
              </w:rPr>
              <w:t>yₜ₊ₜ - yₜ₋₁ = αₜ + βₜxₜ + Γ_hW_t + u_{t+h}</w:t>
            </w:r>
          </w:p>
        </w:tc>
        <w:tc>
          <w:tcPr>
            <w:tcW w:w="0" w:type="auto"/>
            <w:vAlign w:val="center"/>
          </w:tcPr>
          <w:p w14:paraId="6AAB2047" w14:textId="77777777" w:rsidR="00803ECB" w:rsidRDefault="00ED1359">
            <w:pPr>
              <w:pStyle w:val="TextoABNT"/>
              <w:ind w:firstLine="0"/>
              <w:rPr>
                <w:rFonts w:eastAsia="Arial" w:cs="Arial"/>
                <w:sz w:val="20"/>
              </w:rPr>
            </w:pPr>
            <w:r>
              <w:rPr>
                <w:rFonts w:eastAsia="Arial" w:cs="Arial"/>
                <w:sz w:val="20"/>
              </w:rPr>
              <w:t>Estima diretamente a resposta do IPCA e dos combustíveis em cada horizonte.</w:t>
            </w:r>
          </w:p>
        </w:tc>
      </w:tr>
      <w:tr w:rsidR="00803ECB" w14:paraId="2A7F9A42" w14:textId="77777777">
        <w:tc>
          <w:tcPr>
            <w:tcW w:w="0" w:type="auto"/>
            <w:vAlign w:val="center"/>
          </w:tcPr>
          <w:p w14:paraId="67FDCD16" w14:textId="77777777" w:rsidR="00803ECB" w:rsidRDefault="00ED1359">
            <w:pPr>
              <w:pStyle w:val="TextoABNT"/>
              <w:ind w:firstLine="0"/>
              <w:rPr>
                <w:rFonts w:eastAsia="Arial" w:cs="Arial"/>
                <w:sz w:val="20"/>
              </w:rPr>
            </w:pPr>
            <w:r>
              <w:rPr>
                <w:rFonts w:eastAsia="Arial" w:cs="Arial"/>
                <w:sz w:val="20"/>
              </w:rPr>
              <w:t>LP-IV</w:t>
            </w:r>
          </w:p>
        </w:tc>
        <w:tc>
          <w:tcPr>
            <w:tcW w:w="0" w:type="auto"/>
            <w:vAlign w:val="center"/>
          </w:tcPr>
          <w:p w14:paraId="0EB1C5CC" w14:textId="77777777" w:rsidR="00803ECB" w:rsidRDefault="00ED1359">
            <w:pPr>
              <w:pStyle w:val="TextoABNT"/>
              <w:ind w:firstLine="0"/>
              <w:rPr>
                <w:rFonts w:eastAsia="Arial" w:cs="Arial"/>
                <w:sz w:val="20"/>
              </w:rPr>
            </w:pPr>
            <w:r>
              <w:rPr>
                <w:rFonts w:eastAsia="Arial" w:cs="Arial"/>
                <w:sz w:val="20"/>
              </w:rPr>
              <w:t>xₜ = πzₜ + ΛW_t + νₜ; yₜ₊ₜ = αₜ + βₜxₜₜ + Γ_hW_t + εₜ</w:t>
            </w:r>
          </w:p>
        </w:tc>
        <w:tc>
          <w:tcPr>
            <w:tcW w:w="0" w:type="auto"/>
            <w:vAlign w:val="center"/>
          </w:tcPr>
          <w:p w14:paraId="54FDDFCD" w14:textId="77777777" w:rsidR="00803ECB" w:rsidRDefault="00ED1359">
            <w:pPr>
              <w:pStyle w:val="TextoABNT"/>
              <w:ind w:firstLine="0"/>
              <w:rPr>
                <w:rFonts w:eastAsia="Arial" w:cs="Arial"/>
                <w:sz w:val="20"/>
              </w:rPr>
            </w:pPr>
            <w:r>
              <w:rPr>
                <w:rFonts w:eastAsia="Arial" w:cs="Arial"/>
                <w:sz w:val="20"/>
              </w:rPr>
              <w:t>Permite tratar endogeneidade do preço doméstico dos combustíveis.</w:t>
            </w:r>
          </w:p>
        </w:tc>
      </w:tr>
      <w:tr w:rsidR="00803ECB" w14:paraId="2F0ACB3C" w14:textId="77777777">
        <w:tc>
          <w:tcPr>
            <w:tcW w:w="0" w:type="auto"/>
            <w:vAlign w:val="center"/>
          </w:tcPr>
          <w:p w14:paraId="7C4DA732" w14:textId="77777777" w:rsidR="00803ECB" w:rsidRDefault="00ED1359">
            <w:pPr>
              <w:pStyle w:val="TextoABNT"/>
              <w:ind w:firstLine="0"/>
              <w:rPr>
                <w:rFonts w:eastAsia="Arial" w:cs="Arial"/>
                <w:sz w:val="20"/>
              </w:rPr>
            </w:pPr>
            <w:r>
              <w:rPr>
                <w:rFonts w:eastAsia="Arial" w:cs="Arial"/>
                <w:sz w:val="20"/>
              </w:rPr>
              <w:t>State-dependent LP</w:t>
            </w:r>
          </w:p>
        </w:tc>
        <w:tc>
          <w:tcPr>
            <w:tcW w:w="0" w:type="auto"/>
            <w:vAlign w:val="center"/>
          </w:tcPr>
          <w:p w14:paraId="4A142578" w14:textId="77777777" w:rsidR="00803ECB" w:rsidRDefault="00ED1359">
            <w:pPr>
              <w:pStyle w:val="TextoABNT"/>
              <w:ind w:firstLine="0"/>
              <w:rPr>
                <w:rFonts w:eastAsia="Arial" w:cs="Arial"/>
                <w:sz w:val="20"/>
              </w:rPr>
            </w:pPr>
            <w:r>
              <w:rPr>
                <w:rFonts w:eastAsia="Arial" w:cs="Arial"/>
                <w:sz w:val="20"/>
              </w:rPr>
              <w:t>βₜ</w:t>
            </w:r>
            <w:r>
              <w:rPr>
                <w:rFonts w:eastAsia="Arial" w:cs="Arial"/>
                <w:i/>
                <w:sz w:val="20"/>
              </w:rPr>
              <w:t>L(1-F(s))xₜ + βₜ</w:t>
            </w:r>
            <w:r>
              <w:rPr>
                <w:rFonts w:eastAsia="Arial" w:cs="Arial"/>
                <w:sz w:val="20"/>
              </w:rPr>
              <w:t>HF(s)xₜ</w:t>
            </w:r>
          </w:p>
        </w:tc>
        <w:tc>
          <w:tcPr>
            <w:tcW w:w="0" w:type="auto"/>
            <w:vAlign w:val="center"/>
          </w:tcPr>
          <w:p w14:paraId="01EE53A0" w14:textId="77777777" w:rsidR="00803ECB" w:rsidRDefault="00ED1359">
            <w:pPr>
              <w:pStyle w:val="TextoABNT"/>
              <w:ind w:firstLine="0"/>
              <w:rPr>
                <w:rFonts w:eastAsia="Arial" w:cs="Arial"/>
                <w:sz w:val="20"/>
              </w:rPr>
            </w:pPr>
            <w:r>
              <w:rPr>
                <w:rFonts w:eastAsia="Arial" w:cs="Arial"/>
                <w:sz w:val="20"/>
              </w:rPr>
              <w:t>Compara repasse por regimes, como mudanças na política da Petrobras.</w:t>
            </w:r>
          </w:p>
        </w:tc>
      </w:tr>
      <w:tr w:rsidR="00803ECB" w14:paraId="35DDA9BC" w14:textId="77777777">
        <w:tc>
          <w:tcPr>
            <w:tcW w:w="0" w:type="auto"/>
            <w:vAlign w:val="center"/>
          </w:tcPr>
          <w:p w14:paraId="4C2399C9" w14:textId="77777777" w:rsidR="00803ECB" w:rsidRDefault="00ED1359">
            <w:pPr>
              <w:pStyle w:val="TextoABNT"/>
              <w:ind w:firstLine="0"/>
              <w:rPr>
                <w:rFonts w:eastAsia="Arial" w:cs="Arial"/>
                <w:sz w:val="20"/>
              </w:rPr>
            </w:pPr>
            <w:r>
              <w:rPr>
                <w:rFonts w:eastAsia="Arial" w:cs="Arial"/>
                <w:sz w:val="20"/>
              </w:rPr>
              <w:t>Smooth/Bayesian LP</w:t>
            </w:r>
          </w:p>
        </w:tc>
        <w:tc>
          <w:tcPr>
            <w:tcW w:w="0" w:type="auto"/>
            <w:vAlign w:val="center"/>
          </w:tcPr>
          <w:p w14:paraId="0CCF8E76" w14:textId="77777777" w:rsidR="00803ECB" w:rsidRDefault="00ED1359">
            <w:pPr>
              <w:pStyle w:val="TextoABNT"/>
              <w:ind w:firstLine="0"/>
              <w:rPr>
                <w:rFonts w:eastAsia="Arial" w:cs="Arial"/>
                <w:sz w:val="20"/>
              </w:rPr>
            </w:pPr>
            <w:r>
              <w:rPr>
                <w:rFonts w:eastAsia="Arial" w:cs="Arial"/>
                <w:sz w:val="20"/>
              </w:rPr>
              <w:t>β(h)=ΣbₜBₜ(h); θₜ~N(μₜ,Ωₜ)</w:t>
            </w:r>
          </w:p>
        </w:tc>
        <w:tc>
          <w:tcPr>
            <w:tcW w:w="0" w:type="auto"/>
            <w:vAlign w:val="center"/>
          </w:tcPr>
          <w:p w14:paraId="11990190" w14:textId="77777777" w:rsidR="00803ECB" w:rsidRDefault="00ED1359">
            <w:pPr>
              <w:pStyle w:val="TextoABNT"/>
              <w:ind w:firstLine="0"/>
              <w:rPr>
                <w:rFonts w:eastAsia="Arial" w:cs="Arial"/>
                <w:sz w:val="20"/>
              </w:rPr>
            </w:pPr>
            <w:r>
              <w:rPr>
                <w:rFonts w:eastAsia="Arial" w:cs="Arial"/>
                <w:sz w:val="20"/>
              </w:rPr>
              <w:t>Reduz ruído das respostas em amostras curtas e horizontes longos.</w:t>
            </w:r>
          </w:p>
        </w:tc>
      </w:tr>
      <w:tr w:rsidR="00803ECB" w14:paraId="6B4CA3F7" w14:textId="77777777">
        <w:tc>
          <w:tcPr>
            <w:tcW w:w="0" w:type="auto"/>
            <w:tcBorders>
              <w:bottom w:val="single" w:sz="4" w:space="0" w:color="auto"/>
            </w:tcBorders>
            <w:vAlign w:val="center"/>
          </w:tcPr>
          <w:p w14:paraId="13C56286" w14:textId="77777777" w:rsidR="00803ECB" w:rsidRDefault="00ED1359">
            <w:pPr>
              <w:pStyle w:val="TextoABNT"/>
              <w:ind w:firstLine="0"/>
              <w:rPr>
                <w:rFonts w:eastAsia="Arial" w:cs="Arial"/>
                <w:sz w:val="20"/>
              </w:rPr>
            </w:pPr>
            <w:r>
              <w:rPr>
                <w:rFonts w:eastAsia="Arial" w:cs="Arial"/>
                <w:sz w:val="20"/>
              </w:rPr>
              <w:t>Panel LP</w:t>
            </w:r>
          </w:p>
        </w:tc>
        <w:tc>
          <w:tcPr>
            <w:tcW w:w="0" w:type="auto"/>
            <w:tcBorders>
              <w:bottom w:val="single" w:sz="4" w:space="0" w:color="auto"/>
            </w:tcBorders>
            <w:vAlign w:val="center"/>
          </w:tcPr>
          <w:p w14:paraId="16615E43" w14:textId="77777777" w:rsidR="00803ECB" w:rsidRDefault="00ED1359">
            <w:pPr>
              <w:pStyle w:val="TextoABNT"/>
              <w:ind w:firstLine="0"/>
              <w:rPr>
                <w:rFonts w:eastAsia="Arial" w:cs="Arial"/>
                <w:sz w:val="20"/>
              </w:rPr>
            </w:pPr>
            <w:r>
              <w:rPr>
                <w:rFonts w:eastAsia="Arial" w:cs="Arial"/>
                <w:sz w:val="20"/>
              </w:rPr>
              <w:t>Δₜπₜ,ₜ₊ₜ=α_r+τ_t+βₜshock_{r,t}+Γ_hWₜ,ₜ +ε</w:t>
            </w:r>
          </w:p>
        </w:tc>
        <w:tc>
          <w:tcPr>
            <w:tcW w:w="0" w:type="auto"/>
            <w:tcBorders>
              <w:bottom w:val="single" w:sz="4" w:space="0" w:color="auto"/>
            </w:tcBorders>
            <w:vAlign w:val="center"/>
          </w:tcPr>
          <w:p w14:paraId="3069F0EE" w14:textId="77777777" w:rsidR="00803ECB" w:rsidRDefault="00ED1359">
            <w:pPr>
              <w:pStyle w:val="TextoABNT"/>
              <w:ind w:firstLine="0"/>
              <w:rPr>
                <w:rFonts w:eastAsia="Arial" w:cs="Arial"/>
                <w:sz w:val="20"/>
              </w:rPr>
            </w:pPr>
            <w:r>
              <w:rPr>
                <w:rFonts w:eastAsia="Arial" w:cs="Arial"/>
                <w:sz w:val="20"/>
              </w:rPr>
              <w:t>Explora heterogeneidade regional do IPCA e dos combustíveis.</w:t>
            </w:r>
          </w:p>
        </w:tc>
      </w:tr>
    </w:tbl>
    <w:p w14:paraId="763B1BD6" w14:textId="77777777" w:rsidR="00803ECB" w:rsidRDefault="00ED1359">
      <w:pPr>
        <w:pStyle w:val="FonteFigura"/>
        <w:jc w:val="center"/>
      </w:pPr>
      <w:r>
        <w:t>Fonte: Elaboração própria com base na literatura revisada.</w:t>
      </w:r>
    </w:p>
    <w:p w14:paraId="54A7CA2A" w14:textId="77777777" w:rsidR="00803ECB" w:rsidRDefault="00ED1359">
      <w:pPr>
        <w:pStyle w:val="TituloABNT"/>
        <w:pageBreakBefore/>
      </w:pPr>
      <w:bookmarkStart w:id="16" w:name="_Toc_1_3_0000000013"/>
      <w:r>
        <w:lastRenderedPageBreak/>
        <w:t>METODOLOGIA</w:t>
      </w:r>
      <w:bookmarkEnd w:id="16"/>
    </w:p>
    <w:p w14:paraId="44039CFA" w14:textId="77777777" w:rsidR="00803ECB" w:rsidRDefault="00ED1359">
      <w:pPr>
        <w:pStyle w:val="TextoABNT"/>
      </w:pPr>
      <w:r>
        <w:t xml:space="preserve">Esta seção descreve a estratégia empírica utilizada para analisar a transmissão de choques no preço internacional do petróleo para os preços domésticos dos combustíveis e para a inflação brasileira. A metodologia foi organizada para separar o mecanismo de transmissão em etapas. Primeiro, avalia-se se o petróleo afeta os combustíveis domésticos. Em seguida, estima-se se os combustíveis afetam o IPCA Transportes e o IPCA Geral. Por fim, verifica-se se o efeito do petróleo sobre a inflação se mantém quando os </w:t>
      </w:r>
      <w:r>
        <w:t>combustíveis são incluídos como canais de transmissão.</w:t>
      </w:r>
    </w:p>
    <w:p w14:paraId="59A9F5FD" w14:textId="77777777" w:rsidR="00803ECB" w:rsidRDefault="00ED1359">
      <w:pPr>
        <w:pStyle w:val="TextoABNT"/>
      </w:pPr>
      <w:r>
        <w:t>O modelo principal do trabalho é estimado por Local Projections, pois esse método permite calcular diretamente a resposta da variável dependente em diferentes horizontes após um choque. Como exercício de robustez, utiliza-se o modelo VAR, que representa uma especificação multivariada complementar. O VAR não substitui as Local Projections, mas permite avaliar se os sinais centrais encontrados no modelo principal permanecem consistentes em um sistema dinâmico no qual as variáveis interagem conjuntamente.</w:t>
      </w:r>
    </w:p>
    <w:p w14:paraId="684EDC93" w14:textId="77777777" w:rsidR="00803ECB" w:rsidRDefault="00ED1359">
      <w:pPr>
        <w:pStyle w:val="SubtituloABNT"/>
      </w:pPr>
      <w:bookmarkStart w:id="17" w:name="_Toc_1_3_0000000014"/>
      <w:r>
        <w:t>Base de dados, frequência e amostra</w:t>
      </w:r>
      <w:bookmarkEnd w:id="17"/>
    </w:p>
    <w:p w14:paraId="3470E24C" w14:textId="77777777" w:rsidR="00803ECB" w:rsidRDefault="00ED1359">
      <w:pPr>
        <w:pStyle w:val="TextoABNT"/>
      </w:pPr>
      <w:r>
        <w:t>A base de dados possui frequência mensal e cobre o período de 2003 a 2026. A escolha desse intervalo decorre da disponibilidade das séries macroeconômicas utilizadas como controles e da necessidade de compatibilizar preços internacionais, câmbio, combustíveis, atividade econômica, política monetária, expectativas e índices de preços em uma mesma frequência.</w:t>
      </w:r>
    </w:p>
    <w:p w14:paraId="69A650DA" w14:textId="77777777" w:rsidR="00803ECB" w:rsidRDefault="00ED1359">
      <w:pPr>
        <w:pStyle w:val="TextoABNT"/>
      </w:pPr>
      <w:r>
        <w:t>As principais variáveis utilizadas são o preço internacional do petróleo, a taxa de câmbio nominal, os preços domésticos da gasolina, do etanol e do óleo diesel, o preço da gasolina na refinaria, o IPCA Geral, o IPCA Transportes, a atividade econômica, a meta Selic, as expectativas de inflação e o índice de restrição associado à pandemia, usado como controle para o período da Covid-19.</w:t>
      </w:r>
    </w:p>
    <w:p w14:paraId="2C78B3D5" w14:textId="77777777" w:rsidR="00803ECB" w:rsidRDefault="00ED1359">
      <w:pPr>
        <w:pStyle w:val="TextoABNT"/>
      </w:pPr>
      <w:r>
        <w:rPr>
          <w:b/>
        </w:rPr>
        <w:t>Quadro 1 - Variáveis utilizadas na estimação</w:t>
      </w:r>
    </w:p>
    <w:p w14:paraId="2D97B6CA" w14:textId="77777777" w:rsidR="00803ECB" w:rsidRDefault="00ED1359">
      <w:pPr>
        <w:pStyle w:val="LegendaIlustracao"/>
      </w:pPr>
      <w:bookmarkStart w:id="18" w:name="_Toc_1_9_0000000052"/>
      <w:r>
        <w:t xml:space="preserve">Tabela </w:t>
      </w:r>
      <w:r>
        <w:fldChar w:fldCharType="begin"/>
      </w:r>
      <w:r>
        <w:instrText>SEQ Tabela</w:instrText>
      </w:r>
      <w:r>
        <w:fldChar w:fldCharType="separate"/>
      </w:r>
      <w:r>
        <w:t>2</w:t>
      </w:r>
      <w:r>
        <w:fldChar w:fldCharType="end"/>
      </w:r>
      <w:r>
        <w:t xml:space="preserve"> – Variáveis utilizadas na estimação</w:t>
      </w:r>
      <w:bookmarkEnd w:id="18"/>
    </w:p>
    <w:tbl>
      <w:tblPr>
        <w:tblW w:w="5000" w:type="pct"/>
        <w:tblLook w:val="0600" w:firstRow="0" w:lastRow="0" w:firstColumn="0" w:lastColumn="0" w:noHBand="1" w:noVBand="1"/>
      </w:tblPr>
      <w:tblGrid>
        <w:gridCol w:w="2230"/>
        <w:gridCol w:w="3555"/>
        <w:gridCol w:w="3286"/>
      </w:tblGrid>
      <w:tr w:rsidR="00803ECB" w14:paraId="67BBF508" w14:textId="77777777">
        <w:tc>
          <w:tcPr>
            <w:tcW w:w="0" w:type="auto"/>
            <w:tcBorders>
              <w:top w:val="single" w:sz="4" w:space="0" w:color="auto"/>
              <w:bottom w:val="single" w:sz="4" w:space="0" w:color="auto"/>
            </w:tcBorders>
            <w:vAlign w:val="center"/>
          </w:tcPr>
          <w:p w14:paraId="304C3701" w14:textId="77777777" w:rsidR="00803ECB" w:rsidRDefault="00ED1359">
            <w:pPr>
              <w:pStyle w:val="TextoABNT"/>
              <w:ind w:firstLine="0"/>
              <w:rPr>
                <w:rFonts w:eastAsia="Arial" w:cs="Arial"/>
                <w:sz w:val="20"/>
              </w:rPr>
            </w:pPr>
            <w:r>
              <w:rPr>
                <w:rFonts w:eastAsia="Arial" w:cs="Arial"/>
                <w:sz w:val="20"/>
              </w:rPr>
              <w:t>Variável</w:t>
            </w:r>
          </w:p>
        </w:tc>
        <w:tc>
          <w:tcPr>
            <w:tcW w:w="0" w:type="auto"/>
            <w:tcBorders>
              <w:top w:val="single" w:sz="4" w:space="0" w:color="auto"/>
              <w:bottom w:val="single" w:sz="4" w:space="0" w:color="auto"/>
            </w:tcBorders>
            <w:vAlign w:val="center"/>
          </w:tcPr>
          <w:p w14:paraId="76E6F01C" w14:textId="77777777" w:rsidR="00803ECB" w:rsidRDefault="00ED1359">
            <w:pPr>
              <w:pStyle w:val="TextoABNT"/>
              <w:ind w:firstLine="0"/>
              <w:rPr>
                <w:rFonts w:eastAsia="Arial" w:cs="Arial"/>
                <w:sz w:val="20"/>
              </w:rPr>
            </w:pPr>
            <w:r>
              <w:rPr>
                <w:rFonts w:eastAsia="Arial" w:cs="Arial"/>
                <w:sz w:val="20"/>
              </w:rPr>
              <w:t>Papel no modelo</w:t>
            </w:r>
          </w:p>
        </w:tc>
        <w:tc>
          <w:tcPr>
            <w:tcW w:w="0" w:type="auto"/>
            <w:tcBorders>
              <w:top w:val="single" w:sz="4" w:space="0" w:color="auto"/>
              <w:bottom w:val="single" w:sz="4" w:space="0" w:color="auto"/>
            </w:tcBorders>
            <w:vAlign w:val="center"/>
          </w:tcPr>
          <w:p w14:paraId="14965EB5" w14:textId="77777777" w:rsidR="00803ECB" w:rsidRDefault="00ED1359">
            <w:pPr>
              <w:pStyle w:val="TextoABNT"/>
              <w:ind w:firstLine="0"/>
              <w:rPr>
                <w:rFonts w:eastAsia="Arial" w:cs="Arial"/>
                <w:sz w:val="20"/>
              </w:rPr>
            </w:pPr>
            <w:r>
              <w:rPr>
                <w:rFonts w:eastAsia="Arial" w:cs="Arial"/>
                <w:sz w:val="20"/>
              </w:rPr>
              <w:t>Tratamento</w:t>
            </w:r>
          </w:p>
        </w:tc>
      </w:tr>
      <w:tr w:rsidR="00803ECB" w14:paraId="4BC26834" w14:textId="77777777">
        <w:tc>
          <w:tcPr>
            <w:tcW w:w="0" w:type="auto"/>
            <w:tcBorders>
              <w:top w:val="single" w:sz="4" w:space="0" w:color="auto"/>
            </w:tcBorders>
            <w:vAlign w:val="center"/>
          </w:tcPr>
          <w:p w14:paraId="30B42559" w14:textId="77777777" w:rsidR="00803ECB" w:rsidRDefault="00ED1359">
            <w:pPr>
              <w:pStyle w:val="TextoABNT"/>
              <w:ind w:firstLine="0"/>
              <w:rPr>
                <w:rFonts w:eastAsia="Arial" w:cs="Arial"/>
                <w:sz w:val="20"/>
              </w:rPr>
            </w:pPr>
            <w:r>
              <w:rPr>
                <w:rFonts w:eastAsia="Arial" w:cs="Arial"/>
                <w:sz w:val="20"/>
              </w:rPr>
              <w:t>Preço internacional do petróleo</w:t>
            </w:r>
          </w:p>
        </w:tc>
        <w:tc>
          <w:tcPr>
            <w:tcW w:w="0" w:type="auto"/>
            <w:tcBorders>
              <w:top w:val="single" w:sz="4" w:space="0" w:color="auto"/>
            </w:tcBorders>
            <w:vAlign w:val="center"/>
          </w:tcPr>
          <w:p w14:paraId="0A09A153" w14:textId="77777777" w:rsidR="00803ECB" w:rsidRDefault="00ED1359">
            <w:pPr>
              <w:pStyle w:val="TextoABNT"/>
              <w:ind w:firstLine="0"/>
              <w:rPr>
                <w:rFonts w:eastAsia="Arial" w:cs="Arial"/>
                <w:sz w:val="20"/>
              </w:rPr>
            </w:pPr>
            <w:r>
              <w:rPr>
                <w:rFonts w:eastAsia="Arial" w:cs="Arial"/>
                <w:sz w:val="20"/>
              </w:rPr>
              <w:t>Choque externo principal</w:t>
            </w:r>
          </w:p>
        </w:tc>
        <w:tc>
          <w:tcPr>
            <w:tcW w:w="0" w:type="auto"/>
            <w:tcBorders>
              <w:top w:val="single" w:sz="4" w:space="0" w:color="auto"/>
            </w:tcBorders>
            <w:vAlign w:val="center"/>
          </w:tcPr>
          <w:p w14:paraId="2E7EA666"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3BBFE5B9" w14:textId="77777777">
        <w:tc>
          <w:tcPr>
            <w:tcW w:w="0" w:type="auto"/>
            <w:vAlign w:val="center"/>
          </w:tcPr>
          <w:p w14:paraId="7C2461DD" w14:textId="77777777" w:rsidR="00803ECB" w:rsidRDefault="00ED1359">
            <w:pPr>
              <w:pStyle w:val="TextoABNT"/>
              <w:ind w:firstLine="0"/>
              <w:rPr>
                <w:rFonts w:eastAsia="Arial" w:cs="Arial"/>
                <w:sz w:val="20"/>
              </w:rPr>
            </w:pPr>
            <w:r>
              <w:rPr>
                <w:rFonts w:eastAsia="Arial" w:cs="Arial"/>
                <w:sz w:val="20"/>
              </w:rPr>
              <w:t>Câmbio nominal</w:t>
            </w:r>
          </w:p>
        </w:tc>
        <w:tc>
          <w:tcPr>
            <w:tcW w:w="0" w:type="auto"/>
            <w:vAlign w:val="center"/>
          </w:tcPr>
          <w:p w14:paraId="1ACB465C" w14:textId="77777777" w:rsidR="00803ECB" w:rsidRDefault="00ED1359">
            <w:pPr>
              <w:pStyle w:val="TextoABNT"/>
              <w:ind w:firstLine="0"/>
              <w:rPr>
                <w:rFonts w:eastAsia="Arial" w:cs="Arial"/>
                <w:sz w:val="20"/>
              </w:rPr>
            </w:pPr>
            <w:r>
              <w:rPr>
                <w:rFonts w:eastAsia="Arial" w:cs="Arial"/>
                <w:sz w:val="20"/>
              </w:rPr>
              <w:t>Canal de transmissão externo e doméstico</w:t>
            </w:r>
          </w:p>
        </w:tc>
        <w:tc>
          <w:tcPr>
            <w:tcW w:w="0" w:type="auto"/>
            <w:vAlign w:val="center"/>
          </w:tcPr>
          <w:p w14:paraId="035700A1"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5B801EE0" w14:textId="77777777">
        <w:tc>
          <w:tcPr>
            <w:tcW w:w="0" w:type="auto"/>
            <w:vAlign w:val="center"/>
          </w:tcPr>
          <w:p w14:paraId="4BDCBDC0" w14:textId="77777777" w:rsidR="00803ECB" w:rsidRDefault="00ED1359">
            <w:pPr>
              <w:pStyle w:val="TextoABNT"/>
              <w:ind w:firstLine="0"/>
              <w:rPr>
                <w:rFonts w:eastAsia="Arial" w:cs="Arial"/>
                <w:sz w:val="20"/>
              </w:rPr>
            </w:pPr>
            <w:r>
              <w:rPr>
                <w:rFonts w:eastAsia="Arial" w:cs="Arial"/>
                <w:sz w:val="20"/>
              </w:rPr>
              <w:lastRenderedPageBreak/>
              <w:t>Gasolina, etanol e óleo diesel</w:t>
            </w:r>
          </w:p>
        </w:tc>
        <w:tc>
          <w:tcPr>
            <w:tcW w:w="0" w:type="auto"/>
            <w:vAlign w:val="center"/>
          </w:tcPr>
          <w:p w14:paraId="6E685CE4" w14:textId="77777777" w:rsidR="00803ECB" w:rsidRDefault="00ED1359">
            <w:pPr>
              <w:pStyle w:val="TextoABNT"/>
              <w:ind w:firstLine="0"/>
              <w:rPr>
                <w:rFonts w:eastAsia="Arial" w:cs="Arial"/>
                <w:sz w:val="20"/>
              </w:rPr>
            </w:pPr>
            <w:r>
              <w:rPr>
                <w:rFonts w:eastAsia="Arial" w:cs="Arial"/>
                <w:sz w:val="20"/>
              </w:rPr>
              <w:t>Canal doméstico de combustíveis</w:t>
            </w:r>
          </w:p>
        </w:tc>
        <w:tc>
          <w:tcPr>
            <w:tcW w:w="0" w:type="auto"/>
            <w:vAlign w:val="center"/>
          </w:tcPr>
          <w:p w14:paraId="34C0977B"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0B081039" w14:textId="77777777">
        <w:tc>
          <w:tcPr>
            <w:tcW w:w="0" w:type="auto"/>
            <w:vAlign w:val="center"/>
          </w:tcPr>
          <w:p w14:paraId="5D2D655E" w14:textId="77777777" w:rsidR="00803ECB" w:rsidRDefault="00ED1359">
            <w:pPr>
              <w:pStyle w:val="TextoABNT"/>
              <w:ind w:firstLine="0"/>
              <w:rPr>
                <w:rFonts w:eastAsia="Arial" w:cs="Arial"/>
                <w:sz w:val="20"/>
              </w:rPr>
            </w:pPr>
            <w:r>
              <w:rPr>
                <w:rFonts w:eastAsia="Arial" w:cs="Arial"/>
                <w:sz w:val="20"/>
              </w:rPr>
              <w:t>Gasolina na refinaria</w:t>
            </w:r>
          </w:p>
        </w:tc>
        <w:tc>
          <w:tcPr>
            <w:tcW w:w="0" w:type="auto"/>
            <w:vAlign w:val="center"/>
          </w:tcPr>
          <w:p w14:paraId="3196B9DD" w14:textId="77777777" w:rsidR="00803ECB" w:rsidRDefault="00ED1359">
            <w:pPr>
              <w:pStyle w:val="TextoABNT"/>
              <w:ind w:firstLine="0"/>
              <w:rPr>
                <w:rFonts w:eastAsia="Arial" w:cs="Arial"/>
                <w:sz w:val="20"/>
              </w:rPr>
            </w:pPr>
            <w:r>
              <w:rPr>
                <w:rFonts w:eastAsia="Arial" w:cs="Arial"/>
                <w:sz w:val="20"/>
              </w:rPr>
              <w:t>Canal de precificação da Petrobras</w:t>
            </w:r>
          </w:p>
        </w:tc>
        <w:tc>
          <w:tcPr>
            <w:tcW w:w="0" w:type="auto"/>
            <w:vAlign w:val="center"/>
          </w:tcPr>
          <w:p w14:paraId="7E6530A4"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47FCD46F" w14:textId="77777777">
        <w:tc>
          <w:tcPr>
            <w:tcW w:w="0" w:type="auto"/>
            <w:vAlign w:val="center"/>
          </w:tcPr>
          <w:p w14:paraId="4F630BEF" w14:textId="77777777" w:rsidR="00803ECB" w:rsidRDefault="00ED1359">
            <w:pPr>
              <w:pStyle w:val="TextoABNT"/>
              <w:ind w:firstLine="0"/>
              <w:rPr>
                <w:rFonts w:eastAsia="Arial" w:cs="Arial"/>
                <w:sz w:val="20"/>
              </w:rPr>
            </w:pPr>
            <w:r>
              <w:rPr>
                <w:rFonts w:eastAsia="Arial" w:cs="Arial"/>
                <w:sz w:val="20"/>
              </w:rPr>
              <w:t>IPCA Geral</w:t>
            </w:r>
          </w:p>
        </w:tc>
        <w:tc>
          <w:tcPr>
            <w:tcW w:w="0" w:type="auto"/>
            <w:vAlign w:val="center"/>
          </w:tcPr>
          <w:p w14:paraId="25CDB6A1" w14:textId="77777777" w:rsidR="00803ECB" w:rsidRDefault="00ED1359">
            <w:pPr>
              <w:pStyle w:val="TextoABNT"/>
              <w:ind w:firstLine="0"/>
              <w:rPr>
                <w:rFonts w:eastAsia="Arial" w:cs="Arial"/>
                <w:sz w:val="20"/>
              </w:rPr>
            </w:pPr>
            <w:r>
              <w:rPr>
                <w:rFonts w:eastAsia="Arial" w:cs="Arial"/>
                <w:sz w:val="20"/>
              </w:rPr>
              <w:t>Inflação agregada</w:t>
            </w:r>
          </w:p>
        </w:tc>
        <w:tc>
          <w:tcPr>
            <w:tcW w:w="0" w:type="auto"/>
            <w:vAlign w:val="center"/>
          </w:tcPr>
          <w:p w14:paraId="5FE3FA0E" w14:textId="77777777" w:rsidR="00803ECB" w:rsidRDefault="00ED1359">
            <w:pPr>
              <w:pStyle w:val="TextoABNT"/>
              <w:ind w:firstLine="0"/>
              <w:rPr>
                <w:rFonts w:eastAsia="Arial" w:cs="Arial"/>
                <w:sz w:val="20"/>
              </w:rPr>
            </w:pPr>
            <w:r>
              <w:rPr>
                <w:rFonts w:eastAsia="Arial" w:cs="Arial"/>
                <w:sz w:val="20"/>
              </w:rPr>
              <w:t>Inflação mensal ou variação logarítmica do índice</w:t>
            </w:r>
          </w:p>
        </w:tc>
      </w:tr>
      <w:tr w:rsidR="00803ECB" w14:paraId="411A9492" w14:textId="77777777">
        <w:tc>
          <w:tcPr>
            <w:tcW w:w="0" w:type="auto"/>
            <w:vAlign w:val="center"/>
          </w:tcPr>
          <w:p w14:paraId="496E8F00" w14:textId="77777777" w:rsidR="00803ECB" w:rsidRDefault="00ED1359">
            <w:pPr>
              <w:pStyle w:val="TextoABNT"/>
              <w:ind w:firstLine="0"/>
              <w:rPr>
                <w:rFonts w:eastAsia="Arial" w:cs="Arial"/>
                <w:sz w:val="20"/>
              </w:rPr>
            </w:pPr>
            <w:r>
              <w:rPr>
                <w:rFonts w:eastAsia="Arial" w:cs="Arial"/>
                <w:sz w:val="20"/>
              </w:rPr>
              <w:t>IPCA Transportes</w:t>
            </w:r>
          </w:p>
        </w:tc>
        <w:tc>
          <w:tcPr>
            <w:tcW w:w="0" w:type="auto"/>
            <w:vAlign w:val="center"/>
          </w:tcPr>
          <w:p w14:paraId="3170C353" w14:textId="77777777" w:rsidR="00803ECB" w:rsidRDefault="00ED1359">
            <w:pPr>
              <w:pStyle w:val="TextoABNT"/>
              <w:ind w:firstLine="0"/>
              <w:rPr>
                <w:rFonts w:eastAsia="Arial" w:cs="Arial"/>
                <w:sz w:val="20"/>
              </w:rPr>
            </w:pPr>
            <w:r>
              <w:rPr>
                <w:rFonts w:eastAsia="Arial" w:cs="Arial"/>
                <w:sz w:val="20"/>
              </w:rPr>
              <w:t>Inflação setorial diretamente afetada por combustíveis</w:t>
            </w:r>
          </w:p>
        </w:tc>
        <w:tc>
          <w:tcPr>
            <w:tcW w:w="0" w:type="auto"/>
            <w:vAlign w:val="center"/>
          </w:tcPr>
          <w:p w14:paraId="4E021633" w14:textId="77777777" w:rsidR="00803ECB" w:rsidRDefault="00ED1359">
            <w:pPr>
              <w:pStyle w:val="TextoABNT"/>
              <w:ind w:firstLine="0"/>
              <w:rPr>
                <w:rFonts w:eastAsia="Arial" w:cs="Arial"/>
                <w:sz w:val="20"/>
              </w:rPr>
            </w:pPr>
            <w:r>
              <w:rPr>
                <w:rFonts w:eastAsia="Arial" w:cs="Arial"/>
                <w:sz w:val="20"/>
              </w:rPr>
              <w:t>Inflação mensal ou variação logarítmica do índice</w:t>
            </w:r>
          </w:p>
        </w:tc>
      </w:tr>
      <w:tr w:rsidR="00803ECB" w14:paraId="56AD65A0" w14:textId="77777777">
        <w:tc>
          <w:tcPr>
            <w:tcW w:w="0" w:type="auto"/>
            <w:vAlign w:val="center"/>
          </w:tcPr>
          <w:p w14:paraId="33C26A0D" w14:textId="77777777" w:rsidR="00803ECB" w:rsidRDefault="00ED1359">
            <w:pPr>
              <w:pStyle w:val="TextoABNT"/>
              <w:ind w:firstLine="0"/>
              <w:rPr>
                <w:rFonts w:eastAsia="Arial" w:cs="Arial"/>
                <w:sz w:val="20"/>
              </w:rPr>
            </w:pPr>
            <w:r>
              <w:rPr>
                <w:rFonts w:eastAsia="Arial" w:cs="Arial"/>
                <w:sz w:val="20"/>
              </w:rPr>
              <w:t>Atividade econômica</w:t>
            </w:r>
          </w:p>
        </w:tc>
        <w:tc>
          <w:tcPr>
            <w:tcW w:w="0" w:type="auto"/>
            <w:vAlign w:val="center"/>
          </w:tcPr>
          <w:p w14:paraId="446B335D" w14:textId="77777777" w:rsidR="00803ECB" w:rsidRDefault="00ED1359">
            <w:pPr>
              <w:pStyle w:val="TextoABNT"/>
              <w:ind w:firstLine="0"/>
              <w:rPr>
                <w:rFonts w:eastAsia="Arial" w:cs="Arial"/>
                <w:sz w:val="20"/>
              </w:rPr>
            </w:pPr>
            <w:r>
              <w:rPr>
                <w:rFonts w:eastAsia="Arial" w:cs="Arial"/>
                <w:sz w:val="20"/>
              </w:rPr>
              <w:t>Controle macroeconômico</w:t>
            </w:r>
          </w:p>
        </w:tc>
        <w:tc>
          <w:tcPr>
            <w:tcW w:w="0" w:type="auto"/>
            <w:vAlign w:val="center"/>
          </w:tcPr>
          <w:p w14:paraId="5F9E4AEE"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14863C3E" w14:textId="77777777">
        <w:tc>
          <w:tcPr>
            <w:tcW w:w="0" w:type="auto"/>
            <w:vAlign w:val="center"/>
          </w:tcPr>
          <w:p w14:paraId="55208ACF" w14:textId="77777777" w:rsidR="00803ECB" w:rsidRDefault="00ED1359">
            <w:pPr>
              <w:pStyle w:val="TextoABNT"/>
              <w:ind w:firstLine="0"/>
              <w:rPr>
                <w:rFonts w:eastAsia="Arial" w:cs="Arial"/>
                <w:sz w:val="20"/>
              </w:rPr>
            </w:pPr>
            <w:r>
              <w:rPr>
                <w:rFonts w:eastAsia="Arial" w:cs="Arial"/>
                <w:sz w:val="20"/>
              </w:rPr>
              <w:t>Expectativa de inflação</w:t>
            </w:r>
          </w:p>
        </w:tc>
        <w:tc>
          <w:tcPr>
            <w:tcW w:w="0" w:type="auto"/>
            <w:vAlign w:val="center"/>
          </w:tcPr>
          <w:p w14:paraId="5C79FF50" w14:textId="77777777" w:rsidR="00803ECB" w:rsidRDefault="00ED1359">
            <w:pPr>
              <w:pStyle w:val="TextoABNT"/>
              <w:ind w:firstLine="0"/>
              <w:rPr>
                <w:rFonts w:eastAsia="Arial" w:cs="Arial"/>
                <w:sz w:val="20"/>
              </w:rPr>
            </w:pPr>
            <w:r>
              <w:rPr>
                <w:rFonts w:eastAsia="Arial" w:cs="Arial"/>
                <w:sz w:val="20"/>
              </w:rPr>
              <w:t>Controle de expectativas</w:t>
            </w:r>
          </w:p>
        </w:tc>
        <w:tc>
          <w:tcPr>
            <w:tcW w:w="0" w:type="auto"/>
            <w:vAlign w:val="center"/>
          </w:tcPr>
          <w:p w14:paraId="4F449147" w14:textId="77777777" w:rsidR="00803ECB" w:rsidRDefault="00ED1359">
            <w:pPr>
              <w:pStyle w:val="TextoABNT"/>
              <w:ind w:firstLine="0"/>
              <w:rPr>
                <w:rFonts w:eastAsia="Arial" w:cs="Arial"/>
                <w:sz w:val="20"/>
              </w:rPr>
            </w:pPr>
            <w:r>
              <w:rPr>
                <w:rFonts w:eastAsia="Arial" w:cs="Arial"/>
                <w:sz w:val="20"/>
              </w:rPr>
              <w:t>Variação logarítmica mensal</w:t>
            </w:r>
          </w:p>
        </w:tc>
      </w:tr>
      <w:tr w:rsidR="00803ECB" w14:paraId="47E9FEAB" w14:textId="77777777">
        <w:tc>
          <w:tcPr>
            <w:tcW w:w="0" w:type="auto"/>
            <w:vAlign w:val="center"/>
          </w:tcPr>
          <w:p w14:paraId="7CC1DC21" w14:textId="77777777" w:rsidR="00803ECB" w:rsidRDefault="00ED1359">
            <w:pPr>
              <w:pStyle w:val="TextoABNT"/>
              <w:ind w:firstLine="0"/>
              <w:rPr>
                <w:rFonts w:eastAsia="Arial" w:cs="Arial"/>
                <w:sz w:val="20"/>
              </w:rPr>
            </w:pPr>
            <w:r>
              <w:rPr>
                <w:rFonts w:eastAsia="Arial" w:cs="Arial"/>
                <w:sz w:val="20"/>
              </w:rPr>
              <w:t>Meta Selic</w:t>
            </w:r>
          </w:p>
        </w:tc>
        <w:tc>
          <w:tcPr>
            <w:tcW w:w="0" w:type="auto"/>
            <w:vAlign w:val="center"/>
          </w:tcPr>
          <w:p w14:paraId="3426D460" w14:textId="77777777" w:rsidR="00803ECB" w:rsidRDefault="00ED1359">
            <w:pPr>
              <w:pStyle w:val="TextoABNT"/>
              <w:ind w:firstLine="0"/>
              <w:rPr>
                <w:rFonts w:eastAsia="Arial" w:cs="Arial"/>
                <w:sz w:val="20"/>
              </w:rPr>
            </w:pPr>
            <w:r>
              <w:rPr>
                <w:rFonts w:eastAsia="Arial" w:cs="Arial"/>
                <w:sz w:val="20"/>
              </w:rPr>
              <w:t>Controle de política monetária no VAR</w:t>
            </w:r>
          </w:p>
        </w:tc>
        <w:tc>
          <w:tcPr>
            <w:tcW w:w="0" w:type="auto"/>
            <w:vAlign w:val="center"/>
          </w:tcPr>
          <w:p w14:paraId="50AE406A" w14:textId="77777777" w:rsidR="00803ECB" w:rsidRDefault="00ED1359">
            <w:pPr>
              <w:pStyle w:val="TextoABNT"/>
              <w:ind w:firstLine="0"/>
              <w:rPr>
                <w:rFonts w:eastAsia="Arial" w:cs="Arial"/>
                <w:sz w:val="20"/>
              </w:rPr>
            </w:pPr>
            <w:r>
              <w:rPr>
                <w:rFonts w:eastAsia="Arial" w:cs="Arial"/>
                <w:sz w:val="20"/>
              </w:rPr>
              <w:t>Média mensal da série diária e log em nível</w:t>
            </w:r>
          </w:p>
        </w:tc>
      </w:tr>
      <w:tr w:rsidR="00803ECB" w14:paraId="57FD36CC" w14:textId="77777777">
        <w:tc>
          <w:tcPr>
            <w:tcW w:w="0" w:type="auto"/>
            <w:tcBorders>
              <w:bottom w:val="single" w:sz="4" w:space="0" w:color="auto"/>
            </w:tcBorders>
            <w:vAlign w:val="center"/>
          </w:tcPr>
          <w:p w14:paraId="76DBCFFE" w14:textId="77777777" w:rsidR="00803ECB" w:rsidRDefault="00ED1359">
            <w:pPr>
              <w:pStyle w:val="TextoABNT"/>
              <w:ind w:firstLine="0"/>
              <w:rPr>
                <w:rFonts w:eastAsia="Arial" w:cs="Arial"/>
                <w:sz w:val="20"/>
              </w:rPr>
            </w:pPr>
            <w:r>
              <w:rPr>
                <w:rFonts w:eastAsia="Arial" w:cs="Arial"/>
                <w:sz w:val="20"/>
              </w:rPr>
              <w:t>Stringency index</w:t>
            </w:r>
          </w:p>
        </w:tc>
        <w:tc>
          <w:tcPr>
            <w:tcW w:w="0" w:type="auto"/>
            <w:tcBorders>
              <w:bottom w:val="single" w:sz="4" w:space="0" w:color="auto"/>
            </w:tcBorders>
            <w:vAlign w:val="center"/>
          </w:tcPr>
          <w:p w14:paraId="69C7365C" w14:textId="77777777" w:rsidR="00803ECB" w:rsidRDefault="00ED1359">
            <w:pPr>
              <w:pStyle w:val="TextoABNT"/>
              <w:ind w:firstLine="0"/>
              <w:rPr>
                <w:rFonts w:eastAsia="Arial" w:cs="Arial"/>
                <w:sz w:val="20"/>
              </w:rPr>
            </w:pPr>
            <w:r>
              <w:rPr>
                <w:rFonts w:eastAsia="Arial" w:cs="Arial"/>
                <w:sz w:val="20"/>
              </w:rPr>
              <w:t>Controle para pandemia</w:t>
            </w:r>
          </w:p>
        </w:tc>
        <w:tc>
          <w:tcPr>
            <w:tcW w:w="0" w:type="auto"/>
            <w:tcBorders>
              <w:bottom w:val="single" w:sz="4" w:space="0" w:color="auto"/>
            </w:tcBorders>
            <w:vAlign w:val="center"/>
          </w:tcPr>
          <w:p w14:paraId="1A7D67A0" w14:textId="77777777" w:rsidR="00803ECB" w:rsidRDefault="00ED1359">
            <w:pPr>
              <w:pStyle w:val="TextoABNT"/>
              <w:ind w:firstLine="0"/>
              <w:rPr>
                <w:rFonts w:eastAsia="Arial" w:cs="Arial"/>
                <w:sz w:val="20"/>
              </w:rPr>
            </w:pPr>
            <w:r>
              <w:rPr>
                <w:rFonts w:eastAsia="Arial" w:cs="Arial"/>
                <w:sz w:val="20"/>
              </w:rPr>
              <w:t>Nível mensal e variável exógena</w:t>
            </w:r>
          </w:p>
        </w:tc>
      </w:tr>
    </w:tbl>
    <w:p w14:paraId="282C0980" w14:textId="77777777" w:rsidR="00803ECB" w:rsidRDefault="00ED1359">
      <w:pPr>
        <w:pStyle w:val="FonteFigura"/>
        <w:jc w:val="center"/>
      </w:pPr>
      <w:r>
        <w:t>Fonte: Elaboração própria.</w:t>
      </w:r>
    </w:p>
    <w:p w14:paraId="3C7541BA" w14:textId="77777777" w:rsidR="00803ECB" w:rsidRDefault="00ED1359">
      <w:pPr>
        <w:pStyle w:val="SubtituloABNT"/>
      </w:pPr>
      <w:bookmarkStart w:id="19" w:name="_Toc_1_3_0000000015"/>
      <w:r>
        <w:t>Transformação das séries</w:t>
      </w:r>
      <w:bookmarkEnd w:id="19"/>
    </w:p>
    <w:p w14:paraId="79674852" w14:textId="77777777" w:rsidR="00803ECB" w:rsidRDefault="00ED1359">
      <w:pPr>
        <w:pStyle w:val="TextoABNT"/>
      </w:pPr>
      <w:r>
        <w:t xml:space="preserve">As séries de preços e índices foram transformadas de forma a aproximar taxas de variação mensais e reduzir o risco de regressões espúrias com variáveis não estacionárias. Para uma variável positiva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oMath>
      <w:r>
        <w:t>, a variação logarítmica mensal é definida por:</w:t>
      </w:r>
    </w:p>
    <w:p w14:paraId="0A4E6422" w14:textId="77777777" w:rsidR="00803ECB" w:rsidRDefault="00ED1359">
      <w:pPr>
        <w:pStyle w:val="TextoABNT"/>
      </w:pPr>
      <m:oMathPara>
        <m:oMath>
          <m:r>
            <w:rPr>
              <w:rFonts w:ascii="Cambria Math" w:eastAsia="Cambria Math" w:hAnsi="Cambria Math" w:cs="Cambria Math"/>
            </w:rPr>
            <m:t>Δln</m:t>
          </m:r>
          <m:d>
            <m:dPr>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=100⋅</m:t>
          </m:r>
          <m:d>
            <m:dPr>
              <m:begChr m:val="["/>
              <m:endChr m:val="]"/>
              <m:ctrlPr>
                <w:rPr>
                  <w:rFonts w:ascii="Cambria Math" w:hAnsi="Cambria Math"/>
                </w:rPr>
              </m:ctrlPr>
            </m:dPr>
            <m:e>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m:t>
              </m:r>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x</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e>
              </m:d>
            </m:e>
          </m:d>
          <m:r>
            <w:rPr>
              <w:rFonts w:ascii="Cambria Math" w:eastAsia="Cambria Math" w:hAnsi="Cambria Math" w:cs="Cambria Math"/>
            </w:rPr>
            <m:t>1</m:t>
          </m:r>
        </m:oMath>
      </m:oMathPara>
    </w:p>
    <w:p w14:paraId="7C642704" w14:textId="77777777" w:rsidR="00803ECB" w:rsidRDefault="00ED1359">
      <w:pPr>
        <w:pStyle w:val="TextoABNT"/>
      </w:pPr>
      <w:r>
        <w:t>Essa transformação permite interpretar a série aproximadamente como variação percentual mensal. No caso dos índices de preços, quando a série estava em nível, a inflação mensal foi calculada por:</w:t>
      </w:r>
    </w:p>
    <w:p w14:paraId="2939CD46" w14:textId="77777777" w:rsidR="00803ECB" w:rsidRDefault="00ED1359">
      <w:pPr>
        <w:pStyle w:val="TextoABNT"/>
      </w:pPr>
      <m:oMathPara>
        <m:oMath>
          <m:r>
            <w:rPr>
              <w:rFonts w:ascii="Cambria Math" w:eastAsia="Cambria Math" w:hAnsi="Cambria Math" w:cs="Cambria Math"/>
            </w:rPr>
            <m:t>π</m:t>
          </m:r>
          <m:r>
            <w:rPr>
              <w:rFonts w:ascii="Cambria Math" w:eastAsia="Cambria Math" w:hAnsi="Cambria Math" w:cs="Cambria Math"/>
            </w:rPr>
            <m:t>=100⋅</m:t>
          </m:r>
          <m:d>
            <m:dPr>
              <m:begChr m:val="["/>
              <m:endChr m:val="]"/>
              <m:ctrlPr>
                <w:rPr>
                  <w:rFonts w:ascii="Cambria Math" w:hAnsi="Cambria Math"/>
                </w:rPr>
              </m:ctrlPr>
            </m:dPr>
            <m:e>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IPCA</m:t>
                  </m:r>
                </m:e>
              </m:d>
              <m:r>
                <w:rPr>
                  <w:rFonts w:ascii="Cambria Math" w:eastAsia="Cambria Math" w:hAnsi="Cambria Math" w:cs="Cambria Math"/>
                </w:rPr>
                <m:t>-</m:t>
              </m:r>
              <m:r>
                <w:rPr>
                  <w:rFonts w:ascii="Cambria Math" w:eastAsia="Cambria Math" w:hAnsi="Cambria Math" w:cs="Cambria Math"/>
                </w:rPr>
                <m:t>ln</m:t>
              </m:r>
              <m:d>
                <m:dPr>
                  <m:ctrlPr>
                    <w:rPr>
                      <w:rFonts w:ascii="Cambria Math" w:hAnsi="Cambria Math"/>
                    </w:rPr>
                  </m:ctrlPr>
                </m:dPr>
                <m:e>
                  <m:r>
                    <w:rPr>
                      <w:rFonts w:ascii="Cambria Math" w:eastAsia="Cambria Math" w:hAnsi="Cambria Math" w:cs="Cambria Math"/>
                    </w:rPr>
                    <m:t>IPCA</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e>
              </m:d>
            </m:e>
          </m:d>
          <m:d>
            <m:dPr>
              <m:ctrlPr>
                <w:rPr>
                  <w:rFonts w:ascii="Cambria Math" w:hAnsi="Cambria Math"/>
                </w:rPr>
              </m:ctrlPr>
            </m:dPr>
            <m:e>
              <m:r>
                <w:rPr>
                  <w:rFonts w:ascii="Cambria Math" w:eastAsia="Cambria Math" w:hAnsi="Cambria Math" w:cs="Cambria Math"/>
                </w:rPr>
                <m:t>2</m:t>
              </m:r>
            </m:e>
          </m:d>
        </m:oMath>
      </m:oMathPara>
    </w:p>
    <w:p w14:paraId="2984C3FB" w14:textId="77777777" w:rsidR="00803ECB" w:rsidRDefault="00ED1359">
      <w:pPr>
        <w:pStyle w:val="TextoABNT"/>
      </w:pPr>
      <w:r>
        <w:t xml:space="preserve">Quando a série já estava expressa como variação mensal, preservou-se a variável original para evitar dupla diferenciação. Nos modelos de </w:t>
      </w:r>
      <w:r>
        <w:rPr>
          <w:i/>
        </w:rPr>
        <w:t>Local Projections</w:t>
      </w:r>
      <w:r>
        <w:t>, os choques são padronizados pelo desvio-padrão da própria variável de impulso, de modo que o coeficiente estimado represente a resposta a um choque de um desvio-padrão:</w:t>
      </w:r>
    </w:p>
    <w:p w14:paraId="655F4DF2" w14:textId="77777777" w:rsidR="00803ECB" w:rsidRDefault="00ED1359">
      <w:pPr>
        <w:pStyle w:val="TextoABNT"/>
      </w:pPr>
      <m:oMathPara>
        <m:oMath>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σ</m:t>
          </m:r>
          <m:d>
            <m:dPr>
              <m:ctrlPr>
                <w:rPr>
                  <w:rFonts w:ascii="Cambria Math" w:hAnsi="Cambria Math"/>
                </w:rPr>
              </m:ctrlPr>
            </m:dPr>
            <m:e>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e>
          </m:d>
          <m:r>
            <w:rPr>
              <w:rFonts w:ascii="Cambria Math" w:eastAsia="Cambria Math" w:hAnsi="Cambria Math" w:cs="Cambria Math"/>
            </w:rPr>
            <m:t>3</m:t>
          </m:r>
        </m:oMath>
      </m:oMathPara>
    </w:p>
    <w:p w14:paraId="143E2DFC" w14:textId="77777777" w:rsidR="00803ECB" w:rsidRDefault="00ED1359">
      <w:pPr>
        <w:pStyle w:val="TextoABNT"/>
      </w:pPr>
      <w:r>
        <w:t>No VAR, a Selic recebe tratamento específico. Em vez de utilizar somente a coluna mensal da planilha principal, o modelo lê a série diária da meta Selic, calcula sua média mensal e utiliza a variável em logaritmo de nível. Essa escolha preserva o conteúdo econômico do patamar da taxa de juros, pois a política monetária atua mais pelo nível da taxa do que apenas por sua variação mensal.</w:t>
      </w:r>
    </w:p>
    <w:p w14:paraId="3076D3B2" w14:textId="77777777" w:rsidR="00803ECB" w:rsidRDefault="00ED1359">
      <w:pPr>
        <w:pStyle w:val="SubtituloABNT"/>
      </w:pPr>
      <w:bookmarkStart w:id="20" w:name="_Toc_1_3_0000000016"/>
      <w:r>
        <w:t>Testes preliminares das séries</w:t>
      </w:r>
      <w:bookmarkEnd w:id="20"/>
    </w:p>
    <w:p w14:paraId="59A42183" w14:textId="77777777" w:rsidR="00803ECB" w:rsidRDefault="00ED1359">
      <w:pPr>
        <w:pStyle w:val="TextoABNT"/>
      </w:pPr>
      <w:r>
        <w:lastRenderedPageBreak/>
        <w:t>Antes da estimação dos modelos, as séries são avaliadas por testes de estacionariedade. Esse passo é necessário porque modelos dinâmicos podem produzir relações espúrias quando aplicados diretamente a séries não estacionárias. O primeiro teste utilizado é o teste de Dickey-Fuller aumentado, conhecido como ADF. Sua forma simplificada pode ser escrita como:</w:t>
      </w:r>
    </w:p>
    <w:p w14:paraId="08A6943B" w14:textId="77777777" w:rsidR="00803ECB" w:rsidRDefault="00ED1359">
      <w:pPr>
        <w:pStyle w:val="TextoABNT"/>
      </w:pPr>
      <m:oMathPara>
        <m:oMath>
          <m:r>
            <w:rPr>
              <w:rFonts w:ascii="Cambria Math" w:eastAsia="Cambria Math" w:hAnsi="Cambria Math" w:cs="Cambria Math"/>
            </w:rPr>
            <m:t>Δy</m:t>
          </m:r>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ρy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=1</m:t>
              </m:r>
            </m:sub>
          </m:sSub>
          <m:r>
            <w:rPr>
              <w:rFonts w:ascii="Cambria Math" w:eastAsia="Cambria Math" w:hAnsi="Cambria Math" w:cs="Cambria Math"/>
            </w:rPr>
            <m:t>φΔy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ε</m:t>
          </m:r>
          <m:r>
            <w:rPr>
              <w:rFonts w:ascii="Cambria Math" w:eastAsia="Cambria Math" w:hAnsi="Cambria Math" w:cs="Cambria Math"/>
            </w:rPr>
            <m:t>4</m:t>
          </m:r>
        </m:oMath>
      </m:oMathPara>
    </w:p>
    <w:p w14:paraId="799155A6" w14:textId="77777777" w:rsidR="00803ECB" w:rsidRDefault="00ED1359">
      <w:pPr>
        <w:pStyle w:val="TextoABNT"/>
      </w:pPr>
      <w:r>
        <w:t>No teste ADF, a hipótese nula é a de presença de raiz unitária. Assim, a rejeição da hipótese nula indica evidência favorável à estacionariedade da série, considerando a especificação adotada. Como complemento, utiliza-se o teste KPSS, cuja hipótese nula é a estacionariedade. Em forma simplificada:</w:t>
      </w:r>
    </w:p>
    <w:p w14:paraId="578FC6AD" w14:textId="77777777" w:rsidR="00803ECB" w:rsidRDefault="00ED1359">
      <w:pPr>
        <w:pStyle w:val="TextoABNT"/>
      </w:pPr>
      <w:r>
        <w:t>KPSS:</w:t>
      </w:r>
    </w:p>
    <w:p w14:paraId="41C5C0FA" w14:textId="77777777" w:rsidR="00803ECB" w:rsidRDefault="00ED1359">
      <w:pPr>
        <w:pStyle w:val="TextoABNT"/>
      </w:pPr>
      <m:oMathPara>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μ</m:t>
          </m:r>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ε</m:t>
          </m:r>
        </m:oMath>
      </m:oMathPara>
    </w:p>
    <w:p w14:paraId="5A890066" w14:textId="77777777" w:rsidR="00803ECB" w:rsidRDefault="00ED1359">
      <w:pPr>
        <w:pStyle w:val="TextoABNT"/>
      </w:pPr>
      <w:r>
        <w:t xml:space="preserve">, com  </w:t>
      </w:r>
      <m:oMath>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r</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u</m:t>
        </m:r>
      </m:oMath>
      <w:r>
        <w:t xml:space="preserve">  (5)</w:t>
      </w:r>
    </w:p>
    <w:p w14:paraId="54E13121" w14:textId="77777777" w:rsidR="00803ECB" w:rsidRDefault="00ED1359">
      <w:pPr>
        <w:pStyle w:val="TextoABNT"/>
      </w:pPr>
      <w:r>
        <w:t>A combinação entre ADF e KPSS é útil porque os testes possuem hipóteses nulas opostas. Quando o ADF rejeita a presença de raiz unitária e o KPSS não rejeita a estacionariedade, há maior segurança para utilizar a série transformada. Quando os resultados são ambíguos, a decisão considera também a natureza econômica da variável, a presença de tendência e a necessidade de manter coerência entre as especificações.</w:t>
      </w:r>
    </w:p>
    <w:p w14:paraId="5E26A44A" w14:textId="77777777" w:rsidR="00803ECB" w:rsidRDefault="00ED1359">
      <w:pPr>
        <w:pStyle w:val="TextoABNT"/>
      </w:pPr>
      <w:r>
        <w:t>Além dos testes de estacionariedade, o modelo VAR também calcula testes de cointegração de Johansen sobre as variáveis em nível. Esse teste não define sozinho a especificação principal, mas ajuda a verificar se há relações de longo prazo entre preços, câmbio, combustíveis e inflação. A forma vetorial associada ao teste pode ser expressa como:</w:t>
      </w:r>
    </w:p>
    <w:p w14:paraId="0B799AE7" w14:textId="77777777" w:rsidR="00803ECB" w:rsidRDefault="00ED1359">
      <w:pPr>
        <w:pStyle w:val="TextoABNT"/>
      </w:pPr>
      <m:oMathPara>
        <m:oMath>
          <m:r>
            <w:rPr>
              <w:rFonts w:ascii="Cambria Math" w:eastAsia="Cambria Math" w:hAnsi="Cambria Math" w:cs="Cambria Math"/>
            </w:rPr>
            <m:t>ΔY</m:t>
          </m:r>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=1</m:t>
              </m:r>
            </m:sub>
          </m:sSub>
          <m:sSup>
            <m:sSupPr>
              <m:ctrlPr>
                <w:rPr>
                  <w:rFonts w:ascii="Cambria Math" w:hAnsi="Cambria Math"/>
                </w:rPr>
              </m:ctrlPr>
            </m:sSupPr>
            <m:e/>
            <m:sup>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ΓΔY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ε</m:t>
          </m:r>
          <m:r>
            <w:rPr>
              <w:rFonts w:ascii="Cambria Math" w:eastAsia="Cambria Math" w:hAnsi="Cambria Math" w:cs="Cambria Math"/>
            </w:rPr>
            <m:t>6</m:t>
          </m:r>
        </m:oMath>
      </m:oMathPara>
    </w:p>
    <w:p w14:paraId="53385899" w14:textId="77777777" w:rsidR="00803ECB" w:rsidRDefault="00ED1359">
      <w:pPr>
        <w:pStyle w:val="TextoABNT"/>
      </w:pPr>
      <w:r>
        <w:t>O posto da matriz Π informa o número de relações de cointegração. Como o objetivo principal do trabalho é analisar respostas dinâmicas de curto e médio prazo, a evidência de cointegração é tratada como diagnóstico complementar e não como substituição automática das especificações em diferenças.</w:t>
      </w:r>
    </w:p>
    <w:p w14:paraId="33ABC6C4" w14:textId="77777777" w:rsidR="00803ECB" w:rsidRDefault="00ED1359">
      <w:pPr>
        <w:pStyle w:val="SubtituloABNT"/>
      </w:pPr>
      <w:bookmarkStart w:id="21" w:name="_Toc_1_3_0000000017"/>
      <w:r>
        <w:t>Modelo principal: Local Projections</w:t>
      </w:r>
      <w:bookmarkEnd w:id="21"/>
    </w:p>
    <w:p w14:paraId="5FF5173B" w14:textId="77777777" w:rsidR="00803ECB" w:rsidRDefault="00ED1359">
      <w:pPr>
        <w:pStyle w:val="TextoABNT"/>
      </w:pPr>
      <w:r>
        <w:t xml:space="preserve">As </w:t>
      </w:r>
      <w:r>
        <w:rPr>
          <w:i/>
        </w:rPr>
        <w:t>Local Projections</w:t>
      </w:r>
      <w:r>
        <w:t xml:space="preserve"> estimam uma regressão separada para cada horizonte de resposta. Essa é a diferença central em relação a modelos de sistema, como o VAR. Em vez de estimar uma única estrutura dinâmica e derivar dela todas as respostas futuras, a </w:t>
      </w:r>
      <w:r>
        <w:rPr>
          <w:i/>
        </w:rPr>
        <w:t>Local Projection</w:t>
      </w:r>
      <w:r>
        <w:t xml:space="preserve"> estima diretamente o efeito do choque em cada horizonte </w:t>
      </w:r>
      <m:oMath>
        <m:r>
          <w:rPr>
            <w:rFonts w:ascii="Cambria Math" w:eastAsia="Cambria Math" w:hAnsi="Cambria Math" w:cs="Cambria Math"/>
          </w:rPr>
          <w:lastRenderedPageBreak/>
          <m:t>h</m:t>
        </m:r>
      </m:oMath>
      <w:r>
        <w:t>. Isso torna o método flexível e adequado para avaliar a transmissão do petróleo para combustíveis e inflação ao longo do tempo.</w:t>
      </w:r>
    </w:p>
    <w:p w14:paraId="58891DF4" w14:textId="77777777" w:rsidR="00803ECB" w:rsidRDefault="00ED1359">
      <w:pPr>
        <w:pStyle w:val="TextoABNT"/>
      </w:pPr>
      <w:r>
        <w:t>A especificação pontual geral é dada por:</w:t>
      </w:r>
    </w:p>
    <w:p w14:paraId="1F4F0C95" w14:textId="77777777" w:rsidR="00803ECB" w:rsidRDefault="00ED1359">
      <w:pPr>
        <w:pStyle w:val="TextoABNT"/>
      </w:pPr>
      <m:oMathPara>
        <m:oMath>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u</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,h=</m:t>
          </m:r>
          <m:r>
            <w:rPr>
              <w:rFonts w:ascii="Cambria Math" w:eastAsia="Cambria Math" w:hAnsi="Cambria Math" w:cs="Cambria Math"/>
            </w:rPr>
            <m:t>0,1,...,</m:t>
          </m:r>
          <m:r>
            <w:rPr>
              <w:rFonts w:ascii="Cambria Math" w:eastAsia="Cambria Math" w:hAnsi="Cambria Math" w:cs="Cambria Math"/>
            </w:rPr>
            <m:t>H</m:t>
          </m:r>
        </m:oMath>
      </m:oMathPara>
    </w:p>
    <w:p w14:paraId="36A27C08" w14:textId="77777777" w:rsidR="00803ECB" w:rsidRDefault="00ED1359">
      <w:pPr>
        <w:pStyle w:val="TextoABNT"/>
      </w:pPr>
      <w:r>
        <w:t>(7)</w:t>
      </w:r>
    </w:p>
    <w:p w14:paraId="127D18D3" w14:textId="77777777" w:rsidR="00803ECB" w:rsidRDefault="00ED1359">
      <w:pPr>
        <w:pStyle w:val="TextoABNT"/>
      </w:pPr>
      <w:r>
        <w:t xml:space="preserve">Nessa equação,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m:t>
            </m:r>
            <m:r>
              <w:rPr>
                <w:rFonts w:ascii="Cambria Math" w:eastAsia="Cambria Math" w:hAnsi="Cambria Math" w:cs="Cambria Math"/>
              </w:rPr>
              <m:t>+h</m:t>
            </m:r>
          </m:sub>
        </m:sSub>
      </m:oMath>
      <w:r>
        <w:t xml:space="preserve"> é a variável de resposta no horizonte </w:t>
      </w:r>
      <m:oMath>
        <m:r>
          <w:rPr>
            <w:rFonts w:ascii="Cambria Math" w:eastAsia="Cambria Math" w:hAnsi="Cambria Math" w:cs="Cambria Math"/>
          </w:rPr>
          <m:t>h</m:t>
        </m:r>
      </m:oMath>
      <w:r>
        <w:t xml:space="preserve">, </w:t>
      </w:r>
      <m:oMath>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t</m:t>
            </m:r>
          </m:sub>
          <m:sup>
            <m:r>
              <w:rPr>
                <w:rFonts w:ascii="Cambria Math" w:eastAsia="Cambria Math" w:hAnsi="Cambria Math" w:cs="Cambria Math"/>
              </w:rPr>
              <m:t>std</m:t>
            </m:r>
          </m:sup>
        </m:sSubSup>
      </m:oMath>
      <w:r>
        <w:t xml:space="preserve"> é o choque padronizado, </w:t>
      </w:r>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m:t>
            </m:r>
          </m:sub>
        </m:sSub>
      </m:oMath>
      <w:r>
        <w:t xml:space="preserve"> reúne controles e defasagens, e </w:t>
      </w:r>
      <m:oMath>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h</m:t>
            </m:r>
          </m:sub>
        </m:sSub>
      </m:oMath>
      <w:r>
        <w:t xml:space="preserve"> mede a resposta da variável dependente ao choque no horizonte analisado. Como cada horizonte possui sua própria regressão, o coeficiente </w:t>
      </w:r>
      <m:oMath>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h</m:t>
            </m:r>
          </m:sub>
        </m:sSub>
      </m:oMath>
      <w:r>
        <w:t xml:space="preserve"> pode variar livremente ao longo do tempo, sem impor que a trajetória siga a estrutura de um sistema autorregressivo único.</w:t>
      </w:r>
    </w:p>
    <w:p w14:paraId="642E08ED" w14:textId="77777777" w:rsidR="00803ECB" w:rsidRDefault="00ED1359">
      <w:pPr>
        <w:pStyle w:val="TextoABNT"/>
      </w:pPr>
      <w:r>
        <w:t>Além da resposta pontual, o trabalho estima respostas acumuladas. Essa forma é especialmente útil para inflação, porque o interesse empírico não é apenas saber se o choque afeta um mês específico, mas quanto do efeito se acumula ao longo dos meses após o choque. A variável acumulada é dada por:</w:t>
      </w:r>
    </w:p>
    <w:p w14:paraId="551967BA" w14:textId="77777777" w:rsidR="00803ECB" w:rsidRDefault="00ED1359">
      <w:pPr>
        <w:pStyle w:val="TextoABNT"/>
      </w:pPr>
      <m:oMathPara>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oMath>
      </m:oMathPara>
    </w:p>
    <w:p w14:paraId="4AAD3F88" w14:textId="77777777" w:rsidR="00803ECB" w:rsidRDefault="00ED1359">
      <w:pPr>
        <w:pStyle w:val="TextoABNT"/>
      </w:pPr>
      <w:r>
        <w:t>(8)</w:t>
      </w:r>
    </w:p>
    <w:p w14:paraId="736B32FF" w14:textId="77777777" w:rsidR="00803ECB" w:rsidRDefault="00ED1359">
      <w:pPr>
        <w:pStyle w:val="TextoABNT"/>
      </w:pPr>
      <w:r>
        <w:t>A especificação acumulada pode ser escrita como:</w:t>
      </w:r>
    </w:p>
    <w:p w14:paraId="729064BC"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u</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d>
                <m:dPr>
                  <m:ctrlPr>
                    <w:rPr>
                      <w:rFonts w:ascii="Cambria Math" w:hAnsi="Cambria Math"/>
                    </w:rPr>
                  </m:ctrlPr>
                </m:dPr>
                <m:e/>
              </m:d>
            </m:sup>
          </m:sSup>
        </m:oMath>
      </m:oMathPara>
    </w:p>
    <w:p w14:paraId="28756321" w14:textId="77777777" w:rsidR="00803ECB" w:rsidRDefault="00ED1359">
      <w:pPr>
        <w:pStyle w:val="TextoABNT"/>
      </w:pPr>
      <w:r>
        <w:t>(9)</w:t>
      </w:r>
    </w:p>
    <w:p w14:paraId="3A68B2F1" w14:textId="77777777" w:rsidR="00803ECB" w:rsidRDefault="00ED1359">
      <w:pPr>
        <w:pStyle w:val="TextoABNT"/>
      </w:pPr>
      <w:r>
        <w:t>O horizonte máximo estimado é de 24 meses, mas a interpretação principal concentra-se até 12 meses. Essa escolha evita dar peso excessivo a horizontes muito longos, nos quais os intervalos de confiança tendem a se ampliar e a incerteza estatística aumenta.</w:t>
      </w:r>
    </w:p>
    <w:p w14:paraId="5DA5AC1A" w14:textId="77777777" w:rsidR="00803ECB" w:rsidRDefault="00ED1359">
      <w:pPr>
        <w:pStyle w:val="SubtituloABNT"/>
      </w:pPr>
      <w:bookmarkStart w:id="22" w:name="_Toc_1_3_0000000018"/>
      <w:r>
        <w:t>Controles, defasagens e inferência nas Local Projections</w:t>
      </w:r>
      <w:bookmarkEnd w:id="22"/>
    </w:p>
    <w:p w14:paraId="37C85882" w14:textId="77777777" w:rsidR="00803ECB" w:rsidRDefault="00ED1359">
      <w:pPr>
        <w:pStyle w:val="TextoABNT"/>
      </w:pPr>
      <w:r>
        <w:t>A matriz de controles das Local Projections inclui defasagens da variável dependente, defasagens do choque, defasagens dos controles macroeconômicos, dummies mensais e variáveis associadas a eventos específicos, como a pandemia. A estrutura geral dos controles pode ser representada por:</w:t>
      </w:r>
    </w:p>
    <w:p w14:paraId="1BF83EC2" w14:textId="77777777" w:rsidR="00803ECB" w:rsidRDefault="00ED1359">
      <w:pPr>
        <w:pStyle w:val="TextoABNT"/>
      </w:pPr>
      <m:oMathPara>
        <m:oMath>
          <m:r>
            <w:rPr>
              <w:rFonts w:ascii="Cambria Math" w:eastAsia="Cambria Math" w:hAnsi="Cambria Math" w:cs="Cambria Math"/>
            </w:rPr>
            <m:t>Z</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X</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D</m:t>
              </m:r>
            </m:e>
          </m:d>
        </m:oMath>
      </m:oMathPara>
    </w:p>
    <w:p w14:paraId="1D8C4F8D" w14:textId="77777777" w:rsidR="00803ECB" w:rsidRDefault="00ED1359">
      <w:pPr>
        <w:pStyle w:val="TextoABNT"/>
      </w:pPr>
      <w:r>
        <w:t>(10)</w:t>
      </w:r>
    </w:p>
    <w:p w14:paraId="2AD49B1B" w14:textId="77777777" w:rsidR="00803ECB" w:rsidRDefault="00ED1359">
      <w:pPr>
        <w:pStyle w:val="TextoABNT"/>
      </w:pPr>
      <w:r>
        <w:t xml:space="preserve">No modelo principal, utilizam-se três defasagens como especificação de referência. Essa escolha é parcimoniosa e busca equilibrar a captura da dinâmica mensal de curto prazo com a preservação de graus de liberdade, especialmente porque as </w:t>
      </w:r>
      <w:r>
        <w:lastRenderedPageBreak/>
        <w:t xml:space="preserve">respostas são estimadas separadamente para cada horizonte e porque algumas especificações são divididas por regimes. A escolha, porém, não deve ser interpretada como uma afirmação de que toda a inércia inflacionária brasileira se esgota em três meses. Por esse motivo, a especificação inclui dummies mensais, defasagens da variável dependente, defasagens do choque e controles macroeconômicos, além de inferência HAC/Newey-West. Em uma versão de submissão ou em extensões futuras, especificações com seis e doze </w:t>
      </w:r>
      <w:r>
        <w:t>defasagens devem ser reportadas como teste de sensibilidade, sobretudo para avaliar se a autocorrelação residual das Local Projections altera a significância dos resultados principais.</w:t>
      </w:r>
    </w:p>
    <w:p w14:paraId="394F2E34" w14:textId="77777777" w:rsidR="00803ECB" w:rsidRDefault="00ED1359">
      <w:pPr>
        <w:pStyle w:val="TextoABNT"/>
      </w:pPr>
      <w:r>
        <w:t>A inferência é realizada com erros-padrão robustos do tipo HAC/Newey-West. Essa escolha é apropriada porque, em Local Projections, os resíduos podem apresentar autocorrelação, principalmente quando a variável dependente é construída em horizontes futuros ou como resposta acumulada. O uso de HAC não substitui a necessidade de especificações bem escolhidas, mas reduz o risco de uma inferência excessivamente otimista diante de correlação serial remanescente. Assim, a leitura dos resultados combina sinal econôm</w:t>
      </w:r>
      <w:r>
        <w:t>ico, intervalo de confiança, estabilidade da trajetória e coerência entre especificações alternativas. O intervalo de confiança de 90% é dado por:</w:t>
      </w:r>
    </w:p>
    <w:p w14:paraId="2DAC611A" w14:textId="77777777" w:rsidR="00803ECB" w:rsidRDefault="00ED1359">
      <w:pPr>
        <w:pStyle w:val="TextoABNT"/>
      </w:pPr>
      <m:oMathPara>
        <m:oMath>
          <m:r>
            <w:rPr>
              <w:rFonts w:ascii="Cambria Math" w:eastAsia="Cambria Math" w:hAnsi="Cambria Math" w:cs="Cambria Math"/>
            </w:rPr>
            <m:t>IC</m:t>
          </m:r>
          <m:r>
            <w:rPr>
              <w:rFonts w:ascii="Cambria Math" w:eastAsia="Cambria Math" w:hAnsi="Cambria Math" w:cs="Cambria Math"/>
            </w:rPr>
            <m:t>=</m:t>
          </m:r>
          <m:r>
            <w:rPr>
              <w:rFonts w:ascii="Cambria Math" w:eastAsia="Cambria Math" w:hAnsi="Cambria Math" w:cs="Cambria Math"/>
            </w:rPr>
            <m:t>β</m:t>
          </m:r>
          <m:r>
            <w:rPr>
              <w:rFonts w:ascii="Cambria Math" w:eastAsia="Cambria Math" w:hAnsi="Cambria Math" w:cs="Cambria Math"/>
            </w:rPr>
            <m:t>±1,645⋅</m:t>
          </m:r>
          <m:r>
            <w:rPr>
              <w:rFonts w:ascii="Cambria Math" w:eastAsia="Cambria Math" w:hAnsi="Cambria Math" w:cs="Cambria Math"/>
            </w:rPr>
            <m:t>SEHAC</m:t>
          </m:r>
          <m:d>
            <m:dPr>
              <m:ctrlPr>
                <w:rPr>
                  <w:rFonts w:ascii="Cambria Math" w:hAnsi="Cambria Math"/>
                </w:rPr>
              </m:ctrlPr>
            </m:dPr>
            <m:e>
              <m:r>
                <w:rPr>
                  <w:rFonts w:ascii="Cambria Math" w:eastAsia="Cambria Math" w:hAnsi="Cambria Math" w:cs="Cambria Math"/>
                </w:rPr>
                <m:t>β</m:t>
              </m:r>
            </m:e>
          </m:d>
        </m:oMath>
      </m:oMathPara>
    </w:p>
    <w:p w14:paraId="4915DE9D" w14:textId="77777777" w:rsidR="00803ECB" w:rsidRDefault="00ED1359">
      <w:pPr>
        <w:pStyle w:val="TextoABNT"/>
      </w:pPr>
      <w:r>
        <w:t>(11)</w:t>
      </w:r>
    </w:p>
    <w:p w14:paraId="670A0167" w14:textId="77777777" w:rsidR="00803ECB" w:rsidRDefault="00ED1359">
      <w:pPr>
        <w:pStyle w:val="TextoABNT"/>
      </w:pPr>
      <w:r>
        <w:t>Os resultados devem ser avaliados por coeficiente, erro-padrão, estatística t, p-valor, intervalo de confiança e número de observações. Um resultado é considerado mais forte quando o intervalo de confiança não cruza o zero, quando o sinal é compatível com a teoria econômica e quando a trajetória estimada não apresenta explosões sem justificativa econômica.</w:t>
      </w:r>
    </w:p>
    <w:p w14:paraId="05E4BA7E" w14:textId="77777777" w:rsidR="00803ECB" w:rsidRDefault="00ED1359">
      <w:pPr>
        <w:pStyle w:val="SubtituloABNT"/>
      </w:pPr>
      <w:bookmarkStart w:id="23" w:name="_Toc_1_3_0000000019"/>
      <w:r>
        <w:t>Blocos de transmissão nas Local Projections</w:t>
      </w:r>
      <w:bookmarkEnd w:id="23"/>
    </w:p>
    <w:p w14:paraId="32D320BB" w14:textId="77777777" w:rsidR="00803ECB" w:rsidRDefault="00ED1359">
      <w:pPr>
        <w:pStyle w:val="TextoABNT"/>
      </w:pPr>
      <w:r>
        <w:t>As estimativas por Local Projections foram organizadas em quatro blocos. Essa divisão transforma os resultados em uma sequência econômica de transmissão, evitando que os gráficos sejam interpretados como relações isoladas.</w:t>
      </w:r>
    </w:p>
    <w:p w14:paraId="689B7F2C" w14:textId="77777777" w:rsidR="00803ECB" w:rsidRDefault="00ED1359">
      <w:pPr>
        <w:pStyle w:val="TextoABNT"/>
      </w:pPr>
      <w:r>
        <w:t>O Bloco A estima a transmissão do petróleo para os combustíveis domésticos:</w:t>
      </w:r>
    </w:p>
    <w:p w14:paraId="306AA1A3"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Δln</m:t>
          </m:r>
          <m:d>
            <m:dPr>
              <m:ctrlPr>
                <w:rPr>
                  <w:rFonts w:ascii="Cambria Math" w:hAnsi="Cambria Math"/>
                </w:rPr>
              </m:ctrlPr>
            </m:dPr>
            <m:e>
              <m:r>
                <w:rPr>
                  <w:rFonts w:ascii="Cambria Math" w:eastAsia="Cambria Math" w:hAnsi="Cambria Math" w:cs="Cambria Math"/>
                </w:rPr>
                <m:t>fuel</m:t>
              </m:r>
              <m:sSub>
                <m:sSubPr>
                  <m:ctrlPr>
                    <w:rPr>
                      <w:rFonts w:ascii="Cambria Math" w:hAnsi="Cambria Math"/>
                    </w:rPr>
                  </m:ctrlPr>
                </m:sSubPr>
                <m:e/>
                <m:sub>
                  <m:r>
                    <w:rPr>
                      <w:rFonts w:ascii="Cambria Math" w:eastAsia="Cambria Math" w:hAnsi="Cambria Math" w:cs="Cambria Math"/>
                    </w:rPr>
                    <m:t>+</m:t>
                  </m:r>
                </m:sub>
              </m:sSub>
            </m:e>
          </m:d>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βΔln</m:t>
          </m:r>
          <m:d>
            <m:dPr>
              <m:ctrlPr>
                <w:rPr>
                  <w:rFonts w:ascii="Cambria Math" w:hAnsi="Cambria Math"/>
                </w:rPr>
              </m:ctrlPr>
            </m:dPr>
            <m:e>
              <m:r>
                <w:rPr>
                  <w:rFonts w:ascii="Cambria Math" w:eastAsia="Cambria Math" w:hAnsi="Cambria Math" w:cs="Cambria Math"/>
                </w:rPr>
                <m:t>oil</m:t>
              </m:r>
            </m:e>
          </m:d>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ε</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05C7BE37" w14:textId="77777777" w:rsidR="00803ECB" w:rsidRDefault="00ED1359">
      <w:pPr>
        <w:pStyle w:val="TextoABNT"/>
      </w:pPr>
      <w:r>
        <w:t>(12)</w:t>
      </w:r>
    </w:p>
    <w:p w14:paraId="5AD8E8D8" w14:textId="77777777" w:rsidR="00803ECB" w:rsidRDefault="00ED1359">
      <w:pPr>
        <w:pStyle w:val="TextoABNT"/>
      </w:pPr>
      <w:r>
        <w:t>O Bloco B estima o efeito dos combustíveis sobre a inflação:</w:t>
      </w:r>
    </w:p>
    <w:p w14:paraId="4E698E65"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π</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θΔln</m:t>
          </m:r>
          <m:d>
            <m:dPr>
              <m:ctrlPr>
                <w:rPr>
                  <w:rFonts w:ascii="Cambria Math" w:hAnsi="Cambria Math"/>
                </w:rPr>
              </m:ctrlPr>
            </m:dPr>
            <m:e>
              <m:r>
                <w:rPr>
                  <w:rFonts w:ascii="Cambria Math" w:eastAsia="Cambria Math" w:hAnsi="Cambria Math" w:cs="Cambria Math"/>
                </w:rPr>
                <m:t>fuel</m:t>
              </m:r>
            </m:e>
          </m:d>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υ</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4288900F" w14:textId="77777777" w:rsidR="00803ECB" w:rsidRDefault="00ED1359">
      <w:pPr>
        <w:pStyle w:val="TextoABNT"/>
      </w:pPr>
      <w:r>
        <w:lastRenderedPageBreak/>
        <w:t>(13)</w:t>
      </w:r>
    </w:p>
    <w:p w14:paraId="0C0B6159" w14:textId="77777777" w:rsidR="00803ECB" w:rsidRDefault="00ED1359">
      <w:pPr>
        <w:pStyle w:val="TextoABNT"/>
      </w:pPr>
      <w:r>
        <w:t>Nessa equação, π_t^k representa o IPCA Geral ou o IPCA Transportes. A comparação entre essas duas respostas é central para o trabalho, pois o canal dos combustíveis deve aparecer com maior força no IPCA Transportes do que no índice agregado.</w:t>
      </w:r>
    </w:p>
    <w:p w14:paraId="2BA25B44" w14:textId="77777777" w:rsidR="00803ECB" w:rsidRDefault="00ED1359">
      <w:pPr>
        <w:pStyle w:val="TextoABNT"/>
      </w:pPr>
      <w:r>
        <w:t>O Bloco C estima o efeito do petróleo sobre a inflação com e sem controle pelos combustíveis. Primeiro, estima-se o efeito total:</w:t>
      </w:r>
    </w:p>
    <w:p w14:paraId="0E940192"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π</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βΔln</m:t>
          </m:r>
          <m:d>
            <m:dPr>
              <m:ctrlPr>
                <w:rPr>
                  <w:rFonts w:ascii="Cambria Math" w:hAnsi="Cambria Math"/>
                </w:rPr>
              </m:ctrlPr>
            </m:dPr>
            <m:e>
              <m:r>
                <w:rPr>
                  <w:rFonts w:ascii="Cambria Math" w:eastAsia="Cambria Math" w:hAnsi="Cambria Math" w:cs="Cambria Math"/>
                </w:rPr>
                <m:t>oil</m:t>
              </m:r>
            </m:e>
          </m:d>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e</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d>
                <m:dPr>
                  <m:ctrlPr>
                    <w:rPr>
                      <w:rFonts w:ascii="Cambria Math" w:hAnsi="Cambria Math"/>
                    </w:rPr>
                  </m:ctrlPr>
                </m:dPr>
                <m:e/>
              </m:d>
            </m:sup>
          </m:sSup>
        </m:oMath>
      </m:oMathPara>
    </w:p>
    <w:p w14:paraId="5F0CE48D" w14:textId="77777777" w:rsidR="00803ECB" w:rsidRDefault="00ED1359">
      <w:pPr>
        <w:pStyle w:val="TextoABNT"/>
      </w:pPr>
      <w:r>
        <w:t>(14)</w:t>
      </w:r>
    </w:p>
    <w:p w14:paraId="0CA8DD00" w14:textId="77777777" w:rsidR="00803ECB" w:rsidRDefault="00ED1359">
      <w:pPr>
        <w:pStyle w:val="TextoABNT"/>
      </w:pPr>
      <w:r>
        <w:t>Em seguida, inclui-se o combustível como controle para verificar se parte do efeito do petróleo ocorre por esse canal:</w:t>
      </w:r>
    </w:p>
    <w:p w14:paraId="4533126E"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π</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βΔln</m:t>
          </m:r>
          <m:d>
            <m:dPr>
              <m:ctrlPr>
                <w:rPr>
                  <w:rFonts w:ascii="Cambria Math" w:hAnsi="Cambria Math"/>
                </w:rPr>
              </m:ctrlPr>
            </m:dPr>
            <m:e>
              <m:r>
                <w:rPr>
                  <w:rFonts w:ascii="Cambria Math" w:eastAsia="Cambria Math" w:hAnsi="Cambria Math" w:cs="Cambria Math"/>
                </w:rPr>
                <m:t>oil</m:t>
              </m:r>
            </m:e>
          </m:d>
          <m:r>
            <w:rPr>
              <w:rFonts w:ascii="Cambria Math" w:eastAsia="Cambria Math" w:hAnsi="Cambria Math" w:cs="Cambria Math"/>
            </w:rPr>
            <m:t>+</m:t>
          </m:r>
          <m:r>
            <w:rPr>
              <w:rFonts w:ascii="Cambria Math" w:eastAsia="Cambria Math" w:hAnsi="Cambria Math" w:cs="Cambria Math"/>
            </w:rPr>
            <m:t>δΔln</m:t>
          </m:r>
          <m:d>
            <m:dPr>
              <m:ctrlPr>
                <w:rPr>
                  <w:rFonts w:ascii="Cambria Math" w:hAnsi="Cambria Math"/>
                </w:rPr>
              </m:ctrlPr>
            </m:dPr>
            <m:e>
              <m:r>
                <w:rPr>
                  <w:rFonts w:ascii="Cambria Math" w:eastAsia="Cambria Math" w:hAnsi="Cambria Math" w:cs="Cambria Math"/>
                </w:rPr>
                <m:t>fuel</m:t>
              </m:r>
            </m:e>
          </m:d>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e</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d>
                <m:dPr>
                  <m:ctrlPr>
                    <w:rPr>
                      <w:rFonts w:ascii="Cambria Math" w:hAnsi="Cambria Math"/>
                    </w:rPr>
                  </m:ctrlPr>
                </m:dPr>
                <m:e/>
              </m:d>
            </m:sup>
          </m:sSup>
        </m:oMath>
      </m:oMathPara>
    </w:p>
    <w:p w14:paraId="5356E019" w14:textId="77777777" w:rsidR="00803ECB" w:rsidRDefault="00ED1359">
      <w:pPr>
        <w:pStyle w:val="TextoABNT"/>
      </w:pPr>
      <w:r>
        <w:t>(15)</w:t>
      </w:r>
    </w:p>
    <w:p w14:paraId="46E00CA1" w14:textId="77777777" w:rsidR="00803ECB" w:rsidRDefault="00ED1359">
      <w:pPr>
        <w:pStyle w:val="TextoABNT"/>
      </w:pPr>
      <w:r>
        <w:t>Se o coeficiente β_h diminuir após a inclusão do combustível, há evidência de que parte do impacto do petróleo sobre a inflação é mediada pelos preços domésticos dos combustíveis.</w:t>
      </w:r>
    </w:p>
    <w:p w14:paraId="1C514565" w14:textId="77777777" w:rsidR="00803ECB" w:rsidRDefault="00ED1359">
      <w:pPr>
        <w:pStyle w:val="TextoABNT"/>
      </w:pPr>
      <w:r>
        <w:t>O Bloco D compara regimes associados à política de preços da Petrobras. A forma geral é:</w:t>
      </w:r>
    </w:p>
    <w:p w14:paraId="74E0036A" w14:textId="77777777" w:rsidR="00803ECB" w:rsidRDefault="00ED1359">
      <w:pPr>
        <w:pStyle w:val="TextoABNT"/>
      </w:pPr>
      <m:oMathPara>
        <m:oMath>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D</m:t>
              </m:r>
            </m:e>
          </m:d>
          <m:r>
            <w:rPr>
              <w:rFonts w:ascii="Cambria Math" w:eastAsia="Cambria Math" w:hAnsi="Cambria Math" w:cs="Cambria Math"/>
            </w:rPr>
            <m:t>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βs</m:t>
          </m:r>
          <m:r>
            <w:rPr>
              <w:rFonts w:ascii="Cambria Math" w:eastAsia="Cambria Math" w:hAnsi="Cambria Math" w:cs="Cambria Math"/>
            </w:rPr>
            <m:t>h</m:t>
          </m:r>
          <m:r>
            <w:rPr>
              <w:rFonts w:ascii="Cambria Math" w:eastAsia="Cambria Math" w:hAnsi="Cambria Math" w:cs="Cambria Math"/>
            </w:rPr>
            <m:t>ock</m:t>
          </m:r>
          <m:r>
            <w:rPr>
              <w:rFonts w:ascii="Cambria Math" w:eastAsia="Cambria Math" w:hAnsi="Cambria Math" w:cs="Cambria Math"/>
            </w:rPr>
            <m:t>+</m:t>
          </m:r>
          <m:r>
            <w:rPr>
              <w:rFonts w:ascii="Cambria Math" w:eastAsia="Cambria Math" w:hAnsi="Cambria Math" w:cs="Cambria Math"/>
            </w:rPr>
            <m:t>Γ</m:t>
          </m:r>
          <m:d>
            <m:dPr>
              <m:ctrlPr>
                <w:rPr>
                  <w:rFonts w:ascii="Cambria Math" w:hAnsi="Cambria Math"/>
                </w:rPr>
              </m:ctrlPr>
            </m:dPr>
            <m:e>
              <m:r>
                <w:rPr>
                  <w:rFonts w:ascii="Cambria Math" w:eastAsia="Cambria Math" w:hAnsi="Cambria Math" w:cs="Cambria Math"/>
                </w:rPr>
                <m:t>L</m:t>
              </m:r>
            </m:e>
          </m:d>
          <m:r>
            <w:rPr>
              <w:rFonts w:ascii="Cambria Math" w:eastAsia="Cambria Math" w:hAnsi="Cambria Math" w:cs="Cambria Math"/>
            </w:rPr>
            <m:t>Z</m:t>
          </m:r>
          <m:r>
            <w:rPr>
              <w:rFonts w:ascii="Cambria Math" w:eastAsia="Cambria Math" w:hAnsi="Cambria Math" w:cs="Cambria Math"/>
            </w:rPr>
            <m:t>+</m:t>
          </m:r>
          <m:r>
            <w:rPr>
              <w:rFonts w:ascii="Cambria Math" w:eastAsia="Cambria Math" w:hAnsi="Cambria Math" w:cs="Cambria Math"/>
            </w:rPr>
            <m:t>u</m:t>
          </m:r>
          <m:sSub>
            <m:sSubPr>
              <m:ctrlPr>
                <w:rPr>
                  <w:rFonts w:ascii="Cambria Math" w:hAnsi="Cambria Math"/>
                </w:rPr>
              </m:ctrlPr>
            </m:sSubPr>
            <m:e/>
            <m:sub>
              <m:r>
                <w:rPr>
                  <w:rFonts w:ascii="Cambria Math" w:eastAsia="Cambria Math" w:hAnsi="Cambria Math" w:cs="Cambria Math"/>
                </w:rPr>
                <m:t>+</m:t>
              </m:r>
            </m:sub>
          </m:sSub>
          <m:sSup>
            <m:sSupPr>
              <m:ctrlPr>
                <w:rPr>
                  <w:rFonts w:ascii="Cambria Math" w:hAnsi="Cambria Math"/>
                </w:rPr>
              </m:ctrlPr>
            </m:sSupPr>
            <m:e/>
            <m:sup>
              <m:r>
                <w:rPr>
                  <w:rFonts w:ascii="Cambria Math" w:eastAsia="Cambria Math" w:hAnsi="Cambria Math" w:cs="Cambria Math"/>
                </w:rPr>
                <m:t>(</m:t>
              </m:r>
            </m:sup>
          </m:sSup>
          <m:sSup>
            <m:sSupPr>
              <m:ctrlPr>
                <w:rPr>
                  <w:rFonts w:ascii="Cambria Math" w:hAnsi="Cambria Math"/>
                </w:rPr>
              </m:ctrlPr>
            </m:sSupPr>
            <m:e/>
            <m:sup>
              <m:r>
                <w:rPr>
                  <w:rFonts w:ascii="Cambria Math" w:eastAsia="Cambria Math" w:hAnsi="Cambria Math" w:cs="Cambria Math"/>
                </w:rPr>
                <m:t>)</m:t>
              </m:r>
            </m:sup>
          </m:sSup>
        </m:oMath>
      </m:oMathPara>
    </w:p>
    <w:p w14:paraId="50EFDD89" w14:textId="77777777" w:rsidR="00803ECB" w:rsidRDefault="00ED1359">
      <w:pPr>
        <w:pStyle w:val="TextoABNT"/>
      </w:pPr>
      <w:r>
        <w:t>(16)</w:t>
      </w:r>
    </w:p>
    <w:p w14:paraId="1D12BD7E" w14:textId="77777777" w:rsidR="00803ECB" w:rsidRDefault="00ED1359">
      <w:pPr>
        <w:pStyle w:val="TextoABNT"/>
      </w:pPr>
      <w:r>
        <w:t>A variável D_t identifica o período posterior à mudança de regime. A comparação entre β_h^ e β_h^ permite avaliar se a intensidade do repasse se altera entre períodos de maior contenção e períodos de maior alinhamento aos preços internacionais.</w:t>
      </w:r>
    </w:p>
    <w:p w14:paraId="72FC53C0" w14:textId="77777777" w:rsidR="00803ECB" w:rsidRDefault="00ED1359">
      <w:pPr>
        <w:pStyle w:val="SubtituloABNT"/>
      </w:pPr>
      <w:bookmarkStart w:id="24" w:name="_Toc_1_3_0000000020"/>
      <w:r>
        <w:t>Quadro 2 - Blocos de estimação das Local Projections</w:t>
      </w:r>
      <w:bookmarkEnd w:id="24"/>
    </w:p>
    <w:p w14:paraId="5525E9CE" w14:textId="77777777" w:rsidR="00803ECB" w:rsidRDefault="00ED1359">
      <w:pPr>
        <w:pStyle w:val="LegendaIlustracao"/>
      </w:pPr>
      <w:bookmarkStart w:id="25" w:name="_Toc_1_9_0000000053"/>
      <w:r>
        <w:t xml:space="preserve">Tabela </w:t>
      </w:r>
      <w:r>
        <w:fldChar w:fldCharType="begin"/>
      </w:r>
      <w:r>
        <w:instrText>SEQ Tabela</w:instrText>
      </w:r>
      <w:r>
        <w:fldChar w:fldCharType="separate"/>
      </w:r>
      <w:r>
        <w:t>3</w:t>
      </w:r>
      <w:r>
        <w:fldChar w:fldCharType="end"/>
      </w:r>
      <w:r>
        <w:t xml:space="preserve"> – Estrutura dos blocos de análise e relações estimadas no modelo de repasse de preços</w:t>
      </w:r>
      <w:bookmarkEnd w:id="25"/>
    </w:p>
    <w:tbl>
      <w:tblPr>
        <w:tblW w:w="5000" w:type="pct"/>
        <w:tblLook w:val="0600" w:firstRow="0" w:lastRow="0" w:firstColumn="0" w:lastColumn="0" w:noHBand="1" w:noVBand="1"/>
      </w:tblPr>
      <w:tblGrid>
        <w:gridCol w:w="717"/>
        <w:gridCol w:w="4138"/>
        <w:gridCol w:w="4216"/>
      </w:tblGrid>
      <w:tr w:rsidR="00803ECB" w14:paraId="4C09E89B" w14:textId="77777777">
        <w:tc>
          <w:tcPr>
            <w:tcW w:w="0" w:type="auto"/>
            <w:tcBorders>
              <w:top w:val="single" w:sz="4" w:space="0" w:color="auto"/>
              <w:bottom w:val="single" w:sz="4" w:space="0" w:color="auto"/>
            </w:tcBorders>
            <w:vAlign w:val="center"/>
          </w:tcPr>
          <w:p w14:paraId="2A8763D2" w14:textId="77777777" w:rsidR="00803ECB" w:rsidRDefault="00ED1359">
            <w:pPr>
              <w:pStyle w:val="TextoABNT"/>
              <w:ind w:firstLine="0"/>
              <w:rPr>
                <w:rFonts w:eastAsia="Arial" w:cs="Arial"/>
                <w:sz w:val="20"/>
              </w:rPr>
            </w:pPr>
            <w:r>
              <w:rPr>
                <w:rFonts w:eastAsia="Arial" w:cs="Arial"/>
                <w:sz w:val="20"/>
              </w:rPr>
              <w:t>Bloco</w:t>
            </w:r>
          </w:p>
        </w:tc>
        <w:tc>
          <w:tcPr>
            <w:tcW w:w="0" w:type="auto"/>
            <w:tcBorders>
              <w:top w:val="single" w:sz="4" w:space="0" w:color="auto"/>
              <w:bottom w:val="single" w:sz="4" w:space="0" w:color="auto"/>
            </w:tcBorders>
            <w:vAlign w:val="center"/>
          </w:tcPr>
          <w:p w14:paraId="270D3CEB" w14:textId="77777777" w:rsidR="00803ECB" w:rsidRDefault="00ED1359">
            <w:pPr>
              <w:pStyle w:val="TextoABNT"/>
              <w:ind w:firstLine="0"/>
              <w:rPr>
                <w:rFonts w:eastAsia="Arial" w:cs="Arial"/>
                <w:sz w:val="20"/>
              </w:rPr>
            </w:pPr>
            <w:r>
              <w:rPr>
                <w:rFonts w:eastAsia="Arial" w:cs="Arial"/>
                <w:sz w:val="20"/>
              </w:rPr>
              <w:t>Pergunta econômica</w:t>
            </w:r>
          </w:p>
        </w:tc>
        <w:tc>
          <w:tcPr>
            <w:tcW w:w="0" w:type="auto"/>
            <w:tcBorders>
              <w:top w:val="single" w:sz="4" w:space="0" w:color="auto"/>
              <w:bottom w:val="single" w:sz="4" w:space="0" w:color="auto"/>
            </w:tcBorders>
            <w:vAlign w:val="center"/>
          </w:tcPr>
          <w:p w14:paraId="41E6BDBE" w14:textId="77777777" w:rsidR="00803ECB" w:rsidRDefault="00ED1359">
            <w:pPr>
              <w:pStyle w:val="TextoABNT"/>
              <w:ind w:firstLine="0"/>
              <w:rPr>
                <w:rFonts w:eastAsia="Arial" w:cs="Arial"/>
                <w:sz w:val="20"/>
              </w:rPr>
            </w:pPr>
            <w:r>
              <w:rPr>
                <w:rFonts w:eastAsia="Arial" w:cs="Arial"/>
                <w:sz w:val="20"/>
              </w:rPr>
              <w:t>Relação estimada</w:t>
            </w:r>
          </w:p>
        </w:tc>
      </w:tr>
      <w:tr w:rsidR="00803ECB" w14:paraId="3378A35E" w14:textId="77777777">
        <w:tc>
          <w:tcPr>
            <w:tcW w:w="0" w:type="auto"/>
            <w:tcBorders>
              <w:top w:val="single" w:sz="4" w:space="0" w:color="auto"/>
            </w:tcBorders>
            <w:vAlign w:val="center"/>
          </w:tcPr>
          <w:p w14:paraId="332D6032" w14:textId="77777777" w:rsidR="00803ECB" w:rsidRDefault="00ED1359">
            <w:pPr>
              <w:pStyle w:val="TextoABNT"/>
              <w:ind w:firstLine="0"/>
              <w:rPr>
                <w:rFonts w:eastAsia="Arial" w:cs="Arial"/>
                <w:sz w:val="20"/>
              </w:rPr>
            </w:pPr>
            <w:r>
              <w:rPr>
                <w:rFonts w:eastAsia="Arial" w:cs="Arial"/>
                <w:sz w:val="20"/>
              </w:rPr>
              <w:t>A</w:t>
            </w:r>
          </w:p>
        </w:tc>
        <w:tc>
          <w:tcPr>
            <w:tcW w:w="0" w:type="auto"/>
            <w:tcBorders>
              <w:top w:val="single" w:sz="4" w:space="0" w:color="auto"/>
            </w:tcBorders>
            <w:vAlign w:val="center"/>
          </w:tcPr>
          <w:p w14:paraId="6ED0287E" w14:textId="77777777" w:rsidR="00803ECB" w:rsidRDefault="00ED1359">
            <w:pPr>
              <w:pStyle w:val="TextoABNT"/>
              <w:ind w:firstLine="0"/>
              <w:rPr>
                <w:rFonts w:eastAsia="Arial" w:cs="Arial"/>
                <w:sz w:val="20"/>
              </w:rPr>
            </w:pPr>
            <w:r>
              <w:rPr>
                <w:rFonts w:eastAsia="Arial" w:cs="Arial"/>
                <w:sz w:val="20"/>
              </w:rPr>
              <w:t>O petróleo internacional afeta combustíveis domésticos?</w:t>
            </w:r>
          </w:p>
        </w:tc>
        <w:tc>
          <w:tcPr>
            <w:tcW w:w="0" w:type="auto"/>
            <w:tcBorders>
              <w:top w:val="single" w:sz="4" w:space="0" w:color="auto"/>
            </w:tcBorders>
            <w:vAlign w:val="center"/>
          </w:tcPr>
          <w:p w14:paraId="42AE4ACE" w14:textId="77777777" w:rsidR="00803ECB" w:rsidRDefault="00ED1359">
            <w:pPr>
              <w:pStyle w:val="TextoABNT"/>
              <w:ind w:firstLine="0"/>
              <w:rPr>
                <w:rFonts w:eastAsia="Arial" w:cs="Arial"/>
                <w:sz w:val="20"/>
              </w:rPr>
            </w:pPr>
            <w:r>
              <w:rPr>
                <w:rFonts w:eastAsia="Arial" w:cs="Arial"/>
                <w:sz w:val="20"/>
              </w:rPr>
              <w:t>Petróleo → gasolina, etanol, diesel e gasolina na refinaria</w:t>
            </w:r>
          </w:p>
        </w:tc>
      </w:tr>
      <w:tr w:rsidR="00803ECB" w14:paraId="1107C7BE" w14:textId="77777777">
        <w:tc>
          <w:tcPr>
            <w:tcW w:w="0" w:type="auto"/>
            <w:vAlign w:val="center"/>
          </w:tcPr>
          <w:p w14:paraId="36202185" w14:textId="77777777" w:rsidR="00803ECB" w:rsidRDefault="00ED1359">
            <w:pPr>
              <w:pStyle w:val="TextoABNT"/>
              <w:ind w:firstLine="0"/>
              <w:rPr>
                <w:rFonts w:eastAsia="Arial" w:cs="Arial"/>
                <w:sz w:val="20"/>
              </w:rPr>
            </w:pPr>
            <w:r>
              <w:rPr>
                <w:rFonts w:eastAsia="Arial" w:cs="Arial"/>
                <w:sz w:val="20"/>
              </w:rPr>
              <w:t>B</w:t>
            </w:r>
          </w:p>
        </w:tc>
        <w:tc>
          <w:tcPr>
            <w:tcW w:w="0" w:type="auto"/>
            <w:vAlign w:val="center"/>
          </w:tcPr>
          <w:p w14:paraId="09B2B307" w14:textId="77777777" w:rsidR="00803ECB" w:rsidRDefault="00ED1359">
            <w:pPr>
              <w:pStyle w:val="TextoABNT"/>
              <w:ind w:firstLine="0"/>
              <w:rPr>
                <w:rFonts w:eastAsia="Arial" w:cs="Arial"/>
                <w:sz w:val="20"/>
              </w:rPr>
            </w:pPr>
            <w:r>
              <w:rPr>
                <w:rFonts w:eastAsia="Arial" w:cs="Arial"/>
                <w:sz w:val="20"/>
              </w:rPr>
              <w:t>Combustíveis afetam inflação?</w:t>
            </w:r>
          </w:p>
        </w:tc>
        <w:tc>
          <w:tcPr>
            <w:tcW w:w="0" w:type="auto"/>
            <w:vAlign w:val="center"/>
          </w:tcPr>
          <w:p w14:paraId="278AC080" w14:textId="77777777" w:rsidR="00803ECB" w:rsidRDefault="00ED1359">
            <w:pPr>
              <w:pStyle w:val="TextoABNT"/>
              <w:ind w:firstLine="0"/>
              <w:rPr>
                <w:rFonts w:eastAsia="Arial" w:cs="Arial"/>
                <w:sz w:val="20"/>
              </w:rPr>
            </w:pPr>
            <w:r>
              <w:rPr>
                <w:rFonts w:eastAsia="Arial" w:cs="Arial"/>
                <w:sz w:val="20"/>
              </w:rPr>
              <w:t>Combustíveis → IPCA Geral e IPCA Transportes</w:t>
            </w:r>
          </w:p>
        </w:tc>
      </w:tr>
      <w:tr w:rsidR="00803ECB" w14:paraId="52A603A5" w14:textId="77777777">
        <w:tc>
          <w:tcPr>
            <w:tcW w:w="0" w:type="auto"/>
            <w:vAlign w:val="center"/>
          </w:tcPr>
          <w:p w14:paraId="7286844F" w14:textId="77777777" w:rsidR="00803ECB" w:rsidRDefault="00ED1359">
            <w:pPr>
              <w:pStyle w:val="TextoABNT"/>
              <w:ind w:firstLine="0"/>
              <w:rPr>
                <w:rFonts w:eastAsia="Arial" w:cs="Arial"/>
                <w:sz w:val="20"/>
              </w:rPr>
            </w:pPr>
            <w:r>
              <w:rPr>
                <w:rFonts w:eastAsia="Arial" w:cs="Arial"/>
                <w:sz w:val="20"/>
              </w:rPr>
              <w:t>C</w:t>
            </w:r>
          </w:p>
        </w:tc>
        <w:tc>
          <w:tcPr>
            <w:tcW w:w="0" w:type="auto"/>
            <w:vAlign w:val="center"/>
          </w:tcPr>
          <w:p w14:paraId="2D8EC50F" w14:textId="77777777" w:rsidR="00803ECB" w:rsidRDefault="00ED1359">
            <w:pPr>
              <w:pStyle w:val="TextoABNT"/>
              <w:ind w:firstLine="0"/>
              <w:rPr>
                <w:rFonts w:eastAsia="Arial" w:cs="Arial"/>
                <w:sz w:val="20"/>
              </w:rPr>
            </w:pPr>
            <w:r>
              <w:rPr>
                <w:rFonts w:eastAsia="Arial" w:cs="Arial"/>
                <w:sz w:val="20"/>
              </w:rPr>
              <w:t>O efeito do petróleo passa pelos combustíveis?</w:t>
            </w:r>
          </w:p>
        </w:tc>
        <w:tc>
          <w:tcPr>
            <w:tcW w:w="0" w:type="auto"/>
            <w:vAlign w:val="center"/>
          </w:tcPr>
          <w:p w14:paraId="592A9BC0" w14:textId="77777777" w:rsidR="00803ECB" w:rsidRDefault="00ED1359">
            <w:pPr>
              <w:pStyle w:val="TextoABNT"/>
              <w:ind w:firstLine="0"/>
              <w:rPr>
                <w:rFonts w:eastAsia="Arial" w:cs="Arial"/>
                <w:sz w:val="20"/>
              </w:rPr>
            </w:pPr>
            <w:r>
              <w:rPr>
                <w:rFonts w:eastAsia="Arial" w:cs="Arial"/>
                <w:sz w:val="20"/>
              </w:rPr>
              <w:t>Petróleo → inflação com e sem controle por combustíveis</w:t>
            </w:r>
          </w:p>
        </w:tc>
      </w:tr>
      <w:tr w:rsidR="00803ECB" w14:paraId="69B73FA9" w14:textId="77777777">
        <w:tc>
          <w:tcPr>
            <w:tcW w:w="0" w:type="auto"/>
            <w:tcBorders>
              <w:bottom w:val="single" w:sz="4" w:space="0" w:color="auto"/>
            </w:tcBorders>
            <w:vAlign w:val="center"/>
          </w:tcPr>
          <w:p w14:paraId="45E6A430" w14:textId="77777777" w:rsidR="00803ECB" w:rsidRDefault="00ED1359">
            <w:pPr>
              <w:pStyle w:val="TextoABNT"/>
              <w:ind w:firstLine="0"/>
              <w:rPr>
                <w:rFonts w:eastAsia="Arial" w:cs="Arial"/>
                <w:sz w:val="20"/>
              </w:rPr>
            </w:pPr>
            <w:r>
              <w:rPr>
                <w:rFonts w:eastAsia="Arial" w:cs="Arial"/>
                <w:sz w:val="20"/>
              </w:rPr>
              <w:t>D</w:t>
            </w:r>
          </w:p>
        </w:tc>
        <w:tc>
          <w:tcPr>
            <w:tcW w:w="0" w:type="auto"/>
            <w:tcBorders>
              <w:bottom w:val="single" w:sz="4" w:space="0" w:color="auto"/>
            </w:tcBorders>
            <w:vAlign w:val="center"/>
          </w:tcPr>
          <w:p w14:paraId="3C3597B6" w14:textId="77777777" w:rsidR="00803ECB" w:rsidRDefault="00ED1359">
            <w:pPr>
              <w:pStyle w:val="TextoABNT"/>
              <w:ind w:firstLine="0"/>
              <w:rPr>
                <w:rFonts w:eastAsia="Arial" w:cs="Arial"/>
                <w:sz w:val="20"/>
              </w:rPr>
            </w:pPr>
            <w:r>
              <w:rPr>
                <w:rFonts w:eastAsia="Arial" w:cs="Arial"/>
                <w:sz w:val="20"/>
              </w:rPr>
              <w:t>O repasse muda por regime de preços?</w:t>
            </w:r>
          </w:p>
        </w:tc>
        <w:tc>
          <w:tcPr>
            <w:tcW w:w="0" w:type="auto"/>
            <w:tcBorders>
              <w:bottom w:val="single" w:sz="4" w:space="0" w:color="auto"/>
            </w:tcBorders>
            <w:vAlign w:val="center"/>
          </w:tcPr>
          <w:p w14:paraId="6F09E586" w14:textId="77777777" w:rsidR="00803ECB" w:rsidRDefault="00ED1359">
            <w:pPr>
              <w:pStyle w:val="TextoABNT"/>
              <w:ind w:firstLine="0"/>
              <w:rPr>
                <w:rFonts w:eastAsia="Arial" w:cs="Arial"/>
                <w:sz w:val="20"/>
              </w:rPr>
            </w:pPr>
            <w:r>
              <w:rPr>
                <w:rFonts w:eastAsia="Arial" w:cs="Arial"/>
                <w:sz w:val="20"/>
              </w:rPr>
              <w:t>Comparação entre subperíodos associados à Petrobras</w:t>
            </w:r>
          </w:p>
        </w:tc>
      </w:tr>
    </w:tbl>
    <w:p w14:paraId="36122B82" w14:textId="77777777" w:rsidR="00803ECB" w:rsidRDefault="00ED1359">
      <w:pPr>
        <w:pStyle w:val="FonteFigura"/>
        <w:jc w:val="center"/>
      </w:pPr>
      <w:r>
        <w:lastRenderedPageBreak/>
        <w:t>Fonte: Elaboração própria.</w:t>
      </w:r>
    </w:p>
    <w:p w14:paraId="721BF064" w14:textId="77777777" w:rsidR="00803ECB" w:rsidRDefault="00ED1359">
      <w:pPr>
        <w:pStyle w:val="SubtituloABNT"/>
      </w:pPr>
      <w:bookmarkStart w:id="26" w:name="_Toc_1_3_0000000021"/>
      <w:r>
        <w:t>Modelo VAR como exercício de robustez</w:t>
      </w:r>
      <w:bookmarkEnd w:id="26"/>
    </w:p>
    <w:p w14:paraId="34E22830" w14:textId="77777777" w:rsidR="00803ECB" w:rsidRDefault="00ED1359">
      <w:pPr>
        <w:pStyle w:val="TextoABNT"/>
      </w:pPr>
      <w:r>
        <w:t>O VAR é utilizado como exercício de robustez. A sigla VAR significa Vetor Autorregressivo. Diferentemente de uma regressão de equação única, o VAR estima um sistema no qual todas as variáveis endógenas são explicadas por suas próprias defasagens e pelas defasagens das demais variáveis do sistema. Assim, o modelo permite analisar as interações dinâmicas entre petróleo, câmbio, combustíveis, atividade, expectativas, Selic e inflação.</w:t>
      </w:r>
    </w:p>
    <w:p w14:paraId="632C76A7" w14:textId="77777777" w:rsidR="00803ECB" w:rsidRDefault="00ED1359">
      <w:pPr>
        <w:pStyle w:val="TextoABNT"/>
      </w:pPr>
      <w:r>
        <w:t>A forma geral de um VAR(p) com controles exógenos é:</w:t>
      </w:r>
    </w:p>
    <w:p w14:paraId="3BD0CDDE" w14:textId="77777777" w:rsidR="00803ECB" w:rsidRDefault="00ED1359">
      <w:pPr>
        <w:pStyle w:val="TextoABNT"/>
      </w:pPr>
      <m:oMathPara>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Y</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AY</m:t>
          </m:r>
          <m:sSub>
            <m:sSubPr>
              <m:ctrlPr>
                <w:rPr>
                  <w:rFonts w:ascii="Cambria Math" w:hAnsi="Cambria Math"/>
                </w:rPr>
              </m:ctrlPr>
            </m:sSubPr>
            <m:e/>
            <m:sub>
              <m:r>
                <w:rPr>
                  <w:rFonts w:ascii="Cambria Math" w:eastAsia="Cambria Math" w:hAnsi="Cambria Math" w:cs="Cambria Math"/>
                </w:rPr>
                <m:t>-</m:t>
              </m:r>
            </m:sub>
          </m:sSub>
          <m:r>
            <w:rPr>
              <w:rFonts w:ascii="Cambria Math" w:eastAsia="Cambria Math" w:hAnsi="Cambria Math" w:cs="Cambria Math"/>
            </w:rPr>
            <m:t>+</m:t>
          </m:r>
          <m:r>
            <w:rPr>
              <w:rFonts w:ascii="Cambria Math" w:eastAsia="Cambria Math" w:hAnsi="Cambria Math" w:cs="Cambria Math"/>
            </w:rPr>
            <m:t>BX</m:t>
          </m:r>
          <m:r>
            <w:rPr>
              <w:rFonts w:ascii="Cambria Math" w:eastAsia="Cambria Math" w:hAnsi="Cambria Math" w:cs="Cambria Math"/>
            </w:rPr>
            <m:t>+</m:t>
          </m:r>
          <m:r>
            <w:rPr>
              <w:rFonts w:ascii="Cambria Math" w:eastAsia="Cambria Math" w:hAnsi="Cambria Math" w:cs="Cambria Math"/>
            </w:rPr>
            <m:t>u</m:t>
          </m:r>
        </m:oMath>
      </m:oMathPara>
    </w:p>
    <w:p w14:paraId="54769863" w14:textId="77777777" w:rsidR="00803ECB" w:rsidRDefault="00ED1359">
      <w:pPr>
        <w:pStyle w:val="TextoABNT"/>
      </w:pPr>
      <w:r>
        <w:t>(17)</w:t>
      </w:r>
    </w:p>
    <w:p w14:paraId="64C0E687" w14:textId="77777777" w:rsidR="00803ECB" w:rsidRDefault="00ED1359">
      <w:pPr>
        <w:pStyle w:val="TextoABNT"/>
      </w:pPr>
      <w:r>
        <w:t xml:space="preserve">Em que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m:t>
            </m:r>
          </m:sub>
        </m:sSub>
      </m:oMath>
      <w:r>
        <w:t xml:space="preserve"> é o vetor de variáveis endógenas, </w:t>
      </w:r>
      <m:oMath>
        <m:r>
          <w:rPr>
            <w:rFonts w:ascii="Cambria Math" w:eastAsia="Cambria Math" w:hAnsi="Cambria Math" w:cs="Cambria Math"/>
          </w:rPr>
          <m:t>c</m:t>
        </m:r>
      </m:oMath>
      <w:r>
        <w:t xml:space="preserve"> é o vetor de constantes,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i</m:t>
            </m:r>
          </m:sub>
        </m:sSub>
      </m:oMath>
      <w:r>
        <w:t xml:space="preserve"> são matrizes de coeficientes autorregressivos,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oMath>
      <w:r>
        <w:t xml:space="preserve"> representa variáveis exógenas, </w:t>
      </w:r>
      <m:oMath>
        <m:r>
          <w:rPr>
            <w:rFonts w:ascii="Cambria Math" w:eastAsia="Cambria Math" w:hAnsi="Cambria Math" w:cs="Cambria Math"/>
          </w:rPr>
          <m:t>B</m:t>
        </m:r>
      </m:oMath>
      <w:r>
        <w:t xml:space="preserve"> é a matriz associada a esses controles e </w:t>
      </w: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t</m:t>
            </m:r>
          </m:sub>
        </m:sSub>
      </m:oMath>
      <w:r>
        <w:t xml:space="preserve"> é o vetor de resíduos. No VAR, o vetor endógeno básico é organizado como:</w:t>
      </w:r>
    </w:p>
    <w:p w14:paraId="5758BDB5" w14:textId="77777777" w:rsidR="00803ECB" w:rsidRDefault="00ED1359">
      <w:pPr>
        <w:pStyle w:val="TextoABNT"/>
      </w:pPr>
      <w:r>
        <w:t>Yₜ = [Δln(oilₜ), Δln(cambioₜ), Δln(fuelₜ), Δln(atividadeₜ), Δln(expectativaₜ), ln(Selicₜ), Δln(IPCAₜ)]′ (18)</w:t>
      </w:r>
    </w:p>
    <w:p w14:paraId="02729B7B" w14:textId="77777777" w:rsidR="00803ECB" w:rsidRDefault="00ED1359">
      <w:pPr>
        <w:pStyle w:val="TextoABNT"/>
      </w:pPr>
      <w:r>
        <w:t>O combustível e a medida de inflação variam conforme a especificação. Assim, são estimados sistemas para gasolina, etanol, diesel e gasolina na refinaria, combinados com IPCA Geral e IPCA Transportes. O modelo também é estimado nas subamostras 2003-2014 e 2015-2026, permitindo avaliar diferenças associadas aos regimes de precificação da Petrobras.</w:t>
      </w:r>
    </w:p>
    <w:p w14:paraId="01C35F2E" w14:textId="77777777" w:rsidR="00803ECB" w:rsidRDefault="00ED1359">
      <w:pPr>
        <w:pStyle w:val="TextoABNT"/>
      </w:pPr>
      <w:r>
        <w:t>A escolha do número de defasagens é feita por critérios de informação, com limite máximo de 12 defasagens. A regra geral pode ser representada por:</w:t>
      </w:r>
    </w:p>
    <w:p w14:paraId="3F27229B" w14:textId="77777777" w:rsidR="00803ECB" w:rsidRDefault="00ED1359">
      <w:pPr>
        <w:pStyle w:val="TextoABNT"/>
      </w:pPr>
      <m:oMathPara>
        <m:oMath>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m:t>
          </m:r>
          <m:r>
            <w:rPr>
              <w:rFonts w:ascii="Cambria Math" w:eastAsia="Cambria Math" w:hAnsi="Cambria Math" w:cs="Cambria Math"/>
            </w:rPr>
            <m:t>argminIC</m:t>
          </m:r>
          <m:d>
            <m:dPr>
              <m:ctrlPr>
                <w:rPr>
                  <w:rFonts w:ascii="Cambria Math" w:hAnsi="Cambria Math"/>
                </w:rPr>
              </m:ctrlPr>
            </m:dPr>
            <m:e>
              <m:r>
                <w:rPr>
                  <w:rFonts w:ascii="Cambria Math" w:eastAsia="Cambria Math" w:hAnsi="Cambria Math" w:cs="Cambria Math"/>
                </w:rPr>
                <m:t>p</m:t>
              </m:r>
            </m:e>
          </m:d>
          <m:r>
            <w:rPr>
              <w:rFonts w:ascii="Cambria Math" w:eastAsia="Cambria Math" w:hAnsi="Cambria Math" w:cs="Cambria Math"/>
            </w:rPr>
            <m:t>,</m:t>
          </m:r>
          <m:r>
            <w:rPr>
              <w:rFonts w:ascii="Cambria Math" w:eastAsia="Cambria Math" w:hAnsi="Cambria Math" w:cs="Cambria Math"/>
            </w:rPr>
            <m:t>IC</m:t>
          </m:r>
          <m:d>
            <m:dPr>
              <m:ctrlPr>
                <w:rPr>
                  <w:rFonts w:ascii="Cambria Math" w:hAnsi="Cambria Math"/>
                </w:rPr>
              </m:ctrlPr>
            </m:dPr>
            <m:e>
              <m:r>
                <w:rPr>
                  <w:rFonts w:ascii="Cambria Math" w:eastAsia="Cambria Math" w:hAnsi="Cambria Math" w:cs="Cambria Math"/>
                </w:rPr>
                <m:t>p</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AIC</m:t>
              </m:r>
              <m:r>
                <w:rPr>
                  <w:rFonts w:ascii="Cambria Math" w:eastAsia="Cambria Math" w:hAnsi="Cambria Math" w:cs="Cambria Math"/>
                </w:rPr>
                <m:t>,</m:t>
              </m:r>
              <m:r>
                <w:rPr>
                  <w:rFonts w:ascii="Cambria Math" w:eastAsia="Cambria Math" w:hAnsi="Cambria Math" w:cs="Cambria Math"/>
                </w:rPr>
                <m:t>BIC</m:t>
              </m:r>
              <m:r>
                <w:rPr>
                  <w:rFonts w:ascii="Cambria Math" w:eastAsia="Cambria Math" w:hAnsi="Cambria Math" w:cs="Cambria Math"/>
                </w:rPr>
                <m:t>,</m:t>
              </m:r>
              <m:r>
                <w:rPr>
                  <w:rFonts w:ascii="Cambria Math" w:eastAsia="Cambria Math" w:hAnsi="Cambria Math" w:cs="Cambria Math"/>
                </w:rPr>
                <m:t>HQ</m:t>
              </m:r>
            </m:e>
          </m:d>
        </m:oMath>
      </m:oMathPara>
    </w:p>
    <w:p w14:paraId="5B677C4E" w14:textId="77777777" w:rsidR="00803ECB" w:rsidRDefault="00ED1359">
      <w:pPr>
        <w:pStyle w:val="TextoABNT"/>
      </w:pPr>
      <w:r>
        <w:t>(19)</w:t>
      </w:r>
    </w:p>
    <w:p w14:paraId="2C189308" w14:textId="77777777" w:rsidR="00803ECB" w:rsidRDefault="00ED1359">
      <w:pPr>
        <w:pStyle w:val="TextoABNT"/>
      </w:pPr>
      <w:r>
        <w:t>É importante destacar que o termo VAR identifica a versão do modelo utilizada neste trabalho, e não necessariamente um VAR com dez defasagens. O número efetivo de defasagens é selecionado por critério de informação em cada especificação, respeitando a disponibilidade de observações e a estabilidade do sistema.</w:t>
      </w:r>
    </w:p>
    <w:p w14:paraId="45CD5373" w14:textId="77777777" w:rsidR="00803ECB" w:rsidRDefault="00ED1359">
      <w:pPr>
        <w:pStyle w:val="SubtituloABNT"/>
      </w:pPr>
      <w:bookmarkStart w:id="27" w:name="_Toc_1_3_0000000022"/>
      <w:r>
        <w:t>Quadro 3 - Características do VAR</w:t>
      </w:r>
      <w:bookmarkEnd w:id="27"/>
    </w:p>
    <w:p w14:paraId="71074FCC" w14:textId="77777777" w:rsidR="00803ECB" w:rsidRDefault="00ED1359">
      <w:pPr>
        <w:pStyle w:val="LegendaIlustracao"/>
      </w:pPr>
      <w:bookmarkStart w:id="28" w:name="_Toc_1_9_0000000054"/>
      <w:r>
        <w:t xml:space="preserve">Tabela </w:t>
      </w:r>
      <w:r>
        <w:fldChar w:fldCharType="begin"/>
      </w:r>
      <w:r>
        <w:instrText>SEQ Tabela</w:instrText>
      </w:r>
      <w:r>
        <w:fldChar w:fldCharType="separate"/>
      </w:r>
      <w:r>
        <w:t>4</w:t>
      </w:r>
      <w:r>
        <w:fldChar w:fldCharType="end"/>
      </w:r>
      <w:r>
        <w:t xml:space="preserve"> – Especificações metodológicas do modelo VAR utilizado no trabalho</w:t>
      </w:r>
      <w:bookmarkEnd w:id="28"/>
    </w:p>
    <w:tbl>
      <w:tblPr>
        <w:tblW w:w="5000" w:type="pct"/>
        <w:tblLook w:val="0600" w:firstRow="0" w:lastRow="0" w:firstColumn="0" w:lastColumn="0" w:noHBand="1" w:noVBand="1"/>
      </w:tblPr>
      <w:tblGrid>
        <w:gridCol w:w="1826"/>
        <w:gridCol w:w="7245"/>
      </w:tblGrid>
      <w:tr w:rsidR="00803ECB" w14:paraId="5D3CCE56" w14:textId="77777777">
        <w:tc>
          <w:tcPr>
            <w:tcW w:w="0" w:type="auto"/>
            <w:tcBorders>
              <w:top w:val="single" w:sz="4" w:space="0" w:color="auto"/>
              <w:bottom w:val="single" w:sz="4" w:space="0" w:color="auto"/>
            </w:tcBorders>
            <w:vAlign w:val="center"/>
          </w:tcPr>
          <w:p w14:paraId="408D29F7" w14:textId="77777777" w:rsidR="00803ECB" w:rsidRDefault="00ED1359">
            <w:pPr>
              <w:pStyle w:val="TextoABNT"/>
              <w:ind w:firstLine="0"/>
              <w:rPr>
                <w:rFonts w:eastAsia="Arial" w:cs="Arial"/>
                <w:sz w:val="20"/>
              </w:rPr>
            </w:pPr>
            <w:r>
              <w:rPr>
                <w:rFonts w:eastAsia="Arial" w:cs="Arial"/>
                <w:sz w:val="20"/>
              </w:rPr>
              <w:t>Elemento</w:t>
            </w:r>
          </w:p>
        </w:tc>
        <w:tc>
          <w:tcPr>
            <w:tcW w:w="0" w:type="auto"/>
            <w:tcBorders>
              <w:top w:val="single" w:sz="4" w:space="0" w:color="auto"/>
              <w:bottom w:val="single" w:sz="4" w:space="0" w:color="auto"/>
            </w:tcBorders>
            <w:vAlign w:val="center"/>
          </w:tcPr>
          <w:p w14:paraId="028FAF18" w14:textId="77777777" w:rsidR="00803ECB" w:rsidRDefault="00ED1359">
            <w:pPr>
              <w:pStyle w:val="TextoABNT"/>
              <w:ind w:firstLine="0"/>
              <w:rPr>
                <w:rFonts w:eastAsia="Arial" w:cs="Arial"/>
                <w:sz w:val="20"/>
              </w:rPr>
            </w:pPr>
            <w:r>
              <w:rPr>
                <w:rFonts w:eastAsia="Arial" w:cs="Arial"/>
                <w:sz w:val="20"/>
              </w:rPr>
              <w:t>Descrição metodológica</w:t>
            </w:r>
          </w:p>
        </w:tc>
      </w:tr>
      <w:tr w:rsidR="00803ECB" w14:paraId="2252A241" w14:textId="77777777">
        <w:tc>
          <w:tcPr>
            <w:tcW w:w="0" w:type="auto"/>
            <w:tcBorders>
              <w:top w:val="single" w:sz="4" w:space="0" w:color="auto"/>
            </w:tcBorders>
            <w:vAlign w:val="center"/>
          </w:tcPr>
          <w:p w14:paraId="00C48FF1" w14:textId="77777777" w:rsidR="00803ECB" w:rsidRDefault="00ED1359">
            <w:pPr>
              <w:pStyle w:val="TextoABNT"/>
              <w:ind w:firstLine="0"/>
              <w:rPr>
                <w:rFonts w:eastAsia="Arial" w:cs="Arial"/>
                <w:sz w:val="20"/>
              </w:rPr>
            </w:pPr>
            <w:r>
              <w:rPr>
                <w:rFonts w:eastAsia="Arial" w:cs="Arial"/>
                <w:sz w:val="20"/>
              </w:rPr>
              <w:lastRenderedPageBreak/>
              <w:t>Papel no trabalho</w:t>
            </w:r>
          </w:p>
        </w:tc>
        <w:tc>
          <w:tcPr>
            <w:tcW w:w="0" w:type="auto"/>
            <w:tcBorders>
              <w:top w:val="single" w:sz="4" w:space="0" w:color="auto"/>
            </w:tcBorders>
            <w:vAlign w:val="center"/>
          </w:tcPr>
          <w:p w14:paraId="0FD2BABD" w14:textId="77777777" w:rsidR="00803ECB" w:rsidRDefault="00ED1359">
            <w:pPr>
              <w:pStyle w:val="TextoABNT"/>
              <w:ind w:firstLine="0"/>
              <w:rPr>
                <w:rFonts w:eastAsia="Arial" w:cs="Arial"/>
                <w:sz w:val="20"/>
              </w:rPr>
            </w:pPr>
            <w:r>
              <w:rPr>
                <w:rFonts w:eastAsia="Arial" w:cs="Arial"/>
                <w:sz w:val="20"/>
              </w:rPr>
              <w:t>Exercício de robustez em relação ao modelo principal de Local Projections</w:t>
            </w:r>
          </w:p>
        </w:tc>
      </w:tr>
      <w:tr w:rsidR="00803ECB" w14:paraId="6DF555D6" w14:textId="77777777">
        <w:tc>
          <w:tcPr>
            <w:tcW w:w="0" w:type="auto"/>
            <w:vAlign w:val="center"/>
          </w:tcPr>
          <w:p w14:paraId="5727626E" w14:textId="77777777" w:rsidR="00803ECB" w:rsidRDefault="00ED1359">
            <w:pPr>
              <w:pStyle w:val="TextoABNT"/>
              <w:ind w:firstLine="0"/>
              <w:rPr>
                <w:rFonts w:eastAsia="Arial" w:cs="Arial"/>
                <w:sz w:val="20"/>
              </w:rPr>
            </w:pPr>
            <w:r>
              <w:rPr>
                <w:rFonts w:eastAsia="Arial" w:cs="Arial"/>
                <w:sz w:val="20"/>
              </w:rPr>
              <w:t>Tratamento da Selic</w:t>
            </w:r>
          </w:p>
        </w:tc>
        <w:tc>
          <w:tcPr>
            <w:tcW w:w="0" w:type="auto"/>
            <w:vAlign w:val="center"/>
          </w:tcPr>
          <w:p w14:paraId="1CF7EABF" w14:textId="77777777" w:rsidR="00803ECB" w:rsidRDefault="00ED1359">
            <w:pPr>
              <w:pStyle w:val="TextoABNT"/>
              <w:ind w:firstLine="0"/>
              <w:rPr>
                <w:rFonts w:eastAsia="Arial" w:cs="Arial"/>
                <w:sz w:val="20"/>
              </w:rPr>
            </w:pPr>
            <w:r>
              <w:rPr>
                <w:rFonts w:eastAsia="Arial" w:cs="Arial"/>
                <w:sz w:val="20"/>
              </w:rPr>
              <w:t>Meta Selic diária convertida em média mensal e utilizada em log de nível</w:t>
            </w:r>
          </w:p>
        </w:tc>
      </w:tr>
      <w:tr w:rsidR="00803ECB" w14:paraId="1F4E7E80" w14:textId="77777777">
        <w:tc>
          <w:tcPr>
            <w:tcW w:w="0" w:type="auto"/>
            <w:vAlign w:val="center"/>
          </w:tcPr>
          <w:p w14:paraId="77EAD246" w14:textId="77777777" w:rsidR="00803ECB" w:rsidRDefault="00ED1359">
            <w:pPr>
              <w:pStyle w:val="TextoABNT"/>
              <w:ind w:firstLine="0"/>
              <w:rPr>
                <w:rFonts w:eastAsia="Arial" w:cs="Arial"/>
                <w:sz w:val="20"/>
              </w:rPr>
            </w:pPr>
            <w:r>
              <w:rPr>
                <w:rFonts w:eastAsia="Arial" w:cs="Arial"/>
                <w:sz w:val="20"/>
              </w:rPr>
              <w:t>Variáveis endógenas</w:t>
            </w:r>
          </w:p>
        </w:tc>
        <w:tc>
          <w:tcPr>
            <w:tcW w:w="0" w:type="auto"/>
            <w:vAlign w:val="center"/>
          </w:tcPr>
          <w:p w14:paraId="0691B80D" w14:textId="77777777" w:rsidR="00803ECB" w:rsidRDefault="00ED1359">
            <w:pPr>
              <w:pStyle w:val="TextoABNT"/>
              <w:ind w:firstLine="0"/>
              <w:rPr>
                <w:rFonts w:eastAsia="Arial" w:cs="Arial"/>
                <w:sz w:val="20"/>
              </w:rPr>
            </w:pPr>
            <w:r>
              <w:rPr>
                <w:rFonts w:eastAsia="Arial" w:cs="Arial"/>
                <w:sz w:val="20"/>
              </w:rPr>
              <w:t>Petróleo, câmbio, combustível, atividade, expectativas, Selic e IPCA</w:t>
            </w:r>
          </w:p>
        </w:tc>
      </w:tr>
      <w:tr w:rsidR="00803ECB" w14:paraId="3A87CB68" w14:textId="77777777">
        <w:tc>
          <w:tcPr>
            <w:tcW w:w="0" w:type="auto"/>
            <w:vAlign w:val="center"/>
          </w:tcPr>
          <w:p w14:paraId="2157BBAF" w14:textId="77777777" w:rsidR="00803ECB" w:rsidRDefault="00ED1359">
            <w:pPr>
              <w:pStyle w:val="TextoABNT"/>
              <w:ind w:firstLine="0"/>
              <w:rPr>
                <w:rFonts w:eastAsia="Arial" w:cs="Arial"/>
                <w:sz w:val="20"/>
              </w:rPr>
            </w:pPr>
            <w:r>
              <w:rPr>
                <w:rFonts w:eastAsia="Arial" w:cs="Arial"/>
                <w:sz w:val="20"/>
              </w:rPr>
              <w:t>Controles exógenos</w:t>
            </w:r>
          </w:p>
        </w:tc>
        <w:tc>
          <w:tcPr>
            <w:tcW w:w="0" w:type="auto"/>
            <w:vAlign w:val="center"/>
          </w:tcPr>
          <w:p w14:paraId="3DC7F17B" w14:textId="77777777" w:rsidR="00803ECB" w:rsidRDefault="00ED1359">
            <w:pPr>
              <w:pStyle w:val="TextoABNT"/>
              <w:ind w:firstLine="0"/>
              <w:rPr>
                <w:rFonts w:eastAsia="Arial" w:cs="Arial"/>
                <w:sz w:val="20"/>
              </w:rPr>
            </w:pPr>
            <w:r>
              <w:rPr>
                <w:rFonts w:eastAsia="Arial" w:cs="Arial"/>
                <w:sz w:val="20"/>
              </w:rPr>
              <w:t>Dummies mensais e Stringency index</w:t>
            </w:r>
          </w:p>
        </w:tc>
      </w:tr>
      <w:tr w:rsidR="00803ECB" w14:paraId="21D8CBD9" w14:textId="77777777">
        <w:tc>
          <w:tcPr>
            <w:tcW w:w="0" w:type="auto"/>
            <w:vAlign w:val="center"/>
          </w:tcPr>
          <w:p w14:paraId="069338D0" w14:textId="77777777" w:rsidR="00803ECB" w:rsidRDefault="00ED1359">
            <w:pPr>
              <w:pStyle w:val="TextoABNT"/>
              <w:ind w:firstLine="0"/>
              <w:rPr>
                <w:rFonts w:eastAsia="Arial" w:cs="Arial"/>
                <w:sz w:val="20"/>
              </w:rPr>
            </w:pPr>
            <w:r>
              <w:rPr>
                <w:rFonts w:eastAsia="Arial" w:cs="Arial"/>
                <w:sz w:val="20"/>
              </w:rPr>
              <w:t>Amostras</w:t>
            </w:r>
          </w:p>
        </w:tc>
        <w:tc>
          <w:tcPr>
            <w:tcW w:w="0" w:type="auto"/>
            <w:vAlign w:val="center"/>
          </w:tcPr>
          <w:p w14:paraId="58F749D8" w14:textId="77777777" w:rsidR="00803ECB" w:rsidRDefault="00ED1359">
            <w:pPr>
              <w:pStyle w:val="TextoABNT"/>
              <w:ind w:firstLine="0"/>
              <w:rPr>
                <w:rFonts w:eastAsia="Arial" w:cs="Arial"/>
                <w:sz w:val="20"/>
              </w:rPr>
            </w:pPr>
            <w:r>
              <w:rPr>
                <w:rFonts w:eastAsia="Arial" w:cs="Arial"/>
                <w:sz w:val="20"/>
              </w:rPr>
              <w:t>2003-2014 e 2015-2026, além da amostra completa quando aplicável</w:t>
            </w:r>
          </w:p>
        </w:tc>
      </w:tr>
      <w:tr w:rsidR="00803ECB" w14:paraId="0F406D7C" w14:textId="77777777">
        <w:tc>
          <w:tcPr>
            <w:tcW w:w="0" w:type="auto"/>
            <w:tcBorders>
              <w:bottom w:val="single" w:sz="4" w:space="0" w:color="auto"/>
            </w:tcBorders>
            <w:vAlign w:val="center"/>
          </w:tcPr>
          <w:p w14:paraId="1510F849" w14:textId="77777777" w:rsidR="00803ECB" w:rsidRDefault="00ED1359">
            <w:pPr>
              <w:pStyle w:val="TextoABNT"/>
              <w:ind w:firstLine="0"/>
              <w:rPr>
                <w:rFonts w:eastAsia="Arial" w:cs="Arial"/>
                <w:sz w:val="20"/>
              </w:rPr>
            </w:pPr>
            <w:r>
              <w:rPr>
                <w:rFonts w:eastAsia="Arial" w:cs="Arial"/>
                <w:sz w:val="20"/>
              </w:rPr>
              <w:t>Resultados gerados</w:t>
            </w:r>
          </w:p>
        </w:tc>
        <w:tc>
          <w:tcPr>
            <w:tcW w:w="0" w:type="auto"/>
            <w:tcBorders>
              <w:bottom w:val="single" w:sz="4" w:space="0" w:color="auto"/>
            </w:tcBorders>
            <w:vAlign w:val="center"/>
          </w:tcPr>
          <w:p w14:paraId="4711C1B1" w14:textId="77777777" w:rsidR="00803ECB" w:rsidRDefault="00ED1359">
            <w:pPr>
              <w:pStyle w:val="TextoABNT"/>
              <w:ind w:firstLine="0"/>
              <w:rPr>
                <w:rFonts w:eastAsia="Arial" w:cs="Arial"/>
                <w:sz w:val="20"/>
              </w:rPr>
            </w:pPr>
            <w:r>
              <w:rPr>
                <w:rFonts w:eastAsia="Arial" w:cs="Arial"/>
                <w:sz w:val="20"/>
              </w:rPr>
              <w:t>IRF, IRF acumulada, FEVD, causalidade de Granger, testes de resíduos e robustez de Cholesky</w:t>
            </w:r>
          </w:p>
        </w:tc>
      </w:tr>
    </w:tbl>
    <w:p w14:paraId="35B4DAC8" w14:textId="77777777" w:rsidR="00803ECB" w:rsidRDefault="00ED1359">
      <w:pPr>
        <w:pStyle w:val="FonteFigura"/>
        <w:jc w:val="center"/>
      </w:pPr>
      <w:r>
        <w:t>Fonte: Elaboração própria.</w:t>
      </w:r>
    </w:p>
    <w:p w14:paraId="7639EEFD" w14:textId="77777777" w:rsidR="00803ECB" w:rsidRDefault="00ED1359">
      <w:pPr>
        <w:pStyle w:val="SubtituloABNT"/>
      </w:pPr>
      <w:bookmarkStart w:id="29" w:name="_Toc_1_3_0000000023"/>
      <w:r>
        <w:t>Identificação, Cholesky e funções impulso-resposta no VAR</w:t>
      </w:r>
      <w:bookmarkEnd w:id="29"/>
    </w:p>
    <w:p w14:paraId="279252ED" w14:textId="77777777" w:rsidR="00803ECB" w:rsidRDefault="00ED1359">
      <w:pPr>
        <w:pStyle w:val="TextoABNT"/>
      </w:pPr>
      <w:r>
        <w:t>Para transformar os resíduos do VAR em choques interpretáveis, utiliza-se a decomposição de Cholesky da matriz de variância-covariância dos resíduos. Essa decomposição pode ser escrita como:</w:t>
      </w:r>
    </w:p>
    <w:p w14:paraId="3384210B" w14:textId="77777777" w:rsidR="00803ECB" w:rsidRDefault="00ED1359">
      <w:pPr>
        <w:pStyle w:val="TextoABNT"/>
      </w:pPr>
      <m:oMathPara>
        <m:oMath>
          <m:r>
            <w:rPr>
              <w:rFonts w:ascii="Cambria Math" w:eastAsia="Cambria Math" w:hAnsi="Cambria Math" w:cs="Cambria Math"/>
            </w:rPr>
            <m:t>Σ</m:t>
          </m:r>
          <m:r>
            <w:rPr>
              <w:rFonts w:ascii="Cambria Math" w:eastAsia="Cambria Math" w:hAnsi="Cambria Math" w:cs="Cambria Math"/>
            </w:rPr>
            <m:t>=</m:t>
          </m:r>
          <m:r>
            <w:rPr>
              <w:rFonts w:ascii="Cambria Math" w:eastAsia="Cambria Math" w:hAnsi="Cambria Math" w:cs="Cambria Math"/>
            </w:rPr>
            <m:t>P</m:t>
          </m:r>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oMath>
      </m:oMathPara>
    </w:p>
    <w:p w14:paraId="6EF47FC1" w14:textId="77777777" w:rsidR="00803ECB" w:rsidRDefault="00ED1359">
      <w:pPr>
        <w:pStyle w:val="TextoABNT"/>
      </w:pPr>
      <w:r>
        <w:t>(20)</w:t>
      </w:r>
    </w:p>
    <w:p w14:paraId="34D60A5F" w14:textId="77777777" w:rsidR="00803ECB" w:rsidRDefault="00ED1359">
      <w:pPr>
        <w:pStyle w:val="TextoABNT"/>
      </w:pPr>
      <w:r>
        <w:t xml:space="preserve">Em que </w:t>
      </w:r>
      <m:oMath>
        <m:r>
          <w:rPr>
            <w:rFonts w:ascii="Cambria Math" w:eastAsia="Cambria Math" w:hAnsi="Cambria Math" w:cs="Cambria Math"/>
          </w:rPr>
          <m:t>P</m:t>
        </m:r>
      </m:oMath>
      <w:r>
        <w:t xml:space="preserve"> é uma matriz triangular inferior. A decomposição de Cholesky gera choques ortogonais, mas depende da ordenação das variáveis. A ordenação base segue a lógica econômica de que o petróleo internacional é mais exógeno no curto prazo, seguido pelo câmbio, pelos combustíveis, pelas condições domésticas e pela inflação:</w:t>
      </w:r>
    </w:p>
    <w:p w14:paraId="1258B0B6" w14:textId="77777777" w:rsidR="00803ECB" w:rsidRDefault="00ED1359">
      <w:pPr>
        <w:pStyle w:val="TextoABNT"/>
      </w:pPr>
      <m:oMathPara>
        <m:oMath>
          <m:r>
            <w:rPr>
              <w:rFonts w:ascii="Cambria Math" w:eastAsia="Cambria Math" w:hAnsi="Cambria Math" w:cs="Cambria Math"/>
            </w:rPr>
            <m:t>oil</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â</m:t>
          </m:r>
          <m:r>
            <w:rPr>
              <w:rFonts w:ascii="Cambria Math" w:eastAsia="Cambria Math" w:hAnsi="Cambria Math" w:cs="Cambria Math"/>
            </w:rPr>
            <m:t>mbio</m:t>
          </m:r>
          <m:r>
            <w:rPr>
              <w:rFonts w:ascii="Cambria Math" w:eastAsia="Cambria Math" w:hAnsi="Cambria Math" w:cs="Cambria Math"/>
            </w:rPr>
            <m:t>→</m:t>
          </m:r>
          <m:r>
            <w:rPr>
              <w:rFonts w:ascii="Cambria Math" w:eastAsia="Cambria Math" w:hAnsi="Cambria Math" w:cs="Cambria Math"/>
            </w:rPr>
            <m:t>combust</m:t>
          </m:r>
          <m:r>
            <w:rPr>
              <w:rFonts w:ascii="Cambria Math" w:eastAsia="Cambria Math" w:hAnsi="Cambria Math" w:cs="Cambria Math"/>
            </w:rPr>
            <m:t>í</m:t>
          </m:r>
          <m:r>
            <w:rPr>
              <w:rFonts w:ascii="Cambria Math" w:eastAsia="Cambria Math" w:hAnsi="Cambria Math" w:cs="Cambria Math"/>
            </w:rPr>
            <m:t>vel</m:t>
          </m:r>
          <m:r>
            <w:rPr>
              <w:rFonts w:ascii="Cambria Math" w:eastAsia="Cambria Math" w:hAnsi="Cambria Math" w:cs="Cambria Math"/>
            </w:rPr>
            <m:t>→</m:t>
          </m:r>
          <m:r>
            <w:rPr>
              <w:rFonts w:ascii="Cambria Math" w:eastAsia="Cambria Math" w:hAnsi="Cambria Math" w:cs="Cambria Math"/>
            </w:rPr>
            <m:t>atividade</m:t>
          </m:r>
          <m:r>
            <w:rPr>
              <w:rFonts w:ascii="Cambria Math" w:eastAsia="Cambria Math" w:hAnsi="Cambria Math" w:cs="Cambria Math"/>
            </w:rPr>
            <m:t>→</m:t>
          </m:r>
          <m:r>
            <w:rPr>
              <w:rFonts w:ascii="Cambria Math" w:eastAsia="Cambria Math" w:hAnsi="Cambria Math" w:cs="Cambria Math"/>
            </w:rPr>
            <m:t>expectativa</m:t>
          </m:r>
          <m:r>
            <w:rPr>
              <w:rFonts w:ascii="Cambria Math" w:eastAsia="Cambria Math" w:hAnsi="Cambria Math" w:cs="Cambria Math"/>
            </w:rPr>
            <m:t>→</m:t>
          </m:r>
          <m:r>
            <w:rPr>
              <w:rFonts w:ascii="Cambria Math" w:eastAsia="Cambria Math" w:hAnsi="Cambria Math" w:cs="Cambria Math"/>
            </w:rPr>
            <m:t>Selic</m:t>
          </m:r>
          <m:r>
            <w:rPr>
              <w:rFonts w:ascii="Cambria Math" w:eastAsia="Cambria Math" w:hAnsi="Cambria Math" w:cs="Cambria Math"/>
            </w:rPr>
            <m:t>→</m:t>
          </m:r>
          <m:r>
            <w:rPr>
              <w:rFonts w:ascii="Cambria Math" w:eastAsia="Cambria Math" w:hAnsi="Cambria Math" w:cs="Cambria Math"/>
            </w:rPr>
            <m:t>IPCA</m:t>
          </m:r>
        </m:oMath>
      </m:oMathPara>
    </w:p>
    <w:p w14:paraId="6F7FF38E" w14:textId="77777777" w:rsidR="00803ECB" w:rsidRDefault="00ED1359">
      <w:pPr>
        <w:pStyle w:val="TextoABNT"/>
      </w:pPr>
      <w:r>
        <w:t>(21)</w:t>
      </w:r>
    </w:p>
    <w:p w14:paraId="1AAF8CB1" w14:textId="77777777" w:rsidR="00803ECB" w:rsidRDefault="00ED1359">
      <w:pPr>
        <w:pStyle w:val="TextoABNT"/>
      </w:pPr>
      <w:r>
        <w:t>Como a ordenação pode influenciar as respostas, o VAR testa ordenações alternativas de Cholesky. Esse procedimento é importante para verificar se os resultados principais dependem excessivamente de uma única hipótese de identificação contemporânea.</w:t>
      </w:r>
    </w:p>
    <w:p w14:paraId="5BB530C0" w14:textId="77777777" w:rsidR="00803ECB" w:rsidRDefault="00ED1359">
      <w:pPr>
        <w:pStyle w:val="TextoABNT"/>
      </w:pPr>
      <w:r>
        <w:t>Após a identificação dos choques, as funções impulso-resposta são obtidas pela representação em médias móveis do VAR:</w:t>
      </w:r>
    </w:p>
    <w:p w14:paraId="511C1668" w14:textId="77777777" w:rsidR="00803ECB" w:rsidRDefault="00ED1359">
      <w:pPr>
        <w:pStyle w:val="TextoABNT"/>
      </w:pPr>
      <m:oMathPara>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μ</m:t>
          </m:r>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Ψε</m:t>
          </m:r>
          <m:sSub>
            <m:sSubPr>
              <m:ctrlPr>
                <w:rPr>
                  <w:rFonts w:ascii="Cambria Math" w:hAnsi="Cambria Math"/>
                </w:rPr>
              </m:ctrlPr>
            </m:sSubPr>
            <m:e/>
            <m:sub>
              <m:r>
                <w:rPr>
                  <w:rFonts w:ascii="Cambria Math" w:eastAsia="Cambria Math" w:hAnsi="Cambria Math" w:cs="Cambria Math"/>
                </w:rPr>
                <m:t>-</m:t>
              </m:r>
            </m:sub>
          </m:sSub>
          <m:d>
            <m:dPr>
              <m:ctrlPr>
                <w:rPr>
                  <w:rFonts w:ascii="Cambria Math" w:hAnsi="Cambria Math"/>
                </w:rPr>
              </m:ctrlPr>
            </m:dPr>
            <m:e>
              <m:r>
                <w:rPr>
                  <w:rFonts w:ascii="Cambria Math" w:eastAsia="Cambria Math" w:hAnsi="Cambria Math" w:cs="Cambria Math"/>
                </w:rPr>
                <m:t>22</m:t>
              </m:r>
            </m:e>
          </m:d>
        </m:oMath>
      </m:oMathPara>
    </w:p>
    <w:p w14:paraId="3D9479C2" w14:textId="77777777" w:rsidR="00803ECB" w:rsidRDefault="00ED1359">
      <w:pPr>
        <w:pStyle w:val="TextoABNT"/>
      </w:pPr>
      <w:r>
        <w:t xml:space="preserve">A resposta da variável </w:t>
      </w:r>
      <m:oMath>
        <m:r>
          <w:rPr>
            <w:rFonts w:ascii="Cambria Math" w:eastAsia="Cambria Math" w:hAnsi="Cambria Math" w:cs="Cambria Math"/>
          </w:rPr>
          <m:t>i</m:t>
        </m:r>
      </m:oMath>
      <w:r>
        <w:t xml:space="preserve"> a um choque </w:t>
      </w:r>
      <m:oMath>
        <m:r>
          <w:rPr>
            <w:rFonts w:ascii="Cambria Math" w:eastAsia="Cambria Math" w:hAnsi="Cambria Math" w:cs="Cambria Math"/>
          </w:rPr>
          <m:t>j</m:t>
        </m:r>
      </m:oMath>
      <w:r>
        <w:t xml:space="preserve"> no horizonte </w:t>
      </w:r>
      <m:oMath>
        <m:r>
          <w:rPr>
            <w:rFonts w:ascii="Cambria Math" w:eastAsia="Cambria Math" w:hAnsi="Cambria Math" w:cs="Cambria Math"/>
          </w:rPr>
          <m:t>h</m:t>
        </m:r>
      </m:oMath>
      <w:r>
        <w:t xml:space="preserve"> é dada por:</w:t>
      </w:r>
    </w:p>
    <w:p w14:paraId="040FE97D" w14:textId="77777777" w:rsidR="00803ECB" w:rsidRDefault="00ED1359">
      <w:pPr>
        <w:pStyle w:val="TextoABNT"/>
      </w:pPr>
      <w:commentRangeStart w:id="30"/>
      <m:oMath>
        <m:r>
          <w:rPr>
            <w:rFonts w:ascii="Cambria Math" w:eastAsia="Cambria Math" w:hAnsi="Cambria Math" w:cs="Cambria Math"/>
          </w:rPr>
          <m:t>IRF</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r>
          <w:rPr>
            <w:rFonts w:ascii="Cambria Math" w:eastAsia="Cambria Math" w:hAnsi="Cambria Math" w:cs="Cambria Math"/>
          </w:rPr>
          <m:t>e</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ΨPe</m:t>
        </m:r>
      </m:oMath>
      <w:commentRangeEnd w:id="30"/>
      <w:r w:rsidR="000E644D">
        <w:rPr>
          <w:rStyle w:val="CommentReference"/>
          <w:sz w:val="24"/>
          <w:szCs w:val="22"/>
        </w:rPr>
        <w:commentReference w:id="30"/>
      </w:r>
    </w:p>
    <w:p w14:paraId="717D0400" w14:textId="77777777" w:rsidR="00803ECB" w:rsidRDefault="00ED1359">
      <w:pPr>
        <w:pStyle w:val="TextoABNT"/>
      </w:pPr>
      <w:r>
        <w:t>(23)</w:t>
      </w:r>
    </w:p>
    <w:p w14:paraId="640F588D" w14:textId="77777777" w:rsidR="00803ECB" w:rsidRDefault="00ED1359">
      <w:pPr>
        <w:pStyle w:val="TextoABNT"/>
      </w:pPr>
      <w:r>
        <w:lastRenderedPageBreak/>
        <w:t xml:space="preserve">Além das respostas pontuais, o VAR calcula respostas acumuladas, aproximando a robustez do VAR à lógica das </w:t>
      </w:r>
      <w:r>
        <w:rPr>
          <w:i/>
        </w:rPr>
        <w:t>Local Projections</w:t>
      </w:r>
      <w:r>
        <w:t xml:space="preserve"> acumuladas:</w:t>
      </w:r>
    </w:p>
    <w:p w14:paraId="3BC5106F" w14:textId="77777777" w:rsidR="00803ECB" w:rsidRDefault="00ED1359">
      <w:pPr>
        <w:pStyle w:val="TextoABNT"/>
      </w:pPr>
      <w:commentRangeStart w:id="31"/>
      <m:oMath>
        <m:r>
          <w:rPr>
            <w:rFonts w:ascii="Cambria Math" w:eastAsia="Cambria Math" w:hAnsi="Cambria Math" w:cs="Cambria Math"/>
          </w:rPr>
          <m:t>IRF</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r>
          <w:rPr>
            <w:rFonts w:ascii="Cambria Math" w:eastAsia="Cambria Math" w:hAnsi="Cambria Math" w:cs="Cambria Math"/>
          </w:rPr>
          <m:t>IRF</m:t>
        </m:r>
        <m:d>
          <m:dPr>
            <m:ctrlPr>
              <w:rPr>
                <w:rFonts w:ascii="Cambria Math" w:hAnsi="Cambria Math"/>
              </w:rPr>
            </m:ctrlPr>
          </m:dPr>
          <m:e>
            <m:r>
              <w:rPr>
                <w:rFonts w:ascii="Cambria Math" w:eastAsia="Cambria Math" w:hAnsi="Cambria Math" w:cs="Cambria Math"/>
              </w:rPr>
              <m:t>h</m:t>
            </m:r>
          </m:e>
        </m:d>
      </m:oMath>
      <w:commentRangeEnd w:id="31"/>
      <w:r w:rsidR="000E644D">
        <w:rPr>
          <w:rStyle w:val="CommentReference"/>
          <w:sz w:val="24"/>
          <w:szCs w:val="22"/>
        </w:rPr>
        <w:commentReference w:id="31"/>
      </w:r>
    </w:p>
    <w:p w14:paraId="12144BCB" w14:textId="77777777" w:rsidR="00803ECB" w:rsidRDefault="00ED1359">
      <w:pPr>
        <w:pStyle w:val="TextoABNT"/>
      </w:pPr>
      <w:r>
        <w:t>(24)</w:t>
      </w:r>
    </w:p>
    <w:p w14:paraId="2FAC5994" w14:textId="77777777" w:rsidR="00803ECB" w:rsidRDefault="00ED1359">
      <w:pPr>
        <w:pStyle w:val="TextoABNT"/>
      </w:pPr>
      <w:r>
        <w:t>A comparação entre LP e VAR não exige igualdade exata de magnitude, pois os modelos possuem estruturas diferentes. O objetivo é verificar se o sinal, a persistência e a hierarquia econômica dos efeitos são compatíveis, especialmente se os combustíveis afetam mais o IPCA Transportes do que o IPCA Geral.</w:t>
      </w:r>
    </w:p>
    <w:p w14:paraId="01F54A67" w14:textId="77777777" w:rsidR="00803ECB" w:rsidRDefault="00ED1359">
      <w:pPr>
        <w:pStyle w:val="SubtituloABNT"/>
      </w:pPr>
      <w:bookmarkStart w:id="32" w:name="_Toc_1_3_0000000024"/>
      <w:r>
        <w:t>Decomposição da variância do erro de previsão: FEVD</w:t>
      </w:r>
      <w:bookmarkEnd w:id="32"/>
    </w:p>
    <w:p w14:paraId="3A33F768" w14:textId="77777777" w:rsidR="00803ECB" w:rsidRDefault="00ED1359">
      <w:pPr>
        <w:pStyle w:val="TextoABNT"/>
      </w:pPr>
      <w:r>
        <w:t>A decomposição da variância do erro de previsão, conhecida como FEVD, é utilizada no VAR para medir a importância relativa de cada choque na explicação da incerteza de previsão das variáveis do sistema. Enquanto a função impulso-resposta mostra a direção e a trajetória do efeito de um choque, a FEVD indica a participação de cada choque na variância do erro de previsão.</w:t>
      </w:r>
    </w:p>
    <w:p w14:paraId="76A72E24" w14:textId="77777777" w:rsidR="00803ECB" w:rsidRDefault="00ED1359">
      <w:pPr>
        <w:pStyle w:val="TextoABNT"/>
      </w:pPr>
      <w:r>
        <w:t>Para a variável i e o choque j, no horizonte H, a FEVD pode ser representada por:</w:t>
      </w:r>
    </w:p>
    <w:p w14:paraId="06A2185D" w14:textId="77777777" w:rsidR="00803ECB" w:rsidRDefault="00ED1359">
      <w:pPr>
        <w:pStyle w:val="TextoABNT"/>
      </w:pPr>
      <w:commentRangeStart w:id="33"/>
      <m:oMath>
        <m:r>
          <w:rPr>
            <w:rFonts w:ascii="Cambria Math" w:eastAsia="Cambria Math" w:hAnsi="Cambria Math" w:cs="Cambria Math"/>
          </w:rPr>
          <m:t>FEVD</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H</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sSup>
              <m:sSupPr>
                <m:ctrlPr>
                  <w:rPr>
                    <w:rFonts w:ascii="Cambria Math" w:hAnsi="Cambria Math"/>
                  </w:rPr>
                </m:ctrlPr>
              </m:sSupPr>
              <m:e/>
              <m:sup>
                <m:r>
                  <w:rPr>
                    <w:rFonts w:ascii="Cambria Math" w:eastAsia="Cambria Math" w:hAnsi="Cambria Math" w:cs="Cambria Math"/>
                  </w:rPr>
                  <m:t>-</m:t>
                </m:r>
                <m:r>
                  <w:rPr>
                    <w:rFonts w:ascii="Cambria Math" w:eastAsia="Cambria Math" w:hAnsi="Cambria Math" w:cs="Cambria Math"/>
                  </w:rPr>
                  <m:t>1</m:t>
                </m:r>
              </m:sup>
            </m:sSup>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e</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ΨPe</m:t>
                    </m:r>
                  </m:e>
                </m:d>
              </m:e>
              <m:sup>
                <m:r>
                  <w:rPr>
                    <w:rFonts w:ascii="Cambria Math" w:eastAsia="Cambria Math" w:hAnsi="Cambria Math" w:cs="Cambria Math"/>
                  </w:rPr>
                  <m:t>2</m:t>
                </m:r>
              </m:sup>
            </m:sSup>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Σ</m:t>
            </m:r>
            <m:sSub>
              <m:sSubPr>
                <m:ctrlPr>
                  <w:rPr>
                    <w:rFonts w:ascii="Cambria Math" w:hAnsi="Cambria Math"/>
                  </w:rPr>
                </m:ctrlPr>
              </m:sSubPr>
              <m:e/>
              <m:sub>
                <m:r>
                  <w:rPr>
                    <w:rFonts w:ascii="Cambria Math" w:eastAsia="Cambria Math" w:hAnsi="Cambria Math" w:cs="Cambria Math"/>
                  </w:rPr>
                  <m:t>=0</m:t>
                </m:r>
              </m:sub>
            </m:sSub>
            <m:sSup>
              <m:sSupPr>
                <m:ctrlPr>
                  <w:rPr>
                    <w:rFonts w:ascii="Cambria Math" w:hAnsi="Cambria Math"/>
                  </w:rPr>
                </m:ctrlPr>
              </m:sSupPr>
              <m:e/>
              <m:sup>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e</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ΨΣΨ</m:t>
            </m:r>
            <m:sSup>
              <m:sSupPr>
                <m:ctrlPr>
                  <w:rPr>
                    <w:rFonts w:ascii="Cambria Math" w:hAnsi="Cambria Math"/>
                  </w:rPr>
                </m:ctrlPr>
              </m:sSupPr>
              <m:e/>
              <m:sup>
                <m:r>
                  <w:rPr>
                    <w:rFonts w:ascii="Cambria Math" w:eastAsia="Cambria Math" w:hAnsi="Cambria Math" w:cs="Cambria Math"/>
                  </w:rPr>
                  <m:t>'</m:t>
                </m:r>
              </m:sup>
            </m:sSup>
            <m:r>
              <w:rPr>
                <w:rFonts w:ascii="Cambria Math" w:eastAsia="Cambria Math" w:hAnsi="Cambria Math" w:cs="Cambria Math"/>
              </w:rPr>
              <m:t>e</m:t>
            </m:r>
          </m:e>
        </m:d>
      </m:oMath>
      <w:commentRangeEnd w:id="33"/>
      <w:r w:rsidR="000E644D">
        <w:rPr>
          <w:rStyle w:val="CommentReference"/>
          <w:sz w:val="24"/>
          <w:szCs w:val="22"/>
        </w:rPr>
        <w:commentReference w:id="33"/>
      </w:r>
    </w:p>
    <w:p w14:paraId="138D4FE0" w14:textId="77777777" w:rsidR="00803ECB" w:rsidRDefault="00ED1359">
      <w:pPr>
        <w:pStyle w:val="TextoABNT"/>
      </w:pPr>
      <w:r>
        <w:t>(25)</w:t>
      </w:r>
    </w:p>
    <w:p w14:paraId="2F3DFEAC" w14:textId="77777777" w:rsidR="00803ECB" w:rsidRDefault="00ED1359">
      <w:pPr>
        <w:pStyle w:val="TextoABNT"/>
      </w:pPr>
      <w:r>
        <w:t>No presente trabalho, a FEVD é usada para verificar quanto da variância do erro de previsão do IPCA Geral e do IPCA Transportes é explicada por choques no petróleo, no câmbio, nos combustíveis, na Selic, nas expectativas e na atividade. Ela complementa as IRFs porque permite avaliar se um choque economicamente relevante também possui peso quantitativo na previsão da inflação.</w:t>
      </w:r>
    </w:p>
    <w:p w14:paraId="785FCC18" w14:textId="77777777" w:rsidR="00803ECB" w:rsidRDefault="00ED1359">
      <w:pPr>
        <w:pStyle w:val="TextoABNT"/>
      </w:pPr>
      <w:r>
        <w:t>A FEVD será interpretada como evidência complementar, pois também depende da identificação estrutural adotada e da ordenação de Cholesky. Por isso, sua função no trabalho é reforçar ou qualificar os resultados das Local Projections e das IRFs do VAR, não substituir a interpretação econômica do canal de transmissão.</w:t>
      </w:r>
    </w:p>
    <w:p w14:paraId="0E25BD17" w14:textId="77777777" w:rsidR="00803ECB" w:rsidRDefault="00ED1359">
      <w:pPr>
        <w:pStyle w:val="SubtituloABNT"/>
      </w:pPr>
      <w:bookmarkStart w:id="34" w:name="_Toc_1_3_0000000025"/>
      <w:r>
        <w:t>Diagnósticos estatísticos do VAR</w:t>
      </w:r>
      <w:bookmarkEnd w:id="34"/>
    </w:p>
    <w:p w14:paraId="58D3E54F" w14:textId="77777777" w:rsidR="00803ECB" w:rsidRDefault="00ED1359">
      <w:pPr>
        <w:pStyle w:val="TextoABNT"/>
      </w:pPr>
      <w:r>
        <w:t>Como o VAR é utilizado como robustez, seus diagnósticos estatísticos precisam ser reportados. O primeiro diagnóstico é a estabilidade do sistema. Para que as funções impulso-resposta sejam interpretáveis, as raízes do polinômio autorregressivo devem estar dentro do círculo unitário, o que, no procedimento usual do software, equivale a verificar se o sistema é estável:</w:t>
      </w:r>
    </w:p>
    <w:p w14:paraId="5410EC41" w14:textId="77777777" w:rsidR="00803ECB" w:rsidRDefault="00ED1359">
      <w:pPr>
        <w:pStyle w:val="TextoABNT"/>
      </w:pPr>
      <m:oMathPara>
        <m:oMath>
          <m:r>
            <w:rPr>
              <w:rFonts w:ascii="Cambria Math" w:eastAsia="Cambria Math" w:hAnsi="Cambria Math" w:cs="Cambria Math"/>
            </w:rPr>
            <m:t>|</m:t>
          </m:r>
          <m:r>
            <w:rPr>
              <w:rFonts w:ascii="Cambria Math" w:eastAsia="Cambria Math" w:hAnsi="Cambria Math" w:cs="Cambria Math"/>
            </w:rPr>
            <m:t>λ</m:t>
          </m:r>
          <m:r>
            <w:rPr>
              <w:rFonts w:ascii="Cambria Math" w:eastAsia="Cambria Math" w:hAnsi="Cambria Math" w:cs="Cambria Math"/>
            </w:rPr>
            <m:t>|&lt;1</m:t>
          </m:r>
        </m:oMath>
      </m:oMathPara>
    </w:p>
    <w:p w14:paraId="28444A50" w14:textId="77777777" w:rsidR="00803ECB" w:rsidRDefault="00ED1359">
      <w:pPr>
        <w:pStyle w:val="TextoABNT"/>
      </w:pPr>
      <w:r>
        <w:lastRenderedPageBreak/>
        <w:t>, para todo i (26)</w:t>
      </w:r>
    </w:p>
    <w:p w14:paraId="5EE3AA97" w14:textId="77777777" w:rsidR="00803ECB" w:rsidRDefault="00ED1359">
      <w:pPr>
        <w:pStyle w:val="TextoABNT"/>
      </w:pPr>
      <w:r>
        <w:t>Também são avaliados os resíduos do VAR. A ausência de autocorrelação serial é necessária para indicar que as defasagens escolhidas capturaram adequadamente a dinâmica temporal. A hipótese nula dos testes de autocorrelação pode ser expressa como:</w:t>
      </w:r>
    </w:p>
    <w:p w14:paraId="26F34421" w14:textId="1FEBD2FB" w:rsidR="00803ECB" w:rsidRDefault="00ED1359" w:rsidP="000E644D">
      <w:pPr>
        <w:pStyle w:val="TextoABNT"/>
        <w:jc w:val="center"/>
      </w:pP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0</m:t>
            </m:r>
          </m:sub>
        </m:sSub>
      </m:oMath>
      <w:r>
        <w:t xml:space="preserve">:  </w:t>
      </w:r>
      <m:oMath>
        <m:r>
          <w:rPr>
            <w:rFonts w:ascii="Cambria Math" w:eastAsia="Cambria Math" w:hAnsi="Cambria Math" w:cs="Cambria Math"/>
          </w:rPr>
          <m:t>E</m:t>
        </m:r>
        <m:d>
          <m:dPr>
            <m:ctrlPr>
              <w:rPr>
                <w:rFonts w:ascii="Cambria Math" w:hAnsi="Cambria Math"/>
              </w:rPr>
            </m:ctrlPr>
          </m:dPr>
          <m:e>
            <m:r>
              <w:rPr>
                <w:rFonts w:ascii="Cambria Math" w:eastAsia="Cambria Math" w:hAnsi="Cambria Math" w:cs="Cambria Math"/>
              </w:rPr>
              <m:t>uu</m:t>
            </m:r>
            <m:sSub>
              <m:sSubPr>
                <m:ctrlPr>
                  <w:rPr>
                    <w:rFonts w:ascii="Cambria Math" w:hAnsi="Cambria Math"/>
                  </w:rPr>
                </m:ctrlPr>
              </m:sSubPr>
              <m:e/>
              <m:sub>
                <m:r>
                  <w:rPr>
                    <w:rFonts w:ascii="Cambria Math" w:eastAsia="Cambria Math" w:hAnsi="Cambria Math" w:cs="Cambria Math"/>
                  </w:rPr>
                  <m:t>-</m:t>
                </m:r>
              </m:sub>
            </m:sSub>
          </m:e>
        </m:d>
        <m:r>
          <w:rPr>
            <w:rFonts w:ascii="Cambria Math" w:eastAsia="Cambria Math" w:hAnsi="Cambria Math" w:cs="Cambria Math"/>
          </w:rPr>
          <m:t>=0</m:t>
        </m:r>
      </m:oMath>
      <w:r>
        <w:t xml:space="preserve"> ,  </w:t>
      </w:r>
      <m:oMath>
        <m:r>
          <w:rPr>
            <w:rFonts w:ascii="Cambria Math" w:eastAsia="Cambria Math" w:hAnsi="Cambria Math" w:cs="Cambria Math"/>
          </w:rPr>
          <m:t>k</m:t>
        </m:r>
        <m:r>
          <w:rPr>
            <w:rFonts w:ascii="Cambria Math" w:eastAsia="Cambria Math" w:hAnsi="Cambria Math" w:cs="Cambria Math"/>
          </w:rPr>
          <m:t>=1,...,</m:t>
        </m:r>
        <m:r>
          <w:rPr>
            <w:rFonts w:ascii="Cambria Math" w:eastAsia="Cambria Math" w:hAnsi="Cambria Math" w:cs="Cambria Math"/>
          </w:rPr>
          <m:t>m</m:t>
        </m:r>
      </m:oMath>
      <w:r>
        <w:t xml:space="preserve">  (27)</w:t>
      </w:r>
    </w:p>
    <w:p w14:paraId="5D897962" w14:textId="77777777" w:rsidR="00803ECB" w:rsidRDefault="00ED1359">
      <w:pPr>
        <w:pStyle w:val="TextoABNT"/>
      </w:pPr>
      <w:r>
        <w:t>O modelo também realiza testes de normalidade dos resíduos. A hipótese nula pode ser escrita como:</w:t>
      </w:r>
    </w:p>
    <w:p w14:paraId="41ADDBBB" w14:textId="4B33DE81" w:rsidR="00803ECB" w:rsidRDefault="00ED1359" w:rsidP="000E644D">
      <w:pPr>
        <w:pStyle w:val="TextoABNT"/>
        <w:jc w:val="center"/>
      </w:pP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0</m:t>
            </m:r>
          </m:sub>
        </m:sSub>
      </m:oMath>
      <w:r>
        <w:t xml:space="preserve">:  </w:t>
      </w:r>
      <m:oMath>
        <m:r>
          <w:rPr>
            <w:rFonts w:ascii="Cambria Math" w:eastAsia="Cambria Math" w:hAnsi="Cambria Math" w:cs="Cambria Math"/>
          </w:rPr>
          <m:t>u</m:t>
        </m:r>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0,</m:t>
            </m:r>
            <m:r>
              <w:rPr>
                <w:rFonts w:ascii="Cambria Math" w:eastAsia="Cambria Math" w:hAnsi="Cambria Math" w:cs="Cambria Math"/>
              </w:rPr>
              <m:t>Σ</m:t>
            </m:r>
          </m:e>
        </m:d>
      </m:oMath>
      <w:r>
        <w:t xml:space="preserve">  (28)</w:t>
      </w:r>
    </w:p>
    <w:p w14:paraId="45D36961" w14:textId="77777777" w:rsidR="00803ECB" w:rsidRDefault="00ED1359">
      <w:pPr>
        <w:pStyle w:val="TextoABNT"/>
      </w:pPr>
      <w:r>
        <w:t>Embora a normalidade perfeita seja difícil em séries macroeconômicas, desvios muito fortes podem afetar a inferência em amostras finitas. Por fim, são avaliados efeitos ARCH, isto é, a presença de heterocedasticidade condicional nos resíduos. A hipótese nula é:</w:t>
      </w:r>
    </w:p>
    <w:commentRangeStart w:id="35"/>
    <w:p w14:paraId="418AEC35" w14:textId="3509B20A" w:rsidR="00803ECB" w:rsidRDefault="00ED1359" w:rsidP="000E644D">
      <w:pPr>
        <w:pStyle w:val="TextoABNT"/>
        <w:jc w:val="center"/>
      </w:pP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0</m:t>
            </m:r>
          </m:sub>
        </m:sSub>
      </m:oMath>
      <w:r>
        <w:t xml:space="preserve">:  </w:t>
      </w:r>
      <m:oMath>
        <m:r>
          <w:rPr>
            <w:rFonts w:ascii="Cambria Math" w:eastAsia="Cambria Math" w:hAnsi="Cambria Math" w:cs="Cambria Math"/>
          </w:rPr>
          <m:t>E</m:t>
        </m:r>
        <m:d>
          <m:dPr>
            <m:ctrlPr>
              <w:rPr>
                <w:rFonts w:ascii="Cambria Math" w:hAnsi="Cambria Math"/>
              </w:rPr>
            </m:ctrlPr>
          </m:dPr>
          <m:e>
            <m:r>
              <w:rPr>
                <w:rFonts w:ascii="Cambria Math" w:eastAsia="Cambria Math" w:hAnsi="Cambria Math" w:cs="Cambria Math"/>
              </w:rPr>
              <m:t>u</m:t>
            </m:r>
            <m:sSup>
              <m:sSupPr>
                <m:ctrlPr>
                  <w:rPr>
                    <w:rFonts w:ascii="Cambria Math" w:hAnsi="Cambria Math"/>
                  </w:rPr>
                </m:ctrlPr>
              </m:sSupP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Ω</m:t>
            </m:r>
            <m:sSub>
              <m:sSubPr>
                <m:ctrlPr>
                  <w:rPr>
                    <w:rFonts w:ascii="Cambria Math" w:hAnsi="Cambria Math"/>
                  </w:rPr>
                </m:ctrlPr>
              </m:sSubPr>
              <m:e/>
              <m:sub>
                <m:r>
                  <w:rPr>
                    <w:rFonts w:ascii="Cambria Math" w:eastAsia="Cambria Math" w:hAnsi="Cambria Math" w:cs="Cambria Math"/>
                  </w:rPr>
                  <m:t>-</m:t>
                </m:r>
                <m:r>
                  <w:rPr>
                    <w:rFonts w:ascii="Cambria Math" w:eastAsia="Cambria Math" w:hAnsi="Cambria Math" w:cs="Cambria Math"/>
                  </w:rPr>
                  <m:t>1</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σ</m:t>
            </m:r>
          </m:e>
          <m:sup>
            <m:r>
              <w:rPr>
                <w:rFonts w:ascii="Cambria Math" w:eastAsia="Cambria Math" w:hAnsi="Cambria Math" w:cs="Cambria Math"/>
              </w:rPr>
              <m:t>2</m:t>
            </m:r>
          </m:sup>
        </m:sSup>
      </m:oMath>
      <w:r>
        <w:t xml:space="preserve">  (29)</w:t>
      </w:r>
      <w:commentRangeEnd w:id="35"/>
      <w:r w:rsidR="000E644D">
        <w:rPr>
          <w:rStyle w:val="CommentReference"/>
          <w:sz w:val="24"/>
          <w:szCs w:val="22"/>
        </w:rPr>
        <w:commentReference w:id="35"/>
      </w:r>
    </w:p>
    <w:p w14:paraId="099486DF" w14:textId="77777777" w:rsidR="00803ECB" w:rsidRDefault="00ED1359">
      <w:pPr>
        <w:pStyle w:val="TextoABNT"/>
      </w:pPr>
      <w:r>
        <w:t>Além desses testes, o VAR calcula a causalidade de Granger. Esse teste verifica se as defasagens de uma variável ajudam a prever outra variável, condicionalmente às demais variáveis do sistema. A hipótese nula é que os coeficientes defasados da variável causadora são conjuntamente iguais a zero:</w:t>
      </w:r>
    </w:p>
    <w:p w14:paraId="2206D5C8" w14:textId="77777777" w:rsidR="00803ECB" w:rsidRDefault="00ED1359">
      <w:pPr>
        <w:pStyle w:val="TextoABNT"/>
      </w:pPr>
      <m:oMathPara>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ij</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ij</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ij</m:t>
          </m:r>
          <m:r>
            <w:rPr>
              <w:rFonts w:ascii="Cambria Math" w:eastAsia="Cambria Math" w:hAnsi="Cambria Math" w:cs="Cambria Math"/>
            </w:rPr>
            <m:t>=0</m:t>
          </m:r>
        </m:oMath>
      </m:oMathPara>
    </w:p>
    <w:p w14:paraId="7B44190B" w14:textId="77777777" w:rsidR="00803ECB" w:rsidRDefault="00ED1359">
      <w:pPr>
        <w:pStyle w:val="TextoABNT"/>
      </w:pPr>
      <w:r>
        <w:t>(30)</w:t>
      </w:r>
    </w:p>
    <w:p w14:paraId="7E81AE75" w14:textId="77777777" w:rsidR="00803ECB" w:rsidRDefault="00ED1359">
      <w:pPr>
        <w:pStyle w:val="TextoABNT"/>
      </w:pPr>
      <w:r>
        <w:t>A rejeição da hipótese nula indica precedência temporal preditiva, mas não deve ser interpretada isoladamente como causalidade estrutural. No trabalho, a causalidade de Granger é usada apenas como diagnóstico complementar do canal petróleo-combustíveis-inflação.</w:t>
      </w:r>
    </w:p>
    <w:p w14:paraId="500EBB42" w14:textId="77777777" w:rsidR="00803ECB" w:rsidRDefault="00ED1359">
      <w:pPr>
        <w:pStyle w:val="SubtituloABNT"/>
      </w:pPr>
      <w:bookmarkStart w:id="36" w:name="_Toc_1_3_0000000026"/>
      <w:r>
        <w:t>Quadro 4 - Diagnósticos estatísticos do VAR</w:t>
      </w:r>
      <w:bookmarkEnd w:id="36"/>
    </w:p>
    <w:p w14:paraId="6032BD73" w14:textId="77777777" w:rsidR="00803ECB" w:rsidRDefault="00ED1359">
      <w:pPr>
        <w:pStyle w:val="LegendaIlustracao"/>
      </w:pPr>
      <w:bookmarkStart w:id="37" w:name="_Toc_1_9_0000000055"/>
      <w:r>
        <w:t xml:space="preserve">Tabela </w:t>
      </w:r>
      <w:r>
        <w:fldChar w:fldCharType="begin"/>
      </w:r>
      <w:r>
        <w:instrText>SEQ Tabela</w:instrText>
      </w:r>
      <w:r>
        <w:fldChar w:fldCharType="separate"/>
      </w:r>
      <w:r>
        <w:t>5</w:t>
      </w:r>
      <w:r>
        <w:fldChar w:fldCharType="end"/>
      </w:r>
      <w:r>
        <w:t xml:space="preserve"> – Resumo dos diagnósticos e testes de especificação do modelo VAR</w:t>
      </w:r>
      <w:bookmarkEnd w:id="37"/>
    </w:p>
    <w:tbl>
      <w:tblPr>
        <w:tblW w:w="5000" w:type="pct"/>
        <w:tblLook w:val="0600" w:firstRow="0" w:lastRow="0" w:firstColumn="0" w:lastColumn="0" w:noHBand="1" w:noVBand="1"/>
      </w:tblPr>
      <w:tblGrid>
        <w:gridCol w:w="2239"/>
        <w:gridCol w:w="3484"/>
        <w:gridCol w:w="3348"/>
      </w:tblGrid>
      <w:tr w:rsidR="00803ECB" w14:paraId="67564064" w14:textId="77777777">
        <w:tc>
          <w:tcPr>
            <w:tcW w:w="0" w:type="auto"/>
            <w:tcBorders>
              <w:top w:val="single" w:sz="4" w:space="0" w:color="auto"/>
              <w:bottom w:val="single" w:sz="4" w:space="0" w:color="auto"/>
            </w:tcBorders>
            <w:vAlign w:val="center"/>
          </w:tcPr>
          <w:p w14:paraId="159AC2E4" w14:textId="77777777" w:rsidR="00803ECB" w:rsidRDefault="00ED1359">
            <w:pPr>
              <w:pStyle w:val="TextoABNT"/>
              <w:ind w:firstLine="0"/>
              <w:rPr>
                <w:rFonts w:eastAsia="Arial" w:cs="Arial"/>
                <w:sz w:val="20"/>
              </w:rPr>
            </w:pPr>
            <w:r>
              <w:rPr>
                <w:rFonts w:eastAsia="Arial" w:cs="Arial"/>
                <w:sz w:val="20"/>
              </w:rPr>
              <w:t>Diagnóstico</w:t>
            </w:r>
          </w:p>
        </w:tc>
        <w:tc>
          <w:tcPr>
            <w:tcW w:w="0" w:type="auto"/>
            <w:tcBorders>
              <w:top w:val="single" w:sz="4" w:space="0" w:color="auto"/>
              <w:bottom w:val="single" w:sz="4" w:space="0" w:color="auto"/>
            </w:tcBorders>
            <w:vAlign w:val="center"/>
          </w:tcPr>
          <w:p w14:paraId="6D335DB2" w14:textId="77777777" w:rsidR="00803ECB" w:rsidRDefault="00ED1359">
            <w:pPr>
              <w:pStyle w:val="TextoABNT"/>
              <w:ind w:firstLine="0"/>
              <w:rPr>
                <w:rFonts w:eastAsia="Arial" w:cs="Arial"/>
                <w:sz w:val="20"/>
              </w:rPr>
            </w:pPr>
            <w:r>
              <w:rPr>
                <w:rFonts w:eastAsia="Arial" w:cs="Arial"/>
                <w:sz w:val="20"/>
              </w:rPr>
              <w:t>Hipótese ou objetivo</w:t>
            </w:r>
          </w:p>
        </w:tc>
        <w:tc>
          <w:tcPr>
            <w:tcW w:w="0" w:type="auto"/>
            <w:tcBorders>
              <w:top w:val="single" w:sz="4" w:space="0" w:color="auto"/>
              <w:bottom w:val="single" w:sz="4" w:space="0" w:color="auto"/>
            </w:tcBorders>
            <w:vAlign w:val="center"/>
          </w:tcPr>
          <w:p w14:paraId="669E70B2" w14:textId="77777777" w:rsidR="00803ECB" w:rsidRDefault="00ED1359">
            <w:pPr>
              <w:pStyle w:val="TextoABNT"/>
              <w:ind w:firstLine="0"/>
              <w:rPr>
                <w:rFonts w:eastAsia="Arial" w:cs="Arial"/>
                <w:sz w:val="20"/>
              </w:rPr>
            </w:pPr>
            <w:r>
              <w:rPr>
                <w:rFonts w:eastAsia="Arial" w:cs="Arial"/>
                <w:sz w:val="20"/>
              </w:rPr>
              <w:t>Interpretação esperada</w:t>
            </w:r>
          </w:p>
        </w:tc>
      </w:tr>
      <w:tr w:rsidR="00803ECB" w14:paraId="4136A198" w14:textId="77777777">
        <w:tc>
          <w:tcPr>
            <w:tcW w:w="0" w:type="auto"/>
            <w:tcBorders>
              <w:top w:val="single" w:sz="4" w:space="0" w:color="auto"/>
            </w:tcBorders>
            <w:vAlign w:val="center"/>
          </w:tcPr>
          <w:p w14:paraId="72F13376" w14:textId="77777777" w:rsidR="00803ECB" w:rsidRDefault="00ED1359">
            <w:pPr>
              <w:pStyle w:val="TextoABNT"/>
              <w:ind w:firstLine="0"/>
              <w:rPr>
                <w:rFonts w:eastAsia="Arial" w:cs="Arial"/>
                <w:sz w:val="20"/>
              </w:rPr>
            </w:pPr>
            <w:r>
              <w:rPr>
                <w:rFonts w:eastAsia="Arial" w:cs="Arial"/>
                <w:sz w:val="20"/>
              </w:rPr>
              <w:t>Estabilidade</w:t>
            </w:r>
          </w:p>
        </w:tc>
        <w:tc>
          <w:tcPr>
            <w:tcW w:w="0" w:type="auto"/>
            <w:tcBorders>
              <w:top w:val="single" w:sz="4" w:space="0" w:color="auto"/>
            </w:tcBorders>
            <w:vAlign w:val="center"/>
          </w:tcPr>
          <w:p w14:paraId="2A502EBA" w14:textId="77777777" w:rsidR="00803ECB" w:rsidRDefault="00ED1359">
            <w:pPr>
              <w:pStyle w:val="TextoABNT"/>
              <w:ind w:firstLine="0"/>
              <w:rPr>
                <w:rFonts w:eastAsia="Arial" w:cs="Arial"/>
                <w:sz w:val="20"/>
              </w:rPr>
            </w:pPr>
            <w:r>
              <w:rPr>
                <w:rFonts w:eastAsia="Arial" w:cs="Arial"/>
                <w:sz w:val="20"/>
              </w:rPr>
              <w:t>Raízes compatíveis com sistema estável</w:t>
            </w:r>
          </w:p>
        </w:tc>
        <w:tc>
          <w:tcPr>
            <w:tcW w:w="0" w:type="auto"/>
            <w:tcBorders>
              <w:top w:val="single" w:sz="4" w:space="0" w:color="auto"/>
            </w:tcBorders>
            <w:vAlign w:val="center"/>
          </w:tcPr>
          <w:p w14:paraId="611D6EF5" w14:textId="77777777" w:rsidR="00803ECB" w:rsidRDefault="00ED1359">
            <w:pPr>
              <w:pStyle w:val="TextoABNT"/>
              <w:ind w:firstLine="0"/>
              <w:rPr>
                <w:rFonts w:eastAsia="Arial" w:cs="Arial"/>
                <w:sz w:val="20"/>
              </w:rPr>
            </w:pPr>
            <w:r>
              <w:rPr>
                <w:rFonts w:eastAsia="Arial" w:cs="Arial"/>
                <w:sz w:val="20"/>
              </w:rPr>
              <w:t>IRFs podem ser interpretadas de forma dinâmica</w:t>
            </w:r>
          </w:p>
        </w:tc>
      </w:tr>
      <w:tr w:rsidR="00803ECB" w14:paraId="1365A3C7" w14:textId="77777777">
        <w:tc>
          <w:tcPr>
            <w:tcW w:w="0" w:type="auto"/>
            <w:vAlign w:val="center"/>
          </w:tcPr>
          <w:p w14:paraId="67E20FF8" w14:textId="77777777" w:rsidR="00803ECB" w:rsidRDefault="00ED1359">
            <w:pPr>
              <w:pStyle w:val="TextoABNT"/>
              <w:ind w:firstLine="0"/>
              <w:rPr>
                <w:rFonts w:eastAsia="Arial" w:cs="Arial"/>
                <w:sz w:val="20"/>
              </w:rPr>
            </w:pPr>
            <w:r>
              <w:rPr>
                <w:rFonts w:eastAsia="Arial" w:cs="Arial"/>
                <w:sz w:val="20"/>
              </w:rPr>
              <w:t>Autocorrelação dos resíduos</w:t>
            </w:r>
          </w:p>
        </w:tc>
        <w:tc>
          <w:tcPr>
            <w:tcW w:w="0" w:type="auto"/>
            <w:vAlign w:val="center"/>
          </w:tcPr>
          <w:p w14:paraId="668B8F6F" w14:textId="77777777" w:rsidR="00803ECB" w:rsidRDefault="00ED1359">
            <w:pPr>
              <w:pStyle w:val="TextoABNT"/>
              <w:ind w:firstLine="0"/>
              <w:rPr>
                <w:rFonts w:eastAsia="Arial" w:cs="Arial"/>
                <w:sz w:val="20"/>
              </w:rPr>
            </w:pPr>
            <w:r>
              <w:rPr>
                <w:rFonts w:eastAsia="Arial" w:cs="Arial"/>
                <w:sz w:val="20"/>
              </w:rPr>
              <w:t>Ausência de correlação serial</w:t>
            </w:r>
          </w:p>
        </w:tc>
        <w:tc>
          <w:tcPr>
            <w:tcW w:w="0" w:type="auto"/>
            <w:vAlign w:val="center"/>
          </w:tcPr>
          <w:p w14:paraId="130A7636" w14:textId="77777777" w:rsidR="00803ECB" w:rsidRDefault="00ED1359">
            <w:pPr>
              <w:pStyle w:val="TextoABNT"/>
              <w:ind w:firstLine="0"/>
              <w:rPr>
                <w:rFonts w:eastAsia="Arial" w:cs="Arial"/>
                <w:sz w:val="20"/>
              </w:rPr>
            </w:pPr>
            <w:r>
              <w:rPr>
                <w:rFonts w:eastAsia="Arial" w:cs="Arial"/>
                <w:sz w:val="20"/>
              </w:rPr>
              <w:t>Defasagens capturam a dinâmica temporal</w:t>
            </w:r>
          </w:p>
        </w:tc>
      </w:tr>
      <w:tr w:rsidR="00803ECB" w14:paraId="75C04817" w14:textId="77777777">
        <w:tc>
          <w:tcPr>
            <w:tcW w:w="0" w:type="auto"/>
            <w:vAlign w:val="center"/>
          </w:tcPr>
          <w:p w14:paraId="3D48B893" w14:textId="77777777" w:rsidR="00803ECB" w:rsidRDefault="00ED1359">
            <w:pPr>
              <w:pStyle w:val="TextoABNT"/>
              <w:ind w:firstLine="0"/>
              <w:rPr>
                <w:rFonts w:eastAsia="Arial" w:cs="Arial"/>
                <w:sz w:val="20"/>
              </w:rPr>
            </w:pPr>
            <w:r>
              <w:rPr>
                <w:rFonts w:eastAsia="Arial" w:cs="Arial"/>
                <w:sz w:val="20"/>
              </w:rPr>
              <w:t>Normalidade dos resíduos</w:t>
            </w:r>
          </w:p>
        </w:tc>
        <w:tc>
          <w:tcPr>
            <w:tcW w:w="0" w:type="auto"/>
            <w:vAlign w:val="center"/>
          </w:tcPr>
          <w:p w14:paraId="29DDAA7B" w14:textId="77777777" w:rsidR="00803ECB" w:rsidRDefault="00ED1359">
            <w:pPr>
              <w:pStyle w:val="TextoABNT"/>
              <w:ind w:firstLine="0"/>
              <w:rPr>
                <w:rFonts w:eastAsia="Arial" w:cs="Arial"/>
                <w:sz w:val="20"/>
              </w:rPr>
            </w:pPr>
            <w:r>
              <w:rPr>
                <w:rFonts w:eastAsia="Arial" w:cs="Arial"/>
                <w:sz w:val="20"/>
              </w:rPr>
              <w:t>Resíduos aproximadamente normais</w:t>
            </w:r>
          </w:p>
        </w:tc>
        <w:tc>
          <w:tcPr>
            <w:tcW w:w="0" w:type="auto"/>
            <w:vAlign w:val="center"/>
          </w:tcPr>
          <w:p w14:paraId="37E20AAC" w14:textId="77777777" w:rsidR="00803ECB" w:rsidRDefault="00ED1359">
            <w:pPr>
              <w:pStyle w:val="TextoABNT"/>
              <w:ind w:firstLine="0"/>
              <w:rPr>
                <w:rFonts w:eastAsia="Arial" w:cs="Arial"/>
                <w:sz w:val="20"/>
              </w:rPr>
            </w:pPr>
            <w:r>
              <w:rPr>
                <w:rFonts w:eastAsia="Arial" w:cs="Arial"/>
                <w:sz w:val="20"/>
              </w:rPr>
              <w:t>Inferência mais confiável em amostra finita</w:t>
            </w:r>
          </w:p>
        </w:tc>
      </w:tr>
      <w:tr w:rsidR="00803ECB" w14:paraId="4583EAA2" w14:textId="77777777">
        <w:tc>
          <w:tcPr>
            <w:tcW w:w="0" w:type="auto"/>
            <w:vAlign w:val="center"/>
          </w:tcPr>
          <w:p w14:paraId="6C9A91DD" w14:textId="77777777" w:rsidR="00803ECB" w:rsidRDefault="00ED1359">
            <w:pPr>
              <w:pStyle w:val="TextoABNT"/>
              <w:ind w:firstLine="0"/>
              <w:rPr>
                <w:rFonts w:eastAsia="Arial" w:cs="Arial"/>
                <w:sz w:val="20"/>
              </w:rPr>
            </w:pPr>
            <w:r>
              <w:rPr>
                <w:rFonts w:eastAsia="Arial" w:cs="Arial"/>
                <w:sz w:val="20"/>
              </w:rPr>
              <w:t>ARCH/heterocedasticidade</w:t>
            </w:r>
          </w:p>
        </w:tc>
        <w:tc>
          <w:tcPr>
            <w:tcW w:w="0" w:type="auto"/>
            <w:vAlign w:val="center"/>
          </w:tcPr>
          <w:p w14:paraId="00DAC0B4" w14:textId="77777777" w:rsidR="00803ECB" w:rsidRDefault="00ED1359">
            <w:pPr>
              <w:pStyle w:val="TextoABNT"/>
              <w:ind w:firstLine="0"/>
              <w:rPr>
                <w:rFonts w:eastAsia="Arial" w:cs="Arial"/>
                <w:sz w:val="20"/>
              </w:rPr>
            </w:pPr>
            <w:r>
              <w:rPr>
                <w:rFonts w:eastAsia="Arial" w:cs="Arial"/>
                <w:sz w:val="20"/>
              </w:rPr>
              <w:t>Ausência de heterocedasticidade condicional</w:t>
            </w:r>
          </w:p>
        </w:tc>
        <w:tc>
          <w:tcPr>
            <w:tcW w:w="0" w:type="auto"/>
            <w:vAlign w:val="center"/>
          </w:tcPr>
          <w:p w14:paraId="631F5EC7" w14:textId="77777777" w:rsidR="00803ECB" w:rsidRDefault="00ED1359">
            <w:pPr>
              <w:pStyle w:val="TextoABNT"/>
              <w:ind w:firstLine="0"/>
              <w:rPr>
                <w:rFonts w:eastAsia="Arial" w:cs="Arial"/>
                <w:sz w:val="20"/>
              </w:rPr>
            </w:pPr>
            <w:r>
              <w:rPr>
                <w:rFonts w:eastAsia="Arial" w:cs="Arial"/>
                <w:sz w:val="20"/>
              </w:rPr>
              <w:t>Variância residual menos instável</w:t>
            </w:r>
          </w:p>
        </w:tc>
      </w:tr>
      <w:tr w:rsidR="00803ECB" w14:paraId="5FD07302" w14:textId="77777777">
        <w:tc>
          <w:tcPr>
            <w:tcW w:w="0" w:type="auto"/>
            <w:vAlign w:val="center"/>
          </w:tcPr>
          <w:p w14:paraId="70CD3532" w14:textId="77777777" w:rsidR="00803ECB" w:rsidRDefault="00ED1359">
            <w:pPr>
              <w:pStyle w:val="TextoABNT"/>
              <w:ind w:firstLine="0"/>
              <w:rPr>
                <w:rFonts w:eastAsia="Arial" w:cs="Arial"/>
                <w:sz w:val="20"/>
              </w:rPr>
            </w:pPr>
            <w:r>
              <w:rPr>
                <w:rFonts w:eastAsia="Arial" w:cs="Arial"/>
                <w:sz w:val="20"/>
              </w:rPr>
              <w:lastRenderedPageBreak/>
              <w:t>Johansen</w:t>
            </w:r>
          </w:p>
        </w:tc>
        <w:tc>
          <w:tcPr>
            <w:tcW w:w="0" w:type="auto"/>
            <w:vAlign w:val="center"/>
          </w:tcPr>
          <w:p w14:paraId="0B7EB208" w14:textId="77777777" w:rsidR="00803ECB" w:rsidRDefault="00ED1359">
            <w:pPr>
              <w:pStyle w:val="TextoABNT"/>
              <w:ind w:firstLine="0"/>
              <w:rPr>
                <w:rFonts w:eastAsia="Arial" w:cs="Arial"/>
                <w:sz w:val="20"/>
              </w:rPr>
            </w:pPr>
            <w:r>
              <w:rPr>
                <w:rFonts w:eastAsia="Arial" w:cs="Arial"/>
                <w:sz w:val="20"/>
              </w:rPr>
              <w:t>Verificação de relações de longo prazo</w:t>
            </w:r>
          </w:p>
        </w:tc>
        <w:tc>
          <w:tcPr>
            <w:tcW w:w="0" w:type="auto"/>
            <w:vAlign w:val="center"/>
          </w:tcPr>
          <w:p w14:paraId="1680A1EB" w14:textId="77777777" w:rsidR="00803ECB" w:rsidRDefault="00ED1359">
            <w:pPr>
              <w:pStyle w:val="TextoABNT"/>
              <w:ind w:firstLine="0"/>
              <w:rPr>
                <w:rFonts w:eastAsia="Arial" w:cs="Arial"/>
                <w:sz w:val="20"/>
              </w:rPr>
            </w:pPr>
            <w:r>
              <w:rPr>
                <w:rFonts w:eastAsia="Arial" w:cs="Arial"/>
                <w:sz w:val="20"/>
              </w:rPr>
              <w:t>Diagnóstico complementar sobre cointegração</w:t>
            </w:r>
          </w:p>
        </w:tc>
      </w:tr>
      <w:tr w:rsidR="00803ECB" w14:paraId="4E7EBFD6" w14:textId="77777777">
        <w:tc>
          <w:tcPr>
            <w:tcW w:w="0" w:type="auto"/>
            <w:vAlign w:val="center"/>
          </w:tcPr>
          <w:p w14:paraId="5AD90E3C" w14:textId="77777777" w:rsidR="00803ECB" w:rsidRDefault="00ED1359">
            <w:pPr>
              <w:pStyle w:val="TextoABNT"/>
              <w:ind w:firstLine="0"/>
              <w:rPr>
                <w:rFonts w:eastAsia="Arial" w:cs="Arial"/>
                <w:sz w:val="20"/>
              </w:rPr>
            </w:pPr>
            <w:r>
              <w:rPr>
                <w:rFonts w:eastAsia="Arial" w:cs="Arial"/>
                <w:sz w:val="20"/>
              </w:rPr>
              <w:t>Causalidade de Granger</w:t>
            </w:r>
          </w:p>
        </w:tc>
        <w:tc>
          <w:tcPr>
            <w:tcW w:w="0" w:type="auto"/>
            <w:vAlign w:val="center"/>
          </w:tcPr>
          <w:p w14:paraId="5403ECF6" w14:textId="77777777" w:rsidR="00803ECB" w:rsidRDefault="00ED1359">
            <w:pPr>
              <w:pStyle w:val="TextoABNT"/>
              <w:ind w:firstLine="0"/>
              <w:rPr>
                <w:rFonts w:eastAsia="Arial" w:cs="Arial"/>
                <w:sz w:val="20"/>
              </w:rPr>
            </w:pPr>
            <w:r>
              <w:rPr>
                <w:rFonts w:eastAsia="Arial" w:cs="Arial"/>
                <w:sz w:val="20"/>
              </w:rPr>
              <w:t>Defasagens de uma variável ajudam a prever outra</w:t>
            </w:r>
          </w:p>
        </w:tc>
        <w:tc>
          <w:tcPr>
            <w:tcW w:w="0" w:type="auto"/>
            <w:vAlign w:val="center"/>
          </w:tcPr>
          <w:p w14:paraId="35A6790D" w14:textId="77777777" w:rsidR="00803ECB" w:rsidRDefault="00ED1359">
            <w:pPr>
              <w:pStyle w:val="TextoABNT"/>
              <w:ind w:firstLine="0"/>
              <w:rPr>
                <w:rFonts w:eastAsia="Arial" w:cs="Arial"/>
                <w:sz w:val="20"/>
              </w:rPr>
            </w:pPr>
            <w:r>
              <w:rPr>
                <w:rFonts w:eastAsia="Arial" w:cs="Arial"/>
                <w:sz w:val="20"/>
              </w:rPr>
              <w:t>Evidência preditiva do canal de transmissão</w:t>
            </w:r>
          </w:p>
        </w:tc>
      </w:tr>
      <w:tr w:rsidR="00803ECB" w14:paraId="1743AB84" w14:textId="77777777">
        <w:tc>
          <w:tcPr>
            <w:tcW w:w="0" w:type="auto"/>
            <w:tcBorders>
              <w:bottom w:val="single" w:sz="4" w:space="0" w:color="auto"/>
            </w:tcBorders>
            <w:vAlign w:val="center"/>
          </w:tcPr>
          <w:p w14:paraId="6F9265F5" w14:textId="77777777" w:rsidR="00803ECB" w:rsidRDefault="00ED1359">
            <w:pPr>
              <w:pStyle w:val="TextoABNT"/>
              <w:ind w:firstLine="0"/>
              <w:rPr>
                <w:rFonts w:eastAsia="Arial" w:cs="Arial"/>
                <w:sz w:val="20"/>
              </w:rPr>
            </w:pPr>
            <w:r>
              <w:rPr>
                <w:rFonts w:eastAsia="Arial" w:cs="Arial"/>
                <w:sz w:val="20"/>
              </w:rPr>
              <w:t>Robustez Cholesky</w:t>
            </w:r>
          </w:p>
        </w:tc>
        <w:tc>
          <w:tcPr>
            <w:tcW w:w="0" w:type="auto"/>
            <w:tcBorders>
              <w:bottom w:val="single" w:sz="4" w:space="0" w:color="auto"/>
            </w:tcBorders>
            <w:vAlign w:val="center"/>
          </w:tcPr>
          <w:p w14:paraId="5E5E5373" w14:textId="77777777" w:rsidR="00803ECB" w:rsidRDefault="00ED1359">
            <w:pPr>
              <w:pStyle w:val="TextoABNT"/>
              <w:ind w:firstLine="0"/>
              <w:rPr>
                <w:rFonts w:eastAsia="Arial" w:cs="Arial"/>
                <w:sz w:val="20"/>
              </w:rPr>
            </w:pPr>
            <w:r>
              <w:rPr>
                <w:rFonts w:eastAsia="Arial" w:cs="Arial"/>
                <w:sz w:val="20"/>
              </w:rPr>
              <w:t>Comparação entre ordenações alternativas</w:t>
            </w:r>
          </w:p>
        </w:tc>
        <w:tc>
          <w:tcPr>
            <w:tcW w:w="0" w:type="auto"/>
            <w:tcBorders>
              <w:bottom w:val="single" w:sz="4" w:space="0" w:color="auto"/>
            </w:tcBorders>
            <w:vAlign w:val="center"/>
          </w:tcPr>
          <w:p w14:paraId="63B44EE6" w14:textId="77777777" w:rsidR="00803ECB" w:rsidRDefault="00ED1359">
            <w:pPr>
              <w:pStyle w:val="TextoABNT"/>
              <w:ind w:firstLine="0"/>
              <w:rPr>
                <w:rFonts w:eastAsia="Arial" w:cs="Arial"/>
                <w:sz w:val="20"/>
              </w:rPr>
            </w:pPr>
            <w:r>
              <w:rPr>
                <w:rFonts w:eastAsia="Arial" w:cs="Arial"/>
                <w:sz w:val="20"/>
              </w:rPr>
              <w:t>Verifica sensibilidade da identificação</w:t>
            </w:r>
          </w:p>
        </w:tc>
      </w:tr>
    </w:tbl>
    <w:p w14:paraId="1A17B841" w14:textId="77777777" w:rsidR="00803ECB" w:rsidRDefault="00ED1359">
      <w:pPr>
        <w:pStyle w:val="FonteFigura"/>
        <w:jc w:val="center"/>
      </w:pPr>
      <w:r>
        <w:t>Fonte: Elaboração própria.</w:t>
      </w:r>
    </w:p>
    <w:p w14:paraId="1B044C2A" w14:textId="77777777" w:rsidR="00803ECB" w:rsidRDefault="00ED1359">
      <w:pPr>
        <w:pStyle w:val="SubtituloABNT"/>
      </w:pPr>
      <w:bookmarkStart w:id="38" w:name="_Toc_1_3_0000000027"/>
      <w:r>
        <w:t>Critérios de comparação entre Local Projections e VAR</w:t>
      </w:r>
      <w:bookmarkEnd w:id="38"/>
    </w:p>
    <w:p w14:paraId="0EEAA3BA" w14:textId="77777777" w:rsidR="00803ECB" w:rsidRDefault="00ED1359">
      <w:pPr>
        <w:pStyle w:val="TextoABNT"/>
      </w:pPr>
      <w:r>
        <w:t>A comparação entre Local Projections e VAR será feita por critérios estatísticos e econômicos. Do ponto de vista estatístico, observa-se se o intervalo de confiança cruza zero, se os resultados são mais fortes nos horizontes economicamente relevantes e se as trajetórias estimadas são estáveis. Do ponto de vista econômico, avalia-se se os sinais são compatíveis com o mecanismo esperado de transmissão.</w:t>
      </w:r>
    </w:p>
    <w:p w14:paraId="5A97E073" w14:textId="77777777" w:rsidR="00803ECB" w:rsidRDefault="00ED1359">
      <w:pPr>
        <w:pStyle w:val="TextoABNT"/>
      </w:pPr>
      <w:r>
        <w:t>O resultado será considerado mais robusto quando as duas abordagens indicarem: resposta positiva dos combustíveis a choques no petróleo, maior sensibilidade do IPCA Transportes em relação ao IPCA Geral, trajetória compatível nos primeiros 12 meses e ausência de respostas explosivas sem justificativa econômica. Assim, o VAR funciona como uma verificação complementar da narrativa principal construída pelas Local Projections.</w:t>
      </w:r>
    </w:p>
    <w:p w14:paraId="0F8A795E" w14:textId="77777777" w:rsidR="00803ECB" w:rsidRDefault="00ED1359">
      <w:pPr>
        <w:pStyle w:val="TextoABNT"/>
      </w:pPr>
      <w:r>
        <w:t>A metodologia, portanto, combina a flexibilidade das Local Projections com a estrutura sistêmica do VAR. As Local Projections são usadas para estimar diretamente as respostas acumuladas por horizonte e separar os blocos de transmissão. O VAR é usado para verificar a consistência dinâmica dos resultados em um sistema multivariado, incorporando IRFs, IRFs acumuladas, FEVD, diagnósticos de resíduos, causalidade de Granger e testes de robustez da identificação por Cholesky.</w:t>
      </w:r>
    </w:p>
    <w:p w14:paraId="4E5EB99A" w14:textId="77777777" w:rsidR="00803ECB" w:rsidRDefault="00ED1359">
      <w:pPr>
        <w:pStyle w:val="TituloABNT"/>
        <w:pageBreakBefore/>
      </w:pPr>
      <w:bookmarkStart w:id="39" w:name="_Toc_1_3_0000000028"/>
      <w:r>
        <w:lastRenderedPageBreak/>
        <w:t>RESULTADOS</w:t>
      </w:r>
      <w:bookmarkEnd w:id="39"/>
    </w:p>
    <w:p w14:paraId="23033A77" w14:textId="77777777" w:rsidR="00803ECB" w:rsidRDefault="00ED1359">
      <w:pPr>
        <w:pStyle w:val="TextoABNT"/>
      </w:pPr>
      <w:r>
        <w:t xml:space="preserve">Esta seção apresenta os resultados empíricos obtidos a partir do modelo principal de </w:t>
      </w:r>
      <w:r>
        <w:rPr>
          <w:i/>
        </w:rPr>
        <w:t>Local Projections</w:t>
      </w:r>
      <w:r>
        <w:t>. A análise privilegia as respostas acumuladas, pois elas sintetizam o efeito total do choque ao longo do horizonte considerado e dialogam diretamente com a pergunta do trabalho: em que medida choques no preço internacional do petróleo são transmitidos aos preços domésticos dos combustíveis e à inflação brasileira? O horizonte de 12 meses é tratado como referência principal, enquanto o horizonte de 24 meses é lido como exercício complementar, já que a incerteza tende a aumentar nos horizont</w:t>
      </w:r>
      <w:r>
        <w:t>es mais longos.</w:t>
      </w:r>
    </w:p>
    <w:p w14:paraId="4DE6A1D3" w14:textId="77777777" w:rsidR="00803ECB" w:rsidRDefault="00ED1359">
      <w:pPr>
        <w:pStyle w:val="TextoABNT"/>
      </w:pPr>
      <w:r>
        <w:t>A interpretação dos gráficos considera três critérios. Primeiro, verifica-se se o sinal do coeficiente está de acordo com o mecanismo econômico esperado. Segundo, observa-se se o intervalo de confiança de 90% cruza ou não a linha zero. Terceiro, compara-se a magnitude do efeito no IPCA Transporte e no IPCA Geral. Em um resultado coerente com a hipótese do trabalho, espera-se que o impacto seja mais forte e mais preciso no IPCA Transporte, uma vez que esse grupo é diretamente afetado pelos preços dos combust</w:t>
      </w:r>
      <w:r>
        <w:t>íveis.</w:t>
      </w:r>
    </w:p>
    <w:p w14:paraId="23DAF724" w14:textId="77777777" w:rsidR="00803ECB" w:rsidRDefault="00ED1359">
      <w:pPr>
        <w:pStyle w:val="SubtituloABNT"/>
      </w:pPr>
      <w:bookmarkStart w:id="40" w:name="_Toc_1_3_0000000029"/>
      <w:r>
        <w:t>Comparação entre as especificações estimadas</w:t>
      </w:r>
      <w:bookmarkEnd w:id="40"/>
    </w:p>
    <w:p w14:paraId="2247F19A" w14:textId="77777777" w:rsidR="00803ECB" w:rsidRDefault="00ED1359">
      <w:pPr>
        <w:pStyle w:val="TextoABNT"/>
      </w:pPr>
      <w:r>
        <w:t xml:space="preserve">Antes de discutir os resultados principais, é importante registrar que foram estimadas três versões de </w:t>
      </w:r>
      <w:r>
        <w:rPr>
          <w:i/>
        </w:rPr>
        <w:t>Local Projections</w:t>
      </w:r>
      <w:r>
        <w:t>. A escolha da especificação de referência não se baseia na aparência dos gráficos nem na conveniência dos sinais estimados. A primeira versão funcionou como especificação exploratória, útil para mapear os canais de transmissão, mas com menor controle para a persistência das séries e maior instabilidade em horizontes longos. A segunda versão ampliou o conjunto de controles e interações, porém gerou perda de graus de liberdade e maior imprecisão em algumas respostas acumuladas, sobretudo nas</w:t>
      </w:r>
      <w:r>
        <w:t xml:space="preserve"> relações que combinavam petróleo, gasolina de refinaria e IPCA Geral. Esses resultados foram mantidos como etapa de diagnóstico, mas não foram usados como evidência central porque aumentavam a variância das estimativas sem melhorar de forma clara a interpretação econômica do canal.</w:t>
      </w:r>
    </w:p>
    <w:p w14:paraId="3D0C6C66" w14:textId="77777777" w:rsidR="00803ECB" w:rsidRDefault="00ED1359">
      <w:pPr>
        <w:pStyle w:val="TextoABNT"/>
      </w:pPr>
      <w:r>
        <w:t xml:space="preserve">O terceiro modelo é adotado como especificação de referência por critérios de parcimônia, consistência dinâmica e comparabilidade entre os blocos de transmissão. Ele preserva os controles essenciais, mantém a mesma lógica de transformação das variáveis, evita sobreparametrização e permite comparar petróleo, combustíveis, IPCA Geral e IPCA Transporte em uma estrutura comum. A decisão, portanto, não </w:t>
      </w:r>
      <w:r>
        <w:lastRenderedPageBreak/>
        <w:t>significa descartar resultados inconvenientes, mas selecionar a especificação que melhor equilibra identificação do canal, graus de liberdade e estabilidade estatística. As versões anteriores permanecem relevantes como exercícios de desenvolvimento e checagem exploratória, enquanto a robustez final é avaliada por Brent em reais, regimes Petrobras, LP-IV com choque externo de oferta e VAR.</w:t>
      </w:r>
    </w:p>
    <w:p w14:paraId="20A75B86" w14:textId="77777777" w:rsidR="00803ECB" w:rsidRDefault="00ED1359">
      <w:pPr>
        <w:pStyle w:val="SubtituloABNT"/>
      </w:pPr>
      <w:bookmarkStart w:id="41" w:name="_Toc_1_3_0000000030"/>
      <w:r>
        <w:t>Choques do petróleo e preços dos combustíveis</w:t>
      </w:r>
      <w:bookmarkEnd w:id="41"/>
    </w:p>
    <w:p w14:paraId="4F6EEEAF" w14:textId="77777777" w:rsidR="00803ECB" w:rsidRDefault="00ED1359">
      <w:pPr>
        <w:pStyle w:val="TextoABNT"/>
      </w:pPr>
      <w:r>
        <w:t>O primeiro bloco de resultados avalia se choques no preço internacional do petróleo são transmitidos aos preços domésticos dos combustíveis. Essa etapa é essencial porque o canal principal do trabalho depende da existência de uma relação entre petróleo e combustíveis. Caso o petróleo não afetasse os combustíveis, seria mais difícil sustentar que a inflação brasileira reage ao choque externo por meio desse canal.</w:t>
      </w:r>
    </w:p>
    <w:p w14:paraId="6DC78298" w14:textId="77777777" w:rsidR="00803ECB" w:rsidRDefault="00ED1359">
      <w:pPr>
        <w:pStyle w:val="TextoABNT"/>
      </w:pPr>
      <w:r>
        <w:t>Os resultados indicam que o choque de petróleo tem efeito positivo sobre os combustíveis, especialmente sobre o diesel e a gasolina de refinaria. No horizonte de 12 meses, a resposta acumulada do diesel é positiva e estatisticamente significativa, com coeficiente de 2,771 e intervalo de confiança acima de zero. A gasolina de refinaria também apresenta resposta positiva e significativa no mesmo horizonte, com coeficiente de 1,768. Esses dois resultados são economicamente relevantes, pois o diesel é fortement</w:t>
      </w:r>
      <w:r>
        <w:t>e associado a custos de transporte e logística, enquanto a gasolina de refinaria representa uma etapa intermediária entre o preço internacional do petróleo e o preço final ao consumidor.</w:t>
      </w:r>
    </w:p>
    <w:p w14:paraId="19E9E4F3" w14:textId="77777777" w:rsidR="00803ECB" w:rsidRDefault="00ED1359">
      <w:pPr>
        <w:pStyle w:val="TextoABNT"/>
      </w:pPr>
      <w:r>
        <w:rPr>
          <w:i/>
        </w:rPr>
        <w:t>Tabela 1 - Respostas acumuladas do petróleo sobre combustíveis selecionados</w:t>
      </w:r>
    </w:p>
    <w:p w14:paraId="3D010F20" w14:textId="77777777" w:rsidR="00803ECB" w:rsidRDefault="00ED1359">
      <w:pPr>
        <w:pStyle w:val="LegendaIlustracao"/>
      </w:pPr>
      <w:bookmarkStart w:id="42" w:name="_Toc_1_9_0000000056"/>
      <w:r>
        <w:t xml:space="preserve">Tabela </w:t>
      </w:r>
      <w:r>
        <w:fldChar w:fldCharType="begin"/>
      </w:r>
      <w:r>
        <w:instrText>SEQ Tabela</w:instrText>
      </w:r>
      <w:r>
        <w:fldChar w:fldCharType="separate"/>
      </w:r>
      <w:r>
        <w:t>6</w:t>
      </w:r>
      <w:r>
        <w:fldChar w:fldCharType="end"/>
      </w:r>
      <w:r>
        <w:t xml:space="preserve"> – Respostas acumuladas do petróleo sobre combustíveis selecionados</w:t>
      </w:r>
      <w:bookmarkEnd w:id="42"/>
    </w:p>
    <w:tbl>
      <w:tblPr>
        <w:tblW w:w="5000" w:type="pct"/>
        <w:tblLook w:val="0600" w:firstRow="0" w:lastRow="0" w:firstColumn="0" w:lastColumn="0" w:noHBand="1" w:noVBand="1"/>
      </w:tblPr>
      <w:tblGrid>
        <w:gridCol w:w="1946"/>
        <w:gridCol w:w="1160"/>
        <w:gridCol w:w="1291"/>
        <w:gridCol w:w="1448"/>
        <w:gridCol w:w="1033"/>
        <w:gridCol w:w="1160"/>
        <w:gridCol w:w="1033"/>
      </w:tblGrid>
      <w:tr w:rsidR="00803ECB" w14:paraId="1FFDA1D4" w14:textId="77777777">
        <w:tc>
          <w:tcPr>
            <w:tcW w:w="0" w:type="auto"/>
            <w:tcBorders>
              <w:top w:val="single" w:sz="4" w:space="0" w:color="auto"/>
              <w:bottom w:val="single" w:sz="4" w:space="0" w:color="auto"/>
            </w:tcBorders>
            <w:vAlign w:val="center"/>
          </w:tcPr>
          <w:p w14:paraId="6CAE1816" w14:textId="77777777" w:rsidR="00803ECB" w:rsidRDefault="00ED1359">
            <w:pPr>
              <w:pStyle w:val="TextoABNT"/>
              <w:ind w:firstLine="0"/>
              <w:rPr>
                <w:rFonts w:eastAsia="Arial" w:cs="Arial"/>
                <w:sz w:val="20"/>
              </w:rPr>
            </w:pPr>
            <w:r>
              <w:rPr>
                <w:rFonts w:eastAsia="Arial" w:cs="Arial"/>
                <w:sz w:val="20"/>
              </w:rPr>
              <w:t>Resposta</w:t>
            </w:r>
          </w:p>
        </w:tc>
        <w:tc>
          <w:tcPr>
            <w:tcW w:w="0" w:type="auto"/>
            <w:tcBorders>
              <w:top w:val="single" w:sz="4" w:space="0" w:color="auto"/>
              <w:bottom w:val="single" w:sz="4" w:space="0" w:color="auto"/>
            </w:tcBorders>
            <w:vAlign w:val="center"/>
          </w:tcPr>
          <w:p w14:paraId="6DDEFF8C" w14:textId="77777777" w:rsidR="00803ECB" w:rsidRDefault="00ED1359">
            <w:pPr>
              <w:pStyle w:val="TextoABNT"/>
              <w:ind w:firstLine="0"/>
              <w:rPr>
                <w:rFonts w:eastAsia="Arial" w:cs="Arial"/>
                <w:sz w:val="20"/>
              </w:rPr>
            </w:pPr>
            <w:r>
              <w:rPr>
                <w:rFonts w:eastAsia="Arial" w:cs="Arial"/>
                <w:sz w:val="20"/>
              </w:rPr>
              <w:t>Coef. h=12</w:t>
            </w:r>
          </w:p>
        </w:tc>
        <w:tc>
          <w:tcPr>
            <w:tcW w:w="0" w:type="auto"/>
            <w:tcBorders>
              <w:top w:val="single" w:sz="4" w:space="0" w:color="auto"/>
              <w:bottom w:val="single" w:sz="4" w:space="0" w:color="auto"/>
            </w:tcBorders>
            <w:vAlign w:val="center"/>
          </w:tcPr>
          <w:p w14:paraId="1EFE8BEE" w14:textId="77777777" w:rsidR="00803ECB" w:rsidRDefault="00ED1359">
            <w:pPr>
              <w:pStyle w:val="TextoABNT"/>
              <w:ind w:firstLine="0"/>
              <w:rPr>
                <w:rFonts w:eastAsia="Arial" w:cs="Arial"/>
                <w:sz w:val="20"/>
              </w:rPr>
            </w:pPr>
            <w:r>
              <w:rPr>
                <w:rFonts w:eastAsia="Arial" w:cs="Arial"/>
                <w:sz w:val="20"/>
              </w:rPr>
              <w:t>p-valor h=12</w:t>
            </w:r>
          </w:p>
        </w:tc>
        <w:tc>
          <w:tcPr>
            <w:tcW w:w="0" w:type="auto"/>
            <w:tcBorders>
              <w:top w:val="single" w:sz="4" w:space="0" w:color="auto"/>
              <w:bottom w:val="single" w:sz="4" w:space="0" w:color="auto"/>
            </w:tcBorders>
            <w:vAlign w:val="center"/>
          </w:tcPr>
          <w:p w14:paraId="264AFCDC" w14:textId="77777777" w:rsidR="00803ECB" w:rsidRDefault="00ED1359">
            <w:pPr>
              <w:pStyle w:val="TextoABNT"/>
              <w:ind w:firstLine="0"/>
              <w:rPr>
                <w:rFonts w:eastAsia="Arial" w:cs="Arial"/>
                <w:sz w:val="20"/>
              </w:rPr>
            </w:pPr>
            <w:r>
              <w:rPr>
                <w:rFonts w:eastAsia="Arial" w:cs="Arial"/>
                <w:sz w:val="20"/>
              </w:rPr>
              <w:t>IC h=12</w:t>
            </w:r>
          </w:p>
        </w:tc>
        <w:tc>
          <w:tcPr>
            <w:tcW w:w="0" w:type="auto"/>
            <w:tcBorders>
              <w:top w:val="single" w:sz="4" w:space="0" w:color="auto"/>
              <w:bottom w:val="single" w:sz="4" w:space="0" w:color="auto"/>
            </w:tcBorders>
            <w:vAlign w:val="center"/>
          </w:tcPr>
          <w:p w14:paraId="25D33DC5" w14:textId="77777777" w:rsidR="00803ECB" w:rsidRDefault="00ED1359">
            <w:pPr>
              <w:pStyle w:val="TextoABNT"/>
              <w:ind w:firstLine="0"/>
              <w:rPr>
                <w:rFonts w:eastAsia="Arial" w:cs="Arial"/>
                <w:sz w:val="20"/>
              </w:rPr>
            </w:pPr>
            <w:r>
              <w:rPr>
                <w:rFonts w:eastAsia="Arial" w:cs="Arial"/>
                <w:sz w:val="20"/>
              </w:rPr>
              <w:t>Sig. h=12</w:t>
            </w:r>
          </w:p>
        </w:tc>
        <w:tc>
          <w:tcPr>
            <w:tcW w:w="0" w:type="auto"/>
            <w:tcBorders>
              <w:top w:val="single" w:sz="4" w:space="0" w:color="auto"/>
              <w:bottom w:val="single" w:sz="4" w:space="0" w:color="auto"/>
            </w:tcBorders>
            <w:vAlign w:val="center"/>
          </w:tcPr>
          <w:p w14:paraId="33F56ABC" w14:textId="77777777" w:rsidR="00803ECB" w:rsidRDefault="00ED1359">
            <w:pPr>
              <w:pStyle w:val="TextoABNT"/>
              <w:ind w:firstLine="0"/>
              <w:rPr>
                <w:rFonts w:eastAsia="Arial" w:cs="Arial"/>
                <w:sz w:val="20"/>
              </w:rPr>
            </w:pPr>
            <w:r>
              <w:rPr>
                <w:rFonts w:eastAsia="Arial" w:cs="Arial"/>
                <w:sz w:val="20"/>
              </w:rPr>
              <w:t>Coef. h=24</w:t>
            </w:r>
          </w:p>
        </w:tc>
        <w:tc>
          <w:tcPr>
            <w:tcW w:w="0" w:type="auto"/>
            <w:tcBorders>
              <w:top w:val="single" w:sz="4" w:space="0" w:color="auto"/>
              <w:bottom w:val="single" w:sz="4" w:space="0" w:color="auto"/>
            </w:tcBorders>
            <w:vAlign w:val="center"/>
          </w:tcPr>
          <w:p w14:paraId="690C82AA" w14:textId="77777777" w:rsidR="00803ECB" w:rsidRDefault="00ED1359">
            <w:pPr>
              <w:pStyle w:val="TextoABNT"/>
              <w:ind w:firstLine="0"/>
              <w:rPr>
                <w:rFonts w:eastAsia="Arial" w:cs="Arial"/>
                <w:sz w:val="20"/>
              </w:rPr>
            </w:pPr>
            <w:r>
              <w:rPr>
                <w:rFonts w:eastAsia="Arial" w:cs="Arial"/>
                <w:sz w:val="20"/>
              </w:rPr>
              <w:t>Sig. h=24</w:t>
            </w:r>
          </w:p>
        </w:tc>
      </w:tr>
      <w:tr w:rsidR="00803ECB" w14:paraId="6F25470F" w14:textId="77777777">
        <w:tc>
          <w:tcPr>
            <w:tcW w:w="0" w:type="auto"/>
            <w:tcBorders>
              <w:top w:val="single" w:sz="4" w:space="0" w:color="auto"/>
            </w:tcBorders>
            <w:vAlign w:val="center"/>
          </w:tcPr>
          <w:p w14:paraId="60361556" w14:textId="77777777" w:rsidR="00803ECB" w:rsidRDefault="00ED1359">
            <w:pPr>
              <w:pStyle w:val="TextoABNT"/>
              <w:ind w:firstLine="0"/>
              <w:rPr>
                <w:rFonts w:eastAsia="Arial" w:cs="Arial"/>
                <w:sz w:val="20"/>
              </w:rPr>
            </w:pPr>
            <w:r>
              <w:rPr>
                <w:rFonts w:eastAsia="Arial" w:cs="Arial"/>
                <w:sz w:val="20"/>
              </w:rPr>
              <w:t>Diesel</w:t>
            </w:r>
          </w:p>
        </w:tc>
        <w:tc>
          <w:tcPr>
            <w:tcW w:w="0" w:type="auto"/>
            <w:tcBorders>
              <w:top w:val="single" w:sz="4" w:space="0" w:color="auto"/>
            </w:tcBorders>
            <w:vAlign w:val="center"/>
          </w:tcPr>
          <w:p w14:paraId="15DD5D7C" w14:textId="77777777" w:rsidR="00803ECB" w:rsidRDefault="00ED1359">
            <w:pPr>
              <w:pStyle w:val="TextoABNT"/>
              <w:ind w:firstLine="0"/>
              <w:rPr>
                <w:rFonts w:eastAsia="Arial" w:cs="Arial"/>
                <w:sz w:val="20"/>
              </w:rPr>
            </w:pPr>
            <w:r>
              <w:rPr>
                <w:rFonts w:eastAsia="Arial" w:cs="Arial"/>
                <w:sz w:val="20"/>
              </w:rPr>
              <w:t>2,771</w:t>
            </w:r>
          </w:p>
        </w:tc>
        <w:tc>
          <w:tcPr>
            <w:tcW w:w="0" w:type="auto"/>
            <w:tcBorders>
              <w:top w:val="single" w:sz="4" w:space="0" w:color="auto"/>
            </w:tcBorders>
            <w:vAlign w:val="center"/>
          </w:tcPr>
          <w:p w14:paraId="68581E55" w14:textId="77777777" w:rsidR="00803ECB" w:rsidRDefault="00ED1359">
            <w:pPr>
              <w:pStyle w:val="TextoABNT"/>
              <w:ind w:firstLine="0"/>
              <w:rPr>
                <w:rFonts w:eastAsia="Arial" w:cs="Arial"/>
                <w:sz w:val="20"/>
              </w:rPr>
            </w:pPr>
            <w:r>
              <w:rPr>
                <w:rFonts w:eastAsia="Arial" w:cs="Arial"/>
                <w:sz w:val="20"/>
              </w:rPr>
              <w:t>&lt;0,001</w:t>
            </w:r>
          </w:p>
        </w:tc>
        <w:tc>
          <w:tcPr>
            <w:tcW w:w="0" w:type="auto"/>
            <w:tcBorders>
              <w:top w:val="single" w:sz="4" w:space="0" w:color="auto"/>
            </w:tcBorders>
            <w:vAlign w:val="center"/>
          </w:tcPr>
          <w:p w14:paraId="17909D3D" w14:textId="77777777" w:rsidR="00803ECB" w:rsidRDefault="00ED1359">
            <w:pPr>
              <w:pStyle w:val="TextoABNT"/>
              <w:ind w:firstLine="0"/>
              <w:rPr>
                <w:rFonts w:eastAsia="Arial" w:cs="Arial"/>
                <w:sz w:val="20"/>
              </w:rPr>
            </w:pPr>
            <w:r>
              <w:rPr>
                <w:rFonts w:eastAsia="Arial" w:cs="Arial"/>
                <w:sz w:val="20"/>
              </w:rPr>
              <w:t>[1,432; 4,109]</w:t>
            </w:r>
          </w:p>
        </w:tc>
        <w:tc>
          <w:tcPr>
            <w:tcW w:w="0" w:type="auto"/>
            <w:tcBorders>
              <w:top w:val="single" w:sz="4" w:space="0" w:color="auto"/>
            </w:tcBorders>
            <w:vAlign w:val="center"/>
          </w:tcPr>
          <w:p w14:paraId="21ECF864" w14:textId="77777777" w:rsidR="00803ECB" w:rsidRDefault="00ED1359">
            <w:pPr>
              <w:pStyle w:val="TextoABNT"/>
              <w:ind w:firstLine="0"/>
              <w:rPr>
                <w:rFonts w:eastAsia="Arial" w:cs="Arial"/>
                <w:sz w:val="20"/>
              </w:rPr>
            </w:pPr>
            <w:r>
              <w:rPr>
                <w:rFonts w:eastAsia="Arial" w:cs="Arial"/>
                <w:sz w:val="20"/>
              </w:rPr>
              <w:t>Sim</w:t>
            </w:r>
          </w:p>
        </w:tc>
        <w:tc>
          <w:tcPr>
            <w:tcW w:w="0" w:type="auto"/>
            <w:tcBorders>
              <w:top w:val="single" w:sz="4" w:space="0" w:color="auto"/>
            </w:tcBorders>
            <w:vAlign w:val="center"/>
          </w:tcPr>
          <w:p w14:paraId="1B01D5E5" w14:textId="77777777" w:rsidR="00803ECB" w:rsidRDefault="00ED1359">
            <w:pPr>
              <w:pStyle w:val="TextoABNT"/>
              <w:ind w:firstLine="0"/>
              <w:rPr>
                <w:rFonts w:eastAsia="Arial" w:cs="Arial"/>
                <w:sz w:val="20"/>
              </w:rPr>
            </w:pPr>
            <w:r>
              <w:rPr>
                <w:rFonts w:eastAsia="Arial" w:cs="Arial"/>
                <w:sz w:val="20"/>
              </w:rPr>
              <w:t>1,911</w:t>
            </w:r>
          </w:p>
        </w:tc>
        <w:tc>
          <w:tcPr>
            <w:tcW w:w="0" w:type="auto"/>
            <w:tcBorders>
              <w:top w:val="single" w:sz="4" w:space="0" w:color="auto"/>
            </w:tcBorders>
            <w:vAlign w:val="center"/>
          </w:tcPr>
          <w:p w14:paraId="30776332" w14:textId="77777777" w:rsidR="00803ECB" w:rsidRDefault="00ED1359">
            <w:pPr>
              <w:pStyle w:val="TextoABNT"/>
              <w:ind w:firstLine="0"/>
              <w:rPr>
                <w:rFonts w:eastAsia="Arial" w:cs="Arial"/>
                <w:sz w:val="20"/>
              </w:rPr>
            </w:pPr>
            <w:r>
              <w:rPr>
                <w:rFonts w:eastAsia="Arial" w:cs="Arial"/>
                <w:sz w:val="20"/>
              </w:rPr>
              <w:t>Sim</w:t>
            </w:r>
          </w:p>
        </w:tc>
      </w:tr>
      <w:tr w:rsidR="00803ECB" w14:paraId="5F9A246C" w14:textId="77777777">
        <w:tc>
          <w:tcPr>
            <w:tcW w:w="0" w:type="auto"/>
            <w:vAlign w:val="center"/>
          </w:tcPr>
          <w:p w14:paraId="0423F8BF" w14:textId="77777777" w:rsidR="00803ECB" w:rsidRDefault="00ED1359">
            <w:pPr>
              <w:pStyle w:val="TextoABNT"/>
              <w:ind w:firstLine="0"/>
              <w:rPr>
                <w:rFonts w:eastAsia="Arial" w:cs="Arial"/>
                <w:sz w:val="20"/>
              </w:rPr>
            </w:pPr>
            <w:r>
              <w:rPr>
                <w:rFonts w:eastAsia="Arial" w:cs="Arial"/>
                <w:sz w:val="20"/>
              </w:rPr>
              <w:t>Etanol</w:t>
            </w:r>
          </w:p>
        </w:tc>
        <w:tc>
          <w:tcPr>
            <w:tcW w:w="0" w:type="auto"/>
            <w:vAlign w:val="center"/>
          </w:tcPr>
          <w:p w14:paraId="730A793F" w14:textId="77777777" w:rsidR="00803ECB" w:rsidRDefault="00ED1359">
            <w:pPr>
              <w:pStyle w:val="TextoABNT"/>
              <w:ind w:firstLine="0"/>
              <w:rPr>
                <w:rFonts w:eastAsia="Arial" w:cs="Arial"/>
                <w:sz w:val="20"/>
              </w:rPr>
            </w:pPr>
            <w:r>
              <w:rPr>
                <w:rFonts w:eastAsia="Arial" w:cs="Arial"/>
                <w:sz w:val="20"/>
              </w:rPr>
              <w:t>1,581</w:t>
            </w:r>
          </w:p>
        </w:tc>
        <w:tc>
          <w:tcPr>
            <w:tcW w:w="0" w:type="auto"/>
            <w:vAlign w:val="center"/>
          </w:tcPr>
          <w:p w14:paraId="73DA5920" w14:textId="77777777" w:rsidR="00803ECB" w:rsidRDefault="00ED1359">
            <w:pPr>
              <w:pStyle w:val="TextoABNT"/>
              <w:ind w:firstLine="0"/>
              <w:rPr>
                <w:rFonts w:eastAsia="Arial" w:cs="Arial"/>
                <w:sz w:val="20"/>
              </w:rPr>
            </w:pPr>
            <w:r>
              <w:rPr>
                <w:rFonts w:eastAsia="Arial" w:cs="Arial"/>
                <w:sz w:val="20"/>
              </w:rPr>
              <w:t>0,176</w:t>
            </w:r>
          </w:p>
        </w:tc>
        <w:tc>
          <w:tcPr>
            <w:tcW w:w="0" w:type="auto"/>
            <w:vAlign w:val="center"/>
          </w:tcPr>
          <w:p w14:paraId="1A9A088E" w14:textId="77777777" w:rsidR="00803ECB" w:rsidRDefault="00ED1359">
            <w:pPr>
              <w:pStyle w:val="TextoABNT"/>
              <w:ind w:firstLine="0"/>
              <w:rPr>
                <w:rFonts w:eastAsia="Arial" w:cs="Arial"/>
                <w:sz w:val="20"/>
              </w:rPr>
            </w:pPr>
            <w:r>
              <w:rPr>
                <w:rFonts w:eastAsia="Arial" w:cs="Arial"/>
                <w:sz w:val="20"/>
              </w:rPr>
              <w:t>[-0,340; 3,501]</w:t>
            </w:r>
          </w:p>
        </w:tc>
        <w:tc>
          <w:tcPr>
            <w:tcW w:w="0" w:type="auto"/>
            <w:vAlign w:val="center"/>
          </w:tcPr>
          <w:p w14:paraId="2246E0AB" w14:textId="77777777" w:rsidR="00803ECB" w:rsidRDefault="00ED1359">
            <w:pPr>
              <w:pStyle w:val="TextoABNT"/>
              <w:ind w:firstLine="0"/>
              <w:rPr>
                <w:rFonts w:eastAsia="Arial" w:cs="Arial"/>
                <w:sz w:val="20"/>
              </w:rPr>
            </w:pPr>
            <w:r>
              <w:rPr>
                <w:rFonts w:eastAsia="Arial" w:cs="Arial"/>
                <w:sz w:val="20"/>
              </w:rPr>
              <w:t>Não</w:t>
            </w:r>
          </w:p>
        </w:tc>
        <w:tc>
          <w:tcPr>
            <w:tcW w:w="0" w:type="auto"/>
            <w:vAlign w:val="center"/>
          </w:tcPr>
          <w:p w14:paraId="1425B2A0" w14:textId="77777777" w:rsidR="00803ECB" w:rsidRDefault="00ED1359">
            <w:pPr>
              <w:pStyle w:val="TextoABNT"/>
              <w:ind w:firstLine="0"/>
              <w:rPr>
                <w:rFonts w:eastAsia="Arial" w:cs="Arial"/>
                <w:sz w:val="20"/>
              </w:rPr>
            </w:pPr>
            <w:r>
              <w:rPr>
                <w:rFonts w:eastAsia="Arial" w:cs="Arial"/>
                <w:sz w:val="20"/>
              </w:rPr>
              <w:t>-0,849</w:t>
            </w:r>
          </w:p>
        </w:tc>
        <w:tc>
          <w:tcPr>
            <w:tcW w:w="0" w:type="auto"/>
            <w:vAlign w:val="center"/>
          </w:tcPr>
          <w:p w14:paraId="054267F0" w14:textId="77777777" w:rsidR="00803ECB" w:rsidRDefault="00ED1359">
            <w:pPr>
              <w:pStyle w:val="TextoABNT"/>
              <w:ind w:firstLine="0"/>
              <w:rPr>
                <w:rFonts w:eastAsia="Arial" w:cs="Arial"/>
                <w:sz w:val="20"/>
              </w:rPr>
            </w:pPr>
            <w:r>
              <w:rPr>
                <w:rFonts w:eastAsia="Arial" w:cs="Arial"/>
                <w:sz w:val="20"/>
              </w:rPr>
              <w:t>Não</w:t>
            </w:r>
          </w:p>
        </w:tc>
      </w:tr>
      <w:tr w:rsidR="00803ECB" w14:paraId="77BDD214" w14:textId="77777777">
        <w:tc>
          <w:tcPr>
            <w:tcW w:w="0" w:type="auto"/>
            <w:vAlign w:val="center"/>
          </w:tcPr>
          <w:p w14:paraId="377432F4" w14:textId="77777777" w:rsidR="00803ECB" w:rsidRDefault="00ED1359">
            <w:pPr>
              <w:pStyle w:val="TextoABNT"/>
              <w:ind w:firstLine="0"/>
              <w:rPr>
                <w:rFonts w:eastAsia="Arial" w:cs="Arial"/>
                <w:sz w:val="20"/>
              </w:rPr>
            </w:pPr>
            <w:r>
              <w:rPr>
                <w:rFonts w:eastAsia="Arial" w:cs="Arial"/>
                <w:sz w:val="20"/>
              </w:rPr>
              <w:t>Gasolina</w:t>
            </w:r>
          </w:p>
        </w:tc>
        <w:tc>
          <w:tcPr>
            <w:tcW w:w="0" w:type="auto"/>
            <w:vAlign w:val="center"/>
          </w:tcPr>
          <w:p w14:paraId="7FD38DCF" w14:textId="77777777" w:rsidR="00803ECB" w:rsidRDefault="00ED1359">
            <w:pPr>
              <w:pStyle w:val="TextoABNT"/>
              <w:ind w:firstLine="0"/>
              <w:rPr>
                <w:rFonts w:eastAsia="Arial" w:cs="Arial"/>
                <w:sz w:val="20"/>
              </w:rPr>
            </w:pPr>
            <w:r>
              <w:rPr>
                <w:rFonts w:eastAsia="Arial" w:cs="Arial"/>
                <w:sz w:val="20"/>
              </w:rPr>
              <w:t>0,874</w:t>
            </w:r>
          </w:p>
        </w:tc>
        <w:tc>
          <w:tcPr>
            <w:tcW w:w="0" w:type="auto"/>
            <w:vAlign w:val="center"/>
          </w:tcPr>
          <w:p w14:paraId="71F42FDD" w14:textId="77777777" w:rsidR="00803ECB" w:rsidRDefault="00ED1359">
            <w:pPr>
              <w:pStyle w:val="TextoABNT"/>
              <w:ind w:firstLine="0"/>
              <w:rPr>
                <w:rFonts w:eastAsia="Arial" w:cs="Arial"/>
                <w:sz w:val="20"/>
              </w:rPr>
            </w:pPr>
            <w:r>
              <w:rPr>
                <w:rFonts w:eastAsia="Arial" w:cs="Arial"/>
                <w:sz w:val="20"/>
              </w:rPr>
              <w:t>0,299</w:t>
            </w:r>
          </w:p>
        </w:tc>
        <w:tc>
          <w:tcPr>
            <w:tcW w:w="0" w:type="auto"/>
            <w:vAlign w:val="center"/>
          </w:tcPr>
          <w:p w14:paraId="3FDD2041" w14:textId="77777777" w:rsidR="00803ECB" w:rsidRDefault="00ED1359">
            <w:pPr>
              <w:pStyle w:val="TextoABNT"/>
              <w:ind w:firstLine="0"/>
              <w:rPr>
                <w:rFonts w:eastAsia="Arial" w:cs="Arial"/>
                <w:sz w:val="20"/>
              </w:rPr>
            </w:pPr>
            <w:r>
              <w:rPr>
                <w:rFonts w:eastAsia="Arial" w:cs="Arial"/>
                <w:sz w:val="20"/>
              </w:rPr>
              <w:t>[-0,510; 2,257]</w:t>
            </w:r>
          </w:p>
        </w:tc>
        <w:tc>
          <w:tcPr>
            <w:tcW w:w="0" w:type="auto"/>
            <w:vAlign w:val="center"/>
          </w:tcPr>
          <w:p w14:paraId="212B37E7" w14:textId="77777777" w:rsidR="00803ECB" w:rsidRDefault="00ED1359">
            <w:pPr>
              <w:pStyle w:val="TextoABNT"/>
              <w:ind w:firstLine="0"/>
              <w:rPr>
                <w:rFonts w:eastAsia="Arial" w:cs="Arial"/>
                <w:sz w:val="20"/>
              </w:rPr>
            </w:pPr>
            <w:r>
              <w:rPr>
                <w:rFonts w:eastAsia="Arial" w:cs="Arial"/>
                <w:sz w:val="20"/>
              </w:rPr>
              <w:t>Não</w:t>
            </w:r>
          </w:p>
        </w:tc>
        <w:tc>
          <w:tcPr>
            <w:tcW w:w="0" w:type="auto"/>
            <w:vAlign w:val="center"/>
          </w:tcPr>
          <w:p w14:paraId="120C6E0A" w14:textId="77777777" w:rsidR="00803ECB" w:rsidRDefault="00ED1359">
            <w:pPr>
              <w:pStyle w:val="TextoABNT"/>
              <w:ind w:firstLine="0"/>
              <w:rPr>
                <w:rFonts w:eastAsia="Arial" w:cs="Arial"/>
                <w:sz w:val="20"/>
              </w:rPr>
            </w:pPr>
            <w:r>
              <w:rPr>
                <w:rFonts w:eastAsia="Arial" w:cs="Arial"/>
                <w:sz w:val="20"/>
              </w:rPr>
              <w:t>-0,433</w:t>
            </w:r>
          </w:p>
        </w:tc>
        <w:tc>
          <w:tcPr>
            <w:tcW w:w="0" w:type="auto"/>
            <w:vAlign w:val="center"/>
          </w:tcPr>
          <w:p w14:paraId="01E6364D" w14:textId="77777777" w:rsidR="00803ECB" w:rsidRDefault="00ED1359">
            <w:pPr>
              <w:pStyle w:val="TextoABNT"/>
              <w:ind w:firstLine="0"/>
              <w:rPr>
                <w:rFonts w:eastAsia="Arial" w:cs="Arial"/>
                <w:sz w:val="20"/>
              </w:rPr>
            </w:pPr>
            <w:r>
              <w:rPr>
                <w:rFonts w:eastAsia="Arial" w:cs="Arial"/>
                <w:sz w:val="20"/>
              </w:rPr>
              <w:t>Não</w:t>
            </w:r>
          </w:p>
        </w:tc>
      </w:tr>
      <w:tr w:rsidR="00803ECB" w14:paraId="5A1C0A70" w14:textId="77777777">
        <w:tc>
          <w:tcPr>
            <w:tcW w:w="0" w:type="auto"/>
            <w:tcBorders>
              <w:bottom w:val="single" w:sz="4" w:space="0" w:color="auto"/>
            </w:tcBorders>
            <w:vAlign w:val="center"/>
          </w:tcPr>
          <w:p w14:paraId="48314C9E" w14:textId="77777777" w:rsidR="00803ECB" w:rsidRDefault="00ED1359">
            <w:pPr>
              <w:pStyle w:val="TextoABNT"/>
              <w:ind w:firstLine="0"/>
              <w:rPr>
                <w:rFonts w:eastAsia="Arial" w:cs="Arial"/>
                <w:sz w:val="20"/>
              </w:rPr>
            </w:pPr>
            <w:r>
              <w:rPr>
                <w:rFonts w:eastAsia="Arial" w:cs="Arial"/>
                <w:sz w:val="20"/>
              </w:rPr>
              <w:t>Gasolina de refinaria</w:t>
            </w:r>
          </w:p>
        </w:tc>
        <w:tc>
          <w:tcPr>
            <w:tcW w:w="0" w:type="auto"/>
            <w:tcBorders>
              <w:bottom w:val="single" w:sz="4" w:space="0" w:color="auto"/>
            </w:tcBorders>
            <w:vAlign w:val="center"/>
          </w:tcPr>
          <w:p w14:paraId="265523D7" w14:textId="77777777" w:rsidR="00803ECB" w:rsidRDefault="00ED1359">
            <w:pPr>
              <w:pStyle w:val="TextoABNT"/>
              <w:ind w:firstLine="0"/>
              <w:rPr>
                <w:rFonts w:eastAsia="Arial" w:cs="Arial"/>
                <w:sz w:val="20"/>
              </w:rPr>
            </w:pPr>
            <w:r>
              <w:rPr>
                <w:rFonts w:eastAsia="Arial" w:cs="Arial"/>
                <w:sz w:val="20"/>
              </w:rPr>
              <w:t>1,768</w:t>
            </w:r>
          </w:p>
        </w:tc>
        <w:tc>
          <w:tcPr>
            <w:tcW w:w="0" w:type="auto"/>
            <w:tcBorders>
              <w:bottom w:val="single" w:sz="4" w:space="0" w:color="auto"/>
            </w:tcBorders>
            <w:vAlign w:val="center"/>
          </w:tcPr>
          <w:p w14:paraId="2B4CABCD" w14:textId="77777777" w:rsidR="00803ECB" w:rsidRDefault="00ED1359">
            <w:pPr>
              <w:pStyle w:val="TextoABNT"/>
              <w:ind w:firstLine="0"/>
              <w:rPr>
                <w:rFonts w:eastAsia="Arial" w:cs="Arial"/>
                <w:sz w:val="20"/>
              </w:rPr>
            </w:pPr>
            <w:r>
              <w:rPr>
                <w:rFonts w:eastAsia="Arial" w:cs="Arial"/>
                <w:sz w:val="20"/>
              </w:rPr>
              <w:t>0,045</w:t>
            </w:r>
          </w:p>
        </w:tc>
        <w:tc>
          <w:tcPr>
            <w:tcW w:w="0" w:type="auto"/>
            <w:tcBorders>
              <w:bottom w:val="single" w:sz="4" w:space="0" w:color="auto"/>
            </w:tcBorders>
            <w:vAlign w:val="center"/>
          </w:tcPr>
          <w:p w14:paraId="37678FE5" w14:textId="77777777" w:rsidR="00803ECB" w:rsidRDefault="00ED1359">
            <w:pPr>
              <w:pStyle w:val="TextoABNT"/>
              <w:ind w:firstLine="0"/>
              <w:rPr>
                <w:rFonts w:eastAsia="Arial" w:cs="Arial"/>
                <w:sz w:val="20"/>
              </w:rPr>
            </w:pPr>
            <w:r>
              <w:rPr>
                <w:rFonts w:eastAsia="Arial" w:cs="Arial"/>
                <w:sz w:val="20"/>
              </w:rPr>
              <w:t>[0,318; 3,217]</w:t>
            </w:r>
          </w:p>
        </w:tc>
        <w:tc>
          <w:tcPr>
            <w:tcW w:w="0" w:type="auto"/>
            <w:tcBorders>
              <w:bottom w:val="single" w:sz="4" w:space="0" w:color="auto"/>
            </w:tcBorders>
            <w:vAlign w:val="center"/>
          </w:tcPr>
          <w:p w14:paraId="1B08156B" w14:textId="77777777" w:rsidR="00803ECB" w:rsidRDefault="00ED1359">
            <w:pPr>
              <w:pStyle w:val="TextoABNT"/>
              <w:ind w:firstLine="0"/>
              <w:rPr>
                <w:rFonts w:eastAsia="Arial" w:cs="Arial"/>
                <w:sz w:val="20"/>
              </w:rPr>
            </w:pPr>
            <w:r>
              <w:rPr>
                <w:rFonts w:eastAsia="Arial" w:cs="Arial"/>
                <w:sz w:val="20"/>
              </w:rPr>
              <w:t>Sim</w:t>
            </w:r>
          </w:p>
        </w:tc>
        <w:tc>
          <w:tcPr>
            <w:tcW w:w="0" w:type="auto"/>
            <w:tcBorders>
              <w:bottom w:val="single" w:sz="4" w:space="0" w:color="auto"/>
            </w:tcBorders>
            <w:vAlign w:val="center"/>
          </w:tcPr>
          <w:p w14:paraId="202A5974" w14:textId="77777777" w:rsidR="00803ECB" w:rsidRDefault="00ED1359">
            <w:pPr>
              <w:pStyle w:val="TextoABNT"/>
              <w:ind w:firstLine="0"/>
              <w:rPr>
                <w:rFonts w:eastAsia="Arial" w:cs="Arial"/>
                <w:sz w:val="20"/>
              </w:rPr>
            </w:pPr>
            <w:r>
              <w:rPr>
                <w:rFonts w:eastAsia="Arial" w:cs="Arial"/>
                <w:sz w:val="20"/>
              </w:rPr>
              <w:t>1,603</w:t>
            </w:r>
          </w:p>
        </w:tc>
        <w:tc>
          <w:tcPr>
            <w:tcW w:w="0" w:type="auto"/>
            <w:tcBorders>
              <w:bottom w:val="single" w:sz="4" w:space="0" w:color="auto"/>
            </w:tcBorders>
            <w:vAlign w:val="center"/>
          </w:tcPr>
          <w:p w14:paraId="13B677BB" w14:textId="77777777" w:rsidR="00803ECB" w:rsidRDefault="00ED1359">
            <w:pPr>
              <w:pStyle w:val="TextoABNT"/>
              <w:ind w:firstLine="0"/>
              <w:rPr>
                <w:rFonts w:eastAsia="Arial" w:cs="Arial"/>
                <w:sz w:val="20"/>
              </w:rPr>
            </w:pPr>
            <w:r>
              <w:rPr>
                <w:rFonts w:eastAsia="Arial" w:cs="Arial"/>
                <w:sz w:val="20"/>
              </w:rPr>
              <w:t>Não</w:t>
            </w:r>
          </w:p>
        </w:tc>
      </w:tr>
    </w:tbl>
    <w:p w14:paraId="00C94BCC" w14:textId="77777777" w:rsidR="00803ECB" w:rsidRDefault="00ED1359">
      <w:pPr>
        <w:pStyle w:val="FonteFigura"/>
        <w:jc w:val="center"/>
      </w:pPr>
      <w:r>
        <w:t>Fonte: Elaboração própria com base nos resultados estimados.</w:t>
      </w:r>
    </w:p>
    <w:p w14:paraId="456D942C" w14:textId="77777777" w:rsidR="00803ECB" w:rsidRDefault="00ED1359">
      <w:pPr>
        <w:pStyle w:val="TextoABNT"/>
      </w:pPr>
      <w:r>
        <w:rPr>
          <w:i/>
        </w:rPr>
        <w:lastRenderedPageBreak/>
        <w:t>Figura 1 — Resposta acumulada do diesel ao choque no petróleo</w:t>
      </w:r>
    </w:p>
    <w:p w14:paraId="17DA2545" w14:textId="77777777" w:rsidR="00803ECB" w:rsidRDefault="00ED1359">
      <w:pPr>
        <w:pStyle w:val="LegendaIlustracao"/>
      </w:pPr>
      <w:bookmarkStart w:id="43" w:name="_Toc_1_9_0000000043"/>
      <w:r>
        <w:t xml:space="preserve">Figura </w:t>
      </w:r>
      <w:r>
        <w:fldChar w:fldCharType="begin"/>
      </w:r>
      <w:r>
        <w:instrText>SEQ Figura</w:instrText>
      </w:r>
      <w:r>
        <w:fldChar w:fldCharType="separate"/>
      </w:r>
      <w:r>
        <w:t>1</w:t>
      </w:r>
      <w:r>
        <w:fldChar w:fldCharType="end"/>
      </w:r>
      <w:r>
        <w:t xml:space="preserve"> – Resposta acumulada do diesel a choque no petróleo, com IC 90%</w:t>
      </w:r>
      <w:bookmarkEnd w:id="43"/>
    </w:p>
    <w:p w14:paraId="26D4795F" w14:textId="77777777" w:rsidR="00803ECB" w:rsidRDefault="000E644D">
      <w:pPr>
        <w:jc w:val="center"/>
      </w:pPr>
      <w:r>
        <w:pict w14:anchorId="41778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228pt">
            <v:imagedata r:id="rId12" o:title=""/>
          </v:shape>
        </w:pict>
      </w:r>
    </w:p>
    <w:p w14:paraId="4040F8EB" w14:textId="77777777" w:rsidR="00803ECB" w:rsidRDefault="00ED1359">
      <w:pPr>
        <w:pStyle w:val="FonteFigura"/>
        <w:jc w:val="center"/>
      </w:pPr>
      <w:r>
        <w:t>Fonte: Elaboração própria.</w:t>
      </w:r>
    </w:p>
    <w:p w14:paraId="179A2D2F" w14:textId="77777777" w:rsidR="00803ECB" w:rsidRDefault="00ED1359">
      <w:pPr>
        <w:pStyle w:val="TextoABNT"/>
      </w:pPr>
      <w:r>
        <w:rPr>
          <w:i/>
        </w:rPr>
        <w:t>Figura 2 — Resposta acumulada da gasolina de refinaria ao choque no petróleo</w:t>
      </w:r>
    </w:p>
    <w:p w14:paraId="10C42770" w14:textId="77777777" w:rsidR="00803ECB" w:rsidRDefault="00ED1359">
      <w:pPr>
        <w:pStyle w:val="LegendaIlustracao"/>
      </w:pPr>
      <w:bookmarkStart w:id="44" w:name="_Toc_1_9_0000000044"/>
      <w:r>
        <w:t xml:space="preserve">Figura </w:t>
      </w:r>
      <w:r>
        <w:fldChar w:fldCharType="begin"/>
      </w:r>
      <w:r>
        <w:instrText>SEQ Figura</w:instrText>
      </w:r>
      <w:r>
        <w:fldChar w:fldCharType="separate"/>
      </w:r>
      <w:r>
        <w:t>2</w:t>
      </w:r>
      <w:r>
        <w:fldChar w:fldCharType="end"/>
      </w:r>
      <w:r>
        <w:t xml:space="preserve"> – da resposta acumulada da gasolina na refinaria a choque no petróleo</w:t>
      </w:r>
      <w:bookmarkEnd w:id="44"/>
    </w:p>
    <w:p w14:paraId="5029B27A" w14:textId="77777777" w:rsidR="00803ECB" w:rsidRDefault="000E644D">
      <w:pPr>
        <w:jc w:val="center"/>
      </w:pPr>
      <w:r>
        <w:pict w14:anchorId="20AD0C70">
          <v:shape id="_x0000_i1026" type="#_x0000_t75" style="width:438pt;height:3in">
            <v:imagedata r:id="rId13" o:title=""/>
          </v:shape>
        </w:pict>
      </w:r>
    </w:p>
    <w:p w14:paraId="6AB0D466" w14:textId="77777777" w:rsidR="00803ECB" w:rsidRDefault="00ED1359">
      <w:pPr>
        <w:pStyle w:val="FonteFigura"/>
        <w:jc w:val="center"/>
      </w:pPr>
      <w:r>
        <w:t>Fonte: Elaboração própria.</w:t>
      </w:r>
    </w:p>
    <w:p w14:paraId="1CD14458" w14:textId="77777777" w:rsidR="00803ECB" w:rsidRDefault="00ED1359">
      <w:pPr>
        <w:pStyle w:val="TextoABNT"/>
      </w:pPr>
      <w:r>
        <w:rPr>
          <w:i/>
        </w:rPr>
        <w:t>Figura 3 — Resposta acumulada da gasolina ao consumidor ao choque no petróleo</w:t>
      </w:r>
    </w:p>
    <w:p w14:paraId="23379E0A" w14:textId="77777777" w:rsidR="00803ECB" w:rsidRDefault="00ED1359">
      <w:pPr>
        <w:pStyle w:val="LegendaIlustracao"/>
      </w:pPr>
      <w:bookmarkStart w:id="45" w:name="_Toc_1_9_0000000045"/>
      <w:r>
        <w:lastRenderedPageBreak/>
        <w:t xml:space="preserve">Figura </w:t>
      </w:r>
      <w:r>
        <w:fldChar w:fldCharType="begin"/>
      </w:r>
      <w:r>
        <w:instrText>SEQ Figura</w:instrText>
      </w:r>
      <w:r>
        <w:fldChar w:fldCharType="separate"/>
      </w:r>
      <w:r>
        <w:t>3</w:t>
      </w:r>
      <w:r>
        <w:fldChar w:fldCharType="end"/>
      </w:r>
      <w:r>
        <w:t xml:space="preserve"> – Resposta acumulada da gasolina a choque no petróleo por horizonte mensal (LP).</w:t>
      </w:r>
      <w:bookmarkEnd w:id="45"/>
    </w:p>
    <w:p w14:paraId="27B6B6B5" w14:textId="77777777" w:rsidR="00803ECB" w:rsidRDefault="000E644D">
      <w:pPr>
        <w:jc w:val="center"/>
      </w:pPr>
      <w:r>
        <w:pict w14:anchorId="29C2F65C">
          <v:shape id="_x0000_i1027" type="#_x0000_t75" style="width:438pt;height:222pt">
            <v:imagedata r:id="rId14" o:title=""/>
          </v:shape>
        </w:pict>
      </w:r>
    </w:p>
    <w:p w14:paraId="278C05C3" w14:textId="77777777" w:rsidR="00803ECB" w:rsidRDefault="00ED1359">
      <w:pPr>
        <w:pStyle w:val="FonteFigura"/>
        <w:jc w:val="center"/>
      </w:pPr>
      <w:r>
        <w:t>Fonte: Elaboração própria.</w:t>
      </w:r>
    </w:p>
    <w:p w14:paraId="41C5D2AC" w14:textId="77777777" w:rsidR="00803ECB" w:rsidRDefault="00ED1359">
      <w:pPr>
        <w:pStyle w:val="TextoABNT"/>
      </w:pPr>
      <w:r>
        <w:t>A resposta da gasolina ao consumidor também é positiva nos primeiros meses, mas perde significância ao redor do horizonte de 12 meses. Isso sugere que parte do choque internacional pode ser absorvida ou suavizada antes de chegar integralmente ao preço final. Essa evidência é compatível com a estrutura brasileira de preços, na qual impostos, mistura de biocombustíveis, margens de distribuição, decisões de política de preços e condições concorrenciais podem reduzir ou alterar a velocidade do repasse.</w:t>
      </w:r>
    </w:p>
    <w:p w14:paraId="5D2FD93D" w14:textId="77777777" w:rsidR="00803ECB" w:rsidRDefault="00ED1359">
      <w:pPr>
        <w:pStyle w:val="TextoABNT"/>
      </w:pPr>
      <w:r>
        <w:t>O etanol apresenta resposta inicial positiva, mas com perda de precisão nos horizontes intermediários e longos. Esse resultado é economicamente plausível porque o etanol não é derivado diretamente do petróleo. Sua dinâmica combina dois mecanismos distintos. De um lado, há um canal de substituição com a gasolina, pois o preço relativo entre os combustíveis limita a capacidade de alta do etanol quando ele deixa de ser competitivo na bomba. De outro lado, há fatores próprios do setor sucroenergético, como safr</w:t>
      </w:r>
      <w:r>
        <w:t>a da cana-de-açúcar, preços do açúcar, condições climáticas, estoques e custos agrícolas. Assim, o petróleo pode funcionar como uma espécie de teto indireto para o etanol via concorrência com a gasolina, mas a dinâmica de curto prazo do etanol permanece fortemente influenciada por choques agrícolas e sazonais. Por isso, a evidência sugere que o canal petróleo-combustíveis é mais claro para diesel e gasolina de refinaria do que para etanol.</w:t>
      </w:r>
    </w:p>
    <w:p w14:paraId="0FADE150" w14:textId="77777777" w:rsidR="00803ECB" w:rsidRDefault="00ED1359">
      <w:pPr>
        <w:pStyle w:val="TituloABNT"/>
        <w:pageBreakBefore/>
      </w:pPr>
      <w:bookmarkStart w:id="46" w:name="_Toc_1_3_0000000031"/>
      <w:r>
        <w:lastRenderedPageBreak/>
        <w:t>Combustíveis e IPCA Geral</w:t>
      </w:r>
      <w:bookmarkEnd w:id="46"/>
    </w:p>
    <w:p w14:paraId="1CA97FF9" w14:textId="77777777" w:rsidR="00803ECB" w:rsidRDefault="00ED1359">
      <w:pPr>
        <w:pStyle w:val="TextoABNT"/>
      </w:pPr>
      <w:r>
        <w:t>O segundo bloco avalia se os combustíveis afetam a inflação ao consumidor. Quando a resposta considerada é o IPCA Geral, os resultados aparecem positivos para gasolina, etanol e gasolina de refinaria nos primeiros horizontes, mas com menor magnitude e menor precisão estatística do que no IPCA Transporte. Esse comportamento é esperado, pois o IPCA Geral reúne vários grupos de consumo e dilui o efeito dos combustíveis dentro de uma cesta mais ampla.</w:t>
      </w:r>
    </w:p>
    <w:p w14:paraId="2D9F38FE" w14:textId="77777777" w:rsidR="00803ECB" w:rsidRDefault="00ED1359">
      <w:pPr>
        <w:pStyle w:val="TextoABNT"/>
      </w:pPr>
      <w:r>
        <w:t>A gasolina apresenta o resultado mais consistente sobre o IPCA Geral. No horizonte de 12 meses, a resposta acumulada é de 0,383 e o intervalo de confiança não cruza zero. Esse resultado indica que choques na gasolina ao consumidor conseguem se transmitir para a inflação agregada, ainda que em magnitude inferior à observada no IPCA Transporte. O etanol possui efeito positivo nos primeiros meses, mas perde significância em 12 meses. A gasolina de refinaria também apresenta efeito positivo, mas com maior incer</w:t>
      </w:r>
      <w:r>
        <w:t>teza no horizonte principal. Já o diesel não apresenta resposta estatisticamente robusta sobre o IPCA Geral no horizonte de 12 meses.</w:t>
      </w:r>
    </w:p>
    <w:p w14:paraId="505A3154" w14:textId="77777777" w:rsidR="00803ECB" w:rsidRDefault="00ED1359">
      <w:pPr>
        <w:pStyle w:val="TextoABNT"/>
      </w:pPr>
      <w:r>
        <w:rPr>
          <w:i/>
        </w:rPr>
        <w:t>Figura 4 - Resposta acumulada da gasolina sobre o IPCA Geral</w:t>
      </w:r>
    </w:p>
    <w:p w14:paraId="2F23412D" w14:textId="77777777" w:rsidR="00803ECB" w:rsidRDefault="00ED1359">
      <w:pPr>
        <w:pStyle w:val="LegendaIlustracao"/>
      </w:pPr>
      <w:bookmarkStart w:id="47" w:name="_Toc_1_9_0000000046"/>
      <w:r>
        <w:t xml:space="preserve">Figura </w:t>
      </w:r>
      <w:r>
        <w:fldChar w:fldCharType="begin"/>
      </w:r>
      <w:r>
        <w:instrText>SEQ Figura</w:instrText>
      </w:r>
      <w:r>
        <w:fldChar w:fldCharType="separate"/>
      </w:r>
      <w:r>
        <w:t>4</w:t>
      </w:r>
      <w:r>
        <w:fldChar w:fldCharType="end"/>
      </w:r>
      <w:r>
        <w:t xml:space="preserve"> – Resposta acumulada da gasolina de refinaria sobre o IPCA Geral por horizonte</w:t>
      </w:r>
      <w:bookmarkEnd w:id="47"/>
    </w:p>
    <w:p w14:paraId="76883722" w14:textId="77777777" w:rsidR="00803ECB" w:rsidRDefault="000E644D">
      <w:pPr>
        <w:jc w:val="center"/>
      </w:pPr>
      <w:r>
        <w:pict w14:anchorId="377200D0">
          <v:shape id="_x0000_i1028" type="#_x0000_t75" style="width:438pt;height:3in">
            <v:imagedata r:id="rId15" o:title=""/>
          </v:shape>
        </w:pict>
      </w:r>
    </w:p>
    <w:p w14:paraId="62B800BF" w14:textId="77777777" w:rsidR="00803ECB" w:rsidRDefault="00ED1359">
      <w:pPr>
        <w:pStyle w:val="FonteFigura"/>
        <w:jc w:val="center"/>
      </w:pPr>
      <w:r>
        <w:t>Fonte: Elaboração própria com base nas estimações do modelo de Local Projections.</w:t>
      </w:r>
    </w:p>
    <w:p w14:paraId="480180B8" w14:textId="77777777" w:rsidR="00803ECB" w:rsidRDefault="00ED1359">
      <w:pPr>
        <w:pStyle w:val="LegendaIlustracao"/>
      </w:pPr>
      <w:bookmarkStart w:id="48" w:name="_Toc_1_9_0000000047"/>
      <w:r>
        <w:lastRenderedPageBreak/>
        <w:t xml:space="preserve">Figura </w:t>
      </w:r>
      <w:r>
        <w:fldChar w:fldCharType="begin"/>
      </w:r>
      <w:r>
        <w:instrText>SEQ Figura</w:instrText>
      </w:r>
      <w:r>
        <w:fldChar w:fldCharType="separate"/>
      </w:r>
      <w:r>
        <w:t>5</w:t>
      </w:r>
      <w:r>
        <w:fldChar w:fldCharType="end"/>
      </w:r>
      <w:r>
        <w:t xml:space="preserve"> – de resposta acumulada do modelo LP para IPCA geral</w:t>
      </w:r>
      <w:bookmarkEnd w:id="48"/>
    </w:p>
    <w:p w14:paraId="7CB3EACE" w14:textId="77777777" w:rsidR="00803ECB" w:rsidRDefault="000E644D">
      <w:pPr>
        <w:jc w:val="center"/>
      </w:pPr>
      <w:r>
        <w:pict w14:anchorId="2B95F9CA">
          <v:shape id="_x0000_i1029" type="#_x0000_t75" style="width:438pt;height:210pt">
            <v:imagedata r:id="rId16" o:title=""/>
          </v:shape>
        </w:pict>
      </w:r>
    </w:p>
    <w:p w14:paraId="1D43EA7B" w14:textId="77777777" w:rsidR="00803ECB" w:rsidRDefault="00ED1359">
      <w:pPr>
        <w:pStyle w:val="FonteFigura"/>
        <w:jc w:val="center"/>
      </w:pPr>
      <w:r>
        <w:t>Fonte: Elaboração própria com base nas estimações do modelo de Local Projections.</w:t>
      </w:r>
    </w:p>
    <w:p w14:paraId="51873E15" w14:textId="77777777" w:rsidR="00803ECB" w:rsidRDefault="00ED1359">
      <w:pPr>
        <w:pStyle w:val="TituloABNT"/>
        <w:pageBreakBefore/>
      </w:pPr>
      <w:bookmarkStart w:id="49" w:name="_Toc_1_3_0000000032"/>
      <w:r>
        <w:lastRenderedPageBreak/>
        <w:t>Combustíveis e IPCA Transporte</w:t>
      </w:r>
      <w:bookmarkEnd w:id="49"/>
    </w:p>
    <w:p w14:paraId="4C659DD2" w14:textId="77777777" w:rsidR="00803ECB" w:rsidRDefault="00ED1359">
      <w:pPr>
        <w:pStyle w:val="TextoABNT"/>
      </w:pPr>
      <w:r>
        <w:t>Os resultados mais fortes aparecem quando a variável de resposta é o IPCA Transportes. Esse é o principal achado empírico do trabalho. O efeito da gasolina, do etanol e da gasolina de refinaria sobre o IPCA Transportes é positivo, persistente e estatisticamente significativo em vários horizontes. Isso confirma a hipótese de que o canal de transmissão é mais evidente no componente da inflação diretamente relacionado aos combustíveis e aos custos de transporte.</w:t>
      </w:r>
    </w:p>
    <w:p w14:paraId="7164543B" w14:textId="77777777" w:rsidR="00803ECB" w:rsidRDefault="00ED1359">
      <w:pPr>
        <w:pStyle w:val="TextoABNT"/>
      </w:pPr>
      <w:r>
        <w:t>A gasolina apresenta a resposta mais forte e precisa. No horizonte de 12 meses, o coeficiente acumulado é de 1,239, com p-valor inferior a 0,001 e intervalo de confiança entre 0,796 e 1,681. Além disso, mesmo em 24 meses, a resposta permanece positiva e significativa. Esse resultado indica que choques na gasolina têm efeito persistente sobre o IPCA Transportes.</w:t>
      </w:r>
    </w:p>
    <w:p w14:paraId="31005E8F" w14:textId="77777777" w:rsidR="00803ECB" w:rsidRDefault="00ED1359">
      <w:pPr>
        <w:pStyle w:val="TextoABNT"/>
      </w:pPr>
      <w:r>
        <w:t>O etanol também apresenta efeito relevante sobre o IPCA Transportes. No horizonte de 12 meses, o coeficiente é de 0,896 e o intervalo de confiança permanece acima de zero. Esse resultado deve ser interpretado como evidência de impacto do preço do etanol sobre o componente de transportes, não como prova de que o petróleo determina diretamente o etanol. A ligação entre petróleo e etanol é indireta, operando sobretudo pela substituição com a gasolina e pelo preço relativo na bomba. A gasolina de refinaria, por</w:t>
      </w:r>
      <w:r>
        <w:t xml:space="preserve"> sua vez, apresenta coeficiente de 1,103 em 12 meses e efeito ainda significativo no horizonte de 24 meses. Esse resultado é particularmente importante para o trabalho porque reforça a interpretação de que o preço de refinaria funciona como uma etapa intermediária do repasse entre o mercado internacional de petróleo e os preços ao consumidor.</w:t>
      </w:r>
    </w:p>
    <w:p w14:paraId="763868FD" w14:textId="77777777" w:rsidR="00803ECB" w:rsidRDefault="00ED1359">
      <w:pPr>
        <w:pStyle w:val="TextoABNT"/>
      </w:pPr>
      <w:r>
        <w:rPr>
          <w:i/>
        </w:rPr>
        <w:t>Tabela 2 - Respostas acumuladas dos combustíveis sobre o IPCA geral e o IPCA transporte</w:t>
      </w:r>
    </w:p>
    <w:p w14:paraId="6D20B854" w14:textId="77777777" w:rsidR="00803ECB" w:rsidRDefault="00ED1359">
      <w:pPr>
        <w:pStyle w:val="LegendaIlustracao"/>
      </w:pPr>
      <w:bookmarkStart w:id="50" w:name="_Toc_1_9_0000000057"/>
      <w:r>
        <w:t xml:space="preserve">Tabela </w:t>
      </w:r>
      <w:r>
        <w:fldChar w:fldCharType="begin"/>
      </w:r>
      <w:r>
        <w:instrText>SEQ Tabela</w:instrText>
      </w:r>
      <w:r>
        <w:fldChar w:fldCharType="separate"/>
      </w:r>
      <w:r>
        <w:t>7</w:t>
      </w:r>
      <w:r>
        <w:fldChar w:fldCharType="end"/>
      </w:r>
      <w:r>
        <w:t xml:space="preserve"> – Respostas acumuladas dos combustíveis sobre o IPCA Geral e o IPCA Transporte</w:t>
      </w:r>
      <w:bookmarkEnd w:id="50"/>
    </w:p>
    <w:tbl>
      <w:tblPr>
        <w:tblW w:w="5000" w:type="pct"/>
        <w:tblLook w:val="0600" w:firstRow="0" w:lastRow="0" w:firstColumn="0" w:lastColumn="0" w:noHBand="1" w:noVBand="1"/>
      </w:tblPr>
      <w:tblGrid>
        <w:gridCol w:w="1520"/>
        <w:gridCol w:w="1344"/>
        <w:gridCol w:w="1009"/>
        <w:gridCol w:w="1136"/>
        <w:gridCol w:w="1237"/>
        <w:gridCol w:w="908"/>
        <w:gridCol w:w="1009"/>
        <w:gridCol w:w="908"/>
      </w:tblGrid>
      <w:tr w:rsidR="00803ECB" w14:paraId="2EE248D1" w14:textId="77777777">
        <w:tc>
          <w:tcPr>
            <w:tcW w:w="0" w:type="auto"/>
            <w:tcBorders>
              <w:top w:val="single" w:sz="4" w:space="0" w:color="auto"/>
              <w:bottom w:val="single" w:sz="4" w:space="0" w:color="auto"/>
            </w:tcBorders>
            <w:vAlign w:val="center"/>
          </w:tcPr>
          <w:p w14:paraId="1B4C69A0" w14:textId="77777777" w:rsidR="00803ECB" w:rsidRDefault="00ED1359">
            <w:pPr>
              <w:pStyle w:val="TextoABNT"/>
              <w:ind w:firstLine="0"/>
              <w:rPr>
                <w:rFonts w:eastAsia="Arial" w:cs="Arial"/>
                <w:sz w:val="20"/>
              </w:rPr>
            </w:pPr>
            <w:r>
              <w:rPr>
                <w:rFonts w:eastAsia="Arial" w:cs="Arial"/>
                <w:sz w:val="20"/>
              </w:rPr>
              <w:t>Impulso</w:t>
            </w:r>
          </w:p>
        </w:tc>
        <w:tc>
          <w:tcPr>
            <w:tcW w:w="0" w:type="auto"/>
            <w:tcBorders>
              <w:top w:val="single" w:sz="4" w:space="0" w:color="auto"/>
              <w:bottom w:val="single" w:sz="4" w:space="0" w:color="auto"/>
            </w:tcBorders>
            <w:vAlign w:val="center"/>
          </w:tcPr>
          <w:p w14:paraId="5D7CE362" w14:textId="77777777" w:rsidR="00803ECB" w:rsidRDefault="00ED1359">
            <w:pPr>
              <w:pStyle w:val="TextoABNT"/>
              <w:ind w:firstLine="0"/>
              <w:rPr>
                <w:rFonts w:eastAsia="Arial" w:cs="Arial"/>
                <w:sz w:val="20"/>
              </w:rPr>
            </w:pPr>
            <w:r>
              <w:rPr>
                <w:rFonts w:eastAsia="Arial" w:cs="Arial"/>
                <w:sz w:val="20"/>
              </w:rPr>
              <w:t>Resposta</w:t>
            </w:r>
          </w:p>
        </w:tc>
        <w:tc>
          <w:tcPr>
            <w:tcW w:w="0" w:type="auto"/>
            <w:tcBorders>
              <w:top w:val="single" w:sz="4" w:space="0" w:color="auto"/>
              <w:bottom w:val="single" w:sz="4" w:space="0" w:color="auto"/>
            </w:tcBorders>
            <w:vAlign w:val="center"/>
          </w:tcPr>
          <w:p w14:paraId="1B2C12A7" w14:textId="77777777" w:rsidR="00803ECB" w:rsidRDefault="00ED1359">
            <w:pPr>
              <w:pStyle w:val="TextoABNT"/>
              <w:ind w:firstLine="0"/>
              <w:rPr>
                <w:rFonts w:eastAsia="Arial" w:cs="Arial"/>
                <w:sz w:val="20"/>
              </w:rPr>
            </w:pPr>
            <w:r>
              <w:rPr>
                <w:rFonts w:eastAsia="Arial" w:cs="Arial"/>
                <w:sz w:val="20"/>
              </w:rPr>
              <w:t>Coef. h=12</w:t>
            </w:r>
          </w:p>
        </w:tc>
        <w:tc>
          <w:tcPr>
            <w:tcW w:w="0" w:type="auto"/>
            <w:tcBorders>
              <w:top w:val="single" w:sz="4" w:space="0" w:color="auto"/>
              <w:bottom w:val="single" w:sz="4" w:space="0" w:color="auto"/>
            </w:tcBorders>
            <w:vAlign w:val="center"/>
          </w:tcPr>
          <w:p w14:paraId="04D4414D" w14:textId="77777777" w:rsidR="00803ECB" w:rsidRDefault="00ED1359">
            <w:pPr>
              <w:pStyle w:val="TextoABNT"/>
              <w:ind w:firstLine="0"/>
              <w:rPr>
                <w:rFonts w:eastAsia="Arial" w:cs="Arial"/>
                <w:sz w:val="20"/>
              </w:rPr>
            </w:pPr>
            <w:r>
              <w:rPr>
                <w:rFonts w:eastAsia="Arial" w:cs="Arial"/>
                <w:sz w:val="20"/>
              </w:rPr>
              <w:t>p-valor h=12</w:t>
            </w:r>
          </w:p>
        </w:tc>
        <w:tc>
          <w:tcPr>
            <w:tcW w:w="0" w:type="auto"/>
            <w:tcBorders>
              <w:top w:val="single" w:sz="4" w:space="0" w:color="auto"/>
              <w:bottom w:val="single" w:sz="4" w:space="0" w:color="auto"/>
            </w:tcBorders>
            <w:vAlign w:val="center"/>
          </w:tcPr>
          <w:p w14:paraId="5DD9D607" w14:textId="77777777" w:rsidR="00803ECB" w:rsidRDefault="00ED1359">
            <w:pPr>
              <w:pStyle w:val="TextoABNT"/>
              <w:ind w:firstLine="0"/>
              <w:rPr>
                <w:rFonts w:eastAsia="Arial" w:cs="Arial"/>
                <w:sz w:val="20"/>
              </w:rPr>
            </w:pPr>
            <w:r>
              <w:rPr>
                <w:rFonts w:eastAsia="Arial" w:cs="Arial"/>
                <w:sz w:val="20"/>
              </w:rPr>
              <w:t>IC h=12</w:t>
            </w:r>
          </w:p>
        </w:tc>
        <w:tc>
          <w:tcPr>
            <w:tcW w:w="0" w:type="auto"/>
            <w:tcBorders>
              <w:top w:val="single" w:sz="4" w:space="0" w:color="auto"/>
              <w:bottom w:val="single" w:sz="4" w:space="0" w:color="auto"/>
            </w:tcBorders>
            <w:vAlign w:val="center"/>
          </w:tcPr>
          <w:p w14:paraId="08F4A715" w14:textId="77777777" w:rsidR="00803ECB" w:rsidRDefault="00ED1359">
            <w:pPr>
              <w:pStyle w:val="TextoABNT"/>
              <w:ind w:firstLine="0"/>
              <w:rPr>
                <w:rFonts w:eastAsia="Arial" w:cs="Arial"/>
                <w:sz w:val="20"/>
              </w:rPr>
            </w:pPr>
            <w:r>
              <w:rPr>
                <w:rFonts w:eastAsia="Arial" w:cs="Arial"/>
                <w:sz w:val="20"/>
              </w:rPr>
              <w:t>Sig. h=12</w:t>
            </w:r>
          </w:p>
        </w:tc>
        <w:tc>
          <w:tcPr>
            <w:tcW w:w="0" w:type="auto"/>
            <w:tcBorders>
              <w:top w:val="single" w:sz="4" w:space="0" w:color="auto"/>
              <w:bottom w:val="single" w:sz="4" w:space="0" w:color="auto"/>
            </w:tcBorders>
            <w:vAlign w:val="center"/>
          </w:tcPr>
          <w:p w14:paraId="2CBA909F" w14:textId="77777777" w:rsidR="00803ECB" w:rsidRDefault="00ED1359">
            <w:pPr>
              <w:pStyle w:val="TextoABNT"/>
              <w:ind w:firstLine="0"/>
              <w:rPr>
                <w:rFonts w:eastAsia="Arial" w:cs="Arial"/>
                <w:sz w:val="20"/>
              </w:rPr>
            </w:pPr>
            <w:r>
              <w:rPr>
                <w:rFonts w:eastAsia="Arial" w:cs="Arial"/>
                <w:sz w:val="20"/>
              </w:rPr>
              <w:t>Coef. h=24</w:t>
            </w:r>
          </w:p>
        </w:tc>
        <w:tc>
          <w:tcPr>
            <w:tcW w:w="0" w:type="auto"/>
            <w:tcBorders>
              <w:top w:val="single" w:sz="4" w:space="0" w:color="auto"/>
              <w:bottom w:val="single" w:sz="4" w:space="0" w:color="auto"/>
            </w:tcBorders>
            <w:vAlign w:val="center"/>
          </w:tcPr>
          <w:p w14:paraId="0C4ADBE3" w14:textId="77777777" w:rsidR="00803ECB" w:rsidRDefault="00ED1359">
            <w:pPr>
              <w:pStyle w:val="TextoABNT"/>
              <w:ind w:firstLine="0"/>
              <w:rPr>
                <w:rFonts w:eastAsia="Arial" w:cs="Arial"/>
                <w:sz w:val="20"/>
              </w:rPr>
            </w:pPr>
            <w:r>
              <w:rPr>
                <w:rFonts w:eastAsia="Arial" w:cs="Arial"/>
                <w:sz w:val="20"/>
              </w:rPr>
              <w:t>Sig. h=24</w:t>
            </w:r>
          </w:p>
        </w:tc>
      </w:tr>
      <w:tr w:rsidR="00803ECB" w14:paraId="33D8DC2B" w14:textId="77777777">
        <w:tc>
          <w:tcPr>
            <w:tcW w:w="0" w:type="auto"/>
            <w:tcBorders>
              <w:top w:val="single" w:sz="4" w:space="0" w:color="auto"/>
            </w:tcBorders>
            <w:vAlign w:val="center"/>
          </w:tcPr>
          <w:p w14:paraId="3A1039FD" w14:textId="77777777" w:rsidR="00803ECB" w:rsidRDefault="00ED1359">
            <w:pPr>
              <w:pStyle w:val="TextoABNT"/>
              <w:ind w:firstLine="0"/>
              <w:rPr>
                <w:rFonts w:eastAsia="Arial" w:cs="Arial"/>
                <w:sz w:val="20"/>
              </w:rPr>
            </w:pPr>
            <w:r>
              <w:rPr>
                <w:rFonts w:eastAsia="Arial" w:cs="Arial"/>
                <w:sz w:val="20"/>
              </w:rPr>
              <w:t>Diesel</w:t>
            </w:r>
          </w:p>
        </w:tc>
        <w:tc>
          <w:tcPr>
            <w:tcW w:w="0" w:type="auto"/>
            <w:tcBorders>
              <w:top w:val="single" w:sz="4" w:space="0" w:color="auto"/>
            </w:tcBorders>
            <w:vAlign w:val="center"/>
          </w:tcPr>
          <w:p w14:paraId="1B8D845E" w14:textId="77777777" w:rsidR="00803ECB" w:rsidRDefault="00ED1359">
            <w:pPr>
              <w:pStyle w:val="TextoABNT"/>
              <w:ind w:firstLine="0"/>
              <w:rPr>
                <w:rFonts w:eastAsia="Arial" w:cs="Arial"/>
                <w:sz w:val="20"/>
              </w:rPr>
            </w:pPr>
            <w:r>
              <w:rPr>
                <w:rFonts w:eastAsia="Arial" w:cs="Arial"/>
                <w:sz w:val="20"/>
              </w:rPr>
              <w:t>IPCA Geral</w:t>
            </w:r>
          </w:p>
        </w:tc>
        <w:tc>
          <w:tcPr>
            <w:tcW w:w="0" w:type="auto"/>
            <w:tcBorders>
              <w:top w:val="single" w:sz="4" w:space="0" w:color="auto"/>
            </w:tcBorders>
            <w:vAlign w:val="center"/>
          </w:tcPr>
          <w:p w14:paraId="1F1BBB61" w14:textId="77777777" w:rsidR="00803ECB" w:rsidRDefault="00ED1359">
            <w:pPr>
              <w:pStyle w:val="TextoABNT"/>
              <w:ind w:firstLine="0"/>
              <w:rPr>
                <w:rFonts w:eastAsia="Arial" w:cs="Arial"/>
                <w:sz w:val="20"/>
              </w:rPr>
            </w:pPr>
            <w:r>
              <w:rPr>
                <w:rFonts w:eastAsia="Arial" w:cs="Arial"/>
                <w:sz w:val="20"/>
              </w:rPr>
              <w:t>0,127</w:t>
            </w:r>
          </w:p>
        </w:tc>
        <w:tc>
          <w:tcPr>
            <w:tcW w:w="0" w:type="auto"/>
            <w:tcBorders>
              <w:top w:val="single" w:sz="4" w:space="0" w:color="auto"/>
            </w:tcBorders>
            <w:vAlign w:val="center"/>
          </w:tcPr>
          <w:p w14:paraId="05F038AE" w14:textId="77777777" w:rsidR="00803ECB" w:rsidRDefault="00ED1359">
            <w:pPr>
              <w:pStyle w:val="TextoABNT"/>
              <w:ind w:firstLine="0"/>
              <w:rPr>
                <w:rFonts w:eastAsia="Arial" w:cs="Arial"/>
                <w:sz w:val="20"/>
              </w:rPr>
            </w:pPr>
            <w:r>
              <w:rPr>
                <w:rFonts w:eastAsia="Arial" w:cs="Arial"/>
                <w:sz w:val="20"/>
              </w:rPr>
              <w:t>0,403</w:t>
            </w:r>
          </w:p>
        </w:tc>
        <w:tc>
          <w:tcPr>
            <w:tcW w:w="0" w:type="auto"/>
            <w:tcBorders>
              <w:top w:val="single" w:sz="4" w:space="0" w:color="auto"/>
            </w:tcBorders>
            <w:vAlign w:val="center"/>
          </w:tcPr>
          <w:p w14:paraId="6BBB26C7" w14:textId="77777777" w:rsidR="00803ECB" w:rsidRDefault="00ED1359">
            <w:pPr>
              <w:pStyle w:val="TextoABNT"/>
              <w:ind w:firstLine="0"/>
              <w:rPr>
                <w:rFonts w:eastAsia="Arial" w:cs="Arial"/>
                <w:sz w:val="20"/>
              </w:rPr>
            </w:pPr>
            <w:r>
              <w:rPr>
                <w:rFonts w:eastAsia="Arial" w:cs="Arial"/>
                <w:sz w:val="20"/>
              </w:rPr>
              <w:t>[-0,123; 0,378]</w:t>
            </w:r>
          </w:p>
        </w:tc>
        <w:tc>
          <w:tcPr>
            <w:tcW w:w="0" w:type="auto"/>
            <w:tcBorders>
              <w:top w:val="single" w:sz="4" w:space="0" w:color="auto"/>
            </w:tcBorders>
            <w:vAlign w:val="center"/>
          </w:tcPr>
          <w:p w14:paraId="05CB89A5" w14:textId="77777777" w:rsidR="00803ECB" w:rsidRDefault="00ED1359">
            <w:pPr>
              <w:pStyle w:val="TextoABNT"/>
              <w:ind w:firstLine="0"/>
              <w:rPr>
                <w:rFonts w:eastAsia="Arial" w:cs="Arial"/>
                <w:sz w:val="20"/>
              </w:rPr>
            </w:pPr>
            <w:r>
              <w:rPr>
                <w:rFonts w:eastAsia="Arial" w:cs="Arial"/>
                <w:sz w:val="20"/>
              </w:rPr>
              <w:t>Não</w:t>
            </w:r>
          </w:p>
        </w:tc>
        <w:tc>
          <w:tcPr>
            <w:tcW w:w="0" w:type="auto"/>
            <w:tcBorders>
              <w:top w:val="single" w:sz="4" w:space="0" w:color="auto"/>
            </w:tcBorders>
            <w:vAlign w:val="center"/>
          </w:tcPr>
          <w:p w14:paraId="6C6C4167" w14:textId="77777777" w:rsidR="00803ECB" w:rsidRDefault="00ED1359">
            <w:pPr>
              <w:pStyle w:val="TextoABNT"/>
              <w:ind w:firstLine="0"/>
              <w:rPr>
                <w:rFonts w:eastAsia="Arial" w:cs="Arial"/>
                <w:sz w:val="20"/>
              </w:rPr>
            </w:pPr>
            <w:r>
              <w:rPr>
                <w:rFonts w:eastAsia="Arial" w:cs="Arial"/>
                <w:sz w:val="20"/>
              </w:rPr>
              <w:t>-0,072</w:t>
            </w:r>
          </w:p>
        </w:tc>
        <w:tc>
          <w:tcPr>
            <w:tcW w:w="0" w:type="auto"/>
            <w:tcBorders>
              <w:top w:val="single" w:sz="4" w:space="0" w:color="auto"/>
            </w:tcBorders>
            <w:vAlign w:val="center"/>
          </w:tcPr>
          <w:p w14:paraId="1015EAAE" w14:textId="77777777" w:rsidR="00803ECB" w:rsidRDefault="00ED1359">
            <w:pPr>
              <w:pStyle w:val="TextoABNT"/>
              <w:ind w:firstLine="0"/>
              <w:rPr>
                <w:rFonts w:eastAsia="Arial" w:cs="Arial"/>
                <w:sz w:val="20"/>
              </w:rPr>
            </w:pPr>
            <w:r>
              <w:rPr>
                <w:rFonts w:eastAsia="Arial" w:cs="Arial"/>
                <w:sz w:val="20"/>
              </w:rPr>
              <w:t>Não</w:t>
            </w:r>
          </w:p>
        </w:tc>
      </w:tr>
      <w:tr w:rsidR="00803ECB" w14:paraId="74EC7E38" w14:textId="77777777">
        <w:tc>
          <w:tcPr>
            <w:tcW w:w="0" w:type="auto"/>
            <w:vAlign w:val="center"/>
          </w:tcPr>
          <w:p w14:paraId="218337FD" w14:textId="77777777" w:rsidR="00803ECB" w:rsidRDefault="00ED1359">
            <w:pPr>
              <w:pStyle w:val="TextoABNT"/>
              <w:ind w:firstLine="0"/>
              <w:rPr>
                <w:rFonts w:eastAsia="Arial" w:cs="Arial"/>
                <w:sz w:val="20"/>
              </w:rPr>
            </w:pPr>
            <w:r>
              <w:rPr>
                <w:rFonts w:eastAsia="Arial" w:cs="Arial"/>
                <w:sz w:val="20"/>
              </w:rPr>
              <w:t>Diesel</w:t>
            </w:r>
          </w:p>
        </w:tc>
        <w:tc>
          <w:tcPr>
            <w:tcW w:w="0" w:type="auto"/>
            <w:vAlign w:val="center"/>
          </w:tcPr>
          <w:p w14:paraId="42079AA2" w14:textId="77777777" w:rsidR="00803ECB" w:rsidRDefault="00ED1359">
            <w:pPr>
              <w:pStyle w:val="TextoABNT"/>
              <w:ind w:firstLine="0"/>
              <w:rPr>
                <w:rFonts w:eastAsia="Arial" w:cs="Arial"/>
                <w:sz w:val="20"/>
              </w:rPr>
            </w:pPr>
            <w:r>
              <w:rPr>
                <w:rFonts w:eastAsia="Arial" w:cs="Arial"/>
                <w:sz w:val="20"/>
              </w:rPr>
              <w:t>IPCA Transporte</w:t>
            </w:r>
          </w:p>
        </w:tc>
        <w:tc>
          <w:tcPr>
            <w:tcW w:w="0" w:type="auto"/>
            <w:vAlign w:val="center"/>
          </w:tcPr>
          <w:p w14:paraId="38C41BC2" w14:textId="77777777" w:rsidR="00803ECB" w:rsidRDefault="00ED1359">
            <w:pPr>
              <w:pStyle w:val="TextoABNT"/>
              <w:ind w:firstLine="0"/>
              <w:rPr>
                <w:rFonts w:eastAsia="Arial" w:cs="Arial"/>
                <w:sz w:val="20"/>
              </w:rPr>
            </w:pPr>
            <w:r>
              <w:rPr>
                <w:rFonts w:eastAsia="Arial" w:cs="Arial"/>
                <w:sz w:val="20"/>
              </w:rPr>
              <w:t>0,254</w:t>
            </w:r>
          </w:p>
        </w:tc>
        <w:tc>
          <w:tcPr>
            <w:tcW w:w="0" w:type="auto"/>
            <w:vAlign w:val="center"/>
          </w:tcPr>
          <w:p w14:paraId="5669B253" w14:textId="77777777" w:rsidR="00803ECB" w:rsidRDefault="00ED1359">
            <w:pPr>
              <w:pStyle w:val="TextoABNT"/>
              <w:ind w:firstLine="0"/>
              <w:rPr>
                <w:rFonts w:eastAsia="Arial" w:cs="Arial"/>
                <w:sz w:val="20"/>
              </w:rPr>
            </w:pPr>
            <w:r>
              <w:rPr>
                <w:rFonts w:eastAsia="Arial" w:cs="Arial"/>
                <w:sz w:val="20"/>
              </w:rPr>
              <w:t>0,530</w:t>
            </w:r>
          </w:p>
        </w:tc>
        <w:tc>
          <w:tcPr>
            <w:tcW w:w="0" w:type="auto"/>
            <w:vAlign w:val="center"/>
          </w:tcPr>
          <w:p w14:paraId="2FEAF39E" w14:textId="77777777" w:rsidR="00803ECB" w:rsidRDefault="00ED1359">
            <w:pPr>
              <w:pStyle w:val="TextoABNT"/>
              <w:ind w:firstLine="0"/>
              <w:rPr>
                <w:rFonts w:eastAsia="Arial" w:cs="Arial"/>
                <w:sz w:val="20"/>
              </w:rPr>
            </w:pPr>
            <w:r>
              <w:rPr>
                <w:rFonts w:eastAsia="Arial" w:cs="Arial"/>
                <w:sz w:val="20"/>
              </w:rPr>
              <w:t>[-0,411; 0,920]</w:t>
            </w:r>
          </w:p>
        </w:tc>
        <w:tc>
          <w:tcPr>
            <w:tcW w:w="0" w:type="auto"/>
            <w:vAlign w:val="center"/>
          </w:tcPr>
          <w:p w14:paraId="6390C997" w14:textId="77777777" w:rsidR="00803ECB" w:rsidRDefault="00ED1359">
            <w:pPr>
              <w:pStyle w:val="TextoABNT"/>
              <w:ind w:firstLine="0"/>
              <w:rPr>
                <w:rFonts w:eastAsia="Arial" w:cs="Arial"/>
                <w:sz w:val="20"/>
              </w:rPr>
            </w:pPr>
            <w:r>
              <w:rPr>
                <w:rFonts w:eastAsia="Arial" w:cs="Arial"/>
                <w:sz w:val="20"/>
              </w:rPr>
              <w:t>Não</w:t>
            </w:r>
          </w:p>
        </w:tc>
        <w:tc>
          <w:tcPr>
            <w:tcW w:w="0" w:type="auto"/>
            <w:vAlign w:val="center"/>
          </w:tcPr>
          <w:p w14:paraId="449293DA" w14:textId="77777777" w:rsidR="00803ECB" w:rsidRDefault="00ED1359">
            <w:pPr>
              <w:pStyle w:val="TextoABNT"/>
              <w:ind w:firstLine="0"/>
              <w:rPr>
                <w:rFonts w:eastAsia="Arial" w:cs="Arial"/>
                <w:sz w:val="20"/>
              </w:rPr>
            </w:pPr>
            <w:r>
              <w:rPr>
                <w:rFonts w:eastAsia="Arial" w:cs="Arial"/>
                <w:sz w:val="20"/>
              </w:rPr>
              <w:t>-0,121</w:t>
            </w:r>
          </w:p>
        </w:tc>
        <w:tc>
          <w:tcPr>
            <w:tcW w:w="0" w:type="auto"/>
            <w:vAlign w:val="center"/>
          </w:tcPr>
          <w:p w14:paraId="463EDE8C" w14:textId="77777777" w:rsidR="00803ECB" w:rsidRDefault="00ED1359">
            <w:pPr>
              <w:pStyle w:val="TextoABNT"/>
              <w:ind w:firstLine="0"/>
              <w:rPr>
                <w:rFonts w:eastAsia="Arial" w:cs="Arial"/>
                <w:sz w:val="20"/>
              </w:rPr>
            </w:pPr>
            <w:r>
              <w:rPr>
                <w:rFonts w:eastAsia="Arial" w:cs="Arial"/>
                <w:sz w:val="20"/>
              </w:rPr>
              <w:t>Não</w:t>
            </w:r>
          </w:p>
        </w:tc>
      </w:tr>
      <w:tr w:rsidR="00803ECB" w14:paraId="18F968A6" w14:textId="77777777">
        <w:tc>
          <w:tcPr>
            <w:tcW w:w="0" w:type="auto"/>
            <w:vAlign w:val="center"/>
          </w:tcPr>
          <w:p w14:paraId="2FB3109F" w14:textId="77777777" w:rsidR="00803ECB" w:rsidRDefault="00ED1359">
            <w:pPr>
              <w:pStyle w:val="TextoABNT"/>
              <w:ind w:firstLine="0"/>
              <w:rPr>
                <w:rFonts w:eastAsia="Arial" w:cs="Arial"/>
                <w:sz w:val="20"/>
              </w:rPr>
            </w:pPr>
            <w:r>
              <w:rPr>
                <w:rFonts w:eastAsia="Arial" w:cs="Arial"/>
                <w:sz w:val="20"/>
              </w:rPr>
              <w:t>Etanol</w:t>
            </w:r>
          </w:p>
        </w:tc>
        <w:tc>
          <w:tcPr>
            <w:tcW w:w="0" w:type="auto"/>
            <w:vAlign w:val="center"/>
          </w:tcPr>
          <w:p w14:paraId="03917B5B" w14:textId="77777777" w:rsidR="00803ECB" w:rsidRDefault="00ED1359">
            <w:pPr>
              <w:pStyle w:val="TextoABNT"/>
              <w:ind w:firstLine="0"/>
              <w:rPr>
                <w:rFonts w:eastAsia="Arial" w:cs="Arial"/>
                <w:sz w:val="20"/>
              </w:rPr>
            </w:pPr>
            <w:r>
              <w:rPr>
                <w:rFonts w:eastAsia="Arial" w:cs="Arial"/>
                <w:sz w:val="20"/>
              </w:rPr>
              <w:t>IPCA Geral</w:t>
            </w:r>
          </w:p>
        </w:tc>
        <w:tc>
          <w:tcPr>
            <w:tcW w:w="0" w:type="auto"/>
            <w:vAlign w:val="center"/>
          </w:tcPr>
          <w:p w14:paraId="7F36127E" w14:textId="77777777" w:rsidR="00803ECB" w:rsidRDefault="00ED1359">
            <w:pPr>
              <w:pStyle w:val="TextoABNT"/>
              <w:ind w:firstLine="0"/>
              <w:rPr>
                <w:rFonts w:eastAsia="Arial" w:cs="Arial"/>
                <w:sz w:val="20"/>
              </w:rPr>
            </w:pPr>
            <w:r>
              <w:rPr>
                <w:rFonts w:eastAsia="Arial" w:cs="Arial"/>
                <w:sz w:val="20"/>
              </w:rPr>
              <w:t>0,207</w:t>
            </w:r>
          </w:p>
        </w:tc>
        <w:tc>
          <w:tcPr>
            <w:tcW w:w="0" w:type="auto"/>
            <w:vAlign w:val="center"/>
          </w:tcPr>
          <w:p w14:paraId="58707411" w14:textId="77777777" w:rsidR="00803ECB" w:rsidRDefault="00ED1359">
            <w:pPr>
              <w:pStyle w:val="TextoABNT"/>
              <w:ind w:firstLine="0"/>
              <w:rPr>
                <w:rFonts w:eastAsia="Arial" w:cs="Arial"/>
                <w:sz w:val="20"/>
              </w:rPr>
            </w:pPr>
            <w:r>
              <w:rPr>
                <w:rFonts w:eastAsia="Arial" w:cs="Arial"/>
                <w:sz w:val="20"/>
              </w:rPr>
              <w:t>0,140</w:t>
            </w:r>
          </w:p>
        </w:tc>
        <w:tc>
          <w:tcPr>
            <w:tcW w:w="0" w:type="auto"/>
            <w:vAlign w:val="center"/>
          </w:tcPr>
          <w:p w14:paraId="6D219999" w14:textId="77777777" w:rsidR="00803ECB" w:rsidRDefault="00ED1359">
            <w:pPr>
              <w:pStyle w:val="TextoABNT"/>
              <w:ind w:firstLine="0"/>
              <w:rPr>
                <w:rFonts w:eastAsia="Arial" w:cs="Arial"/>
                <w:sz w:val="20"/>
              </w:rPr>
            </w:pPr>
            <w:r>
              <w:rPr>
                <w:rFonts w:eastAsia="Arial" w:cs="Arial"/>
                <w:sz w:val="20"/>
              </w:rPr>
              <w:t>[-0,024; 0,437]</w:t>
            </w:r>
          </w:p>
        </w:tc>
        <w:tc>
          <w:tcPr>
            <w:tcW w:w="0" w:type="auto"/>
            <w:vAlign w:val="center"/>
          </w:tcPr>
          <w:p w14:paraId="3D0E723A" w14:textId="77777777" w:rsidR="00803ECB" w:rsidRDefault="00ED1359">
            <w:pPr>
              <w:pStyle w:val="TextoABNT"/>
              <w:ind w:firstLine="0"/>
              <w:rPr>
                <w:rFonts w:eastAsia="Arial" w:cs="Arial"/>
                <w:sz w:val="20"/>
              </w:rPr>
            </w:pPr>
            <w:r>
              <w:rPr>
                <w:rFonts w:eastAsia="Arial" w:cs="Arial"/>
                <w:sz w:val="20"/>
              </w:rPr>
              <w:t>Não</w:t>
            </w:r>
          </w:p>
        </w:tc>
        <w:tc>
          <w:tcPr>
            <w:tcW w:w="0" w:type="auto"/>
            <w:vAlign w:val="center"/>
          </w:tcPr>
          <w:p w14:paraId="6E40E76B" w14:textId="77777777" w:rsidR="00803ECB" w:rsidRDefault="00ED1359">
            <w:pPr>
              <w:pStyle w:val="TextoABNT"/>
              <w:ind w:firstLine="0"/>
              <w:rPr>
                <w:rFonts w:eastAsia="Arial" w:cs="Arial"/>
                <w:sz w:val="20"/>
              </w:rPr>
            </w:pPr>
            <w:r>
              <w:rPr>
                <w:rFonts w:eastAsia="Arial" w:cs="Arial"/>
                <w:sz w:val="20"/>
              </w:rPr>
              <w:t>0,065</w:t>
            </w:r>
          </w:p>
        </w:tc>
        <w:tc>
          <w:tcPr>
            <w:tcW w:w="0" w:type="auto"/>
            <w:vAlign w:val="center"/>
          </w:tcPr>
          <w:p w14:paraId="4AFAF798" w14:textId="77777777" w:rsidR="00803ECB" w:rsidRDefault="00ED1359">
            <w:pPr>
              <w:pStyle w:val="TextoABNT"/>
              <w:ind w:firstLine="0"/>
              <w:rPr>
                <w:rFonts w:eastAsia="Arial" w:cs="Arial"/>
                <w:sz w:val="20"/>
              </w:rPr>
            </w:pPr>
            <w:r>
              <w:rPr>
                <w:rFonts w:eastAsia="Arial" w:cs="Arial"/>
                <w:sz w:val="20"/>
              </w:rPr>
              <w:t>Não</w:t>
            </w:r>
          </w:p>
        </w:tc>
      </w:tr>
      <w:tr w:rsidR="00803ECB" w14:paraId="4FD4470A" w14:textId="77777777">
        <w:tc>
          <w:tcPr>
            <w:tcW w:w="0" w:type="auto"/>
            <w:vAlign w:val="center"/>
          </w:tcPr>
          <w:p w14:paraId="33306765" w14:textId="77777777" w:rsidR="00803ECB" w:rsidRDefault="00ED1359">
            <w:pPr>
              <w:pStyle w:val="TextoABNT"/>
              <w:ind w:firstLine="0"/>
              <w:rPr>
                <w:rFonts w:eastAsia="Arial" w:cs="Arial"/>
                <w:sz w:val="20"/>
              </w:rPr>
            </w:pPr>
            <w:r>
              <w:rPr>
                <w:rFonts w:eastAsia="Arial" w:cs="Arial"/>
                <w:sz w:val="20"/>
              </w:rPr>
              <w:lastRenderedPageBreak/>
              <w:t>Etanol</w:t>
            </w:r>
          </w:p>
        </w:tc>
        <w:tc>
          <w:tcPr>
            <w:tcW w:w="0" w:type="auto"/>
            <w:vAlign w:val="center"/>
          </w:tcPr>
          <w:p w14:paraId="62FB6548" w14:textId="77777777" w:rsidR="00803ECB" w:rsidRDefault="00ED1359">
            <w:pPr>
              <w:pStyle w:val="TextoABNT"/>
              <w:ind w:firstLine="0"/>
              <w:rPr>
                <w:rFonts w:eastAsia="Arial" w:cs="Arial"/>
                <w:sz w:val="20"/>
              </w:rPr>
            </w:pPr>
            <w:r>
              <w:rPr>
                <w:rFonts w:eastAsia="Arial" w:cs="Arial"/>
                <w:sz w:val="20"/>
              </w:rPr>
              <w:t>IPCA Transporte</w:t>
            </w:r>
          </w:p>
        </w:tc>
        <w:tc>
          <w:tcPr>
            <w:tcW w:w="0" w:type="auto"/>
            <w:vAlign w:val="center"/>
          </w:tcPr>
          <w:p w14:paraId="616961F5" w14:textId="77777777" w:rsidR="00803ECB" w:rsidRDefault="00ED1359">
            <w:pPr>
              <w:pStyle w:val="TextoABNT"/>
              <w:ind w:firstLine="0"/>
              <w:rPr>
                <w:rFonts w:eastAsia="Arial" w:cs="Arial"/>
                <w:sz w:val="20"/>
              </w:rPr>
            </w:pPr>
            <w:r>
              <w:rPr>
                <w:rFonts w:eastAsia="Arial" w:cs="Arial"/>
                <w:sz w:val="20"/>
              </w:rPr>
              <w:t>0,896</w:t>
            </w:r>
          </w:p>
        </w:tc>
        <w:tc>
          <w:tcPr>
            <w:tcW w:w="0" w:type="auto"/>
            <w:vAlign w:val="center"/>
          </w:tcPr>
          <w:p w14:paraId="22DFD5F0" w14:textId="77777777" w:rsidR="00803ECB" w:rsidRDefault="00ED1359">
            <w:pPr>
              <w:pStyle w:val="TextoABNT"/>
              <w:ind w:firstLine="0"/>
              <w:rPr>
                <w:rFonts w:eastAsia="Arial" w:cs="Arial"/>
                <w:sz w:val="20"/>
              </w:rPr>
            </w:pPr>
            <w:r>
              <w:rPr>
                <w:rFonts w:eastAsia="Arial" w:cs="Arial"/>
                <w:sz w:val="20"/>
              </w:rPr>
              <w:t>0,007</w:t>
            </w:r>
          </w:p>
        </w:tc>
        <w:tc>
          <w:tcPr>
            <w:tcW w:w="0" w:type="auto"/>
            <w:vAlign w:val="center"/>
          </w:tcPr>
          <w:p w14:paraId="001F1B2D" w14:textId="77777777" w:rsidR="00803ECB" w:rsidRDefault="00ED1359">
            <w:pPr>
              <w:pStyle w:val="TextoABNT"/>
              <w:ind w:firstLine="0"/>
              <w:rPr>
                <w:rFonts w:eastAsia="Arial" w:cs="Arial"/>
                <w:sz w:val="20"/>
              </w:rPr>
            </w:pPr>
            <w:r>
              <w:rPr>
                <w:rFonts w:eastAsia="Arial" w:cs="Arial"/>
                <w:sz w:val="20"/>
              </w:rPr>
              <w:t>[0,348; 1,444]</w:t>
            </w:r>
          </w:p>
        </w:tc>
        <w:tc>
          <w:tcPr>
            <w:tcW w:w="0" w:type="auto"/>
            <w:vAlign w:val="center"/>
          </w:tcPr>
          <w:p w14:paraId="44624FA9" w14:textId="77777777" w:rsidR="00803ECB" w:rsidRDefault="00ED1359">
            <w:pPr>
              <w:pStyle w:val="TextoABNT"/>
              <w:ind w:firstLine="0"/>
              <w:rPr>
                <w:rFonts w:eastAsia="Arial" w:cs="Arial"/>
                <w:sz w:val="20"/>
              </w:rPr>
            </w:pPr>
            <w:r>
              <w:rPr>
                <w:rFonts w:eastAsia="Arial" w:cs="Arial"/>
                <w:sz w:val="20"/>
              </w:rPr>
              <w:t>Sim</w:t>
            </w:r>
          </w:p>
        </w:tc>
        <w:tc>
          <w:tcPr>
            <w:tcW w:w="0" w:type="auto"/>
            <w:vAlign w:val="center"/>
          </w:tcPr>
          <w:p w14:paraId="0A96D6B9" w14:textId="77777777" w:rsidR="00803ECB" w:rsidRDefault="00ED1359">
            <w:pPr>
              <w:pStyle w:val="TextoABNT"/>
              <w:ind w:firstLine="0"/>
              <w:rPr>
                <w:rFonts w:eastAsia="Arial" w:cs="Arial"/>
                <w:sz w:val="20"/>
              </w:rPr>
            </w:pPr>
            <w:r>
              <w:rPr>
                <w:rFonts w:eastAsia="Arial" w:cs="Arial"/>
                <w:sz w:val="20"/>
              </w:rPr>
              <w:t>0,509</w:t>
            </w:r>
          </w:p>
        </w:tc>
        <w:tc>
          <w:tcPr>
            <w:tcW w:w="0" w:type="auto"/>
            <w:vAlign w:val="center"/>
          </w:tcPr>
          <w:p w14:paraId="57B82E47" w14:textId="77777777" w:rsidR="00803ECB" w:rsidRDefault="00ED1359">
            <w:pPr>
              <w:pStyle w:val="TextoABNT"/>
              <w:ind w:firstLine="0"/>
              <w:rPr>
                <w:rFonts w:eastAsia="Arial" w:cs="Arial"/>
                <w:sz w:val="20"/>
              </w:rPr>
            </w:pPr>
            <w:r>
              <w:rPr>
                <w:rFonts w:eastAsia="Arial" w:cs="Arial"/>
                <w:sz w:val="20"/>
              </w:rPr>
              <w:t>Não</w:t>
            </w:r>
          </w:p>
        </w:tc>
      </w:tr>
      <w:tr w:rsidR="00803ECB" w14:paraId="3A9FDCD1" w14:textId="77777777">
        <w:tc>
          <w:tcPr>
            <w:tcW w:w="0" w:type="auto"/>
            <w:vAlign w:val="center"/>
          </w:tcPr>
          <w:p w14:paraId="1DB61E08" w14:textId="77777777" w:rsidR="00803ECB" w:rsidRDefault="00ED1359">
            <w:pPr>
              <w:pStyle w:val="TextoABNT"/>
              <w:ind w:firstLine="0"/>
              <w:rPr>
                <w:rFonts w:eastAsia="Arial" w:cs="Arial"/>
                <w:sz w:val="20"/>
              </w:rPr>
            </w:pPr>
            <w:r>
              <w:rPr>
                <w:rFonts w:eastAsia="Arial" w:cs="Arial"/>
                <w:sz w:val="20"/>
              </w:rPr>
              <w:t>Gasolina</w:t>
            </w:r>
          </w:p>
        </w:tc>
        <w:tc>
          <w:tcPr>
            <w:tcW w:w="0" w:type="auto"/>
            <w:vAlign w:val="center"/>
          </w:tcPr>
          <w:p w14:paraId="6EAAD2C0" w14:textId="77777777" w:rsidR="00803ECB" w:rsidRDefault="00ED1359">
            <w:pPr>
              <w:pStyle w:val="TextoABNT"/>
              <w:ind w:firstLine="0"/>
              <w:rPr>
                <w:rFonts w:eastAsia="Arial" w:cs="Arial"/>
                <w:sz w:val="20"/>
              </w:rPr>
            </w:pPr>
            <w:r>
              <w:rPr>
                <w:rFonts w:eastAsia="Arial" w:cs="Arial"/>
                <w:sz w:val="20"/>
              </w:rPr>
              <w:t>IPCA Geral</w:t>
            </w:r>
          </w:p>
        </w:tc>
        <w:tc>
          <w:tcPr>
            <w:tcW w:w="0" w:type="auto"/>
            <w:vAlign w:val="center"/>
          </w:tcPr>
          <w:p w14:paraId="2A63F248" w14:textId="77777777" w:rsidR="00803ECB" w:rsidRDefault="00ED1359">
            <w:pPr>
              <w:pStyle w:val="TextoABNT"/>
              <w:ind w:firstLine="0"/>
              <w:rPr>
                <w:rFonts w:eastAsia="Arial" w:cs="Arial"/>
                <w:sz w:val="20"/>
              </w:rPr>
            </w:pPr>
            <w:r>
              <w:rPr>
                <w:rFonts w:eastAsia="Arial" w:cs="Arial"/>
                <w:sz w:val="20"/>
              </w:rPr>
              <w:t>0,383</w:t>
            </w:r>
          </w:p>
        </w:tc>
        <w:tc>
          <w:tcPr>
            <w:tcW w:w="0" w:type="auto"/>
            <w:vAlign w:val="center"/>
          </w:tcPr>
          <w:p w14:paraId="57528899" w14:textId="77777777" w:rsidR="00803ECB" w:rsidRDefault="00ED1359">
            <w:pPr>
              <w:pStyle w:val="TextoABNT"/>
              <w:ind w:firstLine="0"/>
              <w:rPr>
                <w:rFonts w:eastAsia="Arial" w:cs="Arial"/>
                <w:sz w:val="20"/>
              </w:rPr>
            </w:pPr>
            <w:r>
              <w:rPr>
                <w:rFonts w:eastAsia="Arial" w:cs="Arial"/>
                <w:sz w:val="20"/>
              </w:rPr>
              <w:t>0,003</w:t>
            </w:r>
          </w:p>
        </w:tc>
        <w:tc>
          <w:tcPr>
            <w:tcW w:w="0" w:type="auto"/>
            <w:vAlign w:val="center"/>
          </w:tcPr>
          <w:p w14:paraId="144F4A9F" w14:textId="77777777" w:rsidR="00803ECB" w:rsidRDefault="00ED1359">
            <w:pPr>
              <w:pStyle w:val="TextoABNT"/>
              <w:ind w:firstLine="0"/>
              <w:rPr>
                <w:rFonts w:eastAsia="Arial" w:cs="Arial"/>
                <w:sz w:val="20"/>
              </w:rPr>
            </w:pPr>
            <w:r>
              <w:rPr>
                <w:rFonts w:eastAsia="Arial" w:cs="Arial"/>
                <w:sz w:val="20"/>
              </w:rPr>
              <w:t>[0,170; 0,596]</w:t>
            </w:r>
          </w:p>
        </w:tc>
        <w:tc>
          <w:tcPr>
            <w:tcW w:w="0" w:type="auto"/>
            <w:vAlign w:val="center"/>
          </w:tcPr>
          <w:p w14:paraId="40EE84F6" w14:textId="77777777" w:rsidR="00803ECB" w:rsidRDefault="00ED1359">
            <w:pPr>
              <w:pStyle w:val="TextoABNT"/>
              <w:ind w:firstLine="0"/>
              <w:rPr>
                <w:rFonts w:eastAsia="Arial" w:cs="Arial"/>
                <w:sz w:val="20"/>
              </w:rPr>
            </w:pPr>
            <w:r>
              <w:rPr>
                <w:rFonts w:eastAsia="Arial" w:cs="Arial"/>
                <w:sz w:val="20"/>
              </w:rPr>
              <w:t>Sim</w:t>
            </w:r>
          </w:p>
        </w:tc>
        <w:tc>
          <w:tcPr>
            <w:tcW w:w="0" w:type="auto"/>
            <w:vAlign w:val="center"/>
          </w:tcPr>
          <w:p w14:paraId="196FAAFC" w14:textId="77777777" w:rsidR="00803ECB" w:rsidRDefault="00ED1359">
            <w:pPr>
              <w:pStyle w:val="TextoABNT"/>
              <w:ind w:firstLine="0"/>
              <w:rPr>
                <w:rFonts w:eastAsia="Arial" w:cs="Arial"/>
                <w:sz w:val="20"/>
              </w:rPr>
            </w:pPr>
            <w:r>
              <w:rPr>
                <w:rFonts w:eastAsia="Arial" w:cs="Arial"/>
                <w:sz w:val="20"/>
              </w:rPr>
              <w:t>0,213</w:t>
            </w:r>
          </w:p>
        </w:tc>
        <w:tc>
          <w:tcPr>
            <w:tcW w:w="0" w:type="auto"/>
            <w:vAlign w:val="center"/>
          </w:tcPr>
          <w:p w14:paraId="6BFF4250" w14:textId="77777777" w:rsidR="00803ECB" w:rsidRDefault="00ED1359">
            <w:pPr>
              <w:pStyle w:val="TextoABNT"/>
              <w:ind w:firstLine="0"/>
              <w:rPr>
                <w:rFonts w:eastAsia="Arial" w:cs="Arial"/>
                <w:sz w:val="20"/>
              </w:rPr>
            </w:pPr>
            <w:r>
              <w:rPr>
                <w:rFonts w:eastAsia="Arial" w:cs="Arial"/>
                <w:sz w:val="20"/>
              </w:rPr>
              <w:t>Não</w:t>
            </w:r>
          </w:p>
        </w:tc>
      </w:tr>
      <w:tr w:rsidR="00803ECB" w14:paraId="3E9B48A8" w14:textId="77777777">
        <w:tc>
          <w:tcPr>
            <w:tcW w:w="0" w:type="auto"/>
            <w:vAlign w:val="center"/>
          </w:tcPr>
          <w:p w14:paraId="21E70B2E" w14:textId="77777777" w:rsidR="00803ECB" w:rsidRDefault="00ED1359">
            <w:pPr>
              <w:pStyle w:val="TextoABNT"/>
              <w:ind w:firstLine="0"/>
              <w:rPr>
                <w:rFonts w:eastAsia="Arial" w:cs="Arial"/>
                <w:sz w:val="20"/>
              </w:rPr>
            </w:pPr>
            <w:r>
              <w:rPr>
                <w:rFonts w:eastAsia="Arial" w:cs="Arial"/>
                <w:sz w:val="20"/>
              </w:rPr>
              <w:t>Gasolina</w:t>
            </w:r>
          </w:p>
        </w:tc>
        <w:tc>
          <w:tcPr>
            <w:tcW w:w="0" w:type="auto"/>
            <w:vAlign w:val="center"/>
          </w:tcPr>
          <w:p w14:paraId="37A4A19A" w14:textId="77777777" w:rsidR="00803ECB" w:rsidRDefault="00ED1359">
            <w:pPr>
              <w:pStyle w:val="TextoABNT"/>
              <w:ind w:firstLine="0"/>
              <w:rPr>
                <w:rFonts w:eastAsia="Arial" w:cs="Arial"/>
                <w:sz w:val="20"/>
              </w:rPr>
            </w:pPr>
            <w:r>
              <w:rPr>
                <w:rFonts w:eastAsia="Arial" w:cs="Arial"/>
                <w:sz w:val="20"/>
              </w:rPr>
              <w:t>IPCA Transporte</w:t>
            </w:r>
          </w:p>
        </w:tc>
        <w:tc>
          <w:tcPr>
            <w:tcW w:w="0" w:type="auto"/>
            <w:vAlign w:val="center"/>
          </w:tcPr>
          <w:p w14:paraId="41D86C22" w14:textId="77777777" w:rsidR="00803ECB" w:rsidRDefault="00ED1359">
            <w:pPr>
              <w:pStyle w:val="TextoABNT"/>
              <w:ind w:firstLine="0"/>
              <w:rPr>
                <w:rFonts w:eastAsia="Arial" w:cs="Arial"/>
                <w:sz w:val="20"/>
              </w:rPr>
            </w:pPr>
            <w:r>
              <w:rPr>
                <w:rFonts w:eastAsia="Arial" w:cs="Arial"/>
                <w:sz w:val="20"/>
              </w:rPr>
              <w:t>1,239</w:t>
            </w:r>
          </w:p>
        </w:tc>
        <w:tc>
          <w:tcPr>
            <w:tcW w:w="0" w:type="auto"/>
            <w:vAlign w:val="center"/>
          </w:tcPr>
          <w:p w14:paraId="26B9305E" w14:textId="77777777" w:rsidR="00803ECB" w:rsidRDefault="00ED1359">
            <w:pPr>
              <w:pStyle w:val="TextoABNT"/>
              <w:ind w:firstLine="0"/>
              <w:rPr>
                <w:rFonts w:eastAsia="Arial" w:cs="Arial"/>
                <w:sz w:val="20"/>
              </w:rPr>
            </w:pPr>
            <w:r>
              <w:rPr>
                <w:rFonts w:eastAsia="Arial" w:cs="Arial"/>
                <w:sz w:val="20"/>
              </w:rPr>
              <w:t>&lt;0,001</w:t>
            </w:r>
          </w:p>
        </w:tc>
        <w:tc>
          <w:tcPr>
            <w:tcW w:w="0" w:type="auto"/>
            <w:vAlign w:val="center"/>
          </w:tcPr>
          <w:p w14:paraId="29813BB9" w14:textId="77777777" w:rsidR="00803ECB" w:rsidRDefault="00ED1359">
            <w:pPr>
              <w:pStyle w:val="TextoABNT"/>
              <w:ind w:firstLine="0"/>
              <w:rPr>
                <w:rFonts w:eastAsia="Arial" w:cs="Arial"/>
                <w:sz w:val="20"/>
              </w:rPr>
            </w:pPr>
            <w:r>
              <w:rPr>
                <w:rFonts w:eastAsia="Arial" w:cs="Arial"/>
                <w:sz w:val="20"/>
              </w:rPr>
              <w:t>[0,796; 1,681]</w:t>
            </w:r>
          </w:p>
        </w:tc>
        <w:tc>
          <w:tcPr>
            <w:tcW w:w="0" w:type="auto"/>
            <w:vAlign w:val="center"/>
          </w:tcPr>
          <w:p w14:paraId="5DDCFD2D" w14:textId="77777777" w:rsidR="00803ECB" w:rsidRDefault="00ED1359">
            <w:pPr>
              <w:pStyle w:val="TextoABNT"/>
              <w:ind w:firstLine="0"/>
              <w:rPr>
                <w:rFonts w:eastAsia="Arial" w:cs="Arial"/>
                <w:sz w:val="20"/>
              </w:rPr>
            </w:pPr>
            <w:r>
              <w:rPr>
                <w:rFonts w:eastAsia="Arial" w:cs="Arial"/>
                <w:sz w:val="20"/>
              </w:rPr>
              <w:t>Sim</w:t>
            </w:r>
          </w:p>
        </w:tc>
        <w:tc>
          <w:tcPr>
            <w:tcW w:w="0" w:type="auto"/>
            <w:vAlign w:val="center"/>
          </w:tcPr>
          <w:p w14:paraId="01E98071" w14:textId="77777777" w:rsidR="00803ECB" w:rsidRDefault="00ED1359">
            <w:pPr>
              <w:pStyle w:val="TextoABNT"/>
              <w:ind w:firstLine="0"/>
              <w:rPr>
                <w:rFonts w:eastAsia="Arial" w:cs="Arial"/>
                <w:sz w:val="20"/>
              </w:rPr>
            </w:pPr>
            <w:r>
              <w:rPr>
                <w:rFonts w:eastAsia="Arial" w:cs="Arial"/>
                <w:sz w:val="20"/>
              </w:rPr>
              <w:t>0,853</w:t>
            </w:r>
          </w:p>
        </w:tc>
        <w:tc>
          <w:tcPr>
            <w:tcW w:w="0" w:type="auto"/>
            <w:vAlign w:val="center"/>
          </w:tcPr>
          <w:p w14:paraId="75F12166" w14:textId="77777777" w:rsidR="00803ECB" w:rsidRDefault="00ED1359">
            <w:pPr>
              <w:pStyle w:val="TextoABNT"/>
              <w:ind w:firstLine="0"/>
              <w:rPr>
                <w:rFonts w:eastAsia="Arial" w:cs="Arial"/>
                <w:sz w:val="20"/>
              </w:rPr>
            </w:pPr>
            <w:r>
              <w:rPr>
                <w:rFonts w:eastAsia="Arial" w:cs="Arial"/>
                <w:sz w:val="20"/>
              </w:rPr>
              <w:t>Sim</w:t>
            </w:r>
          </w:p>
        </w:tc>
      </w:tr>
      <w:tr w:rsidR="00803ECB" w14:paraId="0CDDF60D" w14:textId="77777777">
        <w:tc>
          <w:tcPr>
            <w:tcW w:w="0" w:type="auto"/>
            <w:vAlign w:val="center"/>
          </w:tcPr>
          <w:p w14:paraId="663F3683" w14:textId="77777777" w:rsidR="00803ECB" w:rsidRDefault="00ED1359">
            <w:pPr>
              <w:pStyle w:val="TextoABNT"/>
              <w:ind w:firstLine="0"/>
              <w:rPr>
                <w:rFonts w:eastAsia="Arial" w:cs="Arial"/>
                <w:sz w:val="20"/>
              </w:rPr>
            </w:pPr>
            <w:r>
              <w:rPr>
                <w:rFonts w:eastAsia="Arial" w:cs="Arial"/>
                <w:sz w:val="20"/>
              </w:rPr>
              <w:t>Gasolina de refinaria</w:t>
            </w:r>
          </w:p>
        </w:tc>
        <w:tc>
          <w:tcPr>
            <w:tcW w:w="0" w:type="auto"/>
            <w:vAlign w:val="center"/>
          </w:tcPr>
          <w:p w14:paraId="221B257F" w14:textId="77777777" w:rsidR="00803ECB" w:rsidRDefault="00ED1359">
            <w:pPr>
              <w:pStyle w:val="TextoABNT"/>
              <w:ind w:firstLine="0"/>
              <w:rPr>
                <w:rFonts w:eastAsia="Arial" w:cs="Arial"/>
                <w:sz w:val="20"/>
              </w:rPr>
            </w:pPr>
            <w:r>
              <w:rPr>
                <w:rFonts w:eastAsia="Arial" w:cs="Arial"/>
                <w:sz w:val="20"/>
              </w:rPr>
              <w:t>IPCA Geral</w:t>
            </w:r>
          </w:p>
        </w:tc>
        <w:tc>
          <w:tcPr>
            <w:tcW w:w="0" w:type="auto"/>
            <w:vAlign w:val="center"/>
          </w:tcPr>
          <w:p w14:paraId="067A2DD1" w14:textId="77777777" w:rsidR="00803ECB" w:rsidRDefault="00ED1359">
            <w:pPr>
              <w:pStyle w:val="TextoABNT"/>
              <w:ind w:firstLine="0"/>
              <w:rPr>
                <w:rFonts w:eastAsia="Arial" w:cs="Arial"/>
                <w:sz w:val="20"/>
              </w:rPr>
            </w:pPr>
            <w:r>
              <w:rPr>
                <w:rFonts w:eastAsia="Arial" w:cs="Arial"/>
                <w:sz w:val="20"/>
              </w:rPr>
              <w:t>0,311</w:t>
            </w:r>
          </w:p>
        </w:tc>
        <w:tc>
          <w:tcPr>
            <w:tcW w:w="0" w:type="auto"/>
            <w:vAlign w:val="center"/>
          </w:tcPr>
          <w:p w14:paraId="183C52A4" w14:textId="77777777" w:rsidR="00803ECB" w:rsidRDefault="00ED1359">
            <w:pPr>
              <w:pStyle w:val="TextoABNT"/>
              <w:ind w:firstLine="0"/>
              <w:rPr>
                <w:rFonts w:eastAsia="Arial" w:cs="Arial"/>
                <w:sz w:val="20"/>
              </w:rPr>
            </w:pPr>
            <w:r>
              <w:rPr>
                <w:rFonts w:eastAsia="Arial" w:cs="Arial"/>
                <w:sz w:val="20"/>
              </w:rPr>
              <w:t>0,194</w:t>
            </w:r>
          </w:p>
        </w:tc>
        <w:tc>
          <w:tcPr>
            <w:tcW w:w="0" w:type="auto"/>
            <w:vAlign w:val="center"/>
          </w:tcPr>
          <w:p w14:paraId="5D3B1B64" w14:textId="77777777" w:rsidR="00803ECB" w:rsidRDefault="00ED1359">
            <w:pPr>
              <w:pStyle w:val="TextoABNT"/>
              <w:ind w:firstLine="0"/>
              <w:rPr>
                <w:rFonts w:eastAsia="Arial" w:cs="Arial"/>
                <w:sz w:val="20"/>
              </w:rPr>
            </w:pPr>
            <w:r>
              <w:rPr>
                <w:rFonts w:eastAsia="Arial" w:cs="Arial"/>
                <w:sz w:val="20"/>
              </w:rPr>
              <w:t>[-0,083; 0,705]</w:t>
            </w:r>
          </w:p>
        </w:tc>
        <w:tc>
          <w:tcPr>
            <w:tcW w:w="0" w:type="auto"/>
            <w:vAlign w:val="center"/>
          </w:tcPr>
          <w:p w14:paraId="3F96C5E9" w14:textId="77777777" w:rsidR="00803ECB" w:rsidRDefault="00ED1359">
            <w:pPr>
              <w:pStyle w:val="TextoABNT"/>
              <w:ind w:firstLine="0"/>
              <w:rPr>
                <w:rFonts w:eastAsia="Arial" w:cs="Arial"/>
                <w:sz w:val="20"/>
              </w:rPr>
            </w:pPr>
            <w:r>
              <w:rPr>
                <w:rFonts w:eastAsia="Arial" w:cs="Arial"/>
                <w:sz w:val="20"/>
              </w:rPr>
              <w:t>Não</w:t>
            </w:r>
          </w:p>
        </w:tc>
        <w:tc>
          <w:tcPr>
            <w:tcW w:w="0" w:type="auto"/>
            <w:vAlign w:val="center"/>
          </w:tcPr>
          <w:p w14:paraId="16335BC8" w14:textId="77777777" w:rsidR="00803ECB" w:rsidRDefault="00ED1359">
            <w:pPr>
              <w:pStyle w:val="TextoABNT"/>
              <w:ind w:firstLine="0"/>
              <w:rPr>
                <w:rFonts w:eastAsia="Arial" w:cs="Arial"/>
                <w:sz w:val="20"/>
              </w:rPr>
            </w:pPr>
            <w:r>
              <w:rPr>
                <w:rFonts w:eastAsia="Arial" w:cs="Arial"/>
                <w:sz w:val="20"/>
              </w:rPr>
              <w:t>0,174</w:t>
            </w:r>
          </w:p>
        </w:tc>
        <w:tc>
          <w:tcPr>
            <w:tcW w:w="0" w:type="auto"/>
            <w:vAlign w:val="center"/>
          </w:tcPr>
          <w:p w14:paraId="4B54BCDB" w14:textId="77777777" w:rsidR="00803ECB" w:rsidRDefault="00ED1359">
            <w:pPr>
              <w:pStyle w:val="TextoABNT"/>
              <w:ind w:firstLine="0"/>
              <w:rPr>
                <w:rFonts w:eastAsia="Arial" w:cs="Arial"/>
                <w:sz w:val="20"/>
              </w:rPr>
            </w:pPr>
            <w:r>
              <w:rPr>
                <w:rFonts w:eastAsia="Arial" w:cs="Arial"/>
                <w:sz w:val="20"/>
              </w:rPr>
              <w:t>Não</w:t>
            </w:r>
          </w:p>
        </w:tc>
      </w:tr>
      <w:tr w:rsidR="00803ECB" w14:paraId="2676082A" w14:textId="77777777">
        <w:tc>
          <w:tcPr>
            <w:tcW w:w="0" w:type="auto"/>
            <w:tcBorders>
              <w:bottom w:val="single" w:sz="4" w:space="0" w:color="auto"/>
            </w:tcBorders>
            <w:vAlign w:val="center"/>
          </w:tcPr>
          <w:p w14:paraId="3A35180E" w14:textId="77777777" w:rsidR="00803ECB" w:rsidRDefault="00ED1359">
            <w:pPr>
              <w:pStyle w:val="TextoABNT"/>
              <w:ind w:firstLine="0"/>
              <w:rPr>
                <w:rFonts w:eastAsia="Arial" w:cs="Arial"/>
                <w:sz w:val="20"/>
              </w:rPr>
            </w:pPr>
            <w:r>
              <w:rPr>
                <w:rFonts w:eastAsia="Arial" w:cs="Arial"/>
                <w:sz w:val="20"/>
              </w:rPr>
              <w:t>Gasolina de refinaria</w:t>
            </w:r>
          </w:p>
        </w:tc>
        <w:tc>
          <w:tcPr>
            <w:tcW w:w="0" w:type="auto"/>
            <w:tcBorders>
              <w:bottom w:val="single" w:sz="4" w:space="0" w:color="auto"/>
            </w:tcBorders>
            <w:vAlign w:val="center"/>
          </w:tcPr>
          <w:p w14:paraId="21E8A7EE" w14:textId="77777777" w:rsidR="00803ECB" w:rsidRDefault="00ED1359">
            <w:pPr>
              <w:pStyle w:val="TextoABNT"/>
              <w:ind w:firstLine="0"/>
              <w:rPr>
                <w:rFonts w:eastAsia="Arial" w:cs="Arial"/>
                <w:sz w:val="20"/>
              </w:rPr>
            </w:pPr>
            <w:r>
              <w:rPr>
                <w:rFonts w:eastAsia="Arial" w:cs="Arial"/>
                <w:sz w:val="20"/>
              </w:rPr>
              <w:t>IPCA Transporte</w:t>
            </w:r>
          </w:p>
        </w:tc>
        <w:tc>
          <w:tcPr>
            <w:tcW w:w="0" w:type="auto"/>
            <w:tcBorders>
              <w:bottom w:val="single" w:sz="4" w:space="0" w:color="auto"/>
            </w:tcBorders>
            <w:vAlign w:val="center"/>
          </w:tcPr>
          <w:p w14:paraId="757F1CF1" w14:textId="77777777" w:rsidR="00803ECB" w:rsidRDefault="00ED1359">
            <w:pPr>
              <w:pStyle w:val="TextoABNT"/>
              <w:ind w:firstLine="0"/>
              <w:rPr>
                <w:rFonts w:eastAsia="Arial" w:cs="Arial"/>
                <w:sz w:val="20"/>
              </w:rPr>
            </w:pPr>
            <w:r>
              <w:rPr>
                <w:rFonts w:eastAsia="Arial" w:cs="Arial"/>
                <w:sz w:val="20"/>
              </w:rPr>
              <w:t>1,103</w:t>
            </w:r>
          </w:p>
        </w:tc>
        <w:tc>
          <w:tcPr>
            <w:tcW w:w="0" w:type="auto"/>
            <w:tcBorders>
              <w:bottom w:val="single" w:sz="4" w:space="0" w:color="auto"/>
            </w:tcBorders>
            <w:vAlign w:val="center"/>
          </w:tcPr>
          <w:p w14:paraId="28862E55" w14:textId="77777777" w:rsidR="00803ECB" w:rsidRDefault="00ED1359">
            <w:pPr>
              <w:pStyle w:val="TextoABNT"/>
              <w:ind w:firstLine="0"/>
              <w:rPr>
                <w:rFonts w:eastAsia="Arial" w:cs="Arial"/>
                <w:sz w:val="20"/>
              </w:rPr>
            </w:pPr>
            <w:r>
              <w:rPr>
                <w:rFonts w:eastAsia="Arial" w:cs="Arial"/>
                <w:sz w:val="20"/>
              </w:rPr>
              <w:t>0,033</w:t>
            </w:r>
          </w:p>
        </w:tc>
        <w:tc>
          <w:tcPr>
            <w:tcW w:w="0" w:type="auto"/>
            <w:tcBorders>
              <w:bottom w:val="single" w:sz="4" w:space="0" w:color="auto"/>
            </w:tcBorders>
            <w:vAlign w:val="center"/>
          </w:tcPr>
          <w:p w14:paraId="3EAC3232" w14:textId="77777777" w:rsidR="00803ECB" w:rsidRDefault="00ED1359">
            <w:pPr>
              <w:pStyle w:val="TextoABNT"/>
              <w:ind w:firstLine="0"/>
              <w:rPr>
                <w:rFonts w:eastAsia="Arial" w:cs="Arial"/>
                <w:sz w:val="20"/>
              </w:rPr>
            </w:pPr>
            <w:r>
              <w:rPr>
                <w:rFonts w:eastAsia="Arial" w:cs="Arial"/>
                <w:sz w:val="20"/>
              </w:rPr>
              <w:t>[0,251; 1,955]</w:t>
            </w:r>
          </w:p>
        </w:tc>
        <w:tc>
          <w:tcPr>
            <w:tcW w:w="0" w:type="auto"/>
            <w:tcBorders>
              <w:bottom w:val="single" w:sz="4" w:space="0" w:color="auto"/>
            </w:tcBorders>
            <w:vAlign w:val="center"/>
          </w:tcPr>
          <w:p w14:paraId="6F0E6E4B" w14:textId="77777777" w:rsidR="00803ECB" w:rsidRDefault="00ED1359">
            <w:pPr>
              <w:pStyle w:val="TextoABNT"/>
              <w:ind w:firstLine="0"/>
              <w:rPr>
                <w:rFonts w:eastAsia="Arial" w:cs="Arial"/>
                <w:sz w:val="20"/>
              </w:rPr>
            </w:pPr>
            <w:r>
              <w:rPr>
                <w:rFonts w:eastAsia="Arial" w:cs="Arial"/>
                <w:sz w:val="20"/>
              </w:rPr>
              <w:t>Sim</w:t>
            </w:r>
          </w:p>
        </w:tc>
        <w:tc>
          <w:tcPr>
            <w:tcW w:w="0" w:type="auto"/>
            <w:tcBorders>
              <w:bottom w:val="single" w:sz="4" w:space="0" w:color="auto"/>
            </w:tcBorders>
            <w:vAlign w:val="center"/>
          </w:tcPr>
          <w:p w14:paraId="17AA340D" w14:textId="77777777" w:rsidR="00803ECB" w:rsidRDefault="00ED1359">
            <w:pPr>
              <w:pStyle w:val="TextoABNT"/>
              <w:ind w:firstLine="0"/>
              <w:rPr>
                <w:rFonts w:eastAsia="Arial" w:cs="Arial"/>
                <w:sz w:val="20"/>
              </w:rPr>
            </w:pPr>
            <w:r>
              <w:rPr>
                <w:rFonts w:eastAsia="Arial" w:cs="Arial"/>
                <w:sz w:val="20"/>
              </w:rPr>
              <w:t>0,918</w:t>
            </w:r>
          </w:p>
        </w:tc>
        <w:tc>
          <w:tcPr>
            <w:tcW w:w="0" w:type="auto"/>
            <w:tcBorders>
              <w:bottom w:val="single" w:sz="4" w:space="0" w:color="auto"/>
            </w:tcBorders>
            <w:vAlign w:val="center"/>
          </w:tcPr>
          <w:p w14:paraId="779B937D" w14:textId="77777777" w:rsidR="00803ECB" w:rsidRDefault="00ED1359">
            <w:pPr>
              <w:pStyle w:val="TextoABNT"/>
              <w:ind w:firstLine="0"/>
              <w:rPr>
                <w:rFonts w:eastAsia="Arial" w:cs="Arial"/>
                <w:sz w:val="20"/>
              </w:rPr>
            </w:pPr>
            <w:r>
              <w:rPr>
                <w:rFonts w:eastAsia="Arial" w:cs="Arial"/>
                <w:sz w:val="20"/>
              </w:rPr>
              <w:t>Sim</w:t>
            </w:r>
          </w:p>
        </w:tc>
      </w:tr>
    </w:tbl>
    <w:p w14:paraId="19240083" w14:textId="77777777" w:rsidR="00803ECB" w:rsidRDefault="00ED1359">
      <w:pPr>
        <w:pStyle w:val="FonteFigura"/>
        <w:jc w:val="center"/>
      </w:pPr>
      <w:r>
        <w:t>Fonte: Elaboração própria com base nos resultados estimados.</w:t>
      </w:r>
    </w:p>
    <w:p w14:paraId="15345F7C" w14:textId="77777777" w:rsidR="00803ECB" w:rsidRDefault="00ED1359">
      <w:pPr>
        <w:pStyle w:val="TextoABNT"/>
      </w:pPr>
      <w:r>
        <w:rPr>
          <w:i/>
        </w:rPr>
        <w:t>Figura 6 - Resposta acumulada da gasolina sobre o IPCA transporte</w:t>
      </w:r>
    </w:p>
    <w:p w14:paraId="153FCCE0" w14:textId="77777777" w:rsidR="00803ECB" w:rsidRDefault="00ED1359">
      <w:pPr>
        <w:pStyle w:val="LegendaIlustracao"/>
      </w:pPr>
      <w:bookmarkStart w:id="51" w:name="_Toc_1_9_0000000048"/>
      <w:r>
        <w:t xml:space="preserve">Figura </w:t>
      </w:r>
      <w:r>
        <w:fldChar w:fldCharType="begin"/>
      </w:r>
      <w:r>
        <w:instrText>SEQ Figura</w:instrText>
      </w:r>
      <w:r>
        <w:fldChar w:fldCharType="separate"/>
      </w:r>
      <w:r>
        <w:t>6</w:t>
      </w:r>
      <w:r>
        <w:fldChar w:fldCharType="end"/>
      </w:r>
      <w:r>
        <w:t xml:space="preserve"> – Resposta acumulada estimada da gasolina sobre o IPCA Transporte</w:t>
      </w:r>
      <w:bookmarkEnd w:id="51"/>
    </w:p>
    <w:p w14:paraId="4BA36306" w14:textId="77777777" w:rsidR="00803ECB" w:rsidRDefault="000E644D">
      <w:pPr>
        <w:jc w:val="center"/>
      </w:pPr>
      <w:r>
        <w:pict w14:anchorId="339C8623">
          <v:shape id="_x0000_i1030" type="#_x0000_t75" style="width:437.4pt;height:222pt">
            <v:imagedata r:id="rId17" o:title=""/>
          </v:shape>
        </w:pict>
      </w:r>
    </w:p>
    <w:p w14:paraId="561AB91E" w14:textId="77777777" w:rsidR="00803ECB" w:rsidRDefault="00ED1359">
      <w:pPr>
        <w:pStyle w:val="FonteFigura"/>
        <w:jc w:val="center"/>
      </w:pPr>
      <w:r>
        <w:t>Fonte: Elaboração própria com base nas estimações do modelo de Local Projections.</w:t>
      </w:r>
    </w:p>
    <w:p w14:paraId="5A3C88DE" w14:textId="77777777" w:rsidR="00803ECB" w:rsidRDefault="00ED1359">
      <w:pPr>
        <w:pStyle w:val="TextoABNT"/>
      </w:pPr>
      <w:r>
        <w:rPr>
          <w:i/>
        </w:rPr>
        <w:t>Figura 7 - Resposta acumulada do etanol sobre o IPCA transporte</w:t>
      </w:r>
    </w:p>
    <w:p w14:paraId="5F5B85BD" w14:textId="77777777" w:rsidR="00803ECB" w:rsidRDefault="00ED1359">
      <w:pPr>
        <w:pStyle w:val="LegendaIlustracao"/>
      </w:pPr>
      <w:bookmarkStart w:id="52" w:name="_Toc_1_9_0000000049"/>
      <w:r>
        <w:lastRenderedPageBreak/>
        <w:t xml:space="preserve">Figura </w:t>
      </w:r>
      <w:r>
        <w:fldChar w:fldCharType="begin"/>
      </w:r>
      <w:r>
        <w:instrText>SEQ Figura</w:instrText>
      </w:r>
      <w:r>
        <w:fldChar w:fldCharType="separate"/>
      </w:r>
      <w:r>
        <w:t>7</w:t>
      </w:r>
      <w:r>
        <w:fldChar w:fldCharType="end"/>
      </w:r>
      <w:r>
        <w:t xml:space="preserve"> – Resposta acumulada do etanol sobre o IPCA Transporte (LP)</w:t>
      </w:r>
      <w:bookmarkEnd w:id="52"/>
    </w:p>
    <w:p w14:paraId="55267C60" w14:textId="77777777" w:rsidR="00803ECB" w:rsidRDefault="000E644D">
      <w:pPr>
        <w:jc w:val="center"/>
      </w:pPr>
      <w:r>
        <w:pict w14:anchorId="16D2B8B2">
          <v:shape id="_x0000_i1031" type="#_x0000_t75" style="width:437.4pt;height:222pt">
            <v:imagedata r:id="rId18" o:title=""/>
          </v:shape>
        </w:pict>
      </w:r>
    </w:p>
    <w:p w14:paraId="407E4B1D" w14:textId="77777777" w:rsidR="00803ECB" w:rsidRDefault="00ED1359">
      <w:pPr>
        <w:pStyle w:val="FonteFigura"/>
        <w:jc w:val="center"/>
      </w:pPr>
      <w:r>
        <w:t>Fonte: Elaboração própria com base nas estimações do modelo de Local Projections.</w:t>
      </w:r>
    </w:p>
    <w:p w14:paraId="48146204" w14:textId="77777777" w:rsidR="00803ECB" w:rsidRDefault="00ED1359">
      <w:pPr>
        <w:pStyle w:val="TextoABNT"/>
      </w:pPr>
      <w:r>
        <w:rPr>
          <w:i/>
        </w:rPr>
        <w:t>Figura 8 - Resposta acumulada da gasolina de refinaria sobre o IPCA transporte</w:t>
      </w:r>
    </w:p>
    <w:p w14:paraId="5100FC0F" w14:textId="77777777" w:rsidR="00803ECB" w:rsidRDefault="00ED1359">
      <w:pPr>
        <w:pStyle w:val="LegendaIlustracao"/>
      </w:pPr>
      <w:bookmarkStart w:id="53" w:name="_Toc_1_9_0000000050"/>
      <w:r>
        <w:t xml:space="preserve">Figura </w:t>
      </w:r>
      <w:r>
        <w:fldChar w:fldCharType="begin"/>
      </w:r>
      <w:r>
        <w:instrText>SEQ Figura</w:instrText>
      </w:r>
      <w:r>
        <w:fldChar w:fldCharType="separate"/>
      </w:r>
      <w:r>
        <w:t>8</w:t>
      </w:r>
      <w:r>
        <w:fldChar w:fldCharType="end"/>
      </w:r>
      <w:r>
        <w:t xml:space="preserve"> – de resposta acumulada da gasolina sobre IPCA Transporte</w:t>
      </w:r>
      <w:bookmarkEnd w:id="53"/>
    </w:p>
    <w:p w14:paraId="2DD2A5AA" w14:textId="77777777" w:rsidR="00803ECB" w:rsidRDefault="000E644D">
      <w:pPr>
        <w:jc w:val="center"/>
      </w:pPr>
      <w:r>
        <w:pict w14:anchorId="2D043F2F">
          <v:shape id="_x0000_i1032" type="#_x0000_t75" style="width:438.6pt;height:222pt">
            <v:imagedata r:id="rId19" o:title=""/>
          </v:shape>
        </w:pict>
      </w:r>
    </w:p>
    <w:p w14:paraId="052A38E9" w14:textId="77777777" w:rsidR="00803ECB" w:rsidRDefault="00ED1359">
      <w:pPr>
        <w:pStyle w:val="FonteFigura"/>
        <w:jc w:val="center"/>
      </w:pPr>
      <w:r>
        <w:t>Fonte: Elaboração própria com base nas estimações do modelo de Local Projections.</w:t>
      </w:r>
    </w:p>
    <w:p w14:paraId="3FD6076E" w14:textId="77777777" w:rsidR="00803ECB" w:rsidRDefault="00ED1359">
      <w:pPr>
        <w:pStyle w:val="TextoABNT"/>
      </w:pPr>
      <w:r>
        <w:t xml:space="preserve">A comparação entre IPCA Geral e IPCA Transporte é central para a interpretação econômica. Enquanto os efeitos sobre o IPCA Geral são menores e menos persistentes, os efeitos sobre o IPCA Transporte são maiores e mais precisos. Essa diferença sugere que o choque de combustíveis tem natureza inicialmente setorial. Ele aparece com força no grupo de transportes, mas sua transmissão para a inflação </w:t>
      </w:r>
      <w:r>
        <w:lastRenderedPageBreak/>
        <w:t>agregada é mais limitada, pois depende de efeitos indiretos sobre fretes, custos de produção, expectativas e repasses ao consumidor final.</w:t>
      </w:r>
    </w:p>
    <w:p w14:paraId="10E7D710" w14:textId="77777777" w:rsidR="00803ECB" w:rsidRDefault="00ED1359">
      <w:pPr>
        <w:pStyle w:val="TituloABNT"/>
        <w:pageBreakBefore/>
      </w:pPr>
      <w:bookmarkStart w:id="54" w:name="_Toc_1_3_0000000033"/>
      <w:r>
        <w:lastRenderedPageBreak/>
        <w:t>Efeito direto do petróleo sobre a inflação e papel do canal dos combustíveis</w:t>
      </w:r>
      <w:bookmarkEnd w:id="54"/>
    </w:p>
    <w:p w14:paraId="29323AF5" w14:textId="77777777" w:rsidR="00803ECB" w:rsidRDefault="00ED1359">
      <w:pPr>
        <w:pStyle w:val="TextoABNT"/>
      </w:pPr>
      <w:r>
        <w:t>Além de estimar o impacto dos combustíveis sobre a inflação, o modelo também avalia se o petróleo afeta diretamente o IPCA depois de controlar pelos combustíveis. Essa comparação ajuda a diferenciar o efeito total do petróleo do efeito mediado pelo canal dos combustíveis. Nos gráficos correspondentes, as respostas do petróleo sobre o IPCA Geral e sobre o IPCA Transporte tornam-se menos precisas quando se adicionam controles pelos combustíveis. Esse padrão sugere que parte relevante do efeito do petróleo sob</w:t>
      </w:r>
      <w:r>
        <w:t>re a inflação passa pelos preços domésticos dos combustíveis, e não por um canal direto isolado.</w:t>
      </w:r>
    </w:p>
    <w:p w14:paraId="070CA10C" w14:textId="77777777" w:rsidR="00803ECB" w:rsidRDefault="00ED1359">
      <w:pPr>
        <w:pStyle w:val="TextoABNT"/>
      </w:pPr>
      <w:r>
        <w:t>Essa evidência fortalece a hipótese central do trabalho. O petróleo é importante, mas sua transmissão para a inflação brasileira não ocorre de forma automática. O choque externo precisa passar por etapas internas de formação de preços, especialmente pela gasolina de refinaria e pelos combustíveis ao consumidor. Quando esses canais são considerados no modelo, o efeito direto do petróleo sobre o IPCA tende a perder precisão, o que é compatível com uma transmissão mediada pelos combustíveis.</w:t>
      </w:r>
    </w:p>
    <w:p w14:paraId="0A8B0D3F" w14:textId="77777777" w:rsidR="00803ECB" w:rsidRDefault="00ED1359">
      <w:pPr>
        <w:pStyle w:val="TituloABNT"/>
        <w:pageBreakBefore/>
      </w:pPr>
      <w:bookmarkStart w:id="55" w:name="_Toc_1_3_0000000034"/>
      <w:r>
        <w:lastRenderedPageBreak/>
        <w:t>Robustez com Brent em reais, regimes Petrobras e choque externo de oferta</w:t>
      </w:r>
      <w:bookmarkEnd w:id="55"/>
    </w:p>
    <w:p w14:paraId="1387F318" w14:textId="77777777" w:rsidR="00803ECB" w:rsidRDefault="00ED1359">
      <w:pPr>
        <w:pStyle w:val="TextoABNT"/>
      </w:pPr>
      <w:r>
        <w:t>Como complemento ao modelo principal, foram estimadas especificações adicionais com três objetivos. O primeiro foi verificar se os resultados permanecem quando o preço internacional do petróleo é convertido para reais, incorporando diretamente a taxa de câmbio. O segundo foi testar se o repasse muda entre regimes associados à política de preços da Petrobras. O terceiro foi utilizar uma medida externa de choque de oferta de petróleo, a série Oil Supply News Shock, como fonte adicional de identificação. Esses</w:t>
      </w:r>
      <w:r>
        <w:t xml:space="preserve"> exercícios não substituem o modelo principal; eles funcionam como robustez e tornam a interpretação do canal petróleo-combustíveis-inflação menos dependente de uma única especificação.</w:t>
      </w:r>
    </w:p>
    <w:p w14:paraId="6185A4F3" w14:textId="77777777" w:rsidR="00803ECB" w:rsidRDefault="00ED1359">
      <w:pPr>
        <w:pStyle w:val="SubtituloABNT"/>
      </w:pPr>
      <w:bookmarkStart w:id="56" w:name="_Toc_1_3_0000000035"/>
      <w:r>
        <w:t>Brent em reais e comparação com petróleo em dólares</w:t>
      </w:r>
      <w:bookmarkEnd w:id="56"/>
    </w:p>
    <w:p w14:paraId="5F15F82F" w14:textId="77777777" w:rsidR="00803ECB" w:rsidRDefault="00ED1359">
      <w:pPr>
        <w:pStyle w:val="TextoABNT"/>
      </w:pPr>
      <w:r>
        <w:t xml:space="preserve">A inclusão do Brent em reais permite avaliar se o choque relevante para a economia brasileira é mais bem representado pelo preço internacional convertido pela taxa de câmbio. Os resultados indicam que a comparação entre Brent em dólares e Brent em reais gera trajetórias bastante próximas, o que sugere robustez da evidência. No horizonte de 12 meses, o petróleo em reais apresenta resposta positiva e estatisticamente significativa sobre o diesel e sobre a gasolina de refinaria. Também aparece efeito positivo </w:t>
      </w:r>
      <w:r>
        <w:t>sobre o IPCA Transporte, enquanto o efeito sobre o IPCA Geral é menor e não significativo.</w:t>
      </w:r>
    </w:p>
    <w:p w14:paraId="68DF1137" w14:textId="77777777" w:rsidR="00803ECB" w:rsidRDefault="00ED1359">
      <w:pPr>
        <w:pStyle w:val="TextoABNT"/>
      </w:pPr>
      <w:r>
        <w:rPr>
          <w:b/>
        </w:rPr>
        <w:t>Tabela 3 - Respostas acumuladas do Brent em reais em 12 meses</w:t>
      </w:r>
    </w:p>
    <w:p w14:paraId="50A46BA2" w14:textId="77777777" w:rsidR="00803ECB" w:rsidRDefault="00ED1359">
      <w:pPr>
        <w:pStyle w:val="LegendaIlustracao"/>
      </w:pPr>
      <w:bookmarkStart w:id="57" w:name="_Toc_1_9_0000000058"/>
      <w:r>
        <w:t xml:space="preserve">Tabela </w:t>
      </w:r>
      <w:r>
        <w:fldChar w:fldCharType="begin"/>
      </w:r>
      <w:r>
        <w:instrText>SEQ Tabela</w:instrText>
      </w:r>
      <w:r>
        <w:fldChar w:fldCharType="separate"/>
      </w:r>
      <w:r>
        <w:t>8</w:t>
      </w:r>
      <w:r>
        <w:fldChar w:fldCharType="end"/>
      </w:r>
      <w:r>
        <w:t xml:space="preserve"> – Respostas acumuladas do Brent em reais em 12 meses</w:t>
      </w:r>
      <w:bookmarkEnd w:id="57"/>
    </w:p>
    <w:tbl>
      <w:tblPr>
        <w:tblW w:w="5000" w:type="pct"/>
        <w:tblLook w:val="0600" w:firstRow="0" w:lastRow="0" w:firstColumn="0" w:lastColumn="0" w:noHBand="1" w:noVBand="1"/>
      </w:tblPr>
      <w:tblGrid>
        <w:gridCol w:w="4155"/>
        <w:gridCol w:w="1790"/>
        <w:gridCol w:w="1683"/>
        <w:gridCol w:w="1443"/>
      </w:tblGrid>
      <w:tr w:rsidR="00803ECB" w14:paraId="3FA15BF5" w14:textId="77777777">
        <w:tc>
          <w:tcPr>
            <w:tcW w:w="0" w:type="auto"/>
            <w:tcBorders>
              <w:top w:val="single" w:sz="4" w:space="0" w:color="auto"/>
              <w:bottom w:val="single" w:sz="4" w:space="0" w:color="auto"/>
            </w:tcBorders>
            <w:vAlign w:val="center"/>
          </w:tcPr>
          <w:p w14:paraId="4EC1FAF8" w14:textId="77777777" w:rsidR="00803ECB" w:rsidRDefault="00ED1359">
            <w:pPr>
              <w:pStyle w:val="TextoABNT"/>
              <w:ind w:firstLine="0"/>
              <w:rPr>
                <w:rFonts w:eastAsia="Arial" w:cs="Arial"/>
                <w:sz w:val="20"/>
              </w:rPr>
            </w:pPr>
            <w:r>
              <w:rPr>
                <w:rFonts w:eastAsia="Arial" w:cs="Arial"/>
                <w:sz w:val="20"/>
              </w:rPr>
              <w:t>Canal</w:t>
            </w:r>
          </w:p>
        </w:tc>
        <w:tc>
          <w:tcPr>
            <w:tcW w:w="0" w:type="auto"/>
            <w:tcBorders>
              <w:top w:val="single" w:sz="4" w:space="0" w:color="auto"/>
              <w:bottom w:val="single" w:sz="4" w:space="0" w:color="auto"/>
            </w:tcBorders>
            <w:vAlign w:val="center"/>
          </w:tcPr>
          <w:p w14:paraId="02C5E320" w14:textId="77777777" w:rsidR="00803ECB" w:rsidRDefault="00ED1359">
            <w:pPr>
              <w:pStyle w:val="TextoABNT"/>
              <w:ind w:firstLine="0"/>
              <w:rPr>
                <w:rFonts w:eastAsia="Arial" w:cs="Arial"/>
                <w:sz w:val="20"/>
              </w:rPr>
            </w:pPr>
            <w:r>
              <w:rPr>
                <w:rFonts w:eastAsia="Arial" w:cs="Arial"/>
                <w:sz w:val="20"/>
              </w:rPr>
              <w:t>Coeficiente 12m</w:t>
            </w:r>
          </w:p>
        </w:tc>
        <w:tc>
          <w:tcPr>
            <w:tcW w:w="0" w:type="auto"/>
            <w:tcBorders>
              <w:top w:val="single" w:sz="4" w:space="0" w:color="auto"/>
              <w:bottom w:val="single" w:sz="4" w:space="0" w:color="auto"/>
            </w:tcBorders>
            <w:vAlign w:val="center"/>
          </w:tcPr>
          <w:p w14:paraId="7CA6ECBB" w14:textId="77777777" w:rsidR="00803ECB" w:rsidRDefault="00ED1359">
            <w:pPr>
              <w:pStyle w:val="TextoABNT"/>
              <w:ind w:firstLine="0"/>
              <w:rPr>
                <w:rFonts w:eastAsia="Arial" w:cs="Arial"/>
                <w:sz w:val="20"/>
              </w:rPr>
            </w:pPr>
            <w:r>
              <w:rPr>
                <w:rFonts w:eastAsia="Arial" w:cs="Arial"/>
                <w:sz w:val="20"/>
              </w:rPr>
              <w:t>IC 90%</w:t>
            </w:r>
          </w:p>
        </w:tc>
        <w:tc>
          <w:tcPr>
            <w:tcW w:w="0" w:type="auto"/>
            <w:tcBorders>
              <w:top w:val="single" w:sz="4" w:space="0" w:color="auto"/>
              <w:bottom w:val="single" w:sz="4" w:space="0" w:color="auto"/>
            </w:tcBorders>
            <w:vAlign w:val="center"/>
          </w:tcPr>
          <w:p w14:paraId="2AD4C549" w14:textId="77777777" w:rsidR="00803ECB" w:rsidRDefault="00ED1359">
            <w:pPr>
              <w:pStyle w:val="TextoABNT"/>
              <w:ind w:firstLine="0"/>
              <w:rPr>
                <w:rFonts w:eastAsia="Arial" w:cs="Arial"/>
                <w:sz w:val="20"/>
              </w:rPr>
            </w:pPr>
            <w:r>
              <w:rPr>
                <w:rFonts w:eastAsia="Arial" w:cs="Arial"/>
                <w:sz w:val="20"/>
              </w:rPr>
              <w:t>Significância</w:t>
            </w:r>
          </w:p>
        </w:tc>
      </w:tr>
      <w:tr w:rsidR="00803ECB" w14:paraId="7C8F306D" w14:textId="77777777">
        <w:tc>
          <w:tcPr>
            <w:tcW w:w="0" w:type="auto"/>
            <w:tcBorders>
              <w:top w:val="single" w:sz="4" w:space="0" w:color="auto"/>
            </w:tcBorders>
            <w:vAlign w:val="center"/>
          </w:tcPr>
          <w:p w14:paraId="2C51A910" w14:textId="77777777" w:rsidR="00803ECB" w:rsidRDefault="00ED1359">
            <w:pPr>
              <w:pStyle w:val="TextoABNT"/>
              <w:ind w:firstLine="0"/>
              <w:rPr>
                <w:rFonts w:eastAsia="Arial" w:cs="Arial"/>
                <w:sz w:val="20"/>
              </w:rPr>
            </w:pPr>
            <w:r>
              <w:rPr>
                <w:rFonts w:eastAsia="Arial" w:cs="Arial"/>
                <w:sz w:val="20"/>
              </w:rPr>
              <w:t>Petróleo BRL -&gt; Diesel</w:t>
            </w:r>
          </w:p>
        </w:tc>
        <w:tc>
          <w:tcPr>
            <w:tcW w:w="0" w:type="auto"/>
            <w:tcBorders>
              <w:top w:val="single" w:sz="4" w:space="0" w:color="auto"/>
            </w:tcBorders>
            <w:vAlign w:val="center"/>
          </w:tcPr>
          <w:p w14:paraId="53CF833C" w14:textId="77777777" w:rsidR="00803ECB" w:rsidRDefault="00ED1359">
            <w:pPr>
              <w:pStyle w:val="TextoABNT"/>
              <w:ind w:firstLine="0"/>
              <w:rPr>
                <w:rFonts w:eastAsia="Arial" w:cs="Arial"/>
                <w:sz w:val="20"/>
              </w:rPr>
            </w:pPr>
            <w:r>
              <w:rPr>
                <w:rFonts w:eastAsia="Arial" w:cs="Arial"/>
                <w:sz w:val="20"/>
              </w:rPr>
              <w:t>2,667</w:t>
            </w:r>
          </w:p>
        </w:tc>
        <w:tc>
          <w:tcPr>
            <w:tcW w:w="0" w:type="auto"/>
            <w:tcBorders>
              <w:top w:val="single" w:sz="4" w:space="0" w:color="auto"/>
            </w:tcBorders>
            <w:vAlign w:val="center"/>
          </w:tcPr>
          <w:p w14:paraId="5AEA6605" w14:textId="77777777" w:rsidR="00803ECB" w:rsidRDefault="00ED1359">
            <w:pPr>
              <w:pStyle w:val="TextoABNT"/>
              <w:ind w:firstLine="0"/>
              <w:rPr>
                <w:rFonts w:eastAsia="Arial" w:cs="Arial"/>
                <w:sz w:val="20"/>
              </w:rPr>
            </w:pPr>
            <w:r>
              <w:rPr>
                <w:rFonts w:eastAsia="Arial" w:cs="Arial"/>
                <w:sz w:val="20"/>
              </w:rPr>
              <w:t>[1,378 ; 3,956]</w:t>
            </w:r>
          </w:p>
        </w:tc>
        <w:tc>
          <w:tcPr>
            <w:tcW w:w="0" w:type="auto"/>
            <w:tcBorders>
              <w:top w:val="single" w:sz="4" w:space="0" w:color="auto"/>
            </w:tcBorders>
            <w:vAlign w:val="center"/>
          </w:tcPr>
          <w:p w14:paraId="6D58A3C2" w14:textId="77777777" w:rsidR="00803ECB" w:rsidRDefault="00ED1359">
            <w:pPr>
              <w:pStyle w:val="TextoABNT"/>
              <w:ind w:firstLine="0"/>
              <w:rPr>
                <w:rFonts w:eastAsia="Arial" w:cs="Arial"/>
                <w:sz w:val="20"/>
              </w:rPr>
            </w:pPr>
            <w:r>
              <w:rPr>
                <w:rFonts w:eastAsia="Arial" w:cs="Arial"/>
                <w:sz w:val="20"/>
              </w:rPr>
              <w:t>Sim</w:t>
            </w:r>
          </w:p>
        </w:tc>
      </w:tr>
      <w:tr w:rsidR="00803ECB" w14:paraId="6C52DE8F" w14:textId="77777777">
        <w:tc>
          <w:tcPr>
            <w:tcW w:w="0" w:type="auto"/>
            <w:vAlign w:val="center"/>
          </w:tcPr>
          <w:p w14:paraId="1C41B59E" w14:textId="77777777" w:rsidR="00803ECB" w:rsidRDefault="00ED1359">
            <w:pPr>
              <w:pStyle w:val="TextoABNT"/>
              <w:ind w:firstLine="0"/>
              <w:rPr>
                <w:rFonts w:eastAsia="Arial" w:cs="Arial"/>
                <w:sz w:val="20"/>
              </w:rPr>
            </w:pPr>
            <w:r>
              <w:rPr>
                <w:rFonts w:eastAsia="Arial" w:cs="Arial"/>
                <w:sz w:val="20"/>
              </w:rPr>
              <w:t>Petróleo BRL -&gt; Gasolina de refinaria</w:t>
            </w:r>
          </w:p>
        </w:tc>
        <w:tc>
          <w:tcPr>
            <w:tcW w:w="0" w:type="auto"/>
            <w:vAlign w:val="center"/>
          </w:tcPr>
          <w:p w14:paraId="1FE13728" w14:textId="77777777" w:rsidR="00803ECB" w:rsidRDefault="00ED1359">
            <w:pPr>
              <w:pStyle w:val="TextoABNT"/>
              <w:ind w:firstLine="0"/>
              <w:rPr>
                <w:rFonts w:eastAsia="Arial" w:cs="Arial"/>
                <w:sz w:val="20"/>
              </w:rPr>
            </w:pPr>
            <w:r>
              <w:rPr>
                <w:rFonts w:eastAsia="Arial" w:cs="Arial"/>
                <w:sz w:val="20"/>
              </w:rPr>
              <w:t>1,702</w:t>
            </w:r>
          </w:p>
        </w:tc>
        <w:tc>
          <w:tcPr>
            <w:tcW w:w="0" w:type="auto"/>
            <w:vAlign w:val="center"/>
          </w:tcPr>
          <w:p w14:paraId="1E0DBB52" w14:textId="77777777" w:rsidR="00803ECB" w:rsidRDefault="00ED1359">
            <w:pPr>
              <w:pStyle w:val="TextoABNT"/>
              <w:ind w:firstLine="0"/>
              <w:rPr>
                <w:rFonts w:eastAsia="Arial" w:cs="Arial"/>
                <w:sz w:val="20"/>
              </w:rPr>
            </w:pPr>
            <w:r>
              <w:rPr>
                <w:rFonts w:eastAsia="Arial" w:cs="Arial"/>
                <w:sz w:val="20"/>
              </w:rPr>
              <w:t>[0,307 ; 3,097]</w:t>
            </w:r>
          </w:p>
        </w:tc>
        <w:tc>
          <w:tcPr>
            <w:tcW w:w="0" w:type="auto"/>
            <w:vAlign w:val="center"/>
          </w:tcPr>
          <w:p w14:paraId="0FD7FEB3" w14:textId="77777777" w:rsidR="00803ECB" w:rsidRDefault="00ED1359">
            <w:pPr>
              <w:pStyle w:val="TextoABNT"/>
              <w:ind w:firstLine="0"/>
              <w:rPr>
                <w:rFonts w:eastAsia="Arial" w:cs="Arial"/>
                <w:sz w:val="20"/>
              </w:rPr>
            </w:pPr>
            <w:r>
              <w:rPr>
                <w:rFonts w:eastAsia="Arial" w:cs="Arial"/>
                <w:sz w:val="20"/>
              </w:rPr>
              <w:t>Sim</w:t>
            </w:r>
          </w:p>
        </w:tc>
      </w:tr>
      <w:tr w:rsidR="00803ECB" w14:paraId="607710D3" w14:textId="77777777">
        <w:tc>
          <w:tcPr>
            <w:tcW w:w="0" w:type="auto"/>
            <w:vAlign w:val="center"/>
          </w:tcPr>
          <w:p w14:paraId="4231035E" w14:textId="77777777" w:rsidR="00803ECB" w:rsidRDefault="00ED1359">
            <w:pPr>
              <w:pStyle w:val="TextoABNT"/>
              <w:ind w:firstLine="0"/>
              <w:rPr>
                <w:rFonts w:eastAsia="Arial" w:cs="Arial"/>
                <w:sz w:val="20"/>
              </w:rPr>
            </w:pPr>
            <w:r>
              <w:rPr>
                <w:rFonts w:eastAsia="Arial" w:cs="Arial"/>
                <w:sz w:val="20"/>
              </w:rPr>
              <w:t>Petróleo BRL -&gt; Gasolina ao consumidor</w:t>
            </w:r>
          </w:p>
        </w:tc>
        <w:tc>
          <w:tcPr>
            <w:tcW w:w="0" w:type="auto"/>
            <w:vAlign w:val="center"/>
          </w:tcPr>
          <w:p w14:paraId="6D5B0AE2" w14:textId="77777777" w:rsidR="00803ECB" w:rsidRDefault="00ED1359">
            <w:pPr>
              <w:pStyle w:val="TextoABNT"/>
              <w:ind w:firstLine="0"/>
              <w:rPr>
                <w:rFonts w:eastAsia="Arial" w:cs="Arial"/>
                <w:sz w:val="20"/>
              </w:rPr>
            </w:pPr>
            <w:r>
              <w:rPr>
                <w:rFonts w:eastAsia="Arial" w:cs="Arial"/>
                <w:sz w:val="20"/>
              </w:rPr>
              <w:t>0,841</w:t>
            </w:r>
          </w:p>
        </w:tc>
        <w:tc>
          <w:tcPr>
            <w:tcW w:w="0" w:type="auto"/>
            <w:vAlign w:val="center"/>
          </w:tcPr>
          <w:p w14:paraId="58BD62DB" w14:textId="77777777" w:rsidR="00803ECB" w:rsidRDefault="00ED1359">
            <w:pPr>
              <w:pStyle w:val="TextoABNT"/>
              <w:ind w:firstLine="0"/>
              <w:rPr>
                <w:rFonts w:eastAsia="Arial" w:cs="Arial"/>
                <w:sz w:val="20"/>
              </w:rPr>
            </w:pPr>
            <w:r>
              <w:rPr>
                <w:rFonts w:eastAsia="Arial" w:cs="Arial"/>
                <w:sz w:val="20"/>
              </w:rPr>
              <w:t>[-0,491 ; 2,173]</w:t>
            </w:r>
          </w:p>
        </w:tc>
        <w:tc>
          <w:tcPr>
            <w:tcW w:w="0" w:type="auto"/>
            <w:vAlign w:val="center"/>
          </w:tcPr>
          <w:p w14:paraId="748654FB" w14:textId="77777777" w:rsidR="00803ECB" w:rsidRDefault="00ED1359">
            <w:pPr>
              <w:pStyle w:val="TextoABNT"/>
              <w:ind w:firstLine="0"/>
              <w:rPr>
                <w:rFonts w:eastAsia="Arial" w:cs="Arial"/>
                <w:sz w:val="20"/>
              </w:rPr>
            </w:pPr>
            <w:r>
              <w:rPr>
                <w:rFonts w:eastAsia="Arial" w:cs="Arial"/>
                <w:sz w:val="20"/>
              </w:rPr>
              <w:t>Não</w:t>
            </w:r>
          </w:p>
        </w:tc>
      </w:tr>
      <w:tr w:rsidR="00803ECB" w14:paraId="096E7E13" w14:textId="77777777">
        <w:tc>
          <w:tcPr>
            <w:tcW w:w="0" w:type="auto"/>
            <w:vAlign w:val="center"/>
          </w:tcPr>
          <w:p w14:paraId="52CD615E" w14:textId="77777777" w:rsidR="00803ECB" w:rsidRDefault="00ED1359">
            <w:pPr>
              <w:pStyle w:val="TextoABNT"/>
              <w:ind w:firstLine="0"/>
              <w:rPr>
                <w:rFonts w:eastAsia="Arial" w:cs="Arial"/>
                <w:sz w:val="20"/>
              </w:rPr>
            </w:pPr>
            <w:r>
              <w:rPr>
                <w:rFonts w:eastAsia="Arial" w:cs="Arial"/>
                <w:sz w:val="20"/>
              </w:rPr>
              <w:t>Petróleo BRL -&gt; Etanol</w:t>
            </w:r>
          </w:p>
        </w:tc>
        <w:tc>
          <w:tcPr>
            <w:tcW w:w="0" w:type="auto"/>
            <w:vAlign w:val="center"/>
          </w:tcPr>
          <w:p w14:paraId="2C1D3083" w14:textId="77777777" w:rsidR="00803ECB" w:rsidRDefault="00ED1359">
            <w:pPr>
              <w:pStyle w:val="TextoABNT"/>
              <w:ind w:firstLine="0"/>
              <w:rPr>
                <w:rFonts w:eastAsia="Arial" w:cs="Arial"/>
                <w:sz w:val="20"/>
              </w:rPr>
            </w:pPr>
            <w:r>
              <w:rPr>
                <w:rFonts w:eastAsia="Arial" w:cs="Arial"/>
                <w:sz w:val="20"/>
              </w:rPr>
              <w:t>1,522</w:t>
            </w:r>
          </w:p>
        </w:tc>
        <w:tc>
          <w:tcPr>
            <w:tcW w:w="0" w:type="auto"/>
            <w:vAlign w:val="center"/>
          </w:tcPr>
          <w:p w14:paraId="76DAD180" w14:textId="77777777" w:rsidR="00803ECB" w:rsidRDefault="00ED1359">
            <w:pPr>
              <w:pStyle w:val="TextoABNT"/>
              <w:ind w:firstLine="0"/>
              <w:rPr>
                <w:rFonts w:eastAsia="Arial" w:cs="Arial"/>
                <w:sz w:val="20"/>
              </w:rPr>
            </w:pPr>
            <w:r>
              <w:rPr>
                <w:rFonts w:eastAsia="Arial" w:cs="Arial"/>
                <w:sz w:val="20"/>
              </w:rPr>
              <w:t>[-0,327 ; 3,371]</w:t>
            </w:r>
          </w:p>
        </w:tc>
        <w:tc>
          <w:tcPr>
            <w:tcW w:w="0" w:type="auto"/>
            <w:vAlign w:val="center"/>
          </w:tcPr>
          <w:p w14:paraId="43A41961" w14:textId="77777777" w:rsidR="00803ECB" w:rsidRDefault="00ED1359">
            <w:pPr>
              <w:pStyle w:val="TextoABNT"/>
              <w:ind w:firstLine="0"/>
              <w:rPr>
                <w:rFonts w:eastAsia="Arial" w:cs="Arial"/>
                <w:sz w:val="20"/>
              </w:rPr>
            </w:pPr>
            <w:r>
              <w:rPr>
                <w:rFonts w:eastAsia="Arial" w:cs="Arial"/>
                <w:sz w:val="20"/>
              </w:rPr>
              <w:t>Não</w:t>
            </w:r>
          </w:p>
        </w:tc>
      </w:tr>
      <w:tr w:rsidR="00803ECB" w14:paraId="78A321EC" w14:textId="77777777">
        <w:tc>
          <w:tcPr>
            <w:tcW w:w="0" w:type="auto"/>
            <w:vAlign w:val="center"/>
          </w:tcPr>
          <w:p w14:paraId="6EE75E97" w14:textId="77777777" w:rsidR="00803ECB" w:rsidRDefault="00ED1359">
            <w:pPr>
              <w:pStyle w:val="TextoABNT"/>
              <w:ind w:firstLine="0"/>
              <w:rPr>
                <w:rFonts w:eastAsia="Arial" w:cs="Arial"/>
                <w:sz w:val="20"/>
              </w:rPr>
            </w:pPr>
            <w:r>
              <w:rPr>
                <w:rFonts w:eastAsia="Arial" w:cs="Arial"/>
                <w:sz w:val="20"/>
              </w:rPr>
              <w:t>Petróleo BRL -&gt; IPCA Geral</w:t>
            </w:r>
          </w:p>
        </w:tc>
        <w:tc>
          <w:tcPr>
            <w:tcW w:w="0" w:type="auto"/>
            <w:vAlign w:val="center"/>
          </w:tcPr>
          <w:p w14:paraId="3D24AFD5" w14:textId="77777777" w:rsidR="00803ECB" w:rsidRDefault="00ED1359">
            <w:pPr>
              <w:pStyle w:val="TextoABNT"/>
              <w:ind w:firstLine="0"/>
              <w:rPr>
                <w:rFonts w:eastAsia="Arial" w:cs="Arial"/>
                <w:sz w:val="20"/>
              </w:rPr>
            </w:pPr>
            <w:r>
              <w:rPr>
                <w:rFonts w:eastAsia="Arial" w:cs="Arial"/>
                <w:sz w:val="20"/>
              </w:rPr>
              <w:t>0,128</w:t>
            </w:r>
          </w:p>
        </w:tc>
        <w:tc>
          <w:tcPr>
            <w:tcW w:w="0" w:type="auto"/>
            <w:vAlign w:val="center"/>
          </w:tcPr>
          <w:p w14:paraId="437A444A" w14:textId="77777777" w:rsidR="00803ECB" w:rsidRDefault="00ED1359">
            <w:pPr>
              <w:pStyle w:val="TextoABNT"/>
              <w:ind w:firstLine="0"/>
              <w:rPr>
                <w:rFonts w:eastAsia="Arial" w:cs="Arial"/>
                <w:sz w:val="20"/>
              </w:rPr>
            </w:pPr>
            <w:r>
              <w:rPr>
                <w:rFonts w:eastAsia="Arial" w:cs="Arial"/>
                <w:sz w:val="20"/>
              </w:rPr>
              <w:t>[-0,115 ; 0,370]</w:t>
            </w:r>
          </w:p>
        </w:tc>
        <w:tc>
          <w:tcPr>
            <w:tcW w:w="0" w:type="auto"/>
            <w:vAlign w:val="center"/>
          </w:tcPr>
          <w:p w14:paraId="449A906B" w14:textId="77777777" w:rsidR="00803ECB" w:rsidRDefault="00ED1359">
            <w:pPr>
              <w:pStyle w:val="TextoABNT"/>
              <w:ind w:firstLine="0"/>
              <w:rPr>
                <w:rFonts w:eastAsia="Arial" w:cs="Arial"/>
                <w:sz w:val="20"/>
              </w:rPr>
            </w:pPr>
            <w:r>
              <w:rPr>
                <w:rFonts w:eastAsia="Arial" w:cs="Arial"/>
                <w:sz w:val="20"/>
              </w:rPr>
              <w:t>Não</w:t>
            </w:r>
          </w:p>
        </w:tc>
      </w:tr>
      <w:tr w:rsidR="00803ECB" w14:paraId="4087649A" w14:textId="77777777">
        <w:tc>
          <w:tcPr>
            <w:tcW w:w="0" w:type="auto"/>
            <w:tcBorders>
              <w:bottom w:val="single" w:sz="4" w:space="0" w:color="auto"/>
            </w:tcBorders>
            <w:vAlign w:val="center"/>
          </w:tcPr>
          <w:p w14:paraId="25595EC3" w14:textId="77777777" w:rsidR="00803ECB" w:rsidRDefault="00ED1359">
            <w:pPr>
              <w:pStyle w:val="TextoABNT"/>
              <w:ind w:firstLine="0"/>
              <w:rPr>
                <w:rFonts w:eastAsia="Arial" w:cs="Arial"/>
                <w:sz w:val="20"/>
              </w:rPr>
            </w:pPr>
            <w:r>
              <w:rPr>
                <w:rFonts w:eastAsia="Arial" w:cs="Arial"/>
                <w:sz w:val="20"/>
              </w:rPr>
              <w:t>Petróleo BRL -&gt; IPCA Transportes</w:t>
            </w:r>
          </w:p>
        </w:tc>
        <w:tc>
          <w:tcPr>
            <w:tcW w:w="0" w:type="auto"/>
            <w:tcBorders>
              <w:bottom w:val="single" w:sz="4" w:space="0" w:color="auto"/>
            </w:tcBorders>
            <w:vAlign w:val="center"/>
          </w:tcPr>
          <w:p w14:paraId="70951469" w14:textId="77777777" w:rsidR="00803ECB" w:rsidRDefault="00ED1359">
            <w:pPr>
              <w:pStyle w:val="TextoABNT"/>
              <w:ind w:firstLine="0"/>
              <w:rPr>
                <w:rFonts w:eastAsia="Arial" w:cs="Arial"/>
                <w:sz w:val="20"/>
              </w:rPr>
            </w:pPr>
            <w:r>
              <w:rPr>
                <w:rFonts w:eastAsia="Arial" w:cs="Arial"/>
                <w:sz w:val="20"/>
              </w:rPr>
              <w:t>0,629</w:t>
            </w:r>
          </w:p>
        </w:tc>
        <w:tc>
          <w:tcPr>
            <w:tcW w:w="0" w:type="auto"/>
            <w:tcBorders>
              <w:bottom w:val="single" w:sz="4" w:space="0" w:color="auto"/>
            </w:tcBorders>
            <w:vAlign w:val="center"/>
          </w:tcPr>
          <w:p w14:paraId="223CFB7B" w14:textId="77777777" w:rsidR="00803ECB" w:rsidRDefault="00ED1359">
            <w:pPr>
              <w:pStyle w:val="TextoABNT"/>
              <w:ind w:firstLine="0"/>
              <w:rPr>
                <w:rFonts w:eastAsia="Arial" w:cs="Arial"/>
                <w:sz w:val="20"/>
              </w:rPr>
            </w:pPr>
            <w:r>
              <w:rPr>
                <w:rFonts w:eastAsia="Arial" w:cs="Arial"/>
                <w:sz w:val="20"/>
              </w:rPr>
              <w:t>[0,094 ; 1,164]</w:t>
            </w:r>
          </w:p>
        </w:tc>
        <w:tc>
          <w:tcPr>
            <w:tcW w:w="0" w:type="auto"/>
            <w:tcBorders>
              <w:bottom w:val="single" w:sz="4" w:space="0" w:color="auto"/>
            </w:tcBorders>
            <w:vAlign w:val="center"/>
          </w:tcPr>
          <w:p w14:paraId="18885090" w14:textId="77777777" w:rsidR="00803ECB" w:rsidRDefault="00ED1359">
            <w:pPr>
              <w:pStyle w:val="TextoABNT"/>
              <w:ind w:firstLine="0"/>
              <w:rPr>
                <w:rFonts w:eastAsia="Arial" w:cs="Arial"/>
                <w:sz w:val="20"/>
              </w:rPr>
            </w:pPr>
            <w:r>
              <w:rPr>
                <w:rFonts w:eastAsia="Arial" w:cs="Arial"/>
                <w:sz w:val="20"/>
              </w:rPr>
              <w:t>Sim</w:t>
            </w:r>
          </w:p>
        </w:tc>
      </w:tr>
    </w:tbl>
    <w:p w14:paraId="252B3BF1" w14:textId="77777777" w:rsidR="00803ECB" w:rsidRDefault="00ED1359">
      <w:pPr>
        <w:pStyle w:val="FonteFigura"/>
        <w:jc w:val="center"/>
      </w:pPr>
      <w:r>
        <w:t>Fonte: Elaboração própria com base nas estimações do Modelo 4.</w:t>
      </w:r>
    </w:p>
    <w:p w14:paraId="06A757C8" w14:textId="77777777" w:rsidR="00803ECB" w:rsidRDefault="00ED1359">
      <w:pPr>
        <w:pStyle w:val="SubtituloABNT"/>
      </w:pPr>
      <w:bookmarkStart w:id="58" w:name="_Toc_1_3_0000000036"/>
      <w:r>
        <w:t>Regimes Petrobras e teste de diferença entre períodos</w:t>
      </w:r>
      <w:bookmarkEnd w:id="58"/>
    </w:p>
    <w:p w14:paraId="5CDF5538" w14:textId="77777777" w:rsidR="00803ECB" w:rsidRDefault="00ED1359">
      <w:pPr>
        <w:pStyle w:val="TextoABNT"/>
      </w:pPr>
      <w:r>
        <w:t xml:space="preserve">A análise por regimes separa os choques em componentes pré-2015 e pós-2015 e aplica o teste de Wald para a hipótese de igualdade entre os coeficientes. A escolha de 2015 é tratada como uma data de transição empírica, e não como a data </w:t>
      </w:r>
      <w:r>
        <w:lastRenderedPageBreak/>
        <w:t>exata de criação da política de paridade de importação. A PPI se consolida em 2016, enquanto 2023 marca o anúncio de uma nova estratégia comercial. Portanto, o bloco pós-2015 reúne momentos institucionais diferentes: realinhamento inicial dos preços, vigência mais forte da paridade de importação e mudança posterior de estratégia. Essa limitação torna a interpretação mais cautelosa. Os resultados indicam que o repasse não é homogêneo. No canal petróleo em reais para diesel e para gasolina de refinaria, o per</w:t>
      </w:r>
      <w:r>
        <w:t>íodo pós-2015 apresenta resposta mais elevada nos horizontes curtos, com diferença estatisticamente relevante em 6 meses. Por outro lado, a relação entre gasolina de refinaria e IPCA Transporte aparece mais forte no pré-2015 em alguns horizontes intermediários. Assim, a evidência não deve ser interpretada como aumento generalizado do repasse após 2015, mas como mudança heterogênea no timing e na intensidade da transmissão. Para uma versão futura do trabalho, uma robustez adicional com o período estrito da P</w:t>
      </w:r>
      <w:r>
        <w:t>PI, de 2016 a 2023, e com uma dummy para a nova política pós-2023, seria desejável.</w:t>
      </w:r>
    </w:p>
    <w:p w14:paraId="7ED51CB5" w14:textId="77777777" w:rsidR="00803ECB" w:rsidRDefault="00ED1359">
      <w:pPr>
        <w:pStyle w:val="TextoABNT"/>
      </w:pPr>
      <w:r>
        <w:rPr>
          <w:b/>
        </w:rPr>
        <w:t>Tabela 4 - Resultados por regime e teste de Wald</w:t>
      </w:r>
    </w:p>
    <w:p w14:paraId="50BB4403" w14:textId="77777777" w:rsidR="00803ECB" w:rsidRDefault="00ED1359">
      <w:pPr>
        <w:pStyle w:val="LegendaIlustracao"/>
      </w:pPr>
      <w:bookmarkStart w:id="59" w:name="_Toc_1_9_0000000059"/>
      <w:r>
        <w:t xml:space="preserve">Tabela </w:t>
      </w:r>
      <w:r>
        <w:fldChar w:fldCharType="begin"/>
      </w:r>
      <w:r>
        <w:instrText>SEQ Tabela</w:instrText>
      </w:r>
      <w:r>
        <w:fldChar w:fldCharType="separate"/>
      </w:r>
      <w:r>
        <w:t>9</w:t>
      </w:r>
      <w:r>
        <w:fldChar w:fldCharType="end"/>
      </w:r>
      <w:r>
        <w:t xml:space="preserve"> – Resultados por regime e teste de Wald</w:t>
      </w:r>
      <w:bookmarkEnd w:id="59"/>
    </w:p>
    <w:tbl>
      <w:tblPr>
        <w:tblW w:w="5000" w:type="pct"/>
        <w:tblLook w:val="0600" w:firstRow="0" w:lastRow="0" w:firstColumn="0" w:lastColumn="0" w:noHBand="1" w:noVBand="1"/>
      </w:tblPr>
      <w:tblGrid>
        <w:gridCol w:w="4227"/>
        <w:gridCol w:w="1148"/>
        <w:gridCol w:w="1113"/>
        <w:gridCol w:w="1149"/>
        <w:gridCol w:w="1434"/>
      </w:tblGrid>
      <w:tr w:rsidR="00803ECB" w14:paraId="3FEC35B5" w14:textId="77777777">
        <w:tc>
          <w:tcPr>
            <w:tcW w:w="0" w:type="auto"/>
            <w:tcBorders>
              <w:top w:val="single" w:sz="4" w:space="0" w:color="auto"/>
              <w:bottom w:val="single" w:sz="4" w:space="0" w:color="auto"/>
            </w:tcBorders>
            <w:vAlign w:val="center"/>
          </w:tcPr>
          <w:p w14:paraId="3B2D1576" w14:textId="77777777" w:rsidR="00803ECB" w:rsidRDefault="00ED1359">
            <w:pPr>
              <w:pStyle w:val="TextoABNT"/>
              <w:ind w:firstLine="0"/>
              <w:rPr>
                <w:rFonts w:eastAsia="Arial" w:cs="Arial"/>
                <w:sz w:val="20"/>
              </w:rPr>
            </w:pPr>
            <w:r>
              <w:rPr>
                <w:rFonts w:eastAsia="Arial" w:cs="Arial"/>
                <w:sz w:val="20"/>
              </w:rPr>
              <w:t>Canal</w:t>
            </w:r>
          </w:p>
        </w:tc>
        <w:tc>
          <w:tcPr>
            <w:tcW w:w="0" w:type="auto"/>
            <w:tcBorders>
              <w:top w:val="single" w:sz="4" w:space="0" w:color="auto"/>
              <w:bottom w:val="single" w:sz="4" w:space="0" w:color="auto"/>
            </w:tcBorders>
            <w:vAlign w:val="center"/>
          </w:tcPr>
          <w:p w14:paraId="4B9D18B2" w14:textId="77777777" w:rsidR="00803ECB" w:rsidRDefault="00ED1359">
            <w:pPr>
              <w:pStyle w:val="TextoABNT"/>
              <w:ind w:firstLine="0"/>
              <w:rPr>
                <w:rFonts w:eastAsia="Arial" w:cs="Arial"/>
                <w:sz w:val="20"/>
              </w:rPr>
            </w:pPr>
            <w:r>
              <w:rPr>
                <w:rFonts w:eastAsia="Arial" w:cs="Arial"/>
                <w:sz w:val="20"/>
              </w:rPr>
              <w:t>Horizonte</w:t>
            </w:r>
          </w:p>
        </w:tc>
        <w:tc>
          <w:tcPr>
            <w:tcW w:w="0" w:type="auto"/>
            <w:tcBorders>
              <w:top w:val="single" w:sz="4" w:space="0" w:color="auto"/>
              <w:bottom w:val="single" w:sz="4" w:space="0" w:color="auto"/>
            </w:tcBorders>
            <w:vAlign w:val="center"/>
          </w:tcPr>
          <w:p w14:paraId="64C953C8" w14:textId="77777777" w:rsidR="00803ECB" w:rsidRDefault="00ED1359">
            <w:pPr>
              <w:pStyle w:val="TextoABNT"/>
              <w:ind w:firstLine="0"/>
              <w:rPr>
                <w:rFonts w:eastAsia="Arial" w:cs="Arial"/>
                <w:sz w:val="20"/>
              </w:rPr>
            </w:pPr>
            <w:r>
              <w:rPr>
                <w:rFonts w:eastAsia="Arial" w:cs="Arial"/>
                <w:sz w:val="20"/>
              </w:rPr>
              <w:t>Pré-2015</w:t>
            </w:r>
          </w:p>
        </w:tc>
        <w:tc>
          <w:tcPr>
            <w:tcW w:w="0" w:type="auto"/>
            <w:tcBorders>
              <w:top w:val="single" w:sz="4" w:space="0" w:color="auto"/>
              <w:bottom w:val="single" w:sz="4" w:space="0" w:color="auto"/>
            </w:tcBorders>
            <w:vAlign w:val="center"/>
          </w:tcPr>
          <w:p w14:paraId="1AA007CF" w14:textId="77777777" w:rsidR="00803ECB" w:rsidRDefault="00ED1359">
            <w:pPr>
              <w:pStyle w:val="TextoABNT"/>
              <w:ind w:firstLine="0"/>
              <w:rPr>
                <w:rFonts w:eastAsia="Arial" w:cs="Arial"/>
                <w:sz w:val="20"/>
              </w:rPr>
            </w:pPr>
            <w:r>
              <w:rPr>
                <w:rFonts w:eastAsia="Arial" w:cs="Arial"/>
                <w:sz w:val="20"/>
              </w:rPr>
              <w:t>Pós-2015</w:t>
            </w:r>
          </w:p>
        </w:tc>
        <w:tc>
          <w:tcPr>
            <w:tcW w:w="0" w:type="auto"/>
            <w:tcBorders>
              <w:top w:val="single" w:sz="4" w:space="0" w:color="auto"/>
              <w:bottom w:val="single" w:sz="4" w:space="0" w:color="auto"/>
            </w:tcBorders>
            <w:vAlign w:val="center"/>
          </w:tcPr>
          <w:p w14:paraId="0858561C" w14:textId="77777777" w:rsidR="00803ECB" w:rsidRDefault="00ED1359">
            <w:pPr>
              <w:pStyle w:val="TextoABNT"/>
              <w:ind w:firstLine="0"/>
              <w:rPr>
                <w:rFonts w:eastAsia="Arial" w:cs="Arial"/>
                <w:sz w:val="20"/>
              </w:rPr>
            </w:pPr>
            <w:r>
              <w:rPr>
                <w:rFonts w:eastAsia="Arial" w:cs="Arial"/>
                <w:sz w:val="20"/>
              </w:rPr>
              <w:t>p-valor Wald</w:t>
            </w:r>
          </w:p>
        </w:tc>
      </w:tr>
      <w:tr w:rsidR="00803ECB" w14:paraId="72A048AE" w14:textId="77777777">
        <w:tc>
          <w:tcPr>
            <w:tcW w:w="0" w:type="auto"/>
            <w:tcBorders>
              <w:top w:val="single" w:sz="4" w:space="0" w:color="auto"/>
            </w:tcBorders>
            <w:vAlign w:val="center"/>
          </w:tcPr>
          <w:p w14:paraId="63D529CF" w14:textId="77777777" w:rsidR="00803ECB" w:rsidRDefault="00ED1359">
            <w:pPr>
              <w:pStyle w:val="TextoABNT"/>
              <w:ind w:firstLine="0"/>
              <w:rPr>
                <w:rFonts w:eastAsia="Arial" w:cs="Arial"/>
                <w:sz w:val="20"/>
              </w:rPr>
            </w:pPr>
            <w:r>
              <w:rPr>
                <w:rFonts w:eastAsia="Arial" w:cs="Arial"/>
                <w:sz w:val="20"/>
              </w:rPr>
              <w:t>Petróleo BRL -&gt; Diesel</w:t>
            </w:r>
          </w:p>
        </w:tc>
        <w:tc>
          <w:tcPr>
            <w:tcW w:w="0" w:type="auto"/>
            <w:tcBorders>
              <w:top w:val="single" w:sz="4" w:space="0" w:color="auto"/>
            </w:tcBorders>
            <w:vAlign w:val="center"/>
          </w:tcPr>
          <w:p w14:paraId="03B1C7DD" w14:textId="77777777" w:rsidR="00803ECB" w:rsidRDefault="00ED1359">
            <w:pPr>
              <w:pStyle w:val="TextoABNT"/>
              <w:ind w:firstLine="0"/>
              <w:rPr>
                <w:rFonts w:eastAsia="Arial" w:cs="Arial"/>
                <w:sz w:val="20"/>
              </w:rPr>
            </w:pPr>
            <w:r>
              <w:rPr>
                <w:rFonts w:eastAsia="Arial" w:cs="Arial"/>
                <w:sz w:val="20"/>
              </w:rPr>
              <w:t>6m</w:t>
            </w:r>
          </w:p>
        </w:tc>
        <w:tc>
          <w:tcPr>
            <w:tcW w:w="0" w:type="auto"/>
            <w:tcBorders>
              <w:top w:val="single" w:sz="4" w:space="0" w:color="auto"/>
            </w:tcBorders>
            <w:vAlign w:val="center"/>
          </w:tcPr>
          <w:p w14:paraId="564D1EB5" w14:textId="77777777" w:rsidR="00803ECB" w:rsidRDefault="00ED1359">
            <w:pPr>
              <w:pStyle w:val="TextoABNT"/>
              <w:ind w:firstLine="0"/>
              <w:rPr>
                <w:rFonts w:eastAsia="Arial" w:cs="Arial"/>
                <w:sz w:val="20"/>
              </w:rPr>
            </w:pPr>
            <w:r>
              <w:rPr>
                <w:rFonts w:eastAsia="Arial" w:cs="Arial"/>
                <w:sz w:val="20"/>
              </w:rPr>
              <w:t>0,787</w:t>
            </w:r>
          </w:p>
        </w:tc>
        <w:tc>
          <w:tcPr>
            <w:tcW w:w="0" w:type="auto"/>
            <w:tcBorders>
              <w:top w:val="single" w:sz="4" w:space="0" w:color="auto"/>
            </w:tcBorders>
            <w:vAlign w:val="center"/>
          </w:tcPr>
          <w:p w14:paraId="679FF326" w14:textId="77777777" w:rsidR="00803ECB" w:rsidRDefault="00ED1359">
            <w:pPr>
              <w:pStyle w:val="TextoABNT"/>
              <w:ind w:firstLine="0"/>
              <w:rPr>
                <w:rFonts w:eastAsia="Arial" w:cs="Arial"/>
                <w:sz w:val="20"/>
              </w:rPr>
            </w:pPr>
            <w:r>
              <w:rPr>
                <w:rFonts w:eastAsia="Arial" w:cs="Arial"/>
                <w:sz w:val="20"/>
              </w:rPr>
              <w:t>3,278</w:t>
            </w:r>
          </w:p>
        </w:tc>
        <w:tc>
          <w:tcPr>
            <w:tcW w:w="0" w:type="auto"/>
            <w:tcBorders>
              <w:top w:val="single" w:sz="4" w:space="0" w:color="auto"/>
            </w:tcBorders>
            <w:vAlign w:val="center"/>
          </w:tcPr>
          <w:p w14:paraId="7E3FDA22" w14:textId="77777777" w:rsidR="00803ECB" w:rsidRDefault="00ED1359">
            <w:pPr>
              <w:pStyle w:val="TextoABNT"/>
              <w:ind w:firstLine="0"/>
              <w:rPr>
                <w:rFonts w:eastAsia="Arial" w:cs="Arial"/>
                <w:sz w:val="20"/>
              </w:rPr>
            </w:pPr>
            <w:r>
              <w:rPr>
                <w:rFonts w:eastAsia="Arial" w:cs="Arial"/>
                <w:sz w:val="20"/>
              </w:rPr>
              <w:t>0,013</w:t>
            </w:r>
          </w:p>
        </w:tc>
      </w:tr>
      <w:tr w:rsidR="00803ECB" w14:paraId="103D2962" w14:textId="77777777">
        <w:tc>
          <w:tcPr>
            <w:tcW w:w="0" w:type="auto"/>
            <w:vAlign w:val="center"/>
          </w:tcPr>
          <w:p w14:paraId="0A111EA5" w14:textId="77777777" w:rsidR="00803ECB" w:rsidRDefault="00ED1359">
            <w:pPr>
              <w:pStyle w:val="TextoABNT"/>
              <w:ind w:firstLine="0"/>
              <w:rPr>
                <w:rFonts w:eastAsia="Arial" w:cs="Arial"/>
                <w:sz w:val="20"/>
              </w:rPr>
            </w:pPr>
            <w:r>
              <w:rPr>
                <w:rFonts w:eastAsia="Arial" w:cs="Arial"/>
                <w:sz w:val="20"/>
              </w:rPr>
              <w:t>Petróleo BRL -&gt; Diesel</w:t>
            </w:r>
          </w:p>
        </w:tc>
        <w:tc>
          <w:tcPr>
            <w:tcW w:w="0" w:type="auto"/>
            <w:vAlign w:val="center"/>
          </w:tcPr>
          <w:p w14:paraId="4DD154EA" w14:textId="77777777" w:rsidR="00803ECB" w:rsidRDefault="00ED1359">
            <w:pPr>
              <w:pStyle w:val="TextoABNT"/>
              <w:ind w:firstLine="0"/>
              <w:rPr>
                <w:rFonts w:eastAsia="Arial" w:cs="Arial"/>
                <w:sz w:val="20"/>
              </w:rPr>
            </w:pPr>
            <w:r>
              <w:rPr>
                <w:rFonts w:eastAsia="Arial" w:cs="Arial"/>
                <w:sz w:val="20"/>
              </w:rPr>
              <w:t>12m</w:t>
            </w:r>
          </w:p>
        </w:tc>
        <w:tc>
          <w:tcPr>
            <w:tcW w:w="0" w:type="auto"/>
            <w:vAlign w:val="center"/>
          </w:tcPr>
          <w:p w14:paraId="72B37EF4" w14:textId="77777777" w:rsidR="00803ECB" w:rsidRDefault="00ED1359">
            <w:pPr>
              <w:pStyle w:val="TextoABNT"/>
              <w:ind w:firstLine="0"/>
              <w:rPr>
                <w:rFonts w:eastAsia="Arial" w:cs="Arial"/>
                <w:sz w:val="20"/>
              </w:rPr>
            </w:pPr>
            <w:r>
              <w:rPr>
                <w:rFonts w:eastAsia="Arial" w:cs="Arial"/>
                <w:sz w:val="20"/>
              </w:rPr>
              <w:t>1,407</w:t>
            </w:r>
          </w:p>
        </w:tc>
        <w:tc>
          <w:tcPr>
            <w:tcW w:w="0" w:type="auto"/>
            <w:vAlign w:val="center"/>
          </w:tcPr>
          <w:p w14:paraId="6B1A50B2" w14:textId="77777777" w:rsidR="00803ECB" w:rsidRDefault="00ED1359">
            <w:pPr>
              <w:pStyle w:val="TextoABNT"/>
              <w:ind w:firstLine="0"/>
              <w:rPr>
                <w:rFonts w:eastAsia="Arial" w:cs="Arial"/>
                <w:sz w:val="20"/>
              </w:rPr>
            </w:pPr>
            <w:r>
              <w:rPr>
                <w:rFonts w:eastAsia="Arial" w:cs="Arial"/>
                <w:sz w:val="20"/>
              </w:rPr>
              <w:t>3,372</w:t>
            </w:r>
          </w:p>
        </w:tc>
        <w:tc>
          <w:tcPr>
            <w:tcW w:w="0" w:type="auto"/>
            <w:vAlign w:val="center"/>
          </w:tcPr>
          <w:p w14:paraId="6B96B8D1" w14:textId="77777777" w:rsidR="00803ECB" w:rsidRDefault="00ED1359">
            <w:pPr>
              <w:pStyle w:val="TextoABNT"/>
              <w:ind w:firstLine="0"/>
              <w:rPr>
                <w:rFonts w:eastAsia="Arial" w:cs="Arial"/>
                <w:sz w:val="20"/>
              </w:rPr>
            </w:pPr>
            <w:r>
              <w:rPr>
                <w:rFonts w:eastAsia="Arial" w:cs="Arial"/>
                <w:sz w:val="20"/>
              </w:rPr>
              <w:t>0,166</w:t>
            </w:r>
          </w:p>
        </w:tc>
      </w:tr>
      <w:tr w:rsidR="00803ECB" w14:paraId="20350120" w14:textId="77777777">
        <w:tc>
          <w:tcPr>
            <w:tcW w:w="0" w:type="auto"/>
            <w:vAlign w:val="center"/>
          </w:tcPr>
          <w:p w14:paraId="15694708" w14:textId="77777777" w:rsidR="00803ECB" w:rsidRDefault="00ED1359">
            <w:pPr>
              <w:pStyle w:val="TextoABNT"/>
              <w:ind w:firstLine="0"/>
              <w:rPr>
                <w:rFonts w:eastAsia="Arial" w:cs="Arial"/>
                <w:sz w:val="20"/>
              </w:rPr>
            </w:pPr>
            <w:r>
              <w:rPr>
                <w:rFonts w:eastAsia="Arial" w:cs="Arial"/>
                <w:sz w:val="20"/>
              </w:rPr>
              <w:t>Petróleo BRL -&gt; Gasolina de refinaria</w:t>
            </w:r>
          </w:p>
        </w:tc>
        <w:tc>
          <w:tcPr>
            <w:tcW w:w="0" w:type="auto"/>
            <w:vAlign w:val="center"/>
          </w:tcPr>
          <w:p w14:paraId="02D6BAC1" w14:textId="77777777" w:rsidR="00803ECB" w:rsidRDefault="00ED1359">
            <w:pPr>
              <w:pStyle w:val="TextoABNT"/>
              <w:ind w:firstLine="0"/>
              <w:rPr>
                <w:rFonts w:eastAsia="Arial" w:cs="Arial"/>
                <w:sz w:val="20"/>
              </w:rPr>
            </w:pPr>
            <w:r>
              <w:rPr>
                <w:rFonts w:eastAsia="Arial" w:cs="Arial"/>
                <w:sz w:val="20"/>
              </w:rPr>
              <w:t>6m</w:t>
            </w:r>
          </w:p>
        </w:tc>
        <w:tc>
          <w:tcPr>
            <w:tcW w:w="0" w:type="auto"/>
            <w:vAlign w:val="center"/>
          </w:tcPr>
          <w:p w14:paraId="02C71E1D" w14:textId="77777777" w:rsidR="00803ECB" w:rsidRDefault="00ED1359">
            <w:pPr>
              <w:pStyle w:val="TextoABNT"/>
              <w:ind w:firstLine="0"/>
              <w:rPr>
                <w:rFonts w:eastAsia="Arial" w:cs="Arial"/>
                <w:sz w:val="20"/>
              </w:rPr>
            </w:pPr>
            <w:r>
              <w:rPr>
                <w:rFonts w:eastAsia="Arial" w:cs="Arial"/>
                <w:sz w:val="20"/>
              </w:rPr>
              <w:t>-0,077</w:t>
            </w:r>
          </w:p>
        </w:tc>
        <w:tc>
          <w:tcPr>
            <w:tcW w:w="0" w:type="auto"/>
            <w:vAlign w:val="center"/>
          </w:tcPr>
          <w:p w14:paraId="2BDAE128" w14:textId="77777777" w:rsidR="00803ECB" w:rsidRDefault="00ED1359">
            <w:pPr>
              <w:pStyle w:val="TextoABNT"/>
              <w:ind w:firstLine="0"/>
              <w:rPr>
                <w:rFonts w:eastAsia="Arial" w:cs="Arial"/>
                <w:sz w:val="20"/>
              </w:rPr>
            </w:pPr>
            <w:r>
              <w:rPr>
                <w:rFonts w:eastAsia="Arial" w:cs="Arial"/>
                <w:sz w:val="20"/>
              </w:rPr>
              <w:t>2,348</w:t>
            </w:r>
          </w:p>
        </w:tc>
        <w:tc>
          <w:tcPr>
            <w:tcW w:w="0" w:type="auto"/>
            <w:vAlign w:val="center"/>
          </w:tcPr>
          <w:p w14:paraId="06FC82DD" w14:textId="77777777" w:rsidR="00803ECB" w:rsidRDefault="00ED1359">
            <w:pPr>
              <w:pStyle w:val="TextoABNT"/>
              <w:ind w:firstLine="0"/>
              <w:rPr>
                <w:rFonts w:eastAsia="Arial" w:cs="Arial"/>
                <w:sz w:val="20"/>
              </w:rPr>
            </w:pPr>
            <w:r>
              <w:rPr>
                <w:rFonts w:eastAsia="Arial" w:cs="Arial"/>
                <w:sz w:val="20"/>
              </w:rPr>
              <w:t>0,009</w:t>
            </w:r>
          </w:p>
        </w:tc>
      </w:tr>
      <w:tr w:rsidR="00803ECB" w14:paraId="255C085C" w14:textId="77777777">
        <w:tc>
          <w:tcPr>
            <w:tcW w:w="0" w:type="auto"/>
            <w:vAlign w:val="center"/>
          </w:tcPr>
          <w:p w14:paraId="2C78DBE1" w14:textId="77777777" w:rsidR="00803ECB" w:rsidRDefault="00ED1359">
            <w:pPr>
              <w:pStyle w:val="TextoABNT"/>
              <w:ind w:firstLine="0"/>
              <w:rPr>
                <w:rFonts w:eastAsia="Arial" w:cs="Arial"/>
                <w:sz w:val="20"/>
              </w:rPr>
            </w:pPr>
            <w:r>
              <w:rPr>
                <w:rFonts w:eastAsia="Arial" w:cs="Arial"/>
                <w:sz w:val="20"/>
              </w:rPr>
              <w:t>Petróleo BRL -&gt; Gasolina de refinaria</w:t>
            </w:r>
          </w:p>
        </w:tc>
        <w:tc>
          <w:tcPr>
            <w:tcW w:w="0" w:type="auto"/>
            <w:vAlign w:val="center"/>
          </w:tcPr>
          <w:p w14:paraId="33980382" w14:textId="77777777" w:rsidR="00803ECB" w:rsidRDefault="00ED1359">
            <w:pPr>
              <w:pStyle w:val="TextoABNT"/>
              <w:ind w:firstLine="0"/>
              <w:rPr>
                <w:rFonts w:eastAsia="Arial" w:cs="Arial"/>
                <w:sz w:val="20"/>
              </w:rPr>
            </w:pPr>
            <w:r>
              <w:rPr>
                <w:rFonts w:eastAsia="Arial" w:cs="Arial"/>
                <w:sz w:val="20"/>
              </w:rPr>
              <w:t>12m</w:t>
            </w:r>
          </w:p>
        </w:tc>
        <w:tc>
          <w:tcPr>
            <w:tcW w:w="0" w:type="auto"/>
            <w:vAlign w:val="center"/>
          </w:tcPr>
          <w:p w14:paraId="69CB519D" w14:textId="77777777" w:rsidR="00803ECB" w:rsidRDefault="00ED1359">
            <w:pPr>
              <w:pStyle w:val="TextoABNT"/>
              <w:ind w:firstLine="0"/>
              <w:rPr>
                <w:rFonts w:eastAsia="Arial" w:cs="Arial"/>
                <w:sz w:val="20"/>
              </w:rPr>
            </w:pPr>
            <w:r>
              <w:rPr>
                <w:rFonts w:eastAsia="Arial" w:cs="Arial"/>
                <w:sz w:val="20"/>
              </w:rPr>
              <w:t>0,483</w:t>
            </w:r>
          </w:p>
        </w:tc>
        <w:tc>
          <w:tcPr>
            <w:tcW w:w="0" w:type="auto"/>
            <w:vAlign w:val="center"/>
          </w:tcPr>
          <w:p w14:paraId="3806E780" w14:textId="77777777" w:rsidR="00803ECB" w:rsidRDefault="00ED1359">
            <w:pPr>
              <w:pStyle w:val="TextoABNT"/>
              <w:ind w:firstLine="0"/>
              <w:rPr>
                <w:rFonts w:eastAsia="Arial" w:cs="Arial"/>
                <w:sz w:val="20"/>
              </w:rPr>
            </w:pPr>
            <w:r>
              <w:rPr>
                <w:rFonts w:eastAsia="Arial" w:cs="Arial"/>
                <w:sz w:val="20"/>
              </w:rPr>
              <w:t>2,374</w:t>
            </w:r>
          </w:p>
        </w:tc>
        <w:tc>
          <w:tcPr>
            <w:tcW w:w="0" w:type="auto"/>
            <w:vAlign w:val="center"/>
          </w:tcPr>
          <w:p w14:paraId="7BEBEFD0" w14:textId="77777777" w:rsidR="00803ECB" w:rsidRDefault="00ED1359">
            <w:pPr>
              <w:pStyle w:val="TextoABNT"/>
              <w:ind w:firstLine="0"/>
              <w:rPr>
                <w:rFonts w:eastAsia="Arial" w:cs="Arial"/>
                <w:sz w:val="20"/>
              </w:rPr>
            </w:pPr>
            <w:r>
              <w:rPr>
                <w:rFonts w:eastAsia="Arial" w:cs="Arial"/>
                <w:sz w:val="20"/>
              </w:rPr>
              <w:t>0,176</w:t>
            </w:r>
          </w:p>
        </w:tc>
      </w:tr>
      <w:tr w:rsidR="00803ECB" w14:paraId="6F688010" w14:textId="77777777">
        <w:tc>
          <w:tcPr>
            <w:tcW w:w="0" w:type="auto"/>
            <w:vAlign w:val="center"/>
          </w:tcPr>
          <w:p w14:paraId="56B96665" w14:textId="77777777" w:rsidR="00803ECB" w:rsidRDefault="00ED1359">
            <w:pPr>
              <w:pStyle w:val="TextoABNT"/>
              <w:ind w:firstLine="0"/>
              <w:rPr>
                <w:rFonts w:eastAsia="Arial" w:cs="Arial"/>
                <w:sz w:val="20"/>
              </w:rPr>
            </w:pPr>
            <w:r>
              <w:rPr>
                <w:rFonts w:eastAsia="Arial" w:cs="Arial"/>
                <w:sz w:val="20"/>
              </w:rPr>
              <w:t>Gasolina de refinaria -&gt; IPCA Transportes</w:t>
            </w:r>
          </w:p>
        </w:tc>
        <w:tc>
          <w:tcPr>
            <w:tcW w:w="0" w:type="auto"/>
            <w:vAlign w:val="center"/>
          </w:tcPr>
          <w:p w14:paraId="219A1AA4" w14:textId="77777777" w:rsidR="00803ECB" w:rsidRDefault="00ED1359">
            <w:pPr>
              <w:pStyle w:val="TextoABNT"/>
              <w:ind w:firstLine="0"/>
              <w:rPr>
                <w:rFonts w:eastAsia="Arial" w:cs="Arial"/>
                <w:sz w:val="20"/>
              </w:rPr>
            </w:pPr>
            <w:r>
              <w:rPr>
                <w:rFonts w:eastAsia="Arial" w:cs="Arial"/>
                <w:sz w:val="20"/>
              </w:rPr>
              <w:t>6m</w:t>
            </w:r>
          </w:p>
        </w:tc>
        <w:tc>
          <w:tcPr>
            <w:tcW w:w="0" w:type="auto"/>
            <w:vAlign w:val="center"/>
          </w:tcPr>
          <w:p w14:paraId="2FFCD946" w14:textId="77777777" w:rsidR="00803ECB" w:rsidRDefault="00ED1359">
            <w:pPr>
              <w:pStyle w:val="TextoABNT"/>
              <w:ind w:firstLine="0"/>
              <w:rPr>
                <w:rFonts w:eastAsia="Arial" w:cs="Arial"/>
                <w:sz w:val="20"/>
              </w:rPr>
            </w:pPr>
            <w:r>
              <w:rPr>
                <w:rFonts w:eastAsia="Arial" w:cs="Arial"/>
                <w:sz w:val="20"/>
              </w:rPr>
              <w:t>2,706</w:t>
            </w:r>
          </w:p>
        </w:tc>
        <w:tc>
          <w:tcPr>
            <w:tcW w:w="0" w:type="auto"/>
            <w:vAlign w:val="center"/>
          </w:tcPr>
          <w:p w14:paraId="12282827" w14:textId="77777777" w:rsidR="00803ECB" w:rsidRDefault="00ED1359">
            <w:pPr>
              <w:pStyle w:val="TextoABNT"/>
              <w:ind w:firstLine="0"/>
              <w:rPr>
                <w:rFonts w:eastAsia="Arial" w:cs="Arial"/>
                <w:sz w:val="20"/>
              </w:rPr>
            </w:pPr>
            <w:r>
              <w:rPr>
                <w:rFonts w:eastAsia="Arial" w:cs="Arial"/>
                <w:sz w:val="20"/>
              </w:rPr>
              <w:t>0,566</w:t>
            </w:r>
          </w:p>
        </w:tc>
        <w:tc>
          <w:tcPr>
            <w:tcW w:w="0" w:type="auto"/>
            <w:vAlign w:val="center"/>
          </w:tcPr>
          <w:p w14:paraId="29990BDA" w14:textId="77777777" w:rsidR="00803ECB" w:rsidRDefault="00ED1359">
            <w:pPr>
              <w:pStyle w:val="TextoABNT"/>
              <w:ind w:firstLine="0"/>
              <w:rPr>
                <w:rFonts w:eastAsia="Arial" w:cs="Arial"/>
                <w:sz w:val="20"/>
              </w:rPr>
            </w:pPr>
            <w:r>
              <w:rPr>
                <w:rFonts w:eastAsia="Arial" w:cs="Arial"/>
                <w:sz w:val="20"/>
              </w:rPr>
              <w:t>0,005</w:t>
            </w:r>
          </w:p>
        </w:tc>
      </w:tr>
      <w:tr w:rsidR="00803ECB" w14:paraId="48514C4F" w14:textId="77777777">
        <w:tc>
          <w:tcPr>
            <w:tcW w:w="0" w:type="auto"/>
            <w:vAlign w:val="center"/>
          </w:tcPr>
          <w:p w14:paraId="1705C5CC" w14:textId="77777777" w:rsidR="00803ECB" w:rsidRDefault="00ED1359">
            <w:pPr>
              <w:pStyle w:val="TextoABNT"/>
              <w:ind w:firstLine="0"/>
              <w:rPr>
                <w:rFonts w:eastAsia="Arial" w:cs="Arial"/>
                <w:sz w:val="20"/>
              </w:rPr>
            </w:pPr>
            <w:r>
              <w:rPr>
                <w:rFonts w:eastAsia="Arial" w:cs="Arial"/>
                <w:sz w:val="20"/>
              </w:rPr>
              <w:t>Gasolina de refinaria -&gt; IPCA Transportes</w:t>
            </w:r>
          </w:p>
        </w:tc>
        <w:tc>
          <w:tcPr>
            <w:tcW w:w="0" w:type="auto"/>
            <w:vAlign w:val="center"/>
          </w:tcPr>
          <w:p w14:paraId="5381F0CF" w14:textId="77777777" w:rsidR="00803ECB" w:rsidRDefault="00ED1359">
            <w:pPr>
              <w:pStyle w:val="TextoABNT"/>
              <w:ind w:firstLine="0"/>
              <w:rPr>
                <w:rFonts w:eastAsia="Arial" w:cs="Arial"/>
                <w:sz w:val="20"/>
              </w:rPr>
            </w:pPr>
            <w:r>
              <w:rPr>
                <w:rFonts w:eastAsia="Arial" w:cs="Arial"/>
                <w:sz w:val="20"/>
              </w:rPr>
              <w:t>12m</w:t>
            </w:r>
          </w:p>
        </w:tc>
        <w:tc>
          <w:tcPr>
            <w:tcW w:w="0" w:type="auto"/>
            <w:vAlign w:val="center"/>
          </w:tcPr>
          <w:p w14:paraId="3B001CE7" w14:textId="77777777" w:rsidR="00803ECB" w:rsidRDefault="00ED1359">
            <w:pPr>
              <w:pStyle w:val="TextoABNT"/>
              <w:ind w:firstLine="0"/>
              <w:rPr>
                <w:rFonts w:eastAsia="Arial" w:cs="Arial"/>
                <w:sz w:val="20"/>
              </w:rPr>
            </w:pPr>
            <w:r>
              <w:rPr>
                <w:rFonts w:eastAsia="Arial" w:cs="Arial"/>
                <w:sz w:val="20"/>
              </w:rPr>
              <w:t>2,667</w:t>
            </w:r>
          </w:p>
        </w:tc>
        <w:tc>
          <w:tcPr>
            <w:tcW w:w="0" w:type="auto"/>
            <w:vAlign w:val="center"/>
          </w:tcPr>
          <w:p w14:paraId="0E618C62" w14:textId="77777777" w:rsidR="00803ECB" w:rsidRDefault="00ED1359">
            <w:pPr>
              <w:pStyle w:val="TextoABNT"/>
              <w:ind w:firstLine="0"/>
              <w:rPr>
                <w:rFonts w:eastAsia="Arial" w:cs="Arial"/>
                <w:sz w:val="20"/>
              </w:rPr>
            </w:pPr>
            <w:r>
              <w:rPr>
                <w:rFonts w:eastAsia="Arial" w:cs="Arial"/>
                <w:sz w:val="20"/>
              </w:rPr>
              <w:t>0,747</w:t>
            </w:r>
          </w:p>
        </w:tc>
        <w:tc>
          <w:tcPr>
            <w:tcW w:w="0" w:type="auto"/>
            <w:vAlign w:val="center"/>
          </w:tcPr>
          <w:p w14:paraId="4F53437F" w14:textId="77777777" w:rsidR="00803ECB" w:rsidRDefault="00ED1359">
            <w:pPr>
              <w:pStyle w:val="TextoABNT"/>
              <w:ind w:firstLine="0"/>
              <w:rPr>
                <w:rFonts w:eastAsia="Arial" w:cs="Arial"/>
                <w:sz w:val="20"/>
              </w:rPr>
            </w:pPr>
            <w:r>
              <w:rPr>
                <w:rFonts w:eastAsia="Arial" w:cs="Arial"/>
                <w:sz w:val="20"/>
              </w:rPr>
              <w:t>0,124</w:t>
            </w:r>
          </w:p>
        </w:tc>
      </w:tr>
      <w:tr w:rsidR="00803ECB" w14:paraId="1A24B0B7" w14:textId="77777777">
        <w:tc>
          <w:tcPr>
            <w:tcW w:w="0" w:type="auto"/>
            <w:tcBorders>
              <w:bottom w:val="single" w:sz="4" w:space="0" w:color="auto"/>
            </w:tcBorders>
            <w:vAlign w:val="center"/>
          </w:tcPr>
          <w:p w14:paraId="71E93F20" w14:textId="77777777" w:rsidR="00803ECB" w:rsidRDefault="00ED1359">
            <w:pPr>
              <w:pStyle w:val="TextoABNT"/>
              <w:ind w:firstLine="0"/>
              <w:rPr>
                <w:rFonts w:eastAsia="Arial" w:cs="Arial"/>
                <w:sz w:val="20"/>
              </w:rPr>
            </w:pPr>
            <w:r>
              <w:rPr>
                <w:rFonts w:eastAsia="Arial" w:cs="Arial"/>
                <w:sz w:val="20"/>
              </w:rPr>
              <w:t>Etanol -&gt; IPCA Transportes</w:t>
            </w:r>
          </w:p>
        </w:tc>
        <w:tc>
          <w:tcPr>
            <w:tcW w:w="0" w:type="auto"/>
            <w:tcBorders>
              <w:bottom w:val="single" w:sz="4" w:space="0" w:color="auto"/>
            </w:tcBorders>
            <w:vAlign w:val="center"/>
          </w:tcPr>
          <w:p w14:paraId="1C2792F5" w14:textId="77777777" w:rsidR="00803ECB" w:rsidRDefault="00ED1359">
            <w:pPr>
              <w:pStyle w:val="TextoABNT"/>
              <w:ind w:firstLine="0"/>
              <w:rPr>
                <w:rFonts w:eastAsia="Arial" w:cs="Arial"/>
                <w:sz w:val="20"/>
              </w:rPr>
            </w:pPr>
            <w:r>
              <w:rPr>
                <w:rFonts w:eastAsia="Arial" w:cs="Arial"/>
                <w:sz w:val="20"/>
              </w:rPr>
              <w:t>12m</w:t>
            </w:r>
          </w:p>
        </w:tc>
        <w:tc>
          <w:tcPr>
            <w:tcW w:w="0" w:type="auto"/>
            <w:tcBorders>
              <w:bottom w:val="single" w:sz="4" w:space="0" w:color="auto"/>
            </w:tcBorders>
            <w:vAlign w:val="center"/>
          </w:tcPr>
          <w:p w14:paraId="353D7CDF" w14:textId="77777777" w:rsidR="00803ECB" w:rsidRDefault="00ED1359">
            <w:pPr>
              <w:pStyle w:val="TextoABNT"/>
              <w:ind w:firstLine="0"/>
              <w:rPr>
                <w:rFonts w:eastAsia="Arial" w:cs="Arial"/>
                <w:sz w:val="20"/>
              </w:rPr>
            </w:pPr>
            <w:r>
              <w:rPr>
                <w:rFonts w:eastAsia="Arial" w:cs="Arial"/>
                <w:sz w:val="20"/>
              </w:rPr>
              <w:t>0,302</w:t>
            </w:r>
          </w:p>
        </w:tc>
        <w:tc>
          <w:tcPr>
            <w:tcW w:w="0" w:type="auto"/>
            <w:tcBorders>
              <w:bottom w:val="single" w:sz="4" w:space="0" w:color="auto"/>
            </w:tcBorders>
            <w:vAlign w:val="center"/>
          </w:tcPr>
          <w:p w14:paraId="12EC55E0" w14:textId="77777777" w:rsidR="00803ECB" w:rsidRDefault="00ED1359">
            <w:pPr>
              <w:pStyle w:val="TextoABNT"/>
              <w:ind w:firstLine="0"/>
              <w:rPr>
                <w:rFonts w:eastAsia="Arial" w:cs="Arial"/>
                <w:sz w:val="20"/>
              </w:rPr>
            </w:pPr>
            <w:r>
              <w:rPr>
                <w:rFonts w:eastAsia="Arial" w:cs="Arial"/>
                <w:sz w:val="20"/>
              </w:rPr>
              <w:t>1,805</w:t>
            </w:r>
          </w:p>
        </w:tc>
        <w:tc>
          <w:tcPr>
            <w:tcW w:w="0" w:type="auto"/>
            <w:tcBorders>
              <w:bottom w:val="single" w:sz="4" w:space="0" w:color="auto"/>
            </w:tcBorders>
            <w:vAlign w:val="center"/>
          </w:tcPr>
          <w:p w14:paraId="0FA72435" w14:textId="77777777" w:rsidR="00803ECB" w:rsidRDefault="00ED1359">
            <w:pPr>
              <w:pStyle w:val="TextoABNT"/>
              <w:ind w:firstLine="0"/>
              <w:rPr>
                <w:rFonts w:eastAsia="Arial" w:cs="Arial"/>
                <w:sz w:val="20"/>
              </w:rPr>
            </w:pPr>
            <w:r>
              <w:rPr>
                <w:rFonts w:eastAsia="Arial" w:cs="Arial"/>
                <w:sz w:val="20"/>
              </w:rPr>
              <w:t>0,053</w:t>
            </w:r>
          </w:p>
        </w:tc>
      </w:tr>
    </w:tbl>
    <w:p w14:paraId="0C9C1D72" w14:textId="77777777" w:rsidR="00803ECB" w:rsidRDefault="00ED1359">
      <w:pPr>
        <w:pStyle w:val="FonteFigura"/>
        <w:jc w:val="center"/>
      </w:pPr>
      <w:r>
        <w:t>Fonte: Elaboração própria com base nas estimações por regime e nos testes de Wald do Modelo 4.</w:t>
      </w:r>
    </w:p>
    <w:p w14:paraId="5C226465" w14:textId="77777777" w:rsidR="00803ECB" w:rsidRDefault="00ED1359">
      <w:pPr>
        <w:pStyle w:val="SubtituloABNT"/>
      </w:pPr>
      <w:bookmarkStart w:id="60" w:name="_Toc_1_3_0000000037"/>
      <w:r>
        <w:t>Choque externo de oferta e LP-IV</w:t>
      </w:r>
      <w:bookmarkEnd w:id="60"/>
    </w:p>
    <w:p w14:paraId="2E72698F" w14:textId="77777777" w:rsidR="00803ECB" w:rsidRDefault="00ED1359">
      <w:pPr>
        <w:pStyle w:val="TextoABNT"/>
      </w:pPr>
      <w:r>
        <w:t xml:space="preserve">Como exercício adicional de identificação, foi utilizada a série Oil Supply News Shock como choque externo de oferta de petróleo. A série foi incorporada de duas formas: diretamente em Local Projections e como instrumento para o petróleo em reais em uma especificação LP-IV. O primeiro estágio apresentou estatísticas </w:t>
      </w:r>
      <m:oMath>
        <m:r>
          <w:rPr>
            <w:rFonts w:ascii="Cambria Math" w:eastAsia="Cambria Math" w:hAnsi="Cambria Math" w:cs="Cambria Math"/>
          </w:rPr>
          <m:t>F</m:t>
        </m:r>
        <m:r>
          <w:rPr>
            <w:rFonts w:ascii="Cambria Math" w:eastAsia="Cambria Math" w:hAnsi="Cambria Math" w:cs="Cambria Math"/>
          </w:rPr>
          <m:t>&gt;10</m:t>
        </m:r>
      </m:oMath>
      <w:r>
        <w:t xml:space="preserve">, indicando forte relevância do instrumento. Após a reestimação com IV2SLS, os resultados permaneceram materialmente equivalentes, o que reforça a estabilidade das </w:t>
      </w:r>
      <w:r>
        <w:lastRenderedPageBreak/>
        <w:t>evidências. A resposta do diesel ao petróleo em reais instrumentado permanece positiva até 12 meses, enquanto a resposta do IPCA Transportes aparece de forma mais clara no curto prazo.</w:t>
      </w:r>
    </w:p>
    <w:p w14:paraId="764857E1" w14:textId="77777777" w:rsidR="00803ECB" w:rsidRPr="008C71E7" w:rsidRDefault="00ED1359">
      <w:pPr>
        <w:pStyle w:val="TextoABNT"/>
        <w:rPr>
          <w:lang w:val="en-US"/>
        </w:rPr>
      </w:pPr>
      <w:r w:rsidRPr="008C71E7">
        <w:rPr>
          <w:b/>
          <w:lang w:val="en-US"/>
        </w:rPr>
        <w:t>Tabela 5 - LP direta e LP-IV com Oil Supply News Shock</w:t>
      </w:r>
    </w:p>
    <w:p w14:paraId="50605723" w14:textId="77777777" w:rsidR="00803ECB" w:rsidRPr="008C71E7" w:rsidRDefault="00ED1359">
      <w:pPr>
        <w:pStyle w:val="LegendaIlustracao"/>
        <w:rPr>
          <w:lang w:val="en-US"/>
        </w:rPr>
      </w:pPr>
      <w:bookmarkStart w:id="61" w:name="_Toc_1_9_0000000060"/>
      <w:r w:rsidRPr="008C71E7">
        <w:rPr>
          <w:lang w:val="en-US"/>
        </w:rPr>
        <w:t xml:space="preserve">Tabela </w:t>
      </w:r>
      <w:r>
        <w:fldChar w:fldCharType="begin"/>
      </w:r>
      <w:r w:rsidRPr="008C71E7">
        <w:rPr>
          <w:lang w:val="en-US"/>
        </w:rPr>
        <w:instrText>SEQ Tabela</w:instrText>
      </w:r>
      <w:r>
        <w:fldChar w:fldCharType="separate"/>
      </w:r>
      <w:r w:rsidRPr="008C71E7">
        <w:rPr>
          <w:lang w:val="en-US"/>
        </w:rPr>
        <w:t>10</w:t>
      </w:r>
      <w:r>
        <w:fldChar w:fldCharType="end"/>
      </w:r>
      <w:r w:rsidRPr="008C71E7">
        <w:rPr>
          <w:lang w:val="en-US"/>
        </w:rPr>
        <w:t xml:space="preserve"> – LP direta e LP-IV com Oil Supply News Shock</w:t>
      </w:r>
      <w:bookmarkEnd w:id="61"/>
    </w:p>
    <w:tbl>
      <w:tblPr>
        <w:tblW w:w="5000" w:type="pct"/>
        <w:tblLook w:val="0600" w:firstRow="0" w:lastRow="0" w:firstColumn="0" w:lastColumn="0" w:noHBand="1" w:noVBand="1"/>
      </w:tblPr>
      <w:tblGrid>
        <w:gridCol w:w="1319"/>
        <w:gridCol w:w="4081"/>
        <w:gridCol w:w="786"/>
        <w:gridCol w:w="1017"/>
        <w:gridCol w:w="1868"/>
      </w:tblGrid>
      <w:tr w:rsidR="00803ECB" w14:paraId="20C43D57" w14:textId="77777777">
        <w:tc>
          <w:tcPr>
            <w:tcW w:w="0" w:type="auto"/>
            <w:tcBorders>
              <w:top w:val="single" w:sz="4" w:space="0" w:color="auto"/>
              <w:bottom w:val="single" w:sz="4" w:space="0" w:color="auto"/>
            </w:tcBorders>
            <w:vAlign w:val="center"/>
          </w:tcPr>
          <w:p w14:paraId="1AFBB20F" w14:textId="77777777" w:rsidR="00803ECB" w:rsidRDefault="00ED1359">
            <w:pPr>
              <w:pStyle w:val="TextoABNT"/>
              <w:ind w:firstLine="0"/>
              <w:rPr>
                <w:rFonts w:eastAsia="Arial" w:cs="Arial"/>
                <w:sz w:val="20"/>
              </w:rPr>
            </w:pPr>
            <w:r>
              <w:rPr>
                <w:rFonts w:eastAsia="Arial" w:cs="Arial"/>
                <w:sz w:val="20"/>
              </w:rPr>
              <w:t>Modelo</w:t>
            </w:r>
          </w:p>
        </w:tc>
        <w:tc>
          <w:tcPr>
            <w:tcW w:w="0" w:type="auto"/>
            <w:tcBorders>
              <w:top w:val="single" w:sz="4" w:space="0" w:color="auto"/>
              <w:bottom w:val="single" w:sz="4" w:space="0" w:color="auto"/>
            </w:tcBorders>
            <w:vAlign w:val="center"/>
          </w:tcPr>
          <w:p w14:paraId="44EAA2D8" w14:textId="77777777" w:rsidR="00803ECB" w:rsidRDefault="00ED1359">
            <w:pPr>
              <w:pStyle w:val="TextoABNT"/>
              <w:ind w:firstLine="0"/>
              <w:rPr>
                <w:rFonts w:eastAsia="Arial" w:cs="Arial"/>
                <w:sz w:val="20"/>
              </w:rPr>
            </w:pPr>
            <w:r>
              <w:rPr>
                <w:rFonts w:eastAsia="Arial" w:cs="Arial"/>
                <w:sz w:val="20"/>
              </w:rPr>
              <w:t>Canal</w:t>
            </w:r>
          </w:p>
        </w:tc>
        <w:tc>
          <w:tcPr>
            <w:tcW w:w="0" w:type="auto"/>
            <w:tcBorders>
              <w:top w:val="single" w:sz="4" w:space="0" w:color="auto"/>
              <w:bottom w:val="single" w:sz="4" w:space="0" w:color="auto"/>
            </w:tcBorders>
            <w:vAlign w:val="center"/>
          </w:tcPr>
          <w:p w14:paraId="7876178D" w14:textId="77777777" w:rsidR="00803ECB" w:rsidRDefault="00ED1359">
            <w:pPr>
              <w:pStyle w:val="TextoABNT"/>
              <w:ind w:firstLine="0"/>
              <w:rPr>
                <w:rFonts w:eastAsia="Arial" w:cs="Arial"/>
                <w:sz w:val="20"/>
              </w:rPr>
            </w:pPr>
            <w:r>
              <w:rPr>
                <w:rFonts w:eastAsia="Arial" w:cs="Arial"/>
                <w:sz w:val="20"/>
              </w:rPr>
              <w:t>h</w:t>
            </w:r>
          </w:p>
        </w:tc>
        <w:tc>
          <w:tcPr>
            <w:tcW w:w="0" w:type="auto"/>
            <w:tcBorders>
              <w:top w:val="single" w:sz="4" w:space="0" w:color="auto"/>
              <w:bottom w:val="single" w:sz="4" w:space="0" w:color="auto"/>
            </w:tcBorders>
            <w:vAlign w:val="center"/>
          </w:tcPr>
          <w:p w14:paraId="65726951" w14:textId="77777777" w:rsidR="00803ECB" w:rsidRDefault="00ED1359">
            <w:pPr>
              <w:pStyle w:val="TextoABNT"/>
              <w:ind w:firstLine="0"/>
              <w:rPr>
                <w:rFonts w:eastAsia="Arial" w:cs="Arial"/>
                <w:sz w:val="20"/>
              </w:rPr>
            </w:pPr>
            <w:r>
              <w:rPr>
                <w:rFonts w:eastAsia="Arial" w:cs="Arial"/>
                <w:sz w:val="20"/>
              </w:rPr>
              <w:t>Coef.</w:t>
            </w:r>
          </w:p>
        </w:tc>
        <w:tc>
          <w:tcPr>
            <w:tcW w:w="0" w:type="auto"/>
            <w:tcBorders>
              <w:top w:val="single" w:sz="4" w:space="0" w:color="auto"/>
              <w:bottom w:val="single" w:sz="4" w:space="0" w:color="auto"/>
            </w:tcBorders>
            <w:vAlign w:val="center"/>
          </w:tcPr>
          <w:p w14:paraId="713F343F" w14:textId="77777777" w:rsidR="00803ECB" w:rsidRDefault="00ED1359">
            <w:pPr>
              <w:pStyle w:val="TextoABNT"/>
              <w:ind w:firstLine="0"/>
              <w:rPr>
                <w:rFonts w:eastAsia="Arial" w:cs="Arial"/>
                <w:sz w:val="20"/>
              </w:rPr>
            </w:pPr>
            <w:r>
              <w:rPr>
                <w:rFonts w:eastAsia="Arial" w:cs="Arial"/>
                <w:sz w:val="20"/>
              </w:rPr>
              <w:t>IC/F</w:t>
            </w:r>
          </w:p>
        </w:tc>
      </w:tr>
      <w:tr w:rsidR="00803ECB" w14:paraId="152F9C58" w14:textId="77777777">
        <w:tc>
          <w:tcPr>
            <w:tcW w:w="0" w:type="auto"/>
            <w:tcBorders>
              <w:top w:val="single" w:sz="4" w:space="0" w:color="auto"/>
            </w:tcBorders>
            <w:vAlign w:val="center"/>
          </w:tcPr>
          <w:p w14:paraId="2371EE2D" w14:textId="77777777" w:rsidR="00803ECB" w:rsidRDefault="00ED1359">
            <w:pPr>
              <w:pStyle w:val="TextoABNT"/>
              <w:ind w:firstLine="0"/>
              <w:rPr>
                <w:rFonts w:eastAsia="Arial" w:cs="Arial"/>
                <w:sz w:val="20"/>
              </w:rPr>
            </w:pPr>
            <w:r>
              <w:rPr>
                <w:rFonts w:eastAsia="Arial" w:cs="Arial"/>
                <w:sz w:val="20"/>
              </w:rPr>
              <w:t>LP direta</w:t>
            </w:r>
          </w:p>
        </w:tc>
        <w:tc>
          <w:tcPr>
            <w:tcW w:w="0" w:type="auto"/>
            <w:tcBorders>
              <w:top w:val="single" w:sz="4" w:space="0" w:color="auto"/>
            </w:tcBorders>
            <w:vAlign w:val="center"/>
          </w:tcPr>
          <w:p w14:paraId="64CAF755" w14:textId="77777777" w:rsidR="00803ECB" w:rsidRDefault="00ED1359">
            <w:pPr>
              <w:pStyle w:val="TextoABNT"/>
              <w:ind w:firstLine="0"/>
              <w:rPr>
                <w:rFonts w:eastAsia="Arial" w:cs="Arial"/>
                <w:sz w:val="20"/>
              </w:rPr>
            </w:pPr>
            <w:r>
              <w:rPr>
                <w:rFonts w:eastAsia="Arial" w:cs="Arial"/>
                <w:sz w:val="20"/>
              </w:rPr>
              <w:t>News -&gt; Diesel</w:t>
            </w:r>
          </w:p>
        </w:tc>
        <w:tc>
          <w:tcPr>
            <w:tcW w:w="0" w:type="auto"/>
            <w:tcBorders>
              <w:top w:val="single" w:sz="4" w:space="0" w:color="auto"/>
            </w:tcBorders>
            <w:vAlign w:val="center"/>
          </w:tcPr>
          <w:p w14:paraId="597F608D" w14:textId="77777777" w:rsidR="00803ECB" w:rsidRDefault="00ED1359">
            <w:pPr>
              <w:pStyle w:val="TextoABNT"/>
              <w:ind w:firstLine="0"/>
              <w:rPr>
                <w:rFonts w:eastAsia="Arial" w:cs="Arial"/>
                <w:sz w:val="20"/>
              </w:rPr>
            </w:pPr>
            <w:r>
              <w:rPr>
                <w:rFonts w:eastAsia="Arial" w:cs="Arial"/>
                <w:sz w:val="20"/>
              </w:rPr>
              <w:t>3m</w:t>
            </w:r>
          </w:p>
        </w:tc>
        <w:tc>
          <w:tcPr>
            <w:tcW w:w="0" w:type="auto"/>
            <w:tcBorders>
              <w:top w:val="single" w:sz="4" w:space="0" w:color="auto"/>
            </w:tcBorders>
            <w:vAlign w:val="center"/>
          </w:tcPr>
          <w:p w14:paraId="06A7F7EA" w14:textId="77777777" w:rsidR="00803ECB" w:rsidRDefault="00ED1359">
            <w:pPr>
              <w:pStyle w:val="TextoABNT"/>
              <w:ind w:firstLine="0"/>
              <w:rPr>
                <w:rFonts w:eastAsia="Arial" w:cs="Arial"/>
                <w:sz w:val="20"/>
              </w:rPr>
            </w:pPr>
            <w:r>
              <w:rPr>
                <w:rFonts w:eastAsia="Arial" w:cs="Arial"/>
                <w:sz w:val="20"/>
              </w:rPr>
              <w:t>1,194</w:t>
            </w:r>
          </w:p>
        </w:tc>
        <w:tc>
          <w:tcPr>
            <w:tcW w:w="0" w:type="auto"/>
            <w:tcBorders>
              <w:top w:val="single" w:sz="4" w:space="0" w:color="auto"/>
            </w:tcBorders>
            <w:vAlign w:val="center"/>
          </w:tcPr>
          <w:p w14:paraId="74DE74B1" w14:textId="77777777" w:rsidR="00803ECB" w:rsidRDefault="00ED1359">
            <w:pPr>
              <w:pStyle w:val="TextoABNT"/>
              <w:ind w:firstLine="0"/>
              <w:rPr>
                <w:rFonts w:eastAsia="Arial" w:cs="Arial"/>
                <w:sz w:val="20"/>
              </w:rPr>
            </w:pPr>
            <w:r>
              <w:rPr>
                <w:rFonts w:eastAsia="Arial" w:cs="Arial"/>
                <w:sz w:val="20"/>
              </w:rPr>
              <w:t>[0,627; 1,761]</w:t>
            </w:r>
          </w:p>
        </w:tc>
      </w:tr>
      <w:tr w:rsidR="00803ECB" w14:paraId="79CC7139" w14:textId="77777777">
        <w:tc>
          <w:tcPr>
            <w:tcW w:w="0" w:type="auto"/>
            <w:vAlign w:val="center"/>
          </w:tcPr>
          <w:p w14:paraId="5E8DA120" w14:textId="77777777" w:rsidR="00803ECB" w:rsidRDefault="00ED1359">
            <w:pPr>
              <w:pStyle w:val="TextoABNT"/>
              <w:ind w:firstLine="0"/>
              <w:rPr>
                <w:rFonts w:eastAsia="Arial" w:cs="Arial"/>
                <w:sz w:val="20"/>
              </w:rPr>
            </w:pPr>
            <w:r>
              <w:rPr>
                <w:rFonts w:eastAsia="Arial" w:cs="Arial"/>
                <w:sz w:val="20"/>
              </w:rPr>
              <w:t>LP direta</w:t>
            </w:r>
          </w:p>
        </w:tc>
        <w:tc>
          <w:tcPr>
            <w:tcW w:w="0" w:type="auto"/>
            <w:vAlign w:val="center"/>
          </w:tcPr>
          <w:p w14:paraId="7A6B3B90" w14:textId="77777777" w:rsidR="00803ECB" w:rsidRDefault="00ED1359">
            <w:pPr>
              <w:pStyle w:val="TextoABNT"/>
              <w:ind w:firstLine="0"/>
              <w:rPr>
                <w:rFonts w:eastAsia="Arial" w:cs="Arial"/>
                <w:sz w:val="20"/>
              </w:rPr>
            </w:pPr>
            <w:r>
              <w:rPr>
                <w:rFonts w:eastAsia="Arial" w:cs="Arial"/>
                <w:sz w:val="20"/>
              </w:rPr>
              <w:t>News -&gt; IPCA Transp.</w:t>
            </w:r>
          </w:p>
        </w:tc>
        <w:tc>
          <w:tcPr>
            <w:tcW w:w="0" w:type="auto"/>
            <w:vAlign w:val="center"/>
          </w:tcPr>
          <w:p w14:paraId="7ED8F593" w14:textId="77777777" w:rsidR="00803ECB" w:rsidRDefault="00ED1359">
            <w:pPr>
              <w:pStyle w:val="TextoABNT"/>
              <w:ind w:firstLine="0"/>
              <w:rPr>
                <w:rFonts w:eastAsia="Arial" w:cs="Arial"/>
                <w:sz w:val="20"/>
              </w:rPr>
            </w:pPr>
            <w:r>
              <w:rPr>
                <w:rFonts w:eastAsia="Arial" w:cs="Arial"/>
                <w:sz w:val="20"/>
              </w:rPr>
              <w:t>3m</w:t>
            </w:r>
          </w:p>
        </w:tc>
        <w:tc>
          <w:tcPr>
            <w:tcW w:w="0" w:type="auto"/>
            <w:vAlign w:val="center"/>
          </w:tcPr>
          <w:p w14:paraId="645208C1" w14:textId="77777777" w:rsidR="00803ECB" w:rsidRDefault="00ED1359">
            <w:pPr>
              <w:pStyle w:val="TextoABNT"/>
              <w:ind w:firstLine="0"/>
              <w:rPr>
                <w:rFonts w:eastAsia="Arial" w:cs="Arial"/>
                <w:sz w:val="20"/>
              </w:rPr>
            </w:pPr>
            <w:r>
              <w:rPr>
                <w:rFonts w:eastAsia="Arial" w:cs="Arial"/>
                <w:sz w:val="20"/>
              </w:rPr>
              <w:t>0,240</w:t>
            </w:r>
          </w:p>
        </w:tc>
        <w:tc>
          <w:tcPr>
            <w:tcW w:w="0" w:type="auto"/>
            <w:vAlign w:val="center"/>
          </w:tcPr>
          <w:p w14:paraId="3A26B3CC" w14:textId="77777777" w:rsidR="00803ECB" w:rsidRDefault="00ED1359">
            <w:pPr>
              <w:pStyle w:val="TextoABNT"/>
              <w:ind w:firstLine="0"/>
              <w:rPr>
                <w:rFonts w:eastAsia="Arial" w:cs="Arial"/>
                <w:sz w:val="20"/>
              </w:rPr>
            </w:pPr>
            <w:r>
              <w:rPr>
                <w:rFonts w:eastAsia="Arial" w:cs="Arial"/>
                <w:sz w:val="20"/>
              </w:rPr>
              <w:t>[0,024; 0,455]</w:t>
            </w:r>
          </w:p>
        </w:tc>
      </w:tr>
      <w:tr w:rsidR="00803ECB" w14:paraId="05A4BE18" w14:textId="77777777">
        <w:tc>
          <w:tcPr>
            <w:tcW w:w="0" w:type="auto"/>
            <w:vAlign w:val="center"/>
          </w:tcPr>
          <w:p w14:paraId="332088ED" w14:textId="77777777" w:rsidR="00803ECB" w:rsidRDefault="00ED1359">
            <w:pPr>
              <w:pStyle w:val="TextoABNT"/>
              <w:ind w:firstLine="0"/>
              <w:rPr>
                <w:rFonts w:eastAsia="Arial" w:cs="Arial"/>
                <w:sz w:val="20"/>
              </w:rPr>
            </w:pPr>
            <w:r>
              <w:rPr>
                <w:rFonts w:eastAsia="Arial" w:cs="Arial"/>
                <w:sz w:val="20"/>
              </w:rPr>
              <w:t>LP-IV</w:t>
            </w:r>
          </w:p>
        </w:tc>
        <w:tc>
          <w:tcPr>
            <w:tcW w:w="0" w:type="auto"/>
            <w:vAlign w:val="center"/>
          </w:tcPr>
          <w:p w14:paraId="0231B143" w14:textId="77777777" w:rsidR="00803ECB" w:rsidRDefault="00ED1359">
            <w:pPr>
              <w:pStyle w:val="TextoABNT"/>
              <w:ind w:firstLine="0"/>
              <w:rPr>
                <w:rFonts w:eastAsia="Arial" w:cs="Arial"/>
                <w:sz w:val="20"/>
              </w:rPr>
            </w:pPr>
            <w:r>
              <w:rPr>
                <w:rFonts w:eastAsia="Arial" w:cs="Arial"/>
                <w:sz w:val="20"/>
              </w:rPr>
              <w:t>Petróleo BRL inst&gt; Diesel</w:t>
            </w:r>
          </w:p>
        </w:tc>
        <w:tc>
          <w:tcPr>
            <w:tcW w:w="0" w:type="auto"/>
            <w:vAlign w:val="center"/>
          </w:tcPr>
          <w:p w14:paraId="4769FD8E" w14:textId="77777777" w:rsidR="00803ECB" w:rsidRDefault="00ED1359">
            <w:pPr>
              <w:pStyle w:val="TextoABNT"/>
              <w:ind w:firstLine="0"/>
              <w:rPr>
                <w:rFonts w:eastAsia="Arial" w:cs="Arial"/>
                <w:sz w:val="20"/>
              </w:rPr>
            </w:pPr>
            <w:r>
              <w:rPr>
                <w:rFonts w:eastAsia="Arial" w:cs="Arial"/>
                <w:sz w:val="20"/>
              </w:rPr>
              <w:t>3m</w:t>
            </w:r>
          </w:p>
        </w:tc>
        <w:tc>
          <w:tcPr>
            <w:tcW w:w="0" w:type="auto"/>
            <w:vAlign w:val="center"/>
          </w:tcPr>
          <w:p w14:paraId="4830FC7E" w14:textId="77777777" w:rsidR="00803ECB" w:rsidRDefault="00ED1359">
            <w:pPr>
              <w:pStyle w:val="TextoABNT"/>
              <w:ind w:firstLine="0"/>
              <w:rPr>
                <w:rFonts w:eastAsia="Arial" w:cs="Arial"/>
                <w:sz w:val="20"/>
              </w:rPr>
            </w:pPr>
            <w:r>
              <w:rPr>
                <w:rFonts w:eastAsia="Arial" w:cs="Arial"/>
                <w:sz w:val="20"/>
              </w:rPr>
              <w:t>2,369</w:t>
            </w:r>
          </w:p>
        </w:tc>
        <w:tc>
          <w:tcPr>
            <w:tcW w:w="0" w:type="auto"/>
            <w:vAlign w:val="center"/>
          </w:tcPr>
          <w:p w14:paraId="1A533854" w14:textId="77777777" w:rsidR="00803ECB" w:rsidRDefault="00ED1359">
            <w:pPr>
              <w:pStyle w:val="TextoABNT"/>
              <w:ind w:firstLine="0"/>
              <w:rPr>
                <w:rFonts w:eastAsia="Arial" w:cs="Arial"/>
                <w:sz w:val="20"/>
              </w:rPr>
            </w:pPr>
            <w:r>
              <w:rPr>
                <w:rFonts w:eastAsia="Arial" w:cs="Arial"/>
                <w:sz w:val="20"/>
              </w:rPr>
              <w:t>F = 130,35</w:t>
            </w:r>
          </w:p>
        </w:tc>
      </w:tr>
      <w:tr w:rsidR="00803ECB" w14:paraId="58E0B3F8" w14:textId="77777777">
        <w:tc>
          <w:tcPr>
            <w:tcW w:w="0" w:type="auto"/>
            <w:vAlign w:val="center"/>
          </w:tcPr>
          <w:p w14:paraId="1C1D4E73" w14:textId="77777777" w:rsidR="00803ECB" w:rsidRDefault="00ED1359">
            <w:pPr>
              <w:pStyle w:val="TextoABNT"/>
              <w:ind w:firstLine="0"/>
              <w:rPr>
                <w:rFonts w:eastAsia="Arial" w:cs="Arial"/>
                <w:sz w:val="20"/>
              </w:rPr>
            </w:pPr>
            <w:r>
              <w:rPr>
                <w:rFonts w:eastAsia="Arial" w:cs="Arial"/>
                <w:sz w:val="20"/>
              </w:rPr>
              <w:t>LP-IV</w:t>
            </w:r>
          </w:p>
        </w:tc>
        <w:tc>
          <w:tcPr>
            <w:tcW w:w="0" w:type="auto"/>
            <w:vAlign w:val="center"/>
          </w:tcPr>
          <w:p w14:paraId="2B57604E" w14:textId="77777777" w:rsidR="00803ECB" w:rsidRDefault="00ED1359">
            <w:pPr>
              <w:pStyle w:val="TextoABNT"/>
              <w:ind w:firstLine="0"/>
              <w:rPr>
                <w:rFonts w:eastAsia="Arial" w:cs="Arial"/>
                <w:sz w:val="20"/>
              </w:rPr>
            </w:pPr>
            <w:r>
              <w:rPr>
                <w:rFonts w:eastAsia="Arial" w:cs="Arial"/>
                <w:sz w:val="20"/>
              </w:rPr>
              <w:t>Petróleo BRL inst&gt; Diesel</w:t>
            </w:r>
          </w:p>
        </w:tc>
        <w:tc>
          <w:tcPr>
            <w:tcW w:w="0" w:type="auto"/>
            <w:vAlign w:val="center"/>
          </w:tcPr>
          <w:p w14:paraId="52165199" w14:textId="77777777" w:rsidR="00803ECB" w:rsidRDefault="00ED1359">
            <w:pPr>
              <w:pStyle w:val="TextoABNT"/>
              <w:ind w:firstLine="0"/>
              <w:rPr>
                <w:rFonts w:eastAsia="Arial" w:cs="Arial"/>
                <w:sz w:val="20"/>
              </w:rPr>
            </w:pPr>
            <w:r>
              <w:rPr>
                <w:rFonts w:eastAsia="Arial" w:cs="Arial"/>
                <w:sz w:val="20"/>
              </w:rPr>
              <w:t>12m</w:t>
            </w:r>
          </w:p>
        </w:tc>
        <w:tc>
          <w:tcPr>
            <w:tcW w:w="0" w:type="auto"/>
            <w:vAlign w:val="center"/>
          </w:tcPr>
          <w:p w14:paraId="3D453C70" w14:textId="77777777" w:rsidR="00803ECB" w:rsidRDefault="00ED1359">
            <w:pPr>
              <w:pStyle w:val="TextoABNT"/>
              <w:ind w:firstLine="0"/>
              <w:rPr>
                <w:rFonts w:eastAsia="Arial" w:cs="Arial"/>
                <w:sz w:val="20"/>
              </w:rPr>
            </w:pPr>
            <w:r>
              <w:rPr>
                <w:rFonts w:eastAsia="Arial" w:cs="Arial"/>
                <w:sz w:val="20"/>
              </w:rPr>
              <w:t>2,344</w:t>
            </w:r>
          </w:p>
        </w:tc>
        <w:tc>
          <w:tcPr>
            <w:tcW w:w="0" w:type="auto"/>
            <w:vAlign w:val="center"/>
          </w:tcPr>
          <w:p w14:paraId="242C7712" w14:textId="77777777" w:rsidR="00803ECB" w:rsidRDefault="00ED1359">
            <w:pPr>
              <w:pStyle w:val="TextoABNT"/>
              <w:ind w:firstLine="0"/>
              <w:rPr>
                <w:rFonts w:eastAsia="Arial" w:cs="Arial"/>
                <w:sz w:val="20"/>
              </w:rPr>
            </w:pPr>
            <w:r>
              <w:rPr>
                <w:rFonts w:eastAsia="Arial" w:cs="Arial"/>
                <w:sz w:val="20"/>
              </w:rPr>
              <w:t>F = 122,59</w:t>
            </w:r>
          </w:p>
        </w:tc>
      </w:tr>
      <w:tr w:rsidR="00803ECB" w14:paraId="572BE8B6" w14:textId="77777777">
        <w:tc>
          <w:tcPr>
            <w:tcW w:w="0" w:type="auto"/>
            <w:vAlign w:val="center"/>
          </w:tcPr>
          <w:p w14:paraId="3F652768" w14:textId="77777777" w:rsidR="00803ECB" w:rsidRDefault="00ED1359">
            <w:pPr>
              <w:pStyle w:val="TextoABNT"/>
              <w:ind w:firstLine="0"/>
              <w:rPr>
                <w:rFonts w:eastAsia="Arial" w:cs="Arial"/>
                <w:sz w:val="20"/>
              </w:rPr>
            </w:pPr>
            <w:r>
              <w:rPr>
                <w:rFonts w:eastAsia="Arial" w:cs="Arial"/>
                <w:sz w:val="20"/>
              </w:rPr>
              <w:t>LP-IV</w:t>
            </w:r>
          </w:p>
        </w:tc>
        <w:tc>
          <w:tcPr>
            <w:tcW w:w="0" w:type="auto"/>
            <w:vAlign w:val="center"/>
          </w:tcPr>
          <w:p w14:paraId="26A5935B" w14:textId="77777777" w:rsidR="00803ECB" w:rsidRDefault="00ED1359">
            <w:pPr>
              <w:pStyle w:val="TextoABNT"/>
              <w:ind w:firstLine="0"/>
              <w:rPr>
                <w:rFonts w:eastAsia="Arial" w:cs="Arial"/>
                <w:sz w:val="20"/>
              </w:rPr>
            </w:pPr>
            <w:r>
              <w:rPr>
                <w:rFonts w:eastAsia="Arial" w:cs="Arial"/>
                <w:sz w:val="20"/>
              </w:rPr>
              <w:t>Petróleo BRL inst&gt; IPCA Transp.</w:t>
            </w:r>
          </w:p>
        </w:tc>
        <w:tc>
          <w:tcPr>
            <w:tcW w:w="0" w:type="auto"/>
            <w:vAlign w:val="center"/>
          </w:tcPr>
          <w:p w14:paraId="3912C3FB" w14:textId="77777777" w:rsidR="00803ECB" w:rsidRDefault="00ED1359">
            <w:pPr>
              <w:pStyle w:val="TextoABNT"/>
              <w:ind w:firstLine="0"/>
              <w:rPr>
                <w:rFonts w:eastAsia="Arial" w:cs="Arial"/>
                <w:sz w:val="20"/>
              </w:rPr>
            </w:pPr>
            <w:r>
              <w:rPr>
                <w:rFonts w:eastAsia="Arial" w:cs="Arial"/>
                <w:sz w:val="20"/>
              </w:rPr>
              <w:t>3m</w:t>
            </w:r>
          </w:p>
        </w:tc>
        <w:tc>
          <w:tcPr>
            <w:tcW w:w="0" w:type="auto"/>
            <w:vAlign w:val="center"/>
          </w:tcPr>
          <w:p w14:paraId="1FF53752" w14:textId="77777777" w:rsidR="00803ECB" w:rsidRDefault="00ED1359">
            <w:pPr>
              <w:pStyle w:val="TextoABNT"/>
              <w:ind w:firstLine="0"/>
              <w:rPr>
                <w:rFonts w:eastAsia="Arial" w:cs="Arial"/>
                <w:sz w:val="20"/>
              </w:rPr>
            </w:pPr>
            <w:r>
              <w:rPr>
                <w:rFonts w:eastAsia="Arial" w:cs="Arial"/>
                <w:sz w:val="20"/>
              </w:rPr>
              <w:t>0,500</w:t>
            </w:r>
          </w:p>
        </w:tc>
        <w:tc>
          <w:tcPr>
            <w:tcW w:w="0" w:type="auto"/>
            <w:vAlign w:val="center"/>
          </w:tcPr>
          <w:p w14:paraId="1D58150A" w14:textId="77777777" w:rsidR="00803ECB" w:rsidRDefault="00ED1359">
            <w:pPr>
              <w:pStyle w:val="TextoABNT"/>
              <w:ind w:firstLine="0"/>
              <w:rPr>
                <w:rFonts w:eastAsia="Arial" w:cs="Arial"/>
                <w:sz w:val="20"/>
              </w:rPr>
            </w:pPr>
            <w:r>
              <w:rPr>
                <w:rFonts w:eastAsia="Arial" w:cs="Arial"/>
                <w:sz w:val="20"/>
              </w:rPr>
              <w:t>F = 130,58</w:t>
            </w:r>
          </w:p>
        </w:tc>
      </w:tr>
      <w:tr w:rsidR="00803ECB" w14:paraId="054DA933" w14:textId="77777777">
        <w:tc>
          <w:tcPr>
            <w:tcW w:w="0" w:type="auto"/>
            <w:tcBorders>
              <w:bottom w:val="single" w:sz="4" w:space="0" w:color="auto"/>
            </w:tcBorders>
            <w:vAlign w:val="center"/>
          </w:tcPr>
          <w:p w14:paraId="4A8B8447" w14:textId="77777777" w:rsidR="00803ECB" w:rsidRDefault="00ED1359">
            <w:pPr>
              <w:pStyle w:val="TextoABNT"/>
              <w:ind w:firstLine="0"/>
              <w:rPr>
                <w:rFonts w:eastAsia="Arial" w:cs="Arial"/>
                <w:sz w:val="20"/>
              </w:rPr>
            </w:pPr>
            <w:r>
              <w:rPr>
                <w:rFonts w:eastAsia="Arial" w:cs="Arial"/>
                <w:sz w:val="20"/>
              </w:rPr>
              <w:t>LP-IV</w:t>
            </w:r>
          </w:p>
        </w:tc>
        <w:tc>
          <w:tcPr>
            <w:tcW w:w="0" w:type="auto"/>
            <w:tcBorders>
              <w:bottom w:val="single" w:sz="4" w:space="0" w:color="auto"/>
            </w:tcBorders>
            <w:vAlign w:val="center"/>
          </w:tcPr>
          <w:p w14:paraId="655E82CA" w14:textId="77777777" w:rsidR="00803ECB" w:rsidRDefault="00ED1359">
            <w:pPr>
              <w:pStyle w:val="TextoABNT"/>
              <w:ind w:firstLine="0"/>
              <w:rPr>
                <w:rFonts w:eastAsia="Arial" w:cs="Arial"/>
                <w:sz w:val="20"/>
              </w:rPr>
            </w:pPr>
            <w:r>
              <w:rPr>
                <w:rFonts w:eastAsia="Arial" w:cs="Arial"/>
                <w:sz w:val="20"/>
              </w:rPr>
              <w:t>Petróleo BRL inst&gt; IPCA Transp.</w:t>
            </w:r>
          </w:p>
        </w:tc>
        <w:tc>
          <w:tcPr>
            <w:tcW w:w="0" w:type="auto"/>
            <w:tcBorders>
              <w:bottom w:val="single" w:sz="4" w:space="0" w:color="auto"/>
            </w:tcBorders>
            <w:vAlign w:val="center"/>
          </w:tcPr>
          <w:p w14:paraId="75CC67E8" w14:textId="77777777" w:rsidR="00803ECB" w:rsidRDefault="00ED1359">
            <w:pPr>
              <w:pStyle w:val="TextoABNT"/>
              <w:ind w:firstLine="0"/>
              <w:rPr>
                <w:rFonts w:eastAsia="Arial" w:cs="Arial"/>
                <w:sz w:val="20"/>
              </w:rPr>
            </w:pPr>
            <w:r>
              <w:rPr>
                <w:rFonts w:eastAsia="Arial" w:cs="Arial"/>
                <w:sz w:val="20"/>
              </w:rPr>
              <w:t>12m</w:t>
            </w:r>
          </w:p>
        </w:tc>
        <w:tc>
          <w:tcPr>
            <w:tcW w:w="0" w:type="auto"/>
            <w:tcBorders>
              <w:bottom w:val="single" w:sz="4" w:space="0" w:color="auto"/>
            </w:tcBorders>
            <w:vAlign w:val="center"/>
          </w:tcPr>
          <w:p w14:paraId="3DBB1808" w14:textId="77777777" w:rsidR="00803ECB" w:rsidRDefault="00ED1359">
            <w:pPr>
              <w:pStyle w:val="TextoABNT"/>
              <w:ind w:firstLine="0"/>
              <w:rPr>
                <w:rFonts w:eastAsia="Arial" w:cs="Arial"/>
                <w:sz w:val="20"/>
              </w:rPr>
            </w:pPr>
            <w:r>
              <w:rPr>
                <w:rFonts w:eastAsia="Arial" w:cs="Arial"/>
                <w:sz w:val="20"/>
              </w:rPr>
              <w:t>-0,052</w:t>
            </w:r>
          </w:p>
        </w:tc>
        <w:tc>
          <w:tcPr>
            <w:tcW w:w="0" w:type="auto"/>
            <w:tcBorders>
              <w:bottom w:val="single" w:sz="4" w:space="0" w:color="auto"/>
            </w:tcBorders>
            <w:vAlign w:val="center"/>
          </w:tcPr>
          <w:p w14:paraId="4D95C259" w14:textId="77777777" w:rsidR="00803ECB" w:rsidRDefault="00ED1359">
            <w:pPr>
              <w:pStyle w:val="TextoABNT"/>
              <w:ind w:firstLine="0"/>
              <w:rPr>
                <w:rFonts w:eastAsia="Arial" w:cs="Arial"/>
                <w:sz w:val="20"/>
              </w:rPr>
            </w:pPr>
            <w:r>
              <w:rPr>
                <w:rFonts w:eastAsia="Arial" w:cs="Arial"/>
                <w:sz w:val="20"/>
              </w:rPr>
              <w:t>F = 122,33</w:t>
            </w:r>
          </w:p>
        </w:tc>
      </w:tr>
    </w:tbl>
    <w:p w14:paraId="0F60CD57" w14:textId="77777777" w:rsidR="00803ECB" w:rsidRDefault="00ED1359">
      <w:pPr>
        <w:pStyle w:val="FonteFigura"/>
        <w:jc w:val="center"/>
      </w:pPr>
      <w:r>
        <w:t>Fonte: Elaboração própria com base nas estimações do Modelo 5. As estatísticas F referem-se ao primeiro estágio do LP-IV.</w:t>
      </w:r>
    </w:p>
    <w:p w14:paraId="0FB244D8" w14:textId="77777777" w:rsidR="00803ECB" w:rsidRDefault="00ED1359">
      <w:pPr>
        <w:pStyle w:val="TextoABNT"/>
      </w:pPr>
      <w:r>
        <w:t>Em conjunto, o Modelo 5 fortalece a interpretação do trabalho porque utiliza uma fonte de variação externa ao Brasil para o choque de petróleo. Ainda assim, os resultados devem ser tratados como robustez de identificação, e não como substitutos das Local Projections principais. A evidência mais forte permanece concentrada no diesel e no IPCA Transportes, o que é coerente com a hipótese de que o choque de oferta de petróleo se transmite primeiro aos combustíveis e apenas parcialmente ao índice agregado de pr</w:t>
      </w:r>
      <w:r>
        <w:t>eços.</w:t>
      </w:r>
    </w:p>
    <w:p w14:paraId="4507DBD3" w14:textId="77777777" w:rsidR="00803ECB" w:rsidRDefault="00ED1359">
      <w:pPr>
        <w:pStyle w:val="TituloABNT"/>
        <w:pageBreakBefore/>
      </w:pPr>
      <w:bookmarkStart w:id="62" w:name="_Toc_1_3_0000000038"/>
      <w:r>
        <w:lastRenderedPageBreak/>
        <w:t>Robustez com o modelo VAR</w:t>
      </w:r>
      <w:bookmarkEnd w:id="62"/>
    </w:p>
    <w:p w14:paraId="598900D2" w14:textId="77777777" w:rsidR="00803ECB" w:rsidRDefault="00ED1359">
      <w:pPr>
        <w:pStyle w:val="TextoABNT"/>
      </w:pPr>
      <w:r>
        <w:t>O modelo VAR é utilizado como exercício de robustez, e não como especificação principal. A lógica da robustez é verificar se os sinais encontrados nas Local Projections permanecem coerentes em um sistema dinâmico multivariado, no qual petróleo, câmbio, combustíveis, atividade, expectativas, Selic e inflação são tratados de forma conjunta. Essa comparação é importante porque as Local Projections estimam respostas horizonte a horizonte, enquanto o VAR recupera funções impulso-resposta a partir da dinâmica con</w:t>
      </w:r>
      <w:r>
        <w:t>junta do sistema.</w:t>
      </w:r>
    </w:p>
    <w:p w14:paraId="77F169F4" w14:textId="77777777" w:rsidR="00803ECB" w:rsidRDefault="00ED1359">
      <w:pPr>
        <w:pStyle w:val="TextoABNT"/>
      </w:pPr>
      <w:r>
        <w:t>Os resultados do VAR são utilizados como evidência complementar. As funções impulso-resposta e as respostas acumuladas confirmam que o impacto dos choques é mais visível no canal dos combustíveis e no IPCA Transportes do que no IPCA Geral. A FEVD, os testes de estabilidade e as ordenações alternativas de Cholesky devem ser lidos como exercícios de robustez, pois o modelo principal do trabalho permanece sendo a estratégia de Local Projections.</w:t>
      </w:r>
    </w:p>
    <w:p w14:paraId="037AA48A" w14:textId="77777777" w:rsidR="00803ECB" w:rsidRDefault="00ED1359">
      <w:pPr>
        <w:pStyle w:val="TextoABNT"/>
      </w:pPr>
      <w:r>
        <w:t>Na apresentação final dos resultados, o VAR deve ser reportado por meio de quatro evidências. A primeira é a função impulso-resposta acumulada do IPCA a choques no petróleo e nos combustíveis. A segunda é a FEVD, que mostra quanto da variância do erro de previsão do IPCA é explicada por petróleo, câmbio, combustíveis e demais variáveis. A terceira é a análise de estabilidade das raízes do VAR, necessária para validar a interpretação das IRFs. A quarta é a robustez da ordenação de Cholesky, pois a identifica</w:t>
      </w:r>
      <w:r>
        <w:t>ção contemporânea do choque pode alterar a magnitude das respostas. Se os sinais permanecerem semelhantes entre ordenações alternativas, a evidência de robustez se fortalece.</w:t>
      </w:r>
    </w:p>
    <w:p w14:paraId="1306EF05" w14:textId="77777777" w:rsidR="00803ECB" w:rsidRDefault="00ED1359">
      <w:pPr>
        <w:pStyle w:val="TextoABNT"/>
      </w:pPr>
      <w:r>
        <w:rPr>
          <w:i/>
        </w:rPr>
        <w:t>Quadro 1 - Evidências de robustez a serem reportadas no VAR</w:t>
      </w:r>
    </w:p>
    <w:p w14:paraId="0C0C3EBA" w14:textId="77777777" w:rsidR="00803ECB" w:rsidRDefault="00ED1359">
      <w:pPr>
        <w:pStyle w:val="LegendaIlustracao"/>
      </w:pPr>
      <w:bookmarkStart w:id="63" w:name="_Toc_1_9_0000000061"/>
      <w:r>
        <w:t xml:space="preserve">Tabela </w:t>
      </w:r>
      <w:r>
        <w:fldChar w:fldCharType="begin"/>
      </w:r>
      <w:r>
        <w:instrText>SEQ Tabela</w:instrText>
      </w:r>
      <w:r>
        <w:fldChar w:fldCharType="separate"/>
      </w:r>
      <w:r>
        <w:t>11</w:t>
      </w:r>
      <w:r>
        <w:fldChar w:fldCharType="end"/>
      </w:r>
      <w:r>
        <w:t xml:space="preserve"> – Evidências de robustez a serem reportadas no VAR</w:t>
      </w:r>
      <w:bookmarkEnd w:id="63"/>
    </w:p>
    <w:tbl>
      <w:tblPr>
        <w:tblW w:w="5000" w:type="pct"/>
        <w:tblLook w:val="0600" w:firstRow="0" w:lastRow="0" w:firstColumn="0" w:lastColumn="0" w:noHBand="1" w:noVBand="1"/>
      </w:tblPr>
      <w:tblGrid>
        <w:gridCol w:w="1476"/>
        <w:gridCol w:w="5709"/>
        <w:gridCol w:w="1886"/>
      </w:tblGrid>
      <w:tr w:rsidR="00803ECB" w14:paraId="400CE6A9" w14:textId="77777777">
        <w:tc>
          <w:tcPr>
            <w:tcW w:w="0" w:type="auto"/>
            <w:tcBorders>
              <w:top w:val="single" w:sz="4" w:space="0" w:color="auto"/>
              <w:bottom w:val="single" w:sz="4" w:space="0" w:color="auto"/>
            </w:tcBorders>
            <w:vAlign w:val="center"/>
          </w:tcPr>
          <w:p w14:paraId="4CCF29FB" w14:textId="77777777" w:rsidR="00803ECB" w:rsidRDefault="00ED1359">
            <w:pPr>
              <w:pStyle w:val="TextoABNT"/>
              <w:ind w:firstLine="0"/>
              <w:rPr>
                <w:rFonts w:eastAsia="Arial" w:cs="Arial"/>
                <w:sz w:val="20"/>
              </w:rPr>
            </w:pPr>
            <w:r>
              <w:rPr>
                <w:rFonts w:eastAsia="Arial" w:cs="Arial"/>
                <w:sz w:val="20"/>
              </w:rPr>
              <w:t>Resultado VAR</w:t>
            </w:r>
          </w:p>
        </w:tc>
        <w:tc>
          <w:tcPr>
            <w:tcW w:w="0" w:type="auto"/>
            <w:tcBorders>
              <w:top w:val="single" w:sz="4" w:space="0" w:color="auto"/>
              <w:bottom w:val="single" w:sz="4" w:space="0" w:color="auto"/>
            </w:tcBorders>
            <w:vAlign w:val="center"/>
          </w:tcPr>
          <w:p w14:paraId="428A55CE" w14:textId="77777777" w:rsidR="00803ECB" w:rsidRDefault="00ED1359">
            <w:pPr>
              <w:pStyle w:val="TextoABNT"/>
              <w:ind w:firstLine="0"/>
              <w:rPr>
                <w:rFonts w:eastAsia="Arial" w:cs="Arial"/>
                <w:sz w:val="20"/>
              </w:rPr>
            </w:pPr>
            <w:r>
              <w:rPr>
                <w:rFonts w:eastAsia="Arial" w:cs="Arial"/>
                <w:sz w:val="20"/>
              </w:rPr>
              <w:t>O que verificar</w:t>
            </w:r>
          </w:p>
        </w:tc>
        <w:tc>
          <w:tcPr>
            <w:tcW w:w="0" w:type="auto"/>
            <w:tcBorders>
              <w:top w:val="single" w:sz="4" w:space="0" w:color="auto"/>
              <w:bottom w:val="single" w:sz="4" w:space="0" w:color="auto"/>
            </w:tcBorders>
            <w:vAlign w:val="center"/>
          </w:tcPr>
          <w:p w14:paraId="500A8E96" w14:textId="77777777" w:rsidR="00803ECB" w:rsidRDefault="00ED1359">
            <w:pPr>
              <w:pStyle w:val="TextoABNT"/>
              <w:ind w:firstLine="0"/>
              <w:rPr>
                <w:rFonts w:eastAsia="Arial" w:cs="Arial"/>
                <w:sz w:val="20"/>
              </w:rPr>
            </w:pPr>
            <w:r>
              <w:rPr>
                <w:rFonts w:eastAsia="Arial" w:cs="Arial"/>
                <w:sz w:val="20"/>
              </w:rPr>
              <w:t>Status nesta versão</w:t>
            </w:r>
          </w:p>
        </w:tc>
      </w:tr>
      <w:tr w:rsidR="00803ECB" w14:paraId="457E9803" w14:textId="77777777">
        <w:tc>
          <w:tcPr>
            <w:tcW w:w="0" w:type="auto"/>
            <w:tcBorders>
              <w:top w:val="single" w:sz="4" w:space="0" w:color="auto"/>
            </w:tcBorders>
            <w:vAlign w:val="center"/>
          </w:tcPr>
          <w:p w14:paraId="49F9B6E3" w14:textId="77777777" w:rsidR="00803ECB" w:rsidRDefault="00ED1359">
            <w:pPr>
              <w:pStyle w:val="TextoABNT"/>
              <w:ind w:firstLine="0"/>
              <w:rPr>
                <w:rFonts w:eastAsia="Arial" w:cs="Arial"/>
                <w:sz w:val="20"/>
              </w:rPr>
            </w:pPr>
            <w:r>
              <w:rPr>
                <w:rFonts w:eastAsia="Arial" w:cs="Arial"/>
                <w:sz w:val="20"/>
              </w:rPr>
              <w:t>IRF acumulada</w:t>
            </w:r>
          </w:p>
        </w:tc>
        <w:tc>
          <w:tcPr>
            <w:tcW w:w="0" w:type="auto"/>
            <w:tcBorders>
              <w:top w:val="single" w:sz="4" w:space="0" w:color="auto"/>
            </w:tcBorders>
            <w:vAlign w:val="center"/>
          </w:tcPr>
          <w:p w14:paraId="0BEA05F9" w14:textId="77777777" w:rsidR="00803ECB" w:rsidRDefault="00ED1359">
            <w:pPr>
              <w:pStyle w:val="TextoABNT"/>
              <w:ind w:firstLine="0"/>
              <w:rPr>
                <w:rFonts w:eastAsia="Arial" w:cs="Arial"/>
                <w:sz w:val="20"/>
              </w:rPr>
            </w:pPr>
            <w:r>
              <w:rPr>
                <w:rFonts w:eastAsia="Arial" w:cs="Arial"/>
                <w:sz w:val="20"/>
              </w:rPr>
              <w:t>Sinal e persistência da resposta do IPCA a petróleo e combustíveis</w:t>
            </w:r>
          </w:p>
        </w:tc>
        <w:tc>
          <w:tcPr>
            <w:tcW w:w="0" w:type="auto"/>
            <w:tcBorders>
              <w:top w:val="single" w:sz="4" w:space="0" w:color="auto"/>
            </w:tcBorders>
            <w:vAlign w:val="center"/>
          </w:tcPr>
          <w:p w14:paraId="2BF3DD54" w14:textId="77777777" w:rsidR="00803ECB" w:rsidRDefault="00ED1359">
            <w:pPr>
              <w:pStyle w:val="TextoABNT"/>
              <w:ind w:firstLine="0"/>
              <w:rPr>
                <w:rFonts w:eastAsia="Arial" w:cs="Arial"/>
                <w:sz w:val="20"/>
              </w:rPr>
            </w:pPr>
            <w:r>
              <w:rPr>
                <w:rFonts w:eastAsia="Arial" w:cs="Arial"/>
                <w:sz w:val="20"/>
              </w:rPr>
              <w:t>Inserir saída do VAR</w:t>
            </w:r>
          </w:p>
        </w:tc>
      </w:tr>
      <w:tr w:rsidR="00803ECB" w14:paraId="34A6DFCA" w14:textId="77777777">
        <w:tc>
          <w:tcPr>
            <w:tcW w:w="0" w:type="auto"/>
            <w:vAlign w:val="center"/>
          </w:tcPr>
          <w:p w14:paraId="249A8348" w14:textId="77777777" w:rsidR="00803ECB" w:rsidRDefault="00ED1359">
            <w:pPr>
              <w:pStyle w:val="TextoABNT"/>
              <w:ind w:firstLine="0"/>
              <w:rPr>
                <w:rFonts w:eastAsia="Arial" w:cs="Arial"/>
                <w:sz w:val="20"/>
              </w:rPr>
            </w:pPr>
            <w:r>
              <w:rPr>
                <w:rFonts w:eastAsia="Arial" w:cs="Arial"/>
                <w:sz w:val="20"/>
              </w:rPr>
              <w:t>FEVD</w:t>
            </w:r>
          </w:p>
        </w:tc>
        <w:tc>
          <w:tcPr>
            <w:tcW w:w="0" w:type="auto"/>
            <w:vAlign w:val="center"/>
          </w:tcPr>
          <w:p w14:paraId="56AB32FA" w14:textId="77777777" w:rsidR="00803ECB" w:rsidRDefault="00ED1359">
            <w:pPr>
              <w:pStyle w:val="TextoABNT"/>
              <w:ind w:firstLine="0"/>
              <w:rPr>
                <w:rFonts w:eastAsia="Arial" w:cs="Arial"/>
                <w:sz w:val="20"/>
              </w:rPr>
            </w:pPr>
            <w:r>
              <w:rPr>
                <w:rFonts w:eastAsia="Arial" w:cs="Arial"/>
                <w:sz w:val="20"/>
              </w:rPr>
              <w:t>Participação de petróleo, câmbio e combustíveis na variância do IPCA</w:t>
            </w:r>
          </w:p>
        </w:tc>
        <w:tc>
          <w:tcPr>
            <w:tcW w:w="0" w:type="auto"/>
            <w:vAlign w:val="center"/>
          </w:tcPr>
          <w:p w14:paraId="00CF8827" w14:textId="77777777" w:rsidR="00803ECB" w:rsidRDefault="00ED1359">
            <w:pPr>
              <w:pStyle w:val="TextoABNT"/>
              <w:ind w:firstLine="0"/>
              <w:rPr>
                <w:rFonts w:eastAsia="Arial" w:cs="Arial"/>
                <w:sz w:val="20"/>
              </w:rPr>
            </w:pPr>
            <w:r>
              <w:rPr>
                <w:rFonts w:eastAsia="Arial" w:cs="Arial"/>
                <w:sz w:val="20"/>
              </w:rPr>
              <w:t>Inserir saída do VAR</w:t>
            </w:r>
          </w:p>
        </w:tc>
      </w:tr>
      <w:tr w:rsidR="00803ECB" w14:paraId="4A823457" w14:textId="77777777">
        <w:tc>
          <w:tcPr>
            <w:tcW w:w="0" w:type="auto"/>
            <w:vAlign w:val="center"/>
          </w:tcPr>
          <w:p w14:paraId="00E414E4" w14:textId="77777777" w:rsidR="00803ECB" w:rsidRDefault="00ED1359">
            <w:pPr>
              <w:pStyle w:val="TextoABNT"/>
              <w:ind w:firstLine="0"/>
              <w:rPr>
                <w:rFonts w:eastAsia="Arial" w:cs="Arial"/>
                <w:sz w:val="20"/>
              </w:rPr>
            </w:pPr>
            <w:r>
              <w:rPr>
                <w:rFonts w:eastAsia="Arial" w:cs="Arial"/>
                <w:sz w:val="20"/>
              </w:rPr>
              <w:t>Diagnósticos</w:t>
            </w:r>
          </w:p>
        </w:tc>
        <w:tc>
          <w:tcPr>
            <w:tcW w:w="0" w:type="auto"/>
            <w:vAlign w:val="center"/>
          </w:tcPr>
          <w:p w14:paraId="490218E6" w14:textId="77777777" w:rsidR="00803ECB" w:rsidRDefault="00ED1359">
            <w:pPr>
              <w:pStyle w:val="TextoABNT"/>
              <w:ind w:firstLine="0"/>
              <w:rPr>
                <w:rFonts w:eastAsia="Arial" w:cs="Arial"/>
                <w:sz w:val="20"/>
              </w:rPr>
            </w:pPr>
            <w:r>
              <w:rPr>
                <w:rFonts w:eastAsia="Arial" w:cs="Arial"/>
                <w:sz w:val="20"/>
              </w:rPr>
              <w:t>Autocorrelação, normalidade, heterocedasticidade e estabilidade</w:t>
            </w:r>
          </w:p>
        </w:tc>
        <w:tc>
          <w:tcPr>
            <w:tcW w:w="0" w:type="auto"/>
            <w:vAlign w:val="center"/>
          </w:tcPr>
          <w:p w14:paraId="70821C3D" w14:textId="77777777" w:rsidR="00803ECB" w:rsidRDefault="00ED1359">
            <w:pPr>
              <w:pStyle w:val="TextoABNT"/>
              <w:ind w:firstLine="0"/>
              <w:rPr>
                <w:rFonts w:eastAsia="Arial" w:cs="Arial"/>
                <w:sz w:val="20"/>
              </w:rPr>
            </w:pPr>
            <w:r>
              <w:rPr>
                <w:rFonts w:eastAsia="Arial" w:cs="Arial"/>
                <w:sz w:val="20"/>
              </w:rPr>
              <w:t>Inserir saída do VAR</w:t>
            </w:r>
          </w:p>
        </w:tc>
      </w:tr>
      <w:tr w:rsidR="00803ECB" w14:paraId="297F1036" w14:textId="77777777">
        <w:tc>
          <w:tcPr>
            <w:tcW w:w="0" w:type="auto"/>
            <w:tcBorders>
              <w:bottom w:val="single" w:sz="4" w:space="0" w:color="auto"/>
            </w:tcBorders>
            <w:vAlign w:val="center"/>
          </w:tcPr>
          <w:p w14:paraId="001EC1E7" w14:textId="77777777" w:rsidR="00803ECB" w:rsidRDefault="00ED1359">
            <w:pPr>
              <w:pStyle w:val="TextoABNT"/>
              <w:ind w:firstLine="0"/>
              <w:rPr>
                <w:rFonts w:eastAsia="Arial" w:cs="Arial"/>
                <w:sz w:val="20"/>
              </w:rPr>
            </w:pPr>
            <w:r>
              <w:rPr>
                <w:rFonts w:eastAsia="Arial" w:cs="Arial"/>
                <w:sz w:val="20"/>
              </w:rPr>
              <w:t>Cholesky</w:t>
            </w:r>
          </w:p>
        </w:tc>
        <w:tc>
          <w:tcPr>
            <w:tcW w:w="0" w:type="auto"/>
            <w:tcBorders>
              <w:bottom w:val="single" w:sz="4" w:space="0" w:color="auto"/>
            </w:tcBorders>
            <w:vAlign w:val="center"/>
          </w:tcPr>
          <w:p w14:paraId="37017BA8" w14:textId="77777777" w:rsidR="00803ECB" w:rsidRDefault="00ED1359">
            <w:pPr>
              <w:pStyle w:val="TextoABNT"/>
              <w:ind w:firstLine="0"/>
              <w:rPr>
                <w:rFonts w:eastAsia="Arial" w:cs="Arial"/>
                <w:sz w:val="20"/>
              </w:rPr>
            </w:pPr>
            <w:r>
              <w:rPr>
                <w:rFonts w:eastAsia="Arial" w:cs="Arial"/>
                <w:sz w:val="20"/>
              </w:rPr>
              <w:t>Sensibilidade dos sinais à ordem das variáveis</w:t>
            </w:r>
          </w:p>
        </w:tc>
        <w:tc>
          <w:tcPr>
            <w:tcW w:w="0" w:type="auto"/>
            <w:tcBorders>
              <w:bottom w:val="single" w:sz="4" w:space="0" w:color="auto"/>
            </w:tcBorders>
            <w:vAlign w:val="center"/>
          </w:tcPr>
          <w:p w14:paraId="4EF1B379" w14:textId="77777777" w:rsidR="00803ECB" w:rsidRDefault="00ED1359">
            <w:pPr>
              <w:pStyle w:val="TextoABNT"/>
              <w:ind w:firstLine="0"/>
              <w:rPr>
                <w:rFonts w:eastAsia="Arial" w:cs="Arial"/>
                <w:sz w:val="20"/>
              </w:rPr>
            </w:pPr>
            <w:r>
              <w:rPr>
                <w:rFonts w:eastAsia="Arial" w:cs="Arial"/>
                <w:sz w:val="20"/>
              </w:rPr>
              <w:t>Inserir saída do VAR</w:t>
            </w:r>
          </w:p>
        </w:tc>
      </w:tr>
    </w:tbl>
    <w:p w14:paraId="0A9DA6A3" w14:textId="77777777" w:rsidR="00803ECB" w:rsidRDefault="00ED1359">
      <w:pPr>
        <w:pStyle w:val="FonteFigura"/>
        <w:jc w:val="center"/>
      </w:pPr>
      <w:r>
        <w:lastRenderedPageBreak/>
        <w:t>Fonte: Elaboração própria.</w:t>
      </w:r>
    </w:p>
    <w:p w14:paraId="5D0E6579" w14:textId="77777777" w:rsidR="00803ECB" w:rsidRDefault="00ED1359">
      <w:pPr>
        <w:pStyle w:val="TituloABNT"/>
        <w:pageBreakBefore/>
      </w:pPr>
      <w:bookmarkStart w:id="64" w:name="_Toc_1_3_0000000039"/>
      <w:r>
        <w:lastRenderedPageBreak/>
        <w:t>Síntese dos resultados</w:t>
      </w:r>
      <w:bookmarkEnd w:id="64"/>
    </w:p>
    <w:p w14:paraId="0C57BDE2" w14:textId="77777777" w:rsidR="00803ECB" w:rsidRDefault="00ED1359">
      <w:pPr>
        <w:pStyle w:val="TextoABNT"/>
      </w:pPr>
      <w:r>
        <w:t xml:space="preserve">Os resultados das Local Projections indicam que o canal de transmissão do petróleo para a inflação brasileira opera principalmente por meio dos combustíveis. O primeiro estágio do mecanismo aparece na resposta positiva do diesel e da gasolina de refinaria a choques no petróleo, inclusive quando o petróleo é medido em reais. O segundo estágio aparece na resposta mais forte do IPCA Transportes em relação ao IPCA Geral. As estimações por regime mostram que a Petrobras e a estrutura doméstica de preços alteram </w:t>
      </w:r>
      <w:r>
        <w:t>a intensidade e o timing do repasse, mas de forma heterogênea entre produtos e horizontes. O exercício com Oil Supply News Shock reforça a interpretação de que choques externos de oferta têm efeitos mais claros sobre combustíveis e transporte do que sobre a inflação agregada.</w:t>
      </w:r>
    </w:p>
    <w:p w14:paraId="1D1C424C" w14:textId="77777777" w:rsidR="00803ECB" w:rsidRDefault="00ED1359">
      <w:pPr>
        <w:pStyle w:val="TextoABNT"/>
      </w:pPr>
      <w:r>
        <w:t>Do ponto de vista econômico, esse resultado é coerente com a composição do IPCA e com o papel dos combustíveis no grupo de transportes. O choque de energia não se espalha integralmente para toda a cesta de consumo, mas afeta com maior intensidade o componente diretamente ligado aos combustíveis. Portanto, a evidência empírica sustenta a hipótese de que o repasse existe, mas é parcial, setorialmente concentrado e condicionado pela estrutura doméstica de preços.</w:t>
      </w:r>
    </w:p>
    <w:p w14:paraId="6028241E" w14:textId="77777777" w:rsidR="00803ECB" w:rsidRDefault="00ED1359">
      <w:pPr>
        <w:pStyle w:val="TextoABNT"/>
      </w:pPr>
      <w:r>
        <w:t>Em termos de contribuição para o trabalho, os resultados reforçam a importância de separar o IPCA Geral do IPCA Transportes e de incluir a gasolina de refinaria como variável intermediária. Sem essa separação, o efeito do petróleo poderia parecer fraco ou instável no índice agregado. Ao decompor o canal, observa-se que o efeito é mais nítido na etapa petróleo-combustíveis e no componente de transportes da inflação. Essa leitura também justifica o uso do VAR como robustez, pois a evidência principal das Loca</w:t>
      </w:r>
      <w:r>
        <w:t>l Projections deve ser confrontada com uma estrutura multivariada tradicional antes da conclusão final.</w:t>
      </w:r>
    </w:p>
    <w:p w14:paraId="7EFE69D0" w14:textId="77777777" w:rsidR="00803ECB" w:rsidRDefault="00ED1359">
      <w:pPr>
        <w:pStyle w:val="TituloABNT"/>
        <w:pageBreakBefore/>
      </w:pPr>
      <w:bookmarkStart w:id="65" w:name="_Toc_1_3_0000000040"/>
      <w:r>
        <w:lastRenderedPageBreak/>
        <w:t>CONCLUSÃO</w:t>
      </w:r>
      <w:bookmarkEnd w:id="65"/>
    </w:p>
    <w:p w14:paraId="012E4561" w14:textId="77777777" w:rsidR="00803ECB" w:rsidRDefault="00ED1359">
      <w:pPr>
        <w:pStyle w:val="TextoABNT"/>
      </w:pPr>
      <w:r>
        <w:t>Este trabalho analisou em que medida choques no preço internacional do petróleo são transmitidos aos preços domésticos dos combustíveis e à inflação brasileira entre 2003 e 2026. A hipótese central foi que o repasse ocorre principalmente por meio dos combustíveis, com efeito mais evidente no IPCA Transportes do que no IPCA Geral, e que a política de preços da Petrobras altera a intensidade e o timing desse processo.</w:t>
      </w:r>
    </w:p>
    <w:p w14:paraId="6728549B" w14:textId="77777777" w:rsidR="00803ECB" w:rsidRDefault="00ED1359">
      <w:pPr>
        <w:pStyle w:val="TextoABNT"/>
      </w:pPr>
      <w:r>
        <w:t>Os resultados sustentam essa hipótese. As Local Projections mostram que choques no petróleo elevam os preços dos combustíveis, sobretudo o diesel e a gasolina de refinaria. Quando o petróleo é convertido para reais, a evidência permanece robusta: no horizonte de 12 meses, o efeito é estatisticamente significativo para o diesel e para a gasolina de refinaria. O impacto direto sobre o IPCA Geral é menor e menos preciso, enquanto o IPCA Transportes apresenta resposta mais elevada e consistente.</w:t>
      </w:r>
    </w:p>
    <w:p w14:paraId="1142AB42" w14:textId="77777777" w:rsidR="00803ECB" w:rsidRDefault="00ED1359">
      <w:pPr>
        <w:pStyle w:val="TextoABNT"/>
      </w:pPr>
      <w:r>
        <w:t>A análise por regimes mostra que o repasse não é homogêneo ao longo do tempo. No período pós-2015, o petróleo em reais apresenta resposta mais intensa sobre o diesel e a gasolina de refinaria em horizontes curtos, enquanto a relação entre gasolina de refinaria e IPCA Transportes aparece mais forte no pré-2015 em alguns horizontes intermediários. Portanto, a evidência não deve ser resumida como um aumento geral do repasse após 2015, mas como uma mudança heterogênea da transmissão, dependente do produto, do í</w:t>
      </w:r>
      <w:r>
        <w:t>ndice de preços e do horizonte analisado.</w:t>
      </w:r>
    </w:p>
    <w:p w14:paraId="45B0C5F6" w14:textId="77777777" w:rsidR="00803ECB" w:rsidRDefault="00ED1359">
      <w:pPr>
        <w:pStyle w:val="TextoABNT"/>
      </w:pPr>
      <w:r>
        <w:t>O exercício com Oil Supply News Shock contribui para fortalecer a identificação do choque de petróleo. O primeiro estágio do LP-IV apresentou estatísticas F muito superiores à regra prática de 10, indicando forte relevância do instrumento. As respostas estimadas com petróleo em reais instrumentado confirmam efeito positivo sobre o diesel até 12 meses e efeito de curto prazo sobre o IPCA Transportes. Esses resultados reforçam a leitura de que choques externos de oferta se transmitem primeiro aos combustíveis</w:t>
      </w:r>
      <w:r>
        <w:t xml:space="preserve"> e apenas parcialmente à inflação agregada.</w:t>
      </w:r>
    </w:p>
    <w:p w14:paraId="29A7570B" w14:textId="77777777" w:rsidR="00803ECB" w:rsidRDefault="00ED1359">
      <w:pPr>
        <w:pStyle w:val="TextoABNT"/>
      </w:pPr>
      <w:r>
        <w:t xml:space="preserve">Como robustez, o VAR oferece uma leitura sistêmica das relações dinâmicas entre petróleo, câmbio, combustíveis, atividade, expectativas, Selic e inflação. A interpretação conjunta de Local Projections, regimes Petrobras, Brent em reais, LP-IV e VAR sugere que a inflação brasileira responde a choques internacionais de petróleo de forma indireta, setorial e institucionalmente condicionada. O canal dos combustíveis é relevante, mas a magnitude final sobre o IPCA Geral depende da composição </w:t>
      </w:r>
      <w:r>
        <w:lastRenderedPageBreak/>
        <w:t>do índice, da política de preços, do câmbio e das condições macroeconômicas do período.</w:t>
      </w:r>
    </w:p>
    <w:p w14:paraId="13C31152" w14:textId="77777777" w:rsidR="00803ECB" w:rsidRDefault="00ED1359">
      <w:pPr>
        <w:pStyle w:val="TextoABNT"/>
      </w:pPr>
      <w:r>
        <w:t>A principal limitação do trabalho é que a identificação econométrica, embora fortalecida pelo uso de uma série externa de choque de oferta, ainda depende das escolhas de transformação, defasagens, controles e horizontes. Além disso, a política de preços da Petrobras é complexa e não pode ser totalmente resumida por uma única quebra temporal. Pesquisas futuras podem explorar quebras adicionais, modelos com parâmetros variantes no tempo, decomposição por subitens do IPCA e comparação com outros países emergen</w:t>
      </w:r>
      <w:r>
        <w:t>tes em que empresas estatais ou políticas domésticas interferem no repasse de commodities para a inflação.</w:t>
      </w:r>
    </w:p>
    <w:p w14:paraId="3D7C45D7" w14:textId="77777777" w:rsidR="00803ECB" w:rsidRDefault="00ED1359">
      <w:pPr>
        <w:pStyle w:val="SubtituloABNT"/>
      </w:pPr>
      <w:bookmarkStart w:id="66" w:name="_Toc_1_3_0000000041"/>
      <w:r>
        <w:t>REFERÊNCIAS</w:t>
      </w:r>
      <w:bookmarkEnd w:id="66"/>
    </w:p>
    <w:p w14:paraId="639014C8" w14:textId="77777777" w:rsidR="00803ECB" w:rsidRDefault="00ED1359">
      <w:pPr>
        <w:pStyle w:val="TituloABNTSemNumeracaoSumario"/>
        <w:pageBreakBefore/>
      </w:pPr>
      <w:bookmarkStart w:id="67" w:name="_Toc_1_3_0000000042"/>
      <w:r>
        <w:lastRenderedPageBreak/>
        <w:t>REFERÊNCIAS</w:t>
      </w:r>
      <w:bookmarkEnd w:id="67"/>
    </w:p>
    <w:p w14:paraId="297A2808" w14:textId="77777777" w:rsidR="00803ECB" w:rsidRPr="008C71E7" w:rsidRDefault="00ED1359">
      <w:pPr>
        <w:pStyle w:val="TextoReferenciaABNT"/>
        <w:rPr>
          <w:lang w:val="en-US"/>
        </w:rPr>
      </w:pPr>
      <w:r>
        <w:t xml:space="preserve">ALMEIDA, Edmar; OLIVEIRA, Patricia; LOSEKANN, Luciano. Impactos da contenção dos preços de combustíveis no Brasil e opções de mecanismos de precificação. </w:t>
      </w:r>
      <w:r w:rsidRPr="008C71E7">
        <w:rPr>
          <w:lang w:val="en-US"/>
        </w:rPr>
        <w:t>Revista de Economia Política, São Paulo, 2015.</w:t>
      </w:r>
    </w:p>
    <w:p w14:paraId="4E5E798C" w14:textId="77777777" w:rsidR="00803ECB" w:rsidRPr="008C71E7" w:rsidRDefault="00ED1359">
      <w:pPr>
        <w:pStyle w:val="TextoReferenciaABNT"/>
        <w:rPr>
          <w:lang w:val="en-US"/>
        </w:rPr>
      </w:pPr>
      <w:r w:rsidRPr="008C71E7">
        <w:rPr>
          <w:lang w:val="en-US"/>
        </w:rPr>
        <w:t>ALLON-PINEDA, Joan Christine S.; OCAMPO, Jan Christopher G.; SANTOS, Eduard Renzo D. Second-round effects and asymmetry in oil and food price shocks to inflation. Latin American Journal of Central Banking, 2025.</w:t>
      </w:r>
    </w:p>
    <w:p w14:paraId="1969C402" w14:textId="77777777" w:rsidR="00803ECB" w:rsidRPr="008C71E7" w:rsidRDefault="00ED1359">
      <w:pPr>
        <w:pStyle w:val="TextoReferenciaABNT"/>
        <w:rPr>
          <w:lang w:val="en-US"/>
        </w:rPr>
      </w:pPr>
      <w:r w:rsidRPr="008C71E7">
        <w:rPr>
          <w:lang w:val="en-US"/>
        </w:rPr>
        <w:t>ALVAREZ, Jorge A.; KROEN, Thomas. The energy origins of the global inflation surge. IMF Working Paper, Washington, D.C., 2025.</w:t>
      </w:r>
    </w:p>
    <w:p w14:paraId="09913388" w14:textId="77777777" w:rsidR="00803ECB" w:rsidRPr="008C71E7" w:rsidRDefault="00ED1359">
      <w:pPr>
        <w:pStyle w:val="TextoReferenciaABNT"/>
        <w:rPr>
          <w:lang w:val="en-US"/>
        </w:rPr>
      </w:pPr>
      <w:r w:rsidRPr="008C71E7">
        <w:rPr>
          <w:lang w:val="en-US"/>
        </w:rPr>
        <w:t>BARNICHON, Régis; BROWNLEES, Christian. Impulse response estimation by smooth local projections. The Review of Economics and Statistics, Cambridge, v. 101, n. 3, p. 522-530, 2019.</w:t>
      </w:r>
    </w:p>
    <w:p w14:paraId="2272A1BB" w14:textId="77777777" w:rsidR="00803ECB" w:rsidRPr="008C71E7" w:rsidRDefault="00ED1359">
      <w:pPr>
        <w:pStyle w:val="TextoReferenciaABNT"/>
        <w:rPr>
          <w:lang w:val="en-US"/>
        </w:rPr>
      </w:pPr>
      <w:r w:rsidRPr="008C71E7">
        <w:rPr>
          <w:lang w:val="en-US"/>
        </w:rPr>
        <w:t>BLANCHARD, Olivier J.; GALÍ, Jordi. The macroeconomic effects of oil shocks: why are the 2000s so different from the 1970s? NBER Working Paper, n. 13368, 2007.</w:t>
      </w:r>
    </w:p>
    <w:p w14:paraId="22B334B0" w14:textId="77777777" w:rsidR="00803ECB" w:rsidRPr="008C71E7" w:rsidRDefault="00ED1359">
      <w:pPr>
        <w:pStyle w:val="TextoReferenciaABNT"/>
        <w:rPr>
          <w:lang w:val="en-US"/>
        </w:rPr>
      </w:pPr>
      <w:r w:rsidRPr="008C71E7">
        <w:rPr>
          <w:lang w:val="en-US"/>
        </w:rPr>
        <w:t>CHOI, Sangyup et al. Oil prices and inflation dynamics: evidence from advanced and developing economies. Journal of International Money and Finance, v. 82, p. 71-96, 2018.</w:t>
      </w:r>
    </w:p>
    <w:p w14:paraId="4FF90ECA" w14:textId="77777777" w:rsidR="00803ECB" w:rsidRDefault="00ED1359">
      <w:pPr>
        <w:pStyle w:val="TextoReferenciaABNT"/>
      </w:pPr>
      <w:r w:rsidRPr="008C71E7">
        <w:rPr>
          <w:lang w:val="en-US"/>
        </w:rPr>
        <w:t xml:space="preserve">CORNEJO, Magdalena; HALLACK, Michelle; MATIAS, David. The role of renewables in smoothing the impact of oil and gas price shocks on inflation: the LAC experience. </w:t>
      </w:r>
      <w:r>
        <w:t>Resources Policy, v. 105, 2025.</w:t>
      </w:r>
    </w:p>
    <w:p w14:paraId="20B946D5" w14:textId="77777777" w:rsidR="00803ECB" w:rsidRPr="008C71E7" w:rsidRDefault="00ED1359">
      <w:pPr>
        <w:pStyle w:val="TextoReferenciaABNT"/>
        <w:rPr>
          <w:lang w:val="en-US"/>
        </w:rPr>
      </w:pPr>
      <w:r>
        <w:t xml:space="preserve">FERREIRA, Leonardo N.; MIRANDA-AGRIPPINO, Silvia; RICCO, Giovanni. </w:t>
      </w:r>
      <w:r w:rsidRPr="008C71E7">
        <w:rPr>
          <w:lang w:val="en-US"/>
        </w:rPr>
        <w:t>Bayesian local projections. The Review of Economics and Statistics, 2025.</w:t>
      </w:r>
    </w:p>
    <w:p w14:paraId="7EDF1EFC" w14:textId="77777777" w:rsidR="00803ECB" w:rsidRPr="008C71E7" w:rsidRDefault="00ED1359">
      <w:pPr>
        <w:pStyle w:val="TextoReferenciaABNT"/>
        <w:rPr>
          <w:lang w:val="en-US"/>
        </w:rPr>
      </w:pPr>
      <w:r w:rsidRPr="008C71E7">
        <w:rPr>
          <w:lang w:val="en-US"/>
        </w:rPr>
        <w:t>GONÇALVES, Sílvia; HERRERA, Ana María; KILIAN, Lutz; PESAVENTO, Elena. State-dependent local projections. Journal of Econometrics, v. 244, n. 2, 2024.</w:t>
      </w:r>
    </w:p>
    <w:p w14:paraId="50B49FEF" w14:textId="77777777" w:rsidR="00803ECB" w:rsidRPr="008C71E7" w:rsidRDefault="00ED1359">
      <w:pPr>
        <w:pStyle w:val="TextoReferenciaABNT"/>
        <w:rPr>
          <w:lang w:val="en-US"/>
        </w:rPr>
      </w:pPr>
      <w:r w:rsidRPr="008C71E7">
        <w:rPr>
          <w:lang w:val="en-US"/>
        </w:rPr>
        <w:t>GORODNICHENKO, Yuriy; LEE, Byoungchan. Forecast error variance decompositions with local projections. Journal of Business &amp; Economic Statistics, v. 38, n. 4, p. 921-933, 2020.</w:t>
      </w:r>
    </w:p>
    <w:p w14:paraId="3C686D5D" w14:textId="77777777" w:rsidR="00803ECB" w:rsidRPr="008C71E7" w:rsidRDefault="00ED1359">
      <w:pPr>
        <w:pStyle w:val="TextoReferenciaABNT"/>
        <w:rPr>
          <w:lang w:val="en-US"/>
        </w:rPr>
      </w:pPr>
      <w:r w:rsidRPr="008C71E7">
        <w:rPr>
          <w:lang w:val="en-US"/>
        </w:rPr>
        <w:t>HAMILTON, James D. What is an oil shock? Journal of Econometrics, v. 113, n. 2, p. 363- 398, 2003.</w:t>
      </w:r>
    </w:p>
    <w:p w14:paraId="0D3864F3" w14:textId="77777777" w:rsidR="00803ECB" w:rsidRPr="008C71E7" w:rsidRDefault="00ED1359">
      <w:pPr>
        <w:pStyle w:val="TextoReferenciaABNT"/>
        <w:rPr>
          <w:lang w:val="en-US"/>
        </w:rPr>
      </w:pPr>
      <w:r w:rsidRPr="008C71E7">
        <w:rPr>
          <w:lang w:val="en-US"/>
        </w:rPr>
        <w:t>HOOKER, Mark A. Are oil shocks inflationary? Asymmetric and nonlinear specifications versus changes in regime. Journal of Money, Credit and Banking, v. 34, n. 2, p. 540-561, 2002.</w:t>
      </w:r>
    </w:p>
    <w:p w14:paraId="478581CA" w14:textId="77777777" w:rsidR="00803ECB" w:rsidRPr="008C71E7" w:rsidRDefault="00ED1359">
      <w:pPr>
        <w:pStyle w:val="TextoReferenciaABNT"/>
        <w:rPr>
          <w:lang w:val="en-US"/>
        </w:rPr>
      </w:pPr>
      <w:r w:rsidRPr="008C71E7">
        <w:rPr>
          <w:lang w:val="en-US"/>
        </w:rPr>
        <w:t>HWANG, Inwook; ZHU, Xiaoyang. State-dependent oil price shocks on inflation and the efficacy of inflation targeting regime. Journal of International Money and Finance, v. 144, 2024.</w:t>
      </w:r>
    </w:p>
    <w:p w14:paraId="67D0EF1B" w14:textId="77777777" w:rsidR="00803ECB" w:rsidRPr="008C71E7" w:rsidRDefault="00ED1359">
      <w:pPr>
        <w:pStyle w:val="TextoReferenciaABNT"/>
        <w:rPr>
          <w:lang w:val="en-US"/>
        </w:rPr>
      </w:pPr>
      <w:r w:rsidRPr="008C71E7">
        <w:rPr>
          <w:lang w:val="en-US"/>
        </w:rPr>
        <w:t>INOUE, Atsushi; ROSSI, Barbara; WANG, Yiru. Local projections in unstable environments. Journal of Econometrics, v. 244, n. 2, 2024.</w:t>
      </w:r>
    </w:p>
    <w:p w14:paraId="5571DF03" w14:textId="77777777" w:rsidR="00803ECB" w:rsidRPr="008C71E7" w:rsidRDefault="00ED1359">
      <w:pPr>
        <w:pStyle w:val="TextoReferenciaABNT"/>
        <w:rPr>
          <w:lang w:val="en-US"/>
        </w:rPr>
      </w:pPr>
      <w:r w:rsidRPr="008C71E7">
        <w:rPr>
          <w:lang w:val="en-US"/>
        </w:rPr>
        <w:t>JORDÀ, Òscar. Estimation and inference of impulse responses by local projections. American Economic Review, v. 95, n. 1, p. 161-182, 2005.</w:t>
      </w:r>
    </w:p>
    <w:p w14:paraId="0C8547C4" w14:textId="77777777" w:rsidR="00803ECB" w:rsidRPr="008C71E7" w:rsidRDefault="00ED1359">
      <w:pPr>
        <w:pStyle w:val="TextoReferenciaABNT"/>
        <w:rPr>
          <w:lang w:val="en-US"/>
        </w:rPr>
      </w:pPr>
      <w:r w:rsidRPr="008C71E7">
        <w:rPr>
          <w:lang w:val="en-US"/>
        </w:rPr>
        <w:t>JORDÀ, Òscar; TAYLOR, Alan M. Local projections. Journal of Economic Literature, v. 63, n. 1, p. 59-110, 2025.</w:t>
      </w:r>
    </w:p>
    <w:p w14:paraId="701EDD3A" w14:textId="77777777" w:rsidR="00803ECB" w:rsidRPr="008C71E7" w:rsidRDefault="00ED1359">
      <w:pPr>
        <w:pStyle w:val="TextoReferenciaABNT"/>
        <w:rPr>
          <w:lang w:val="en-US"/>
        </w:rPr>
      </w:pPr>
      <w:r w:rsidRPr="008C71E7">
        <w:rPr>
          <w:lang w:val="en-US"/>
        </w:rPr>
        <w:lastRenderedPageBreak/>
        <w:t>KÄNZIG, Diego R. The macroeconomic effects of oil supply news: evidence from OPEC announcements. American Economic Review, v. 111, n. 4, p. 1092-1125, 2021.</w:t>
      </w:r>
    </w:p>
    <w:p w14:paraId="6B19EEA8" w14:textId="77777777" w:rsidR="00803ECB" w:rsidRPr="008C71E7" w:rsidRDefault="00ED1359">
      <w:pPr>
        <w:pStyle w:val="TextoReferenciaABNT"/>
        <w:rPr>
          <w:lang w:val="en-US"/>
        </w:rPr>
      </w:pPr>
      <w:r w:rsidRPr="008C71E7">
        <w:rPr>
          <w:lang w:val="en-US"/>
        </w:rPr>
        <w:t>KILIAN, Lutz. Not all oil price shocks are alike: disentangling demand and supply shocks in the crude oil market. American Economic Review, v. 99, n. 3, p. 1053-1069, 2009.</w:t>
      </w:r>
    </w:p>
    <w:p w14:paraId="5CE59525" w14:textId="77777777" w:rsidR="00803ECB" w:rsidRPr="008C71E7" w:rsidRDefault="00ED1359">
      <w:pPr>
        <w:pStyle w:val="TextoReferenciaABNT"/>
        <w:rPr>
          <w:lang w:val="en-US"/>
        </w:rPr>
      </w:pPr>
      <w:r w:rsidRPr="008C71E7">
        <w:rPr>
          <w:lang w:val="en-US"/>
        </w:rPr>
        <w:t>KILIAN, Lutz; KIM, Yun Jung. How reliable are local projection estimators of impulse responses? The Review of Economics and Statistics, v. 93, n. 4, p. 1460-1466, 2011.</w:t>
      </w:r>
    </w:p>
    <w:p w14:paraId="6E979EDB" w14:textId="77777777" w:rsidR="00803ECB" w:rsidRDefault="00ED1359">
      <w:pPr>
        <w:pStyle w:val="TextoReferenciaABNT"/>
      </w:pPr>
      <w:r w:rsidRPr="008C71E7">
        <w:rPr>
          <w:lang w:val="en-US"/>
        </w:rPr>
        <w:t xml:space="preserve">LI, Dake; PLAGBORG-MØLLER, Mikkel; WOLF, Christian K. Local projections vs. VARs: lessons from thousands of DGPs. </w:t>
      </w:r>
      <w:r>
        <w:t>Journal of Econometrics, v. 244, n. 2, 2024.</w:t>
      </w:r>
    </w:p>
    <w:p w14:paraId="49B61F69" w14:textId="77777777" w:rsidR="00803ECB" w:rsidRDefault="00ED1359">
      <w:pPr>
        <w:pStyle w:val="TextoReferenciaABNT"/>
      </w:pPr>
      <w:r>
        <w:t>MARTINEZ, Thiago S.; CERQUEIRA, Vinícius dos Santos. Estrutura da inflação brasileira: determinantes e desagregação do IPCA. Brasília: Instituto de Pesquisa Econômica Aplicada, 2013.</w:t>
      </w:r>
    </w:p>
    <w:p w14:paraId="6ADFCFB1" w14:textId="77777777" w:rsidR="00803ECB" w:rsidRPr="008C71E7" w:rsidRDefault="00ED1359">
      <w:pPr>
        <w:pStyle w:val="TextoReferenciaABNT"/>
        <w:rPr>
          <w:lang w:val="en-US"/>
        </w:rPr>
      </w:pPr>
      <w:r>
        <w:t xml:space="preserve">MELLO, Miguel; PONCE, Jorge. </w:t>
      </w:r>
      <w:r w:rsidRPr="008C71E7">
        <w:rPr>
          <w:lang w:val="en-US"/>
        </w:rPr>
        <w:t>From global energy price shocks to firms' inflation expectations. Latin American Journal of Central Banking, 2025.</w:t>
      </w:r>
    </w:p>
    <w:p w14:paraId="272F9D42" w14:textId="77777777" w:rsidR="00803ECB" w:rsidRPr="008C71E7" w:rsidRDefault="00ED1359">
      <w:pPr>
        <w:pStyle w:val="TextoReferenciaABNT"/>
        <w:rPr>
          <w:lang w:val="en-US"/>
        </w:rPr>
      </w:pPr>
      <w:r w:rsidRPr="008C71E7">
        <w:rPr>
          <w:lang w:val="en-US"/>
        </w:rPr>
        <w:t>PLAGBORG-MØLLER, Mikkel; WOLF, Christian K. Local projections and VARs estimate the same impulse responses. Econometrica, v. 89, n. 2, p. 955-980, 2021.</w:t>
      </w:r>
    </w:p>
    <w:p w14:paraId="68B0AC70" w14:textId="77777777" w:rsidR="00803ECB" w:rsidRDefault="00ED1359">
      <w:pPr>
        <w:pStyle w:val="TextoReferenciaABNT"/>
      </w:pPr>
      <w:r w:rsidRPr="008C71E7">
        <w:rPr>
          <w:lang w:val="en-US"/>
        </w:rPr>
        <w:t xml:space="preserve">SIMS, Christopher A. Macroeconomics and reality. </w:t>
      </w:r>
      <w:r>
        <w:t>Econometrica, v. 48, n. 1, p. 1-48, 1980.</w:t>
      </w:r>
    </w:p>
    <w:sectPr w:rsidR="00803ECB" w:rsidSect="00D17AFD">
      <w:headerReference w:type="default" r:id="rId20"/>
      <w:pgSz w:w="11906" w:h="16838"/>
      <w:pgMar w:top="1701" w:right="1134" w:bottom="1134"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Pedro Franck Minella" w:date="2026-05-18T20:02:00Z" w:initials="PF">
    <w:p w14:paraId="74B37A4B" w14:textId="77777777" w:rsidR="000E644D" w:rsidRDefault="000E644D" w:rsidP="000E644D">
      <w:pPr>
        <w:pStyle w:val="CommentText"/>
      </w:pPr>
      <w:r>
        <w:rPr>
          <w:rStyle w:val="CommentReference"/>
        </w:rPr>
        <w:annotationRef/>
      </w:r>
      <w:r>
        <w:t>ajustar</w:t>
      </w:r>
    </w:p>
  </w:comment>
  <w:comment w:id="31" w:author="Pedro Franck Minella" w:date="2026-05-18T20:02:00Z" w:initials="PF">
    <w:p w14:paraId="1D4C1194" w14:textId="77777777" w:rsidR="000E644D" w:rsidRDefault="000E644D" w:rsidP="000E644D">
      <w:pPr>
        <w:pStyle w:val="CommentText"/>
      </w:pPr>
      <w:r>
        <w:rPr>
          <w:rStyle w:val="CommentReference"/>
        </w:rPr>
        <w:annotationRef/>
      </w:r>
      <w:r>
        <w:t>ajustar</w:t>
      </w:r>
    </w:p>
  </w:comment>
  <w:comment w:id="33" w:author="Pedro Franck Minella" w:date="2026-05-18T20:02:00Z" w:initials="PF">
    <w:p w14:paraId="5F99D7D9" w14:textId="77777777" w:rsidR="000E644D" w:rsidRDefault="000E644D" w:rsidP="000E644D">
      <w:pPr>
        <w:pStyle w:val="CommentText"/>
      </w:pPr>
      <w:r>
        <w:rPr>
          <w:rStyle w:val="CommentReference"/>
        </w:rPr>
        <w:annotationRef/>
      </w:r>
      <w:r>
        <w:t>Ajustar</w:t>
      </w:r>
    </w:p>
  </w:comment>
  <w:comment w:id="35" w:author="Pedro Franck Minella" w:date="2026-05-18T20:01:00Z" w:initials="PF">
    <w:p w14:paraId="4FFFEEB7" w14:textId="77777777" w:rsidR="000E644D" w:rsidRDefault="000E644D" w:rsidP="000E644D">
      <w:pPr>
        <w:pStyle w:val="CommentText"/>
      </w:pPr>
      <w:r>
        <w:rPr>
          <w:rStyle w:val="CommentReference"/>
        </w:rPr>
        <w:annotationRef/>
      </w:r>
      <w:r>
        <w:t>ajustar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37A4B" w15:done="0"/>
  <w15:commentEx w15:paraId="1D4C1194" w15:done="0"/>
  <w15:commentEx w15:paraId="5F99D7D9" w15:done="0"/>
  <w15:commentEx w15:paraId="4FFFEE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89DB29" w16cex:dateUtc="2026-05-18T23:02:00Z"/>
  <w16cex:commentExtensible w16cex:durableId="69503DA7" w16cex:dateUtc="2026-05-18T23:02:00Z"/>
  <w16cex:commentExtensible w16cex:durableId="68D3A0AF" w16cex:dateUtc="2026-05-18T23:02:00Z"/>
  <w16cex:commentExtensible w16cex:durableId="0D7C726F" w16cex:dateUtc="2026-05-18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37A4B" w16cid:durableId="4789DB29"/>
  <w16cid:commentId w16cid:paraId="1D4C1194" w16cid:durableId="69503DA7"/>
  <w16cid:commentId w16cid:paraId="5F99D7D9" w16cid:durableId="68D3A0AF"/>
  <w16cid:commentId w16cid:paraId="4FFFEEB7" w16cid:durableId="0D7C72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D2AA" w14:textId="77777777" w:rsidR="00ED1359" w:rsidRDefault="00ED1359">
      <w:pPr>
        <w:spacing w:after="0" w:line="240" w:lineRule="auto"/>
      </w:pPr>
      <w:r>
        <w:separator/>
      </w:r>
    </w:p>
  </w:endnote>
  <w:endnote w:type="continuationSeparator" w:id="0">
    <w:p w14:paraId="417F2AB6" w14:textId="77777777" w:rsidR="00ED1359" w:rsidRDefault="00ED1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tis SemiSans Pro">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D7D0" w14:textId="77777777" w:rsidR="00ED1359" w:rsidRDefault="00ED1359">
      <w:pPr>
        <w:spacing w:after="0" w:line="240" w:lineRule="auto"/>
      </w:pPr>
      <w:r>
        <w:separator/>
      </w:r>
    </w:p>
  </w:footnote>
  <w:footnote w:type="continuationSeparator" w:id="0">
    <w:p w14:paraId="443F5B4A" w14:textId="77777777" w:rsidR="00ED1359" w:rsidRDefault="00ED1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703765"/>
      <w:docPartObj>
        <w:docPartGallery w:val="Page Numbers (Top of Page)"/>
        <w:docPartUnique/>
      </w:docPartObj>
    </w:sdtPr>
    <w:sdtEndPr>
      <w:rPr>
        <w:rFonts w:ascii="Arial" w:hAnsi="Arial" w:cs="Arial"/>
        <w:sz w:val="24"/>
        <w:szCs w:val="24"/>
      </w:rPr>
    </w:sdtEndPr>
    <w:sdtContent>
      <w:p w14:paraId="4AE32C2E" w14:textId="77777777" w:rsidR="00803ECB" w:rsidRDefault="00ED1359">
        <w:pPr>
          <w:pStyle w:val="Header"/>
          <w:jc w:val="right"/>
          <w:rPr>
            <w:rFonts w:ascii="Arial" w:hAnsi="Arial" w:cs="Arial"/>
            <w:sz w:val="24"/>
            <w:szCs w:val="24"/>
          </w:rPr>
        </w:pPr>
        <w:r>
          <w:rPr>
            <w:rFonts w:ascii="Arial" w:hAnsi="Arial" w:cs="Arial"/>
            <w:sz w:val="24"/>
            <w:szCs w:val="24"/>
          </w:rPr>
          <w:fldChar w:fldCharType="begin"/>
        </w:r>
        <w:r w:rsidRPr="00D17AFD">
          <w:rPr>
            <w:rFonts w:ascii="Arial" w:hAnsi="Arial" w:cs="Arial"/>
            <w:sz w:val="24"/>
            <w:szCs w:val="24"/>
          </w:rPr>
          <w:instrText>PAGE   \* MERGEFORMAT</w:instrText>
        </w:r>
        <w:r>
          <w:rPr>
            <w:rFonts w:ascii="Arial" w:hAnsi="Arial" w:cs="Arial"/>
            <w:sz w:val="24"/>
            <w:szCs w:val="24"/>
          </w:rPr>
          <w:fldChar w:fldCharType="separate"/>
        </w:r>
        <w:r w:rsidRPr="00D17AFD">
          <w:rPr>
            <w:rFonts w:ascii="Arial" w:hAnsi="Arial" w:cs="Arial"/>
            <w:sz w:val="24"/>
            <w:szCs w:val="24"/>
          </w:rPr>
          <w:t>61</w:t>
        </w:r>
        <w:r>
          <w:rPr>
            <w:rFonts w:ascii="Arial" w:hAnsi="Arial" w:cs="Arial"/>
            <w:sz w:val="24"/>
            <w:szCs w:val="24"/>
          </w:rPr>
          <w:fldChar w:fldCharType="end"/>
        </w:r>
      </w:p>
    </w:sdtContent>
  </w:sdt>
  <w:p w14:paraId="0822B861" w14:textId="77777777" w:rsidR="00803ECB" w:rsidRDefault="00803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6E2A"/>
    <w:multiLevelType w:val="multilevel"/>
    <w:tmpl w:val="BD8655A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53232762"/>
    <w:multiLevelType w:val="multilevel"/>
    <w:tmpl w:val="3824154A"/>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2" w15:restartNumberingAfterBreak="0">
    <w:nsid w:val="57797D6C"/>
    <w:multiLevelType w:val="multilevel"/>
    <w:tmpl w:val="F4F2AA28"/>
    <w:lvl w:ilvl="0">
      <w:start w:val="1"/>
      <w:numFmt w:val="decimal"/>
      <w:pStyle w:val="TituloABNT"/>
      <w:suff w:val="space"/>
      <w:lvlText w:val="%1"/>
      <w:lvlJc w:val="left"/>
      <w:pPr>
        <w:ind w:left="357" w:hanging="357"/>
      </w:pPr>
      <w:rPr>
        <w:rFonts w:hint="default"/>
      </w:rPr>
    </w:lvl>
    <w:lvl w:ilvl="1">
      <w:start w:val="1"/>
      <w:numFmt w:val="decimal"/>
      <w:pStyle w:val="SubtituloABNT"/>
      <w:suff w:val="space"/>
      <w:lvlText w:val="%1.%2"/>
      <w:lvlJc w:val="left"/>
      <w:pPr>
        <w:ind w:left="357" w:hanging="357"/>
      </w:pPr>
      <w:rPr>
        <w:rFonts w:hint="default"/>
      </w:rPr>
    </w:lvl>
    <w:lvl w:ilvl="2">
      <w:start w:val="1"/>
      <w:numFmt w:val="decimal"/>
      <w:pStyle w:val="Sub3"/>
      <w:suff w:val="space"/>
      <w:lvlText w:val="%1.%2.%3"/>
      <w:lvlJc w:val="left"/>
      <w:pPr>
        <w:ind w:left="357" w:hanging="357"/>
      </w:pPr>
      <w:rPr>
        <w:rFonts w:hint="default"/>
      </w:rPr>
    </w:lvl>
    <w:lvl w:ilvl="3">
      <w:start w:val="1"/>
      <w:numFmt w:val="decimal"/>
      <w:pStyle w:val="Sub4"/>
      <w:suff w:val="space"/>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26903874">
    <w:abstractNumId w:val="0"/>
  </w:num>
  <w:num w:numId="2" w16cid:durableId="1429157624">
    <w:abstractNumId w:val="1"/>
  </w:num>
  <w:num w:numId="3" w16cid:durableId="13807434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Franck Minella">
    <w15:presenceInfo w15:providerId="Windows Live" w15:userId="9776ccee91859b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CB"/>
    <w:rsid w:val="000E644D"/>
    <w:rsid w:val="003727D7"/>
    <w:rsid w:val="006D21DC"/>
    <w:rsid w:val="00803ECB"/>
    <w:rsid w:val="008C71E7"/>
    <w:rsid w:val="00AC152A"/>
    <w:rsid w:val="00ED1359"/>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4539"/>
  <w15:docId w15:val="{00221631-1E56-49B1-82A8-A64B1801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E8C"/>
  </w:style>
  <w:style w:type="paragraph" w:styleId="Heading1">
    <w:name w:val="heading 1"/>
    <w:basedOn w:val="Normal"/>
    <w:next w:val="Normal"/>
    <w:link w:val="Heading1Char"/>
    <w:uiPriority w:val="9"/>
    <w:qFormat/>
    <w:rsid w:val="003D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664"/>
    <w:rPr>
      <w:rFonts w:eastAsiaTheme="majorEastAsia" w:cstheme="majorBidi"/>
      <w:color w:val="272727" w:themeColor="text1" w:themeTint="D8"/>
    </w:rPr>
  </w:style>
  <w:style w:type="paragraph" w:styleId="Title">
    <w:name w:val="Title"/>
    <w:basedOn w:val="Normal"/>
    <w:next w:val="Normal"/>
    <w:link w:val="TitleChar"/>
    <w:uiPriority w:val="10"/>
    <w:qFormat/>
    <w:rsid w:val="003D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664"/>
    <w:pPr>
      <w:spacing w:before="160"/>
      <w:jc w:val="center"/>
    </w:pPr>
    <w:rPr>
      <w:i/>
      <w:iCs/>
      <w:color w:val="404040" w:themeColor="text1" w:themeTint="BF"/>
    </w:rPr>
  </w:style>
  <w:style w:type="character" w:customStyle="1" w:styleId="QuoteChar">
    <w:name w:val="Quote Char"/>
    <w:basedOn w:val="DefaultParagraphFont"/>
    <w:link w:val="Quote"/>
    <w:uiPriority w:val="29"/>
    <w:rsid w:val="003D3664"/>
    <w:rPr>
      <w:i/>
      <w:iCs/>
      <w:color w:val="404040" w:themeColor="text1" w:themeTint="BF"/>
    </w:rPr>
  </w:style>
  <w:style w:type="paragraph" w:styleId="ListParagraph">
    <w:name w:val="List Paragraph"/>
    <w:basedOn w:val="Normal"/>
    <w:uiPriority w:val="34"/>
    <w:qFormat/>
    <w:rsid w:val="003D3664"/>
    <w:pPr>
      <w:ind w:left="720"/>
      <w:contextualSpacing/>
    </w:pPr>
  </w:style>
  <w:style w:type="character" w:styleId="IntenseEmphasis">
    <w:name w:val="Intense Emphasis"/>
    <w:basedOn w:val="DefaultParagraphFont"/>
    <w:uiPriority w:val="21"/>
    <w:qFormat/>
    <w:rsid w:val="003D3664"/>
    <w:rPr>
      <w:i/>
      <w:iCs/>
      <w:color w:val="0F4761" w:themeColor="accent1" w:themeShade="BF"/>
    </w:rPr>
  </w:style>
  <w:style w:type="paragraph" w:styleId="IntenseQuote">
    <w:name w:val="Intense Quote"/>
    <w:basedOn w:val="Normal"/>
    <w:next w:val="Normal"/>
    <w:link w:val="IntenseQuoteChar"/>
    <w:uiPriority w:val="30"/>
    <w:qFormat/>
    <w:rsid w:val="003D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64"/>
    <w:rPr>
      <w:i/>
      <w:iCs/>
      <w:color w:val="0F4761" w:themeColor="accent1" w:themeShade="BF"/>
    </w:rPr>
  </w:style>
  <w:style w:type="character" w:styleId="IntenseReference">
    <w:name w:val="Intense Reference"/>
    <w:basedOn w:val="DefaultParagraphFont"/>
    <w:uiPriority w:val="32"/>
    <w:qFormat/>
    <w:rsid w:val="003D3664"/>
    <w:rPr>
      <w:b/>
      <w:bCs/>
      <w:smallCaps/>
      <w:color w:val="0F4761" w:themeColor="accent1" w:themeShade="BF"/>
      <w:spacing w:val="5"/>
    </w:rPr>
  </w:style>
  <w:style w:type="paragraph" w:customStyle="1" w:styleId="TextoABNT">
    <w:name w:val="Texto ABNT"/>
    <w:basedOn w:val="Normal"/>
    <w:link w:val="TextoABNTChar"/>
    <w:qFormat/>
    <w:rsid w:val="005A5082"/>
    <w:pPr>
      <w:spacing w:after="0" w:line="360" w:lineRule="auto"/>
      <w:ind w:firstLine="709"/>
      <w:jc w:val="both"/>
    </w:pPr>
    <w:rPr>
      <w:rFonts w:ascii="Arial" w:hAnsi="Arial"/>
      <w:color w:val="000000" w:themeColor="text1"/>
      <w:sz w:val="24"/>
    </w:rPr>
  </w:style>
  <w:style w:type="character" w:customStyle="1" w:styleId="TextoABNTChar">
    <w:name w:val="Texto ABNT Char"/>
    <w:basedOn w:val="SubtitleChar"/>
    <w:link w:val="TextoABNT"/>
    <w:rsid w:val="005A5082"/>
    <w:rPr>
      <w:rFonts w:ascii="Arial" w:eastAsiaTheme="majorEastAsia" w:hAnsi="Arial" w:cstheme="majorBidi"/>
      <w:color w:val="000000" w:themeColor="text1"/>
      <w:spacing w:val="15"/>
      <w:sz w:val="24"/>
      <w:szCs w:val="28"/>
    </w:rPr>
  </w:style>
  <w:style w:type="paragraph" w:customStyle="1" w:styleId="TituloABNT">
    <w:name w:val="Titulo ABNT"/>
    <w:basedOn w:val="TextoABNT"/>
    <w:link w:val="TituloABNTChar"/>
    <w:qFormat/>
    <w:rsid w:val="009E3E73"/>
    <w:pPr>
      <w:numPr>
        <w:numId w:val="3"/>
      </w:numPr>
      <w:jc w:val="left"/>
      <w:outlineLvl w:val="0"/>
    </w:pPr>
    <w:rPr>
      <w:b/>
      <w:caps/>
    </w:rPr>
  </w:style>
  <w:style w:type="character" w:customStyle="1" w:styleId="TituloABNTChar">
    <w:name w:val="Titulo ABNT Char"/>
    <w:basedOn w:val="TextoABNTChar"/>
    <w:link w:val="TituloABNT"/>
    <w:rsid w:val="009E3E73"/>
    <w:rPr>
      <w:rFonts w:ascii="Arial" w:eastAsiaTheme="majorEastAsia" w:hAnsi="Arial" w:cstheme="majorBidi"/>
      <w:b/>
      <w:caps/>
      <w:color w:val="000000" w:themeColor="text1"/>
      <w:spacing w:val="15"/>
      <w:sz w:val="24"/>
      <w:szCs w:val="28"/>
    </w:rPr>
  </w:style>
  <w:style w:type="paragraph" w:customStyle="1" w:styleId="SubtituloABNT">
    <w:name w:val="Subtitulo ABNT"/>
    <w:basedOn w:val="TituloABNT"/>
    <w:link w:val="SubtituloABNTChar"/>
    <w:qFormat/>
    <w:rsid w:val="00B56A61"/>
    <w:pPr>
      <w:numPr>
        <w:ilvl w:val="1"/>
      </w:numPr>
      <w:jc w:val="both"/>
      <w:outlineLvl w:val="1"/>
    </w:pPr>
    <w:rPr>
      <w:b w:val="0"/>
      <w:caps w:val="0"/>
    </w:rPr>
  </w:style>
  <w:style w:type="character" w:customStyle="1" w:styleId="SubtituloABNTChar">
    <w:name w:val="Subtitulo ABNT Char"/>
    <w:basedOn w:val="TituloABNTChar"/>
    <w:link w:val="SubtituloABNT"/>
    <w:rsid w:val="00B56A61"/>
    <w:rPr>
      <w:rFonts w:ascii="Arial" w:eastAsiaTheme="majorEastAsia" w:hAnsi="Arial" w:cstheme="majorBidi"/>
      <w:b w:val="0"/>
      <w:caps w:val="0"/>
      <w:color w:val="000000" w:themeColor="text1"/>
      <w:spacing w:val="15"/>
      <w:sz w:val="24"/>
      <w:szCs w:val="28"/>
    </w:rPr>
  </w:style>
  <w:style w:type="paragraph" w:styleId="TOCHeading">
    <w:name w:val="TOC Heading"/>
    <w:basedOn w:val="Heading1"/>
    <w:next w:val="Normal"/>
    <w:uiPriority w:val="39"/>
    <w:unhideWhenUsed/>
    <w:qFormat/>
    <w:rsid w:val="00E9124B"/>
    <w:pPr>
      <w:spacing w:before="240" w:after="0"/>
      <w:outlineLvl w:val="9"/>
    </w:pPr>
    <w:rPr>
      <w:sz w:val="32"/>
      <w:szCs w:val="32"/>
      <w:lang w:eastAsia="pt-BR"/>
    </w:rPr>
  </w:style>
  <w:style w:type="paragraph" w:styleId="TOC1">
    <w:name w:val="toc 1"/>
    <w:aliases w:val="TituloSemNumeracao"/>
    <w:basedOn w:val="Normal"/>
    <w:next w:val="Normal"/>
    <w:autoRedefine/>
    <w:uiPriority w:val="39"/>
    <w:unhideWhenUsed/>
    <w:qFormat/>
    <w:rsid w:val="00DD09E4"/>
    <w:pPr>
      <w:spacing w:after="100"/>
    </w:pPr>
    <w:rPr>
      <w:rFonts w:ascii="Arial" w:hAnsi="Arial"/>
      <w:b/>
      <w:caps/>
      <w:sz w:val="24"/>
    </w:rPr>
  </w:style>
  <w:style w:type="character" w:styleId="Hyperlink">
    <w:name w:val="Hyperlink"/>
    <w:basedOn w:val="DefaultParagraphFont"/>
    <w:uiPriority w:val="99"/>
    <w:unhideWhenUsed/>
    <w:rsid w:val="00E9124B"/>
    <w:rPr>
      <w:color w:val="467886" w:themeColor="hyperlink"/>
      <w:u w:val="single"/>
    </w:rPr>
  </w:style>
  <w:style w:type="paragraph" w:customStyle="1" w:styleId="Pa5">
    <w:name w:val="Pa5"/>
    <w:basedOn w:val="Normal"/>
    <w:next w:val="Normal"/>
    <w:uiPriority w:val="99"/>
    <w:rsid w:val="0086121B"/>
    <w:pPr>
      <w:autoSpaceDE w:val="0"/>
      <w:autoSpaceDN w:val="0"/>
      <w:adjustRightInd w:val="0"/>
      <w:spacing w:after="0" w:line="281" w:lineRule="atLeast"/>
    </w:pPr>
    <w:rPr>
      <w:rFonts w:ascii="Rotis SemiSans Pro" w:hAnsi="Rotis SemiSans Pro"/>
      <w:sz w:val="24"/>
      <w:szCs w:val="24"/>
    </w:rPr>
  </w:style>
  <w:style w:type="paragraph" w:customStyle="1" w:styleId="Pa11">
    <w:name w:val="Pa11"/>
    <w:basedOn w:val="Normal"/>
    <w:next w:val="Normal"/>
    <w:uiPriority w:val="99"/>
    <w:rsid w:val="0086121B"/>
    <w:pPr>
      <w:autoSpaceDE w:val="0"/>
      <w:autoSpaceDN w:val="0"/>
      <w:adjustRightInd w:val="0"/>
      <w:spacing w:after="0" w:line="281" w:lineRule="atLeast"/>
    </w:pPr>
    <w:rPr>
      <w:rFonts w:ascii="Rotis SemiSans Pro" w:hAnsi="Rotis SemiSans Pro"/>
      <w:sz w:val="24"/>
      <w:szCs w:val="24"/>
    </w:rPr>
  </w:style>
  <w:style w:type="paragraph" w:styleId="Header">
    <w:name w:val="header"/>
    <w:basedOn w:val="Normal"/>
    <w:link w:val="HeaderChar"/>
    <w:uiPriority w:val="99"/>
    <w:unhideWhenUsed/>
    <w:qFormat/>
    <w:rsid w:val="00BA3C2C"/>
    <w:pPr>
      <w:tabs>
        <w:tab w:val="center" w:pos="4252"/>
        <w:tab w:val="right" w:pos="8504"/>
      </w:tabs>
      <w:spacing w:after="0" w:line="240" w:lineRule="auto"/>
    </w:pPr>
  </w:style>
  <w:style w:type="character" w:customStyle="1" w:styleId="HeaderChar">
    <w:name w:val="Header Char"/>
    <w:basedOn w:val="DefaultParagraphFont"/>
    <w:link w:val="Header"/>
    <w:uiPriority w:val="99"/>
    <w:rsid w:val="00BA3C2C"/>
  </w:style>
  <w:style w:type="paragraph" w:styleId="Footer">
    <w:name w:val="footer"/>
    <w:basedOn w:val="Normal"/>
    <w:link w:val="FooterChar"/>
    <w:uiPriority w:val="99"/>
    <w:unhideWhenUsed/>
    <w:rsid w:val="00BA3C2C"/>
    <w:pPr>
      <w:tabs>
        <w:tab w:val="center" w:pos="4252"/>
        <w:tab w:val="right" w:pos="8504"/>
      </w:tabs>
      <w:spacing w:after="0" w:line="240" w:lineRule="auto"/>
    </w:pPr>
  </w:style>
  <w:style w:type="character" w:customStyle="1" w:styleId="FooterChar">
    <w:name w:val="Footer Char"/>
    <w:basedOn w:val="DefaultParagraphFont"/>
    <w:link w:val="Footer"/>
    <w:uiPriority w:val="99"/>
    <w:rsid w:val="00BA3C2C"/>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OC2">
    <w:name w:val="toc 2"/>
    <w:basedOn w:val="Normal"/>
    <w:next w:val="Normal"/>
    <w:autoRedefine/>
    <w:uiPriority w:val="39"/>
    <w:unhideWhenUsed/>
    <w:qFormat/>
    <w:rsid w:val="003C2FD2"/>
    <w:pPr>
      <w:tabs>
        <w:tab w:val="right" w:leader="dot" w:pos="9061"/>
      </w:tabs>
      <w:spacing w:after="100"/>
    </w:pPr>
    <w:rPr>
      <w:rFonts w:ascii="Arial" w:hAnsi="Arial"/>
      <w:sz w:val="24"/>
    </w:rPr>
  </w:style>
  <w:style w:type="paragraph" w:customStyle="1" w:styleId="Sub3">
    <w:name w:val="Sub3"/>
    <w:basedOn w:val="SubtituloABNT"/>
    <w:link w:val="Sub3Char"/>
    <w:qFormat/>
    <w:rsid w:val="009440F6"/>
    <w:pPr>
      <w:numPr>
        <w:ilvl w:val="2"/>
      </w:numPr>
      <w:outlineLvl w:val="2"/>
    </w:pPr>
  </w:style>
  <w:style w:type="character" w:customStyle="1" w:styleId="Sub3Char">
    <w:name w:val="Sub3 Char"/>
    <w:basedOn w:val="SubtituloABNTChar"/>
    <w:link w:val="Sub3"/>
    <w:rsid w:val="009440F6"/>
    <w:rPr>
      <w:rFonts w:ascii="Arial" w:eastAsiaTheme="majorEastAsia" w:hAnsi="Arial" w:cstheme="majorBidi"/>
      <w:b w:val="0"/>
      <w:caps w:val="0"/>
      <w:color w:val="000000" w:themeColor="text1"/>
      <w:spacing w:val="15"/>
      <w:sz w:val="24"/>
      <w:szCs w:val="28"/>
    </w:rPr>
  </w:style>
  <w:style w:type="paragraph" w:styleId="TOC3">
    <w:name w:val="toc 3"/>
    <w:basedOn w:val="Normal"/>
    <w:next w:val="Normal"/>
    <w:autoRedefine/>
    <w:uiPriority w:val="39"/>
    <w:unhideWhenUsed/>
    <w:qFormat/>
    <w:rsid w:val="00F90592"/>
    <w:pPr>
      <w:tabs>
        <w:tab w:val="right" w:leader="dot" w:pos="9061"/>
      </w:tabs>
      <w:spacing w:after="100"/>
    </w:pPr>
  </w:style>
  <w:style w:type="paragraph" w:customStyle="1" w:styleId="Sub2">
    <w:name w:val="Sub2"/>
    <w:basedOn w:val="SubtituloABNT"/>
    <w:link w:val="Sub2Char"/>
    <w:rsid w:val="00630F98"/>
    <w:pPr>
      <w:ind w:firstLine="0"/>
    </w:pPr>
  </w:style>
  <w:style w:type="character" w:customStyle="1" w:styleId="Sub2Char">
    <w:name w:val="Sub2 Char"/>
    <w:basedOn w:val="TextoABNTChar"/>
    <w:link w:val="Sub2"/>
    <w:rsid w:val="00630F98"/>
    <w:rPr>
      <w:rFonts w:ascii="Arial" w:eastAsiaTheme="majorEastAsia" w:hAnsi="Arial" w:cstheme="majorBidi"/>
      <w:color w:val="000000" w:themeColor="text1"/>
      <w:spacing w:val="15"/>
      <w:sz w:val="24"/>
      <w:szCs w:val="28"/>
    </w:rPr>
  </w:style>
  <w:style w:type="paragraph" w:customStyle="1" w:styleId="Sub4">
    <w:name w:val="Sub4"/>
    <w:basedOn w:val="SubtituloABNT"/>
    <w:link w:val="Sub4Char"/>
    <w:qFormat/>
    <w:rsid w:val="004E4C4D"/>
    <w:pPr>
      <w:numPr>
        <w:ilvl w:val="3"/>
      </w:numPr>
      <w:outlineLvl w:val="3"/>
    </w:pPr>
  </w:style>
  <w:style w:type="character" w:customStyle="1" w:styleId="Sub4Char">
    <w:name w:val="Sub4 Char"/>
    <w:basedOn w:val="Sub3Char"/>
    <w:link w:val="Sub4"/>
    <w:rsid w:val="004E4C4D"/>
    <w:rPr>
      <w:rFonts w:ascii="Arial" w:eastAsiaTheme="majorEastAsia" w:hAnsi="Arial" w:cstheme="majorBidi"/>
      <w:b w:val="0"/>
      <w:caps w:val="0"/>
      <w:color w:val="000000" w:themeColor="text1"/>
      <w:spacing w:val="15"/>
      <w:sz w:val="24"/>
      <w:szCs w:val="28"/>
    </w:rPr>
  </w:style>
  <w:style w:type="paragraph" w:customStyle="1" w:styleId="CitaLonga">
    <w:name w:val="CitaLonga"/>
    <w:basedOn w:val="Normal"/>
    <w:next w:val="TextoABNT"/>
    <w:link w:val="CitaLongaChar"/>
    <w:qFormat/>
    <w:rsid w:val="00BE336D"/>
    <w:pPr>
      <w:spacing w:after="80" w:line="240" w:lineRule="auto"/>
      <w:ind w:left="2268"/>
    </w:pPr>
    <w:rPr>
      <w:rFonts w:ascii="Arial" w:hAnsi="Arial"/>
      <w:sz w:val="20"/>
    </w:rPr>
  </w:style>
  <w:style w:type="character" w:customStyle="1" w:styleId="CitaLongaChar">
    <w:name w:val="CitaLonga Char"/>
    <w:basedOn w:val="TextoABNTChar"/>
    <w:link w:val="CitaLonga"/>
    <w:rsid w:val="00BE336D"/>
    <w:rPr>
      <w:rFonts w:ascii="Arial" w:eastAsiaTheme="majorEastAsia" w:hAnsi="Arial" w:cstheme="majorBidi"/>
      <w:color w:val="000000" w:themeColor="text1"/>
      <w:spacing w:val="15"/>
      <w:sz w:val="20"/>
      <w:szCs w:val="28"/>
    </w:rPr>
  </w:style>
  <w:style w:type="paragraph" w:styleId="Caption">
    <w:name w:val="caption"/>
    <w:basedOn w:val="Normal"/>
    <w:next w:val="Normal"/>
    <w:link w:val="CaptionChar"/>
    <w:uiPriority w:val="35"/>
    <w:unhideWhenUsed/>
    <w:qFormat/>
    <w:rsid w:val="00432373"/>
    <w:pPr>
      <w:spacing w:after="200" w:line="240" w:lineRule="auto"/>
    </w:pPr>
    <w:rPr>
      <w:i/>
      <w:iCs/>
      <w:color w:val="0E2841" w:themeColor="text2"/>
      <w:sz w:val="18"/>
      <w:szCs w:val="18"/>
    </w:rPr>
  </w:style>
  <w:style w:type="paragraph" w:customStyle="1" w:styleId="LegendaIlustracao">
    <w:name w:val="LegendaIlustracao"/>
    <w:basedOn w:val="Normal"/>
    <w:link w:val="LegendaIlustracaoChar"/>
    <w:qFormat/>
    <w:rsid w:val="00432373"/>
    <w:pPr>
      <w:keepNext/>
      <w:jc w:val="center"/>
    </w:pPr>
    <w:rPr>
      <w:rFonts w:ascii="Arial" w:hAnsi="Arial"/>
      <w:sz w:val="20"/>
    </w:rPr>
  </w:style>
  <w:style w:type="character" w:customStyle="1" w:styleId="CaptionChar">
    <w:name w:val="Caption Char"/>
    <w:basedOn w:val="DefaultParagraphFont"/>
    <w:link w:val="Caption"/>
    <w:uiPriority w:val="35"/>
    <w:rsid w:val="00432373"/>
    <w:rPr>
      <w:i/>
      <w:iCs/>
      <w:color w:val="0E2841" w:themeColor="text2"/>
      <w:sz w:val="18"/>
      <w:szCs w:val="18"/>
    </w:rPr>
  </w:style>
  <w:style w:type="character" w:customStyle="1" w:styleId="LegendaIlustracaoChar">
    <w:name w:val="LegendaIlustracao Char"/>
    <w:basedOn w:val="CaptionChar"/>
    <w:link w:val="LegendaIlustracao"/>
    <w:rsid w:val="00432373"/>
    <w:rPr>
      <w:rFonts w:ascii="Arial" w:hAnsi="Arial"/>
      <w:i w:val="0"/>
      <w:iCs w:val="0"/>
      <w:color w:val="0E2841" w:themeColor="text2"/>
      <w:sz w:val="20"/>
      <w:szCs w:val="18"/>
    </w:rPr>
  </w:style>
  <w:style w:type="paragraph" w:customStyle="1" w:styleId="FonteFigura">
    <w:name w:val="FonteFigura"/>
    <w:basedOn w:val="TextoABNT"/>
    <w:link w:val="FonteFiguraChar"/>
    <w:qFormat/>
    <w:rsid w:val="00BE336D"/>
    <w:pPr>
      <w:spacing w:before="160" w:after="160"/>
      <w:ind w:firstLine="0"/>
      <w:jc w:val="left"/>
    </w:pPr>
    <w:rPr>
      <w:sz w:val="20"/>
    </w:rPr>
  </w:style>
  <w:style w:type="character" w:customStyle="1" w:styleId="FonteFiguraChar">
    <w:name w:val="FonteFigura Char"/>
    <w:basedOn w:val="TextoABNTChar"/>
    <w:link w:val="FonteFigura"/>
    <w:rsid w:val="00BE336D"/>
    <w:rPr>
      <w:rFonts w:ascii="Arial" w:eastAsiaTheme="majorEastAsia" w:hAnsi="Arial" w:cstheme="majorBidi"/>
      <w:color w:val="000000" w:themeColor="text1"/>
      <w:spacing w:val="15"/>
      <w:sz w:val="20"/>
      <w:szCs w:val="28"/>
    </w:rPr>
  </w:style>
  <w:style w:type="paragraph" w:customStyle="1" w:styleId="TituloABNTSemNumeracaoSumario">
    <w:name w:val="TituloABNTSemNumeracaoSumario"/>
    <w:basedOn w:val="Normal"/>
    <w:qFormat/>
    <w:rsid w:val="00621DA8"/>
    <w:pPr>
      <w:spacing w:after="0" w:line="360" w:lineRule="auto"/>
      <w:jc w:val="center"/>
      <w:outlineLvl w:val="0"/>
    </w:pPr>
    <w:rPr>
      <w:rFonts w:ascii="Arial" w:hAnsi="Arial"/>
      <w:b/>
      <w:bCs/>
      <w:caps/>
      <w:sz w:val="24"/>
      <w:szCs w:val="24"/>
    </w:rPr>
  </w:style>
  <w:style w:type="paragraph" w:customStyle="1" w:styleId="TextoReferenciaABNT">
    <w:name w:val="TextoReferenciaABNT"/>
    <w:basedOn w:val="Normal"/>
    <w:link w:val="TextoReferenciaABNTChar"/>
    <w:qFormat/>
    <w:rsid w:val="003E595B"/>
    <w:pPr>
      <w:spacing w:after="240" w:line="240" w:lineRule="auto"/>
    </w:pPr>
  </w:style>
  <w:style w:type="character" w:customStyle="1" w:styleId="TextoReferenciaABNTChar">
    <w:name w:val="TextoReferenciaABNT Char"/>
    <w:basedOn w:val="Sub2Char"/>
    <w:link w:val="TextoReferenciaABNT"/>
    <w:rsid w:val="003E595B"/>
    <w:rPr>
      <w:rFonts w:ascii="Arial" w:eastAsiaTheme="majorEastAsia" w:hAnsi="Arial" w:cstheme="majorBidi"/>
      <w:color w:val="000000" w:themeColor="text1"/>
      <w:spacing w:val="15"/>
      <w:sz w:val="24"/>
      <w:szCs w:val="28"/>
    </w:rPr>
  </w:style>
  <w:style w:type="paragraph" w:customStyle="1" w:styleId="TextoReferenciasABNT">
    <w:name w:val="TextoReferenciasABNT"/>
    <w:basedOn w:val="Normal"/>
    <w:link w:val="TextoReferenciasABNTChar"/>
    <w:qFormat/>
    <w:rsid w:val="003E595B"/>
    <w:pPr>
      <w:spacing w:after="240" w:line="240" w:lineRule="auto"/>
    </w:pPr>
    <w:rPr>
      <w:rFonts w:ascii="Arial" w:hAnsi="Arial"/>
      <w:color w:val="000000" w:themeColor="text1"/>
      <w:sz w:val="24"/>
    </w:rPr>
  </w:style>
  <w:style w:type="character" w:customStyle="1" w:styleId="TextoReferenciasABNTChar">
    <w:name w:val="TextoReferenciasABNT Char"/>
    <w:basedOn w:val="DefaultParagraphFont"/>
    <w:link w:val="TextoReferenciasABNT"/>
    <w:rsid w:val="003E595B"/>
    <w:rPr>
      <w:rFonts w:ascii="Arial" w:hAnsi="Arial"/>
      <w:color w:val="000000" w:themeColor="text1"/>
      <w:sz w:val="24"/>
    </w:rPr>
  </w:style>
  <w:style w:type="paragraph" w:customStyle="1" w:styleId="ResumoABNT">
    <w:name w:val="Resumo_ABNT"/>
    <w:basedOn w:val="Normal"/>
    <w:qFormat/>
    <w:rsid w:val="006342A3"/>
    <w:pPr>
      <w:spacing w:after="0" w:line="360" w:lineRule="auto"/>
      <w:jc w:val="both"/>
    </w:pPr>
    <w:rPr>
      <w:rFonts w:ascii="Arial" w:hAnsi="Arial"/>
      <w:sz w:val="24"/>
    </w:rPr>
  </w:style>
  <w:style w:type="paragraph" w:customStyle="1" w:styleId="LO-normal">
    <w:name w:val="LO-normal"/>
    <w:qFormat/>
    <w:rsid w:val="00B16E7D"/>
    <w:pPr>
      <w:suppressAutoHyphens/>
      <w:spacing w:after="0" w:line="276" w:lineRule="auto"/>
    </w:pPr>
    <w:rPr>
      <w:rFonts w:ascii="Arial" w:eastAsia="Arial" w:hAnsi="Arial" w:cs="Arial"/>
      <w:lang w:eastAsia="zh-CN"/>
    </w:rPr>
  </w:style>
  <w:style w:type="character" w:styleId="CommentReference">
    <w:name w:val="annotation reference"/>
    <w:basedOn w:val="DefaultParagraphFont"/>
    <w:uiPriority w:val="99"/>
    <w:semiHidden/>
    <w:unhideWhenUsed/>
    <w:rsid w:val="000E644D"/>
    <w:rPr>
      <w:sz w:val="16"/>
      <w:szCs w:val="16"/>
    </w:rPr>
  </w:style>
  <w:style w:type="paragraph" w:styleId="CommentText">
    <w:name w:val="annotation text"/>
    <w:basedOn w:val="Normal"/>
    <w:link w:val="CommentTextChar"/>
    <w:uiPriority w:val="99"/>
    <w:unhideWhenUsed/>
    <w:rsid w:val="000E644D"/>
    <w:pPr>
      <w:spacing w:line="240" w:lineRule="auto"/>
    </w:pPr>
    <w:rPr>
      <w:sz w:val="20"/>
      <w:szCs w:val="20"/>
    </w:rPr>
  </w:style>
  <w:style w:type="character" w:customStyle="1" w:styleId="CommentTextChar">
    <w:name w:val="Comment Text Char"/>
    <w:basedOn w:val="DefaultParagraphFont"/>
    <w:link w:val="CommentText"/>
    <w:uiPriority w:val="99"/>
    <w:rsid w:val="000E644D"/>
    <w:rPr>
      <w:sz w:val="20"/>
      <w:szCs w:val="20"/>
    </w:rPr>
  </w:style>
  <w:style w:type="paragraph" w:styleId="CommentSubject">
    <w:name w:val="annotation subject"/>
    <w:basedOn w:val="CommentText"/>
    <w:next w:val="CommentText"/>
    <w:link w:val="CommentSubjectChar"/>
    <w:uiPriority w:val="99"/>
    <w:semiHidden/>
    <w:unhideWhenUsed/>
    <w:rsid w:val="000E644D"/>
    <w:rPr>
      <w:b/>
      <w:bCs/>
    </w:rPr>
  </w:style>
  <w:style w:type="character" w:customStyle="1" w:styleId="CommentSubjectChar">
    <w:name w:val="Comment Subject Char"/>
    <w:basedOn w:val="CommentTextChar"/>
    <w:link w:val="CommentSubject"/>
    <w:uiPriority w:val="99"/>
    <w:semiHidden/>
    <w:rsid w:val="000E64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6915C-2311-4A57-B199-7B3A56E07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16151</Words>
  <Characters>90774</Characters>
  <Application>Microsoft Office Word</Application>
  <DocSecurity>0</DocSecurity>
  <Lines>2017</Lines>
  <Paragraphs>980</Paragraphs>
  <ScaleCrop>false</ScaleCrop>
  <Company>FormatABNT.com</Company>
  <LinksUpToDate>false</LinksUpToDate>
  <CharactersWithSpaces>105945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FormatABNT.com</dc:creator>
  <cp:lastModifiedBy>Pedro Franck Minella</cp:lastModifiedBy>
  <cp:revision>2</cp:revision>
  <dcterms:created xsi:type="dcterms:W3CDTF">2026-05-18T23:03:00Z</dcterms:created>
  <dcterms:modified xsi:type="dcterms:W3CDTF">2026-05-18T23:03:00Z</dcterms:modified>
</cp:coreProperties>
</file>