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8359A" w14:textId="77777777" w:rsidR="0020033F" w:rsidRPr="009C7F96" w:rsidRDefault="0020033F" w:rsidP="00366C9E">
      <w:pPr>
        <w:spacing w:after="120"/>
        <w:ind w:firstLine="0"/>
        <w:jc w:val="center"/>
        <w:rPr>
          <w:rFonts w:cs="Times New Roman"/>
          <w:b/>
          <w:szCs w:val="24"/>
          <w:lang w:val="pt-BR"/>
        </w:rPr>
      </w:pPr>
      <w:r w:rsidRPr="009C7F96">
        <w:rPr>
          <w:rFonts w:cs="Times New Roman"/>
          <w:b/>
          <w:szCs w:val="24"/>
          <w:lang w:val="pt-BR"/>
        </w:rPr>
        <w:t>PEDRO FRANCK MINELLA</w:t>
      </w:r>
    </w:p>
    <w:p w14:paraId="2D2D4BDC" w14:textId="77777777" w:rsidR="0020033F" w:rsidRPr="009C7F96" w:rsidRDefault="0020033F" w:rsidP="0020033F">
      <w:pPr>
        <w:jc w:val="center"/>
        <w:rPr>
          <w:rFonts w:cs="Times New Roman"/>
          <w:b/>
          <w:szCs w:val="24"/>
          <w:lang w:val="pt-BR"/>
        </w:rPr>
      </w:pPr>
    </w:p>
    <w:p w14:paraId="3DC3F483" w14:textId="77777777" w:rsidR="0020033F" w:rsidRPr="009C7F96" w:rsidRDefault="0020033F" w:rsidP="0020033F">
      <w:pPr>
        <w:rPr>
          <w:rFonts w:cs="Times New Roman"/>
          <w:b/>
          <w:szCs w:val="24"/>
          <w:lang w:val="pt-BR"/>
        </w:rPr>
      </w:pPr>
    </w:p>
    <w:p w14:paraId="21882B45" w14:textId="77777777" w:rsidR="0020033F" w:rsidRPr="009C7F96" w:rsidRDefault="0020033F" w:rsidP="0020033F">
      <w:pPr>
        <w:rPr>
          <w:rFonts w:cs="Times New Roman"/>
          <w:b/>
          <w:szCs w:val="24"/>
          <w:lang w:val="pt-BR"/>
        </w:rPr>
      </w:pPr>
    </w:p>
    <w:p w14:paraId="7FF0BC32" w14:textId="77777777" w:rsidR="0020033F" w:rsidRPr="009C7F96" w:rsidRDefault="0020033F" w:rsidP="0020033F">
      <w:pPr>
        <w:rPr>
          <w:rFonts w:cs="Times New Roman"/>
          <w:b/>
          <w:szCs w:val="24"/>
          <w:lang w:val="pt-BR"/>
        </w:rPr>
      </w:pPr>
    </w:p>
    <w:p w14:paraId="5170CAF7" w14:textId="77777777" w:rsidR="0020033F" w:rsidRPr="009C7F96" w:rsidRDefault="0020033F" w:rsidP="0020033F">
      <w:pPr>
        <w:rPr>
          <w:rFonts w:cs="Times New Roman"/>
          <w:b/>
          <w:szCs w:val="24"/>
          <w:lang w:val="pt-BR"/>
        </w:rPr>
      </w:pPr>
    </w:p>
    <w:p w14:paraId="6F2748DC" w14:textId="77777777" w:rsidR="0020033F" w:rsidRPr="009C7F96" w:rsidRDefault="0020033F" w:rsidP="0020033F">
      <w:pPr>
        <w:rPr>
          <w:rFonts w:cs="Times New Roman"/>
          <w:b/>
          <w:szCs w:val="24"/>
          <w:lang w:val="pt-BR"/>
        </w:rPr>
      </w:pPr>
    </w:p>
    <w:p w14:paraId="512305AC" w14:textId="77777777" w:rsidR="0020033F" w:rsidRPr="009C7F96" w:rsidRDefault="0020033F" w:rsidP="0020033F">
      <w:pPr>
        <w:rPr>
          <w:rFonts w:cs="Times New Roman"/>
          <w:b/>
          <w:szCs w:val="24"/>
          <w:lang w:val="pt-BR"/>
        </w:rPr>
      </w:pPr>
    </w:p>
    <w:p w14:paraId="479D8B19" w14:textId="77777777" w:rsidR="0020033F" w:rsidRPr="009C7F96" w:rsidRDefault="0020033F" w:rsidP="0020033F">
      <w:pPr>
        <w:rPr>
          <w:rFonts w:cs="Times New Roman"/>
          <w:b/>
          <w:szCs w:val="24"/>
          <w:lang w:val="pt-BR"/>
        </w:rPr>
      </w:pPr>
    </w:p>
    <w:p w14:paraId="01EE2257" w14:textId="77777777" w:rsidR="0020033F" w:rsidRPr="009C7F96" w:rsidRDefault="0020033F" w:rsidP="0020033F">
      <w:pPr>
        <w:rPr>
          <w:rFonts w:cs="Times New Roman"/>
          <w:b/>
          <w:szCs w:val="24"/>
          <w:lang w:val="pt-BR"/>
        </w:rPr>
      </w:pPr>
    </w:p>
    <w:p w14:paraId="27A8186F" w14:textId="77777777" w:rsidR="0020033F" w:rsidRPr="009C7F96" w:rsidRDefault="0020033F" w:rsidP="0020033F">
      <w:pPr>
        <w:rPr>
          <w:rFonts w:cs="Times New Roman"/>
          <w:b/>
          <w:szCs w:val="24"/>
          <w:lang w:val="pt-BR"/>
        </w:rPr>
      </w:pPr>
    </w:p>
    <w:p w14:paraId="76BE0FF9" w14:textId="77777777" w:rsidR="0020033F" w:rsidRPr="009C7F96" w:rsidRDefault="0020033F" w:rsidP="0020033F">
      <w:pPr>
        <w:rPr>
          <w:rFonts w:cs="Times New Roman"/>
          <w:b/>
          <w:szCs w:val="24"/>
          <w:lang w:val="pt-BR"/>
        </w:rPr>
      </w:pPr>
    </w:p>
    <w:p w14:paraId="7477B665" w14:textId="77777777" w:rsidR="0020033F" w:rsidRPr="009C7F96" w:rsidRDefault="0020033F" w:rsidP="00CA3657">
      <w:pPr>
        <w:jc w:val="center"/>
        <w:rPr>
          <w:rFonts w:cs="Times New Roman"/>
          <w:b/>
          <w:szCs w:val="24"/>
          <w:lang w:val="pt-BR"/>
        </w:rPr>
      </w:pPr>
    </w:p>
    <w:p w14:paraId="2F9D331C" w14:textId="77777777" w:rsidR="0020033F" w:rsidRPr="00C2440A" w:rsidRDefault="00C2440A" w:rsidP="00CA3657">
      <w:pPr>
        <w:spacing w:after="120"/>
        <w:jc w:val="center"/>
        <w:rPr>
          <w:rFonts w:cs="Times New Roman"/>
          <w:b/>
          <w:sz w:val="28"/>
          <w:szCs w:val="28"/>
          <w:lang w:val="pt-BR"/>
        </w:rPr>
      </w:pPr>
      <w:r w:rsidRPr="00C2440A">
        <w:rPr>
          <w:rFonts w:cs="Times New Roman"/>
          <w:b/>
          <w:bCs/>
          <w:szCs w:val="28"/>
          <w:lang w:val="pt-BR"/>
        </w:rPr>
        <w:t>Efeitos dos Choques do Preço do Petróleo sobre a Inflação no Brasil: Evidências via Combustíveis, Petrobras, VAR e Local Projections entre 2003 e 2026</w:t>
      </w:r>
    </w:p>
    <w:p w14:paraId="3CBE7ABC" w14:textId="77777777" w:rsidR="0020033F" w:rsidRPr="009C7F96" w:rsidRDefault="0020033F" w:rsidP="0020033F">
      <w:pPr>
        <w:spacing w:after="120"/>
        <w:ind w:left="5040"/>
        <w:rPr>
          <w:rFonts w:cs="Times New Roman"/>
          <w:b/>
          <w:szCs w:val="24"/>
          <w:lang w:val="pt-BR"/>
        </w:rPr>
      </w:pPr>
      <w:r w:rsidRPr="009C7F96">
        <w:rPr>
          <w:rFonts w:cs="Times New Roman"/>
          <w:b/>
          <w:szCs w:val="24"/>
          <w:lang w:val="pt-BR"/>
        </w:rPr>
        <w:t xml:space="preserve">Trabalho de Conclusão de Curso apresentado como requisito para obtenção do título de Bacharel em Ciências Econômicas pelo Ibmec-DF </w:t>
      </w:r>
    </w:p>
    <w:p w14:paraId="727755A9" w14:textId="77777777" w:rsidR="0020033F" w:rsidRPr="009C7F96" w:rsidRDefault="0020033F" w:rsidP="0020033F">
      <w:pPr>
        <w:spacing w:after="120"/>
        <w:ind w:left="4320"/>
        <w:rPr>
          <w:rFonts w:cs="Times New Roman"/>
          <w:b/>
          <w:szCs w:val="24"/>
          <w:lang w:val="pt-BR"/>
        </w:rPr>
      </w:pPr>
      <w:r w:rsidRPr="009C7F96">
        <w:rPr>
          <w:rFonts w:cs="Times New Roman"/>
          <w:b/>
          <w:szCs w:val="24"/>
          <w:lang w:val="pt-BR"/>
        </w:rPr>
        <w:t>Orientador: Silvio Costa</w:t>
      </w:r>
    </w:p>
    <w:p w14:paraId="671E2CA7" w14:textId="77777777" w:rsidR="0020033F" w:rsidRPr="009C7F96" w:rsidRDefault="0020033F" w:rsidP="0020033F">
      <w:pPr>
        <w:spacing w:after="120"/>
        <w:ind w:left="4320"/>
        <w:rPr>
          <w:rFonts w:cs="Times New Roman"/>
          <w:b/>
          <w:szCs w:val="24"/>
          <w:lang w:val="pt-BR"/>
        </w:rPr>
      </w:pPr>
      <w:r w:rsidRPr="009C7F96">
        <w:rPr>
          <w:rFonts w:cs="Times New Roman"/>
          <w:b/>
          <w:szCs w:val="24"/>
          <w:lang w:val="pt-BR"/>
        </w:rPr>
        <w:t>Coordenador: Frederico Dias</w:t>
      </w:r>
    </w:p>
    <w:p w14:paraId="0BA3F10A" w14:textId="77777777" w:rsidR="0020033F" w:rsidRPr="009C7F96" w:rsidRDefault="0020033F" w:rsidP="0020033F">
      <w:pPr>
        <w:ind w:left="4320"/>
        <w:rPr>
          <w:rFonts w:cs="Times New Roman"/>
          <w:b/>
          <w:szCs w:val="24"/>
          <w:lang w:val="pt-BR"/>
        </w:rPr>
      </w:pPr>
    </w:p>
    <w:p w14:paraId="2B62D577" w14:textId="77777777" w:rsidR="0020033F" w:rsidRPr="009C7F96" w:rsidRDefault="0020033F" w:rsidP="0020033F">
      <w:pPr>
        <w:jc w:val="center"/>
        <w:rPr>
          <w:rFonts w:cs="Times New Roman"/>
          <w:b/>
          <w:szCs w:val="24"/>
          <w:lang w:val="pt-BR"/>
        </w:rPr>
      </w:pPr>
    </w:p>
    <w:p w14:paraId="09A3FEFD" w14:textId="77777777" w:rsidR="0020033F" w:rsidRPr="009C7F96" w:rsidRDefault="0020033F" w:rsidP="0020033F">
      <w:pPr>
        <w:jc w:val="center"/>
        <w:rPr>
          <w:rFonts w:cs="Times New Roman"/>
          <w:b/>
          <w:szCs w:val="24"/>
          <w:lang w:val="pt-BR"/>
        </w:rPr>
      </w:pPr>
    </w:p>
    <w:p w14:paraId="7379F1B2" w14:textId="77777777" w:rsidR="0020033F" w:rsidRPr="009C7F96" w:rsidRDefault="0020033F" w:rsidP="0020033F">
      <w:pPr>
        <w:jc w:val="center"/>
        <w:rPr>
          <w:rFonts w:cs="Times New Roman"/>
          <w:b/>
          <w:szCs w:val="24"/>
          <w:lang w:val="pt-BR"/>
        </w:rPr>
      </w:pPr>
    </w:p>
    <w:p w14:paraId="283A25F0" w14:textId="77777777" w:rsidR="0020033F" w:rsidRPr="009C7F96" w:rsidRDefault="0020033F" w:rsidP="0020033F">
      <w:pPr>
        <w:jc w:val="center"/>
        <w:rPr>
          <w:rFonts w:cs="Times New Roman"/>
          <w:b/>
          <w:szCs w:val="24"/>
          <w:lang w:val="pt-BR"/>
        </w:rPr>
      </w:pPr>
    </w:p>
    <w:p w14:paraId="59CE2DCB" w14:textId="77777777" w:rsidR="0020033F" w:rsidRPr="009C7F96" w:rsidRDefault="0020033F" w:rsidP="0020033F">
      <w:pPr>
        <w:ind w:firstLine="0"/>
        <w:rPr>
          <w:rFonts w:cs="Times New Roman"/>
          <w:b/>
          <w:szCs w:val="24"/>
          <w:lang w:val="pt-BR"/>
        </w:rPr>
      </w:pPr>
    </w:p>
    <w:p w14:paraId="55BFBB22" w14:textId="77777777" w:rsidR="0020033F" w:rsidRPr="009C7F96" w:rsidRDefault="0020033F" w:rsidP="005C3052">
      <w:pPr>
        <w:spacing w:after="120"/>
        <w:ind w:firstLine="0"/>
        <w:jc w:val="center"/>
        <w:rPr>
          <w:rFonts w:cs="Times New Roman"/>
          <w:b/>
          <w:szCs w:val="24"/>
          <w:lang w:val="pt-BR"/>
        </w:rPr>
      </w:pPr>
      <w:r w:rsidRPr="009C7F96">
        <w:rPr>
          <w:rFonts w:cs="Times New Roman"/>
          <w:b/>
          <w:szCs w:val="24"/>
          <w:lang w:val="pt-BR"/>
        </w:rPr>
        <w:t>Brasília/DF</w:t>
      </w:r>
    </w:p>
    <w:p w14:paraId="377AE0E4" w14:textId="77777777" w:rsidR="0020033F" w:rsidRPr="009C7F96" w:rsidRDefault="0020033F" w:rsidP="005C3052">
      <w:pPr>
        <w:spacing w:after="120"/>
        <w:ind w:firstLine="0"/>
        <w:jc w:val="center"/>
        <w:rPr>
          <w:rFonts w:cs="Times New Roman"/>
          <w:szCs w:val="24"/>
          <w:lang w:val="pt-BR"/>
        </w:rPr>
      </w:pPr>
      <w:r w:rsidRPr="009C7F96">
        <w:rPr>
          <w:rFonts w:cs="Times New Roman"/>
          <w:b/>
          <w:szCs w:val="24"/>
          <w:lang w:val="pt-BR"/>
        </w:rPr>
        <w:t>2026</w:t>
      </w:r>
      <w:r w:rsidRPr="009C7F96">
        <w:rPr>
          <w:rFonts w:cs="Times New Roman"/>
          <w:szCs w:val="24"/>
          <w:lang w:val="pt-BR"/>
        </w:rPr>
        <w:br w:type="page"/>
      </w:r>
    </w:p>
    <w:p w14:paraId="001266FF" w14:textId="77777777" w:rsidR="0020033F" w:rsidRPr="009C7F96" w:rsidRDefault="0020033F" w:rsidP="0020033F">
      <w:pPr>
        <w:spacing w:after="120"/>
        <w:rPr>
          <w:rFonts w:cs="Times New Roman"/>
          <w:szCs w:val="24"/>
          <w:lang w:val="pt-BR"/>
        </w:rPr>
      </w:pPr>
      <w:r w:rsidRPr="00366C9E">
        <w:rPr>
          <w:lang w:val="pt-BR"/>
        </w:rPr>
        <w:lastRenderedPageBreak/>
        <w:t>MINELLA, Pedro Franck. Efeitos dos Choques do Preço do Petróleo sobre a Inflação no Brasil: evidências via combustíveis, Petrobras, VAR, Local Projections e choques externos de oferta entre 2003 e 2026. 2026. Trabalho de Conclusão de Curso (Graduação em Ciências Econômicas) - Instituto Brasileiro de Mercado de Capitais, Brasília, DF, 2026.</w:t>
      </w:r>
      <w:r w:rsidRPr="00366C9E">
        <w:rPr>
          <w:lang w:val="pt-BR"/>
        </w:rPr>
        <w:br w:type="page"/>
      </w:r>
    </w:p>
    <w:p w14:paraId="5D05E1C8" w14:textId="77777777" w:rsidR="0020033F" w:rsidRPr="009C7F96" w:rsidRDefault="0020033F" w:rsidP="0020033F">
      <w:pPr>
        <w:pStyle w:val="Heading1"/>
        <w:rPr>
          <w:rFonts w:ascii="Times New Roman" w:hAnsi="Times New Roman" w:cs="Times New Roman"/>
          <w:szCs w:val="24"/>
        </w:rPr>
      </w:pPr>
      <w:bookmarkStart w:id="0" w:name="_heading=h.x9m7462j4c2f" w:colFirst="0" w:colLast="0"/>
      <w:bookmarkEnd w:id="0"/>
    </w:p>
    <w:p w14:paraId="45B3A8BF" w14:textId="77777777" w:rsidR="0020033F" w:rsidRPr="009C7F96" w:rsidRDefault="0020033F" w:rsidP="0020033F">
      <w:pPr>
        <w:rPr>
          <w:rFonts w:cs="Times New Roman"/>
          <w:szCs w:val="24"/>
          <w:lang w:val="pt-BR"/>
        </w:rPr>
      </w:pPr>
    </w:p>
    <w:p w14:paraId="185D8EDE" w14:textId="77777777" w:rsidR="0020033F" w:rsidRPr="009C7F96" w:rsidRDefault="0020033F" w:rsidP="0020033F">
      <w:pPr>
        <w:pStyle w:val="Heading1"/>
        <w:jc w:val="center"/>
        <w:rPr>
          <w:rFonts w:ascii="Times New Roman" w:hAnsi="Times New Roman" w:cs="Times New Roman"/>
          <w:szCs w:val="24"/>
        </w:rPr>
      </w:pPr>
      <w:bookmarkStart w:id="1" w:name="_Toc226412161"/>
      <w:bookmarkStart w:id="2" w:name="_Toc229695929"/>
      <w:r w:rsidRPr="009C7F96">
        <w:rPr>
          <w:rFonts w:ascii="Times New Roman" w:eastAsia="Times New Roman" w:hAnsi="Times New Roman" w:cs="Times New Roman"/>
          <w:szCs w:val="24"/>
        </w:rPr>
        <w:t>RESUMO</w:t>
      </w:r>
      <w:bookmarkEnd w:id="1"/>
      <w:bookmarkEnd w:id="2"/>
    </w:p>
    <w:p w14:paraId="583E8834" w14:textId="77777777" w:rsidR="0020033F" w:rsidRPr="009C7F96" w:rsidRDefault="0020033F" w:rsidP="0020033F">
      <w:pPr>
        <w:tabs>
          <w:tab w:val="left" w:pos="3402"/>
        </w:tabs>
        <w:spacing w:after="120"/>
        <w:rPr>
          <w:rFonts w:cs="Times New Roman"/>
          <w:szCs w:val="24"/>
          <w:lang w:val="pt-BR"/>
        </w:rPr>
      </w:pPr>
      <w:r w:rsidRPr="00366C9E">
        <w:rPr>
          <w:lang w:val="pt-BR"/>
        </w:rPr>
        <w:t>Este trabalho analisa em que medida choques no preço internacional do petróleo são transmitidos aos preços domésticos dos combustíveis e à inflação brasileira entre 2003 e 2026. A hipótese central é que o repasse ocorre principalmente por meio dos combustíveis, com maior intensidade no IPCA Transportes do que no IPCA Geral, e que a política de preços da Petrobras altera o timing e a magnitude dessa transmissão. A estratégia empírica principal utiliza Local Projections com respostas acumuladas, controles macroeconômicos, defasagens e inferência HAC/Newey-West. O trabalho também estima especificações com Brent em reais, modelos por regimes associados à Petrobras, testes de Wald para diferenças entre períodos e um exercício LP-IV que utiliza a série Oil Supply News Shock como instrumento externo para o petróleo em reais. Como robustez adicional, são utilizados modelos VAR com funções impulso-resposta, respostas acumuladas, FEVD e diagnósticos de resíduos. Os resultados indicam que os choques de petróleo são transmitidos de forma mais clara aos combustíveis, especialmente ao diesel e à gasolina de refinaria. O efeito sobre o IPCA Geral é limitado, enquanto o IPCA Transportes apresenta resposta mais forte e consistente. As evidências por regime indicam heterogeneidade no repasse, e o instrumento externo confirma que os efeitos inflacionários são mais visíveis no curto prazo e nos componentes ligados a transporte.</w:t>
      </w:r>
    </w:p>
    <w:p w14:paraId="71FC1D83" w14:textId="77777777" w:rsidR="0020033F" w:rsidRPr="009C7F96" w:rsidRDefault="0020033F" w:rsidP="0020033F">
      <w:pPr>
        <w:tabs>
          <w:tab w:val="left" w:pos="3402"/>
        </w:tabs>
        <w:rPr>
          <w:rFonts w:cs="Times New Roman"/>
          <w:szCs w:val="24"/>
          <w:lang w:val="pt-BR"/>
        </w:rPr>
      </w:pPr>
    </w:p>
    <w:p w14:paraId="700516A2" w14:textId="77777777" w:rsidR="0020033F" w:rsidRPr="009C7F96" w:rsidRDefault="0020033F" w:rsidP="0020033F">
      <w:pPr>
        <w:tabs>
          <w:tab w:val="left" w:pos="3402"/>
        </w:tabs>
        <w:spacing w:after="120"/>
        <w:rPr>
          <w:rFonts w:cs="Times New Roman"/>
          <w:szCs w:val="24"/>
          <w:lang w:val="pt-BR"/>
        </w:rPr>
      </w:pPr>
      <w:r w:rsidRPr="00366C9E">
        <w:rPr>
          <w:lang w:val="pt-BR"/>
        </w:rPr>
        <w:t>Palavras-chave: petróleo; combustíveis; inflação; Petrobras; Local Projections.</w:t>
      </w:r>
      <w:r w:rsidRPr="00366C9E">
        <w:rPr>
          <w:lang w:val="pt-BR"/>
        </w:rPr>
        <w:br w:type="page"/>
      </w:r>
    </w:p>
    <w:p w14:paraId="0E42425C" w14:textId="77777777" w:rsidR="005F0DB9" w:rsidRDefault="00000000">
      <w:pPr>
        <w:pStyle w:val="Heading1"/>
        <w:jc w:val="center"/>
      </w:pPr>
      <w:bookmarkStart w:id="3" w:name="_Toc229695930"/>
      <w:r>
        <w:rPr>
          <w:rFonts w:ascii="Times New Roman" w:eastAsia="Times New Roman" w:hAnsi="Times New Roman"/>
        </w:rPr>
        <w:lastRenderedPageBreak/>
        <w:t>SUMÁRIO</w:t>
      </w:r>
      <w:bookmarkEnd w:id="3"/>
    </w:p>
    <w:sdt>
      <w:sdtPr>
        <w:rPr>
          <w:rFonts w:ascii="Times New Roman" w:eastAsia="Times New Roman" w:hAnsi="Times New Roman" w:cstheme="minorBidi"/>
          <w:color w:val="auto"/>
          <w:sz w:val="20"/>
          <w:szCs w:val="20"/>
        </w:rPr>
        <w:id w:val="-813870202"/>
        <w:docPartObj>
          <w:docPartGallery w:val="Table of Contents"/>
          <w:docPartUnique/>
        </w:docPartObj>
      </w:sdtPr>
      <w:sdtEndPr>
        <w:rPr>
          <w:b/>
          <w:bCs/>
          <w:noProof/>
          <w:sz w:val="24"/>
          <w:szCs w:val="22"/>
        </w:rPr>
      </w:sdtEndPr>
      <w:sdtContent>
        <w:p w14:paraId="1EF8807E" w14:textId="77777777" w:rsidR="00D810CD" w:rsidRPr="002A26FC" w:rsidRDefault="00D810CD">
          <w:pPr>
            <w:pStyle w:val="TOCHeading"/>
            <w:rPr>
              <w:rFonts w:ascii="Times New Roman" w:hAnsi="Times New Roman" w:cs="Times New Roman"/>
              <w:sz w:val="20"/>
              <w:szCs w:val="20"/>
            </w:rPr>
          </w:pPr>
          <w:r w:rsidRPr="002A26FC">
            <w:rPr>
              <w:rFonts w:ascii="Times New Roman" w:hAnsi="Times New Roman" w:cs="Times New Roman"/>
              <w:sz w:val="20"/>
              <w:szCs w:val="20"/>
            </w:rPr>
            <w:t>Contents</w:t>
          </w:r>
        </w:p>
        <w:p w14:paraId="3E6616AC" w14:textId="77777777" w:rsidR="002A26FC" w:rsidRPr="002A26FC" w:rsidRDefault="00D810CD">
          <w:pPr>
            <w:pStyle w:val="TOC1"/>
            <w:tabs>
              <w:tab w:val="right" w:leader="dot" w:pos="9395"/>
            </w:tabs>
            <w:rPr>
              <w:rFonts w:eastAsiaTheme="minorEastAsia" w:cs="Times New Roman"/>
              <w:noProof/>
              <w:kern w:val="2"/>
              <w:sz w:val="20"/>
              <w:szCs w:val="20"/>
              <w:lang w:val="pt-BR" w:eastAsia="pt-BR"/>
              <w14:ligatures w14:val="standardContextual"/>
            </w:rPr>
          </w:pPr>
          <w:r w:rsidRPr="002A26FC">
            <w:rPr>
              <w:rFonts w:cs="Times New Roman"/>
              <w:sz w:val="20"/>
              <w:szCs w:val="20"/>
            </w:rPr>
            <w:fldChar w:fldCharType="begin"/>
          </w:r>
          <w:r w:rsidRPr="002A26FC">
            <w:rPr>
              <w:rFonts w:cs="Times New Roman"/>
              <w:sz w:val="20"/>
              <w:szCs w:val="20"/>
            </w:rPr>
            <w:instrText xml:space="preserve"> TOC \o "1-3" \h \z \u </w:instrText>
          </w:r>
          <w:r w:rsidRPr="002A26FC">
            <w:rPr>
              <w:rFonts w:cs="Times New Roman"/>
              <w:sz w:val="20"/>
              <w:szCs w:val="20"/>
            </w:rPr>
            <w:fldChar w:fldCharType="separate"/>
          </w:r>
          <w:hyperlink w:anchor="_Toc229695929" w:history="1">
            <w:r w:rsidR="002A26FC" w:rsidRPr="002A26FC">
              <w:rPr>
                <w:rStyle w:val="Hyperlink"/>
                <w:rFonts w:cs="Times New Roman"/>
                <w:noProof/>
                <w:sz w:val="20"/>
                <w:szCs w:val="20"/>
              </w:rPr>
              <w:t>RESUMO</w:t>
            </w:r>
            <w:r w:rsidR="002A26FC" w:rsidRPr="002A26FC">
              <w:rPr>
                <w:rFonts w:cs="Times New Roman"/>
                <w:noProof/>
                <w:webHidden/>
                <w:sz w:val="20"/>
                <w:szCs w:val="20"/>
              </w:rPr>
              <w:tab/>
            </w:r>
            <w:r w:rsidR="002A26FC" w:rsidRPr="002A26FC">
              <w:rPr>
                <w:rFonts w:cs="Times New Roman"/>
                <w:noProof/>
                <w:webHidden/>
                <w:sz w:val="20"/>
                <w:szCs w:val="20"/>
              </w:rPr>
              <w:fldChar w:fldCharType="begin"/>
            </w:r>
            <w:r w:rsidR="002A26FC" w:rsidRPr="002A26FC">
              <w:rPr>
                <w:rFonts w:cs="Times New Roman"/>
                <w:noProof/>
                <w:webHidden/>
                <w:sz w:val="20"/>
                <w:szCs w:val="20"/>
              </w:rPr>
              <w:instrText xml:space="preserve"> PAGEREF _Toc229695929 \h </w:instrText>
            </w:r>
            <w:r w:rsidR="002A26FC" w:rsidRPr="002A26FC">
              <w:rPr>
                <w:rFonts w:cs="Times New Roman"/>
                <w:noProof/>
                <w:webHidden/>
                <w:sz w:val="20"/>
                <w:szCs w:val="20"/>
              </w:rPr>
            </w:r>
            <w:r w:rsidR="002A26FC" w:rsidRPr="002A26FC">
              <w:rPr>
                <w:rFonts w:cs="Times New Roman"/>
                <w:noProof/>
                <w:webHidden/>
                <w:sz w:val="20"/>
                <w:szCs w:val="20"/>
              </w:rPr>
              <w:fldChar w:fldCharType="separate"/>
            </w:r>
            <w:r w:rsidR="002A26FC" w:rsidRPr="002A26FC">
              <w:rPr>
                <w:rFonts w:cs="Times New Roman"/>
                <w:noProof/>
                <w:webHidden/>
                <w:sz w:val="20"/>
                <w:szCs w:val="20"/>
              </w:rPr>
              <w:t>3</w:t>
            </w:r>
            <w:r w:rsidR="002A26FC" w:rsidRPr="002A26FC">
              <w:rPr>
                <w:rFonts w:cs="Times New Roman"/>
                <w:noProof/>
                <w:webHidden/>
                <w:sz w:val="20"/>
                <w:szCs w:val="20"/>
              </w:rPr>
              <w:fldChar w:fldCharType="end"/>
            </w:r>
          </w:hyperlink>
        </w:p>
        <w:p w14:paraId="6D80A776" w14:textId="77777777" w:rsidR="002A26FC" w:rsidRPr="002A26FC" w:rsidRDefault="002A26FC">
          <w:pPr>
            <w:pStyle w:val="TOC1"/>
            <w:tabs>
              <w:tab w:val="right" w:leader="dot" w:pos="9395"/>
            </w:tabs>
            <w:rPr>
              <w:rFonts w:eastAsiaTheme="minorEastAsia" w:cs="Times New Roman"/>
              <w:noProof/>
              <w:kern w:val="2"/>
              <w:sz w:val="20"/>
              <w:szCs w:val="20"/>
              <w:lang w:val="pt-BR" w:eastAsia="pt-BR"/>
              <w14:ligatures w14:val="standardContextual"/>
            </w:rPr>
          </w:pPr>
          <w:hyperlink w:anchor="_Toc229695930" w:history="1">
            <w:r w:rsidRPr="002A26FC">
              <w:rPr>
                <w:rStyle w:val="Hyperlink"/>
                <w:rFonts w:cs="Times New Roman"/>
                <w:noProof/>
                <w:sz w:val="20"/>
                <w:szCs w:val="20"/>
              </w:rPr>
              <w:t>SUMÁRIO</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_Toc229695930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4</w:t>
            </w:r>
            <w:r w:rsidRPr="002A26FC">
              <w:rPr>
                <w:rFonts w:cs="Times New Roman"/>
                <w:noProof/>
                <w:webHidden/>
                <w:sz w:val="20"/>
                <w:szCs w:val="20"/>
              </w:rPr>
              <w:fldChar w:fldCharType="end"/>
            </w:r>
          </w:hyperlink>
        </w:p>
        <w:p w14:paraId="7BA5580B" w14:textId="77777777" w:rsidR="002A26FC" w:rsidRPr="002A26FC" w:rsidRDefault="002A26FC">
          <w:pPr>
            <w:pStyle w:val="TOC1"/>
            <w:tabs>
              <w:tab w:val="right" w:leader="dot" w:pos="9395"/>
            </w:tabs>
            <w:rPr>
              <w:rFonts w:eastAsiaTheme="minorEastAsia" w:cs="Times New Roman"/>
              <w:noProof/>
              <w:kern w:val="2"/>
              <w:sz w:val="20"/>
              <w:szCs w:val="20"/>
              <w:lang w:val="pt-BR" w:eastAsia="pt-BR"/>
              <w14:ligatures w14:val="standardContextual"/>
            </w:rPr>
          </w:pPr>
          <w:hyperlink w:anchor="_Toc229695931" w:history="1">
            <w:r w:rsidRPr="002A26FC">
              <w:rPr>
                <w:rStyle w:val="Hyperlink"/>
                <w:rFonts w:cs="Times New Roman"/>
                <w:noProof/>
                <w:sz w:val="20"/>
                <w:szCs w:val="20"/>
              </w:rPr>
              <w:t>1 INTRODUÇÃO</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_Toc229695931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7</w:t>
            </w:r>
            <w:r w:rsidRPr="002A26FC">
              <w:rPr>
                <w:rFonts w:cs="Times New Roman"/>
                <w:noProof/>
                <w:webHidden/>
                <w:sz w:val="20"/>
                <w:szCs w:val="20"/>
              </w:rPr>
              <w:fldChar w:fldCharType="end"/>
            </w:r>
          </w:hyperlink>
        </w:p>
        <w:p w14:paraId="112F99B5" w14:textId="77777777" w:rsidR="002A26FC" w:rsidRPr="002A26FC" w:rsidRDefault="002A26FC">
          <w:pPr>
            <w:pStyle w:val="TOC1"/>
            <w:tabs>
              <w:tab w:val="right" w:leader="dot" w:pos="9395"/>
            </w:tabs>
            <w:rPr>
              <w:rFonts w:eastAsiaTheme="minorEastAsia" w:cs="Times New Roman"/>
              <w:noProof/>
              <w:kern w:val="2"/>
              <w:sz w:val="20"/>
              <w:szCs w:val="20"/>
              <w:lang w:val="pt-BR" w:eastAsia="pt-BR"/>
              <w14:ligatures w14:val="standardContextual"/>
            </w:rPr>
          </w:pPr>
          <w:hyperlink w:anchor="_Toc229695932" w:history="1">
            <w:r w:rsidRPr="002A26FC">
              <w:rPr>
                <w:rStyle w:val="Hyperlink"/>
                <w:rFonts w:cs="Times New Roman"/>
                <w:noProof/>
                <w:sz w:val="20"/>
                <w:szCs w:val="20"/>
              </w:rPr>
              <w:t>2 REVISÃO BIBLIOGRÁFICA</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_Toc229695932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10</w:t>
            </w:r>
            <w:r w:rsidRPr="002A26FC">
              <w:rPr>
                <w:rFonts w:cs="Times New Roman"/>
                <w:noProof/>
                <w:webHidden/>
                <w:sz w:val="20"/>
                <w:szCs w:val="20"/>
              </w:rPr>
              <w:fldChar w:fldCharType="end"/>
            </w:r>
          </w:hyperlink>
        </w:p>
        <w:p w14:paraId="6A286408"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33" w:history="1">
            <w:r w:rsidRPr="002A26FC">
              <w:rPr>
                <w:rStyle w:val="Hyperlink"/>
                <w:rFonts w:cs="Times New Roman"/>
                <w:noProof/>
                <w:sz w:val="20"/>
                <w:szCs w:val="20"/>
              </w:rPr>
              <w:t>2.1 Choques do petróleo, inflação e atividade econômica</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_Toc229695933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11</w:t>
            </w:r>
            <w:r w:rsidRPr="002A26FC">
              <w:rPr>
                <w:rFonts w:cs="Times New Roman"/>
                <w:noProof/>
                <w:webHidden/>
                <w:sz w:val="20"/>
                <w:szCs w:val="20"/>
              </w:rPr>
              <w:fldChar w:fldCharType="end"/>
            </w:r>
          </w:hyperlink>
        </w:p>
        <w:p w14:paraId="2A927859"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34" w:history="1">
            <w:r w:rsidRPr="002A26FC">
              <w:rPr>
                <w:rStyle w:val="Hyperlink"/>
                <w:rFonts w:cs="Times New Roman"/>
                <w:noProof/>
                <w:sz w:val="20"/>
                <w:szCs w:val="20"/>
              </w:rPr>
              <w:t>2.2 Petróleo em moeda doméstica, câmbio e pass-through inflacionário</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_Toc229695934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13</w:t>
            </w:r>
            <w:r w:rsidRPr="002A26FC">
              <w:rPr>
                <w:rFonts w:cs="Times New Roman"/>
                <w:noProof/>
                <w:webHidden/>
                <w:sz w:val="20"/>
                <w:szCs w:val="20"/>
              </w:rPr>
              <w:fldChar w:fldCharType="end"/>
            </w:r>
          </w:hyperlink>
        </w:p>
        <w:p w14:paraId="501FC852"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35" w:history="1">
            <w:r w:rsidRPr="002A26FC">
              <w:rPr>
                <w:rStyle w:val="Hyperlink"/>
                <w:rFonts w:cs="Times New Roman"/>
                <w:noProof/>
                <w:sz w:val="20"/>
                <w:szCs w:val="20"/>
              </w:rPr>
              <w:t>2.3 Formação dos preços de combustíveis e especificidades brasileiras</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_Toc229695935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14</w:t>
            </w:r>
            <w:r w:rsidRPr="002A26FC">
              <w:rPr>
                <w:rFonts w:cs="Times New Roman"/>
                <w:noProof/>
                <w:webHidden/>
                <w:sz w:val="20"/>
                <w:szCs w:val="20"/>
              </w:rPr>
              <w:fldChar w:fldCharType="end"/>
            </w:r>
          </w:hyperlink>
        </w:p>
        <w:p w14:paraId="6E54D165"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36" w:history="1">
            <w:r w:rsidRPr="002A26FC">
              <w:rPr>
                <w:rStyle w:val="Hyperlink"/>
                <w:rFonts w:cs="Times New Roman"/>
                <w:noProof/>
                <w:sz w:val="20"/>
                <w:szCs w:val="20"/>
              </w:rPr>
              <w:t>2.4 Evidências empíricas internacionais sobre petróleo e inflação</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_Toc229695936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15</w:t>
            </w:r>
            <w:r w:rsidRPr="002A26FC">
              <w:rPr>
                <w:rFonts w:cs="Times New Roman"/>
                <w:noProof/>
                <w:webHidden/>
                <w:sz w:val="20"/>
                <w:szCs w:val="20"/>
              </w:rPr>
              <w:fldChar w:fldCharType="end"/>
            </w:r>
          </w:hyperlink>
        </w:p>
        <w:p w14:paraId="46F20734"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37" w:history="1">
            <w:r w:rsidRPr="002A26FC">
              <w:rPr>
                <w:rStyle w:val="Hyperlink"/>
                <w:rFonts w:cs="Times New Roman"/>
                <w:noProof/>
                <w:sz w:val="20"/>
                <w:szCs w:val="20"/>
              </w:rPr>
              <w:t>2.5 Modelos VAR e funções impulso-resposta como referência de robustez</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_Toc229695937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17</w:t>
            </w:r>
            <w:r w:rsidRPr="002A26FC">
              <w:rPr>
                <w:rFonts w:cs="Times New Roman"/>
                <w:noProof/>
                <w:webHidden/>
                <w:sz w:val="20"/>
                <w:szCs w:val="20"/>
              </w:rPr>
              <w:fldChar w:fldCharType="end"/>
            </w:r>
          </w:hyperlink>
        </w:p>
        <w:p w14:paraId="4E0B24F0"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38" w:history="1">
            <w:r w:rsidRPr="002A26FC">
              <w:rPr>
                <w:rStyle w:val="Hyperlink"/>
                <w:rFonts w:cs="Times New Roman"/>
                <w:noProof/>
                <w:sz w:val="20"/>
                <w:szCs w:val="20"/>
              </w:rPr>
              <w:t>2.6 Local projections: fundamentos metodológicos</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_Toc229695938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19</w:t>
            </w:r>
            <w:r w:rsidRPr="002A26FC">
              <w:rPr>
                <w:rFonts w:cs="Times New Roman"/>
                <w:noProof/>
                <w:webHidden/>
                <w:sz w:val="20"/>
                <w:szCs w:val="20"/>
              </w:rPr>
              <w:fldChar w:fldCharType="end"/>
            </w:r>
          </w:hyperlink>
        </w:p>
        <w:p w14:paraId="1C94FD3B"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39" w:history="1">
            <w:r w:rsidRPr="002A26FC">
              <w:rPr>
                <w:rStyle w:val="Hyperlink"/>
                <w:rFonts w:cs="Times New Roman"/>
                <w:noProof/>
                <w:sz w:val="20"/>
                <w:szCs w:val="20"/>
              </w:rPr>
              <w:t>2.7 Extensões de local projections relevantes para o tema</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_Toc229695939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20</w:t>
            </w:r>
            <w:r w:rsidRPr="002A26FC">
              <w:rPr>
                <w:rFonts w:cs="Times New Roman"/>
                <w:noProof/>
                <w:webHidden/>
                <w:sz w:val="20"/>
                <w:szCs w:val="20"/>
              </w:rPr>
              <w:fldChar w:fldCharType="end"/>
            </w:r>
          </w:hyperlink>
        </w:p>
        <w:p w14:paraId="1AC38572"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40" w:history="1">
            <w:r w:rsidRPr="002A26FC">
              <w:rPr>
                <w:rStyle w:val="Hyperlink"/>
                <w:rFonts w:cs="Times New Roman"/>
                <w:noProof/>
                <w:sz w:val="20"/>
                <w:szCs w:val="20"/>
              </w:rPr>
              <w:t>2.8 Aplicação ao canal Petrobras, combustíveis e IPCA</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_Toc229695940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23</w:t>
            </w:r>
            <w:r w:rsidRPr="002A26FC">
              <w:rPr>
                <w:rFonts w:cs="Times New Roman"/>
                <w:noProof/>
                <w:webHidden/>
                <w:sz w:val="20"/>
                <w:szCs w:val="20"/>
              </w:rPr>
              <w:fldChar w:fldCharType="end"/>
            </w:r>
          </w:hyperlink>
        </w:p>
        <w:p w14:paraId="59E3250E"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41" w:history="1">
            <w:r w:rsidRPr="002A26FC">
              <w:rPr>
                <w:rStyle w:val="Hyperlink"/>
                <w:rFonts w:cs="Times New Roman"/>
                <w:noProof/>
                <w:sz w:val="20"/>
                <w:szCs w:val="20"/>
              </w:rPr>
              <w:t>2.9 Síntese crítica da literatura e contribuição da pesquisa</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_Toc229695941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25</w:t>
            </w:r>
            <w:r w:rsidRPr="002A26FC">
              <w:rPr>
                <w:rFonts w:cs="Times New Roman"/>
                <w:noProof/>
                <w:webHidden/>
                <w:sz w:val="20"/>
                <w:szCs w:val="20"/>
              </w:rPr>
              <w:fldChar w:fldCharType="end"/>
            </w:r>
          </w:hyperlink>
        </w:p>
        <w:p w14:paraId="7A115E3A"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42" w:history="1">
            <w:r w:rsidRPr="002A26FC">
              <w:rPr>
                <w:rStyle w:val="Hyperlink"/>
                <w:rFonts w:cs="Times New Roman"/>
                <w:noProof/>
                <w:sz w:val="20"/>
                <w:szCs w:val="20"/>
              </w:rPr>
              <w:t>2.10 Síntese dos principais modelos incorporados</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_Toc229695942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26</w:t>
            </w:r>
            <w:r w:rsidRPr="002A26FC">
              <w:rPr>
                <w:rFonts w:cs="Times New Roman"/>
                <w:noProof/>
                <w:webHidden/>
                <w:sz w:val="20"/>
                <w:szCs w:val="20"/>
              </w:rPr>
              <w:fldChar w:fldCharType="end"/>
            </w:r>
          </w:hyperlink>
        </w:p>
        <w:p w14:paraId="0758D69A" w14:textId="77777777" w:rsidR="002A26FC" w:rsidRPr="002A26FC" w:rsidRDefault="002A26FC">
          <w:pPr>
            <w:pStyle w:val="TOC1"/>
            <w:tabs>
              <w:tab w:val="right" w:leader="dot" w:pos="9395"/>
            </w:tabs>
            <w:rPr>
              <w:rFonts w:eastAsiaTheme="minorEastAsia" w:cs="Times New Roman"/>
              <w:noProof/>
              <w:kern w:val="2"/>
              <w:sz w:val="20"/>
              <w:szCs w:val="20"/>
              <w:lang w:val="pt-BR" w:eastAsia="pt-BR"/>
              <w14:ligatures w14:val="standardContextual"/>
            </w:rPr>
          </w:pPr>
          <w:hyperlink w:anchor="_Toc229695943" w:history="1">
            <w:r w:rsidRPr="002A26FC">
              <w:rPr>
                <w:rStyle w:val="Hyperlink"/>
                <w:rFonts w:cs="Times New Roman"/>
                <w:noProof/>
                <w:sz w:val="20"/>
                <w:szCs w:val="20"/>
              </w:rPr>
              <w:t>3 METODOLOGIA</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_Toc229695943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27</w:t>
            </w:r>
            <w:r w:rsidRPr="002A26FC">
              <w:rPr>
                <w:rFonts w:cs="Times New Roman"/>
                <w:noProof/>
                <w:webHidden/>
                <w:sz w:val="20"/>
                <w:szCs w:val="20"/>
              </w:rPr>
              <w:fldChar w:fldCharType="end"/>
            </w:r>
          </w:hyperlink>
        </w:p>
        <w:p w14:paraId="762D8B6A"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44" w:history="1">
            <w:r w:rsidRPr="002A26FC">
              <w:rPr>
                <w:rStyle w:val="Hyperlink"/>
                <w:rFonts w:cs="Times New Roman"/>
                <w:noProof/>
                <w:sz w:val="20"/>
                <w:szCs w:val="20"/>
              </w:rPr>
              <w:t>3.1 Base de dados, frequência e amostra</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_Toc229695944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27</w:t>
            </w:r>
            <w:r w:rsidRPr="002A26FC">
              <w:rPr>
                <w:rFonts w:cs="Times New Roman"/>
                <w:noProof/>
                <w:webHidden/>
                <w:sz w:val="20"/>
                <w:szCs w:val="20"/>
              </w:rPr>
              <w:fldChar w:fldCharType="end"/>
            </w:r>
          </w:hyperlink>
        </w:p>
        <w:p w14:paraId="4C4A478F"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45" w:history="1">
            <w:r w:rsidRPr="002A26FC">
              <w:rPr>
                <w:rStyle w:val="Hyperlink"/>
                <w:rFonts w:cs="Times New Roman"/>
                <w:noProof/>
                <w:sz w:val="20"/>
                <w:szCs w:val="20"/>
              </w:rPr>
              <w:t>3.2 Transformação das séries</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_Toc229695945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28</w:t>
            </w:r>
            <w:r w:rsidRPr="002A26FC">
              <w:rPr>
                <w:rFonts w:cs="Times New Roman"/>
                <w:noProof/>
                <w:webHidden/>
                <w:sz w:val="20"/>
                <w:szCs w:val="20"/>
              </w:rPr>
              <w:fldChar w:fldCharType="end"/>
            </w:r>
          </w:hyperlink>
        </w:p>
        <w:p w14:paraId="58A82213"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46" w:history="1">
            <w:r w:rsidRPr="002A26FC">
              <w:rPr>
                <w:rStyle w:val="Hyperlink"/>
                <w:rFonts w:cs="Times New Roman"/>
                <w:noProof/>
                <w:sz w:val="20"/>
                <w:szCs w:val="20"/>
              </w:rPr>
              <w:t>3.3 Testes preliminares das séries</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_Toc229695946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29</w:t>
            </w:r>
            <w:r w:rsidRPr="002A26FC">
              <w:rPr>
                <w:rFonts w:cs="Times New Roman"/>
                <w:noProof/>
                <w:webHidden/>
                <w:sz w:val="20"/>
                <w:szCs w:val="20"/>
              </w:rPr>
              <w:fldChar w:fldCharType="end"/>
            </w:r>
          </w:hyperlink>
        </w:p>
        <w:p w14:paraId="453006AC"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47" w:history="1">
            <w:r w:rsidRPr="002A26FC">
              <w:rPr>
                <w:rStyle w:val="Hyperlink"/>
                <w:rFonts w:cs="Times New Roman"/>
                <w:noProof/>
                <w:sz w:val="20"/>
                <w:szCs w:val="20"/>
              </w:rPr>
              <w:t>3.4 Modelo principal: Local Projections</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_Toc229695947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30</w:t>
            </w:r>
            <w:r w:rsidRPr="002A26FC">
              <w:rPr>
                <w:rFonts w:cs="Times New Roman"/>
                <w:noProof/>
                <w:webHidden/>
                <w:sz w:val="20"/>
                <w:szCs w:val="20"/>
              </w:rPr>
              <w:fldChar w:fldCharType="end"/>
            </w:r>
          </w:hyperlink>
        </w:p>
        <w:p w14:paraId="5E7CD12B"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48" w:history="1">
            <w:r w:rsidRPr="002A26FC">
              <w:rPr>
                <w:rStyle w:val="Hyperlink"/>
                <w:rFonts w:cs="Times New Roman"/>
                <w:noProof/>
                <w:sz w:val="20"/>
                <w:szCs w:val="20"/>
              </w:rPr>
              <w:t>3.5 Controles, defasagens e inferência nas Local Projections</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_Toc229695948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31</w:t>
            </w:r>
            <w:r w:rsidRPr="002A26FC">
              <w:rPr>
                <w:rFonts w:cs="Times New Roman"/>
                <w:noProof/>
                <w:webHidden/>
                <w:sz w:val="20"/>
                <w:szCs w:val="20"/>
              </w:rPr>
              <w:fldChar w:fldCharType="end"/>
            </w:r>
          </w:hyperlink>
        </w:p>
        <w:p w14:paraId="757152E8"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49" w:history="1">
            <w:r w:rsidRPr="002A26FC">
              <w:rPr>
                <w:rStyle w:val="Hyperlink"/>
                <w:rFonts w:cs="Times New Roman"/>
                <w:noProof/>
                <w:sz w:val="20"/>
                <w:szCs w:val="20"/>
              </w:rPr>
              <w:t>3.6 Blocos de transmissão nas Local Projections</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_Toc229695949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32</w:t>
            </w:r>
            <w:r w:rsidRPr="002A26FC">
              <w:rPr>
                <w:rFonts w:cs="Times New Roman"/>
                <w:noProof/>
                <w:webHidden/>
                <w:sz w:val="20"/>
                <w:szCs w:val="20"/>
              </w:rPr>
              <w:fldChar w:fldCharType="end"/>
            </w:r>
          </w:hyperlink>
        </w:p>
        <w:p w14:paraId="17868AE4"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50" w:history="1">
            <w:r w:rsidRPr="002A26FC">
              <w:rPr>
                <w:rStyle w:val="Hyperlink"/>
                <w:rFonts w:cs="Times New Roman"/>
                <w:noProof/>
                <w:sz w:val="20"/>
                <w:szCs w:val="20"/>
              </w:rPr>
              <w:t>3.7 Modelo VAR como exercício de robustez</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_Toc229695950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33</w:t>
            </w:r>
            <w:r w:rsidRPr="002A26FC">
              <w:rPr>
                <w:rFonts w:cs="Times New Roman"/>
                <w:noProof/>
                <w:webHidden/>
                <w:sz w:val="20"/>
                <w:szCs w:val="20"/>
              </w:rPr>
              <w:fldChar w:fldCharType="end"/>
            </w:r>
          </w:hyperlink>
        </w:p>
        <w:p w14:paraId="1F8B0301"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51" w:history="1">
            <w:r w:rsidRPr="002A26FC">
              <w:rPr>
                <w:rStyle w:val="Hyperlink"/>
                <w:rFonts w:cs="Times New Roman"/>
                <w:noProof/>
                <w:sz w:val="20"/>
                <w:szCs w:val="20"/>
              </w:rPr>
              <w:t>3.8 Identificação, Cholesky e funções impulso-resposta no VAR</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_Toc229695951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34</w:t>
            </w:r>
            <w:r w:rsidRPr="002A26FC">
              <w:rPr>
                <w:rFonts w:cs="Times New Roman"/>
                <w:noProof/>
                <w:webHidden/>
                <w:sz w:val="20"/>
                <w:szCs w:val="20"/>
              </w:rPr>
              <w:fldChar w:fldCharType="end"/>
            </w:r>
          </w:hyperlink>
        </w:p>
        <w:p w14:paraId="32FEFD5A"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52" w:history="1">
            <w:r w:rsidRPr="002A26FC">
              <w:rPr>
                <w:rStyle w:val="Hyperlink"/>
                <w:rFonts w:cs="Times New Roman"/>
                <w:noProof/>
                <w:sz w:val="20"/>
                <w:szCs w:val="20"/>
              </w:rPr>
              <w:t>3.9 Decomposição da variância do erro de previsão: FEVD</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_Toc229695952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35</w:t>
            </w:r>
            <w:r w:rsidRPr="002A26FC">
              <w:rPr>
                <w:rFonts w:cs="Times New Roman"/>
                <w:noProof/>
                <w:webHidden/>
                <w:sz w:val="20"/>
                <w:szCs w:val="20"/>
              </w:rPr>
              <w:fldChar w:fldCharType="end"/>
            </w:r>
          </w:hyperlink>
        </w:p>
        <w:p w14:paraId="7B4A442D"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53" w:history="1">
            <w:r w:rsidRPr="002A26FC">
              <w:rPr>
                <w:rStyle w:val="Hyperlink"/>
                <w:rFonts w:cs="Times New Roman"/>
                <w:noProof/>
                <w:sz w:val="20"/>
                <w:szCs w:val="20"/>
              </w:rPr>
              <w:t>3.10 Diagnósticos estatísticos do VAR</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_Toc229695953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36</w:t>
            </w:r>
            <w:r w:rsidRPr="002A26FC">
              <w:rPr>
                <w:rFonts w:cs="Times New Roman"/>
                <w:noProof/>
                <w:webHidden/>
                <w:sz w:val="20"/>
                <w:szCs w:val="20"/>
              </w:rPr>
              <w:fldChar w:fldCharType="end"/>
            </w:r>
          </w:hyperlink>
        </w:p>
        <w:p w14:paraId="6B26746C"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54" w:history="1">
            <w:r w:rsidRPr="002A26FC">
              <w:rPr>
                <w:rStyle w:val="Hyperlink"/>
                <w:rFonts w:cs="Times New Roman"/>
                <w:noProof/>
                <w:sz w:val="20"/>
                <w:szCs w:val="20"/>
              </w:rPr>
              <w:t>3.11 Critérios de comparação entre Local Projections e VAR</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_Toc229695954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37</w:t>
            </w:r>
            <w:r w:rsidRPr="002A26FC">
              <w:rPr>
                <w:rFonts w:cs="Times New Roman"/>
                <w:noProof/>
                <w:webHidden/>
                <w:sz w:val="20"/>
                <w:szCs w:val="20"/>
              </w:rPr>
              <w:fldChar w:fldCharType="end"/>
            </w:r>
          </w:hyperlink>
        </w:p>
        <w:p w14:paraId="3D4D39A9" w14:textId="77777777" w:rsidR="002A26FC" w:rsidRPr="002A26FC" w:rsidRDefault="002A26FC">
          <w:pPr>
            <w:pStyle w:val="TOC1"/>
            <w:tabs>
              <w:tab w:val="right" w:leader="dot" w:pos="9395"/>
            </w:tabs>
            <w:rPr>
              <w:rFonts w:eastAsiaTheme="minorEastAsia" w:cs="Times New Roman"/>
              <w:noProof/>
              <w:kern w:val="2"/>
              <w:sz w:val="20"/>
              <w:szCs w:val="20"/>
              <w:lang w:val="pt-BR" w:eastAsia="pt-BR"/>
              <w14:ligatures w14:val="standardContextual"/>
            </w:rPr>
          </w:pPr>
          <w:hyperlink w:anchor="_Toc229695955" w:history="1">
            <w:r w:rsidRPr="002A26FC">
              <w:rPr>
                <w:rStyle w:val="Hyperlink"/>
                <w:rFonts w:cs="Times New Roman"/>
                <w:noProof/>
                <w:sz w:val="20"/>
                <w:szCs w:val="20"/>
              </w:rPr>
              <w:t>4 RESULTADOS</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_Toc229695955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38</w:t>
            </w:r>
            <w:r w:rsidRPr="002A26FC">
              <w:rPr>
                <w:rFonts w:cs="Times New Roman"/>
                <w:noProof/>
                <w:webHidden/>
                <w:sz w:val="20"/>
                <w:szCs w:val="20"/>
              </w:rPr>
              <w:fldChar w:fldCharType="end"/>
            </w:r>
          </w:hyperlink>
        </w:p>
        <w:p w14:paraId="56A9EDEC"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56" w:history="1">
            <w:r w:rsidRPr="002A26FC">
              <w:rPr>
                <w:rStyle w:val="Hyperlink"/>
                <w:rFonts w:cs="Times New Roman"/>
                <w:noProof/>
                <w:sz w:val="20"/>
                <w:szCs w:val="20"/>
              </w:rPr>
              <w:t>4.1 Comparação entre as especificações estimadas</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_Toc229695956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39</w:t>
            </w:r>
            <w:r w:rsidRPr="002A26FC">
              <w:rPr>
                <w:rFonts w:cs="Times New Roman"/>
                <w:noProof/>
                <w:webHidden/>
                <w:sz w:val="20"/>
                <w:szCs w:val="20"/>
              </w:rPr>
              <w:fldChar w:fldCharType="end"/>
            </w:r>
          </w:hyperlink>
        </w:p>
        <w:p w14:paraId="5019554B"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57" w:history="1">
            <w:r w:rsidRPr="002A26FC">
              <w:rPr>
                <w:rStyle w:val="Hyperlink"/>
                <w:rFonts w:cs="Times New Roman"/>
                <w:noProof/>
                <w:sz w:val="20"/>
                <w:szCs w:val="20"/>
              </w:rPr>
              <w:t>4.2 Choques do petróleo e preços dos combustíveis</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_Toc229695957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39</w:t>
            </w:r>
            <w:r w:rsidRPr="002A26FC">
              <w:rPr>
                <w:rFonts w:cs="Times New Roman"/>
                <w:noProof/>
                <w:webHidden/>
                <w:sz w:val="20"/>
                <w:szCs w:val="20"/>
              </w:rPr>
              <w:fldChar w:fldCharType="end"/>
            </w:r>
          </w:hyperlink>
        </w:p>
        <w:p w14:paraId="76EA00EC"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58" w:history="1">
            <w:r w:rsidRPr="002A26FC">
              <w:rPr>
                <w:rStyle w:val="Hyperlink"/>
                <w:rFonts w:cs="Times New Roman"/>
                <w:noProof/>
                <w:sz w:val="20"/>
                <w:szCs w:val="20"/>
              </w:rPr>
              <w:t>4.3 Combustíveis e IPCA Geral</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_Toc229695958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42</w:t>
            </w:r>
            <w:r w:rsidRPr="002A26FC">
              <w:rPr>
                <w:rFonts w:cs="Times New Roman"/>
                <w:noProof/>
                <w:webHidden/>
                <w:sz w:val="20"/>
                <w:szCs w:val="20"/>
              </w:rPr>
              <w:fldChar w:fldCharType="end"/>
            </w:r>
          </w:hyperlink>
        </w:p>
        <w:p w14:paraId="0A326668"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59" w:history="1">
            <w:r w:rsidRPr="002A26FC">
              <w:rPr>
                <w:rStyle w:val="Hyperlink"/>
                <w:rFonts w:cs="Times New Roman"/>
                <w:noProof/>
                <w:sz w:val="20"/>
                <w:szCs w:val="20"/>
              </w:rPr>
              <w:t>4.4 Combustíveis e IPCA Transporte</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_Toc229695959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43</w:t>
            </w:r>
            <w:r w:rsidRPr="002A26FC">
              <w:rPr>
                <w:rFonts w:cs="Times New Roman"/>
                <w:noProof/>
                <w:webHidden/>
                <w:sz w:val="20"/>
                <w:szCs w:val="20"/>
              </w:rPr>
              <w:fldChar w:fldCharType="end"/>
            </w:r>
          </w:hyperlink>
        </w:p>
        <w:p w14:paraId="4A8F633F"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60" w:history="1">
            <w:r w:rsidRPr="002A26FC">
              <w:rPr>
                <w:rStyle w:val="Hyperlink"/>
                <w:rFonts w:cs="Times New Roman"/>
                <w:noProof/>
                <w:sz w:val="20"/>
                <w:szCs w:val="20"/>
              </w:rPr>
              <w:t>4.5 Efeito direto do petróleo sobre a inflação e papel do canal dos combustíveis</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_Toc229695960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47</w:t>
            </w:r>
            <w:r w:rsidRPr="002A26FC">
              <w:rPr>
                <w:rFonts w:cs="Times New Roman"/>
                <w:noProof/>
                <w:webHidden/>
                <w:sz w:val="20"/>
                <w:szCs w:val="20"/>
              </w:rPr>
              <w:fldChar w:fldCharType="end"/>
            </w:r>
          </w:hyperlink>
        </w:p>
        <w:p w14:paraId="79DF3BF4"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61" w:history="1">
            <w:r w:rsidRPr="002A26FC">
              <w:rPr>
                <w:rStyle w:val="Hyperlink"/>
                <w:rFonts w:cs="Times New Roman"/>
                <w:noProof/>
                <w:sz w:val="20"/>
                <w:szCs w:val="20"/>
              </w:rPr>
              <w:t>4.6 Robustez com Brent em reais, regimes Petrobras e choque externo de oferta</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_Toc229695961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47</w:t>
            </w:r>
            <w:r w:rsidRPr="002A26FC">
              <w:rPr>
                <w:rFonts w:cs="Times New Roman"/>
                <w:noProof/>
                <w:webHidden/>
                <w:sz w:val="20"/>
                <w:szCs w:val="20"/>
              </w:rPr>
              <w:fldChar w:fldCharType="end"/>
            </w:r>
          </w:hyperlink>
        </w:p>
        <w:p w14:paraId="040BF834" w14:textId="77777777" w:rsidR="002A26FC" w:rsidRPr="002A26FC" w:rsidRDefault="002A26FC">
          <w:pPr>
            <w:pStyle w:val="TOC3"/>
            <w:tabs>
              <w:tab w:val="right" w:leader="dot" w:pos="9395"/>
            </w:tabs>
            <w:rPr>
              <w:rFonts w:eastAsiaTheme="minorEastAsia" w:cs="Times New Roman"/>
              <w:noProof/>
              <w:kern w:val="2"/>
              <w:sz w:val="20"/>
              <w:szCs w:val="20"/>
              <w:lang w:val="pt-BR" w:eastAsia="pt-BR"/>
              <w14:ligatures w14:val="standardContextual"/>
            </w:rPr>
          </w:pPr>
          <w:hyperlink w:anchor="_Toc229695962" w:history="1">
            <w:r w:rsidRPr="002A26FC">
              <w:rPr>
                <w:rStyle w:val="Hyperlink"/>
                <w:rFonts w:cs="Times New Roman"/>
                <w:noProof/>
                <w:sz w:val="20"/>
                <w:szCs w:val="20"/>
              </w:rPr>
              <w:t>4.6.1 Brent em reais e comparação com petróleo em dólares</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_Toc229695962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47</w:t>
            </w:r>
            <w:r w:rsidRPr="002A26FC">
              <w:rPr>
                <w:rFonts w:cs="Times New Roman"/>
                <w:noProof/>
                <w:webHidden/>
                <w:sz w:val="20"/>
                <w:szCs w:val="20"/>
              </w:rPr>
              <w:fldChar w:fldCharType="end"/>
            </w:r>
          </w:hyperlink>
        </w:p>
        <w:p w14:paraId="5A3DA068" w14:textId="77777777" w:rsidR="002A26FC" w:rsidRPr="002A26FC" w:rsidRDefault="002A26FC">
          <w:pPr>
            <w:pStyle w:val="TOC3"/>
            <w:tabs>
              <w:tab w:val="right" w:leader="dot" w:pos="9395"/>
            </w:tabs>
            <w:rPr>
              <w:rFonts w:eastAsiaTheme="minorEastAsia" w:cs="Times New Roman"/>
              <w:noProof/>
              <w:kern w:val="2"/>
              <w:sz w:val="20"/>
              <w:szCs w:val="20"/>
              <w:lang w:val="pt-BR" w:eastAsia="pt-BR"/>
              <w14:ligatures w14:val="standardContextual"/>
            </w:rPr>
          </w:pPr>
          <w:hyperlink w:anchor="_Toc229695963" w:history="1">
            <w:r w:rsidRPr="002A26FC">
              <w:rPr>
                <w:rStyle w:val="Hyperlink"/>
                <w:rFonts w:cs="Times New Roman"/>
                <w:noProof/>
                <w:sz w:val="20"/>
                <w:szCs w:val="20"/>
              </w:rPr>
              <w:t>4.6.2 Regimes Petrobras e teste de diferença entre períodos</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_Toc229695963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48</w:t>
            </w:r>
            <w:r w:rsidRPr="002A26FC">
              <w:rPr>
                <w:rFonts w:cs="Times New Roman"/>
                <w:noProof/>
                <w:webHidden/>
                <w:sz w:val="20"/>
                <w:szCs w:val="20"/>
              </w:rPr>
              <w:fldChar w:fldCharType="end"/>
            </w:r>
          </w:hyperlink>
        </w:p>
        <w:p w14:paraId="093F947F" w14:textId="77777777" w:rsidR="002A26FC" w:rsidRPr="002A26FC" w:rsidRDefault="002A26FC">
          <w:pPr>
            <w:pStyle w:val="TOC3"/>
            <w:tabs>
              <w:tab w:val="right" w:leader="dot" w:pos="9395"/>
            </w:tabs>
            <w:rPr>
              <w:rFonts w:eastAsiaTheme="minorEastAsia" w:cs="Times New Roman"/>
              <w:noProof/>
              <w:kern w:val="2"/>
              <w:sz w:val="20"/>
              <w:szCs w:val="20"/>
              <w:lang w:val="pt-BR" w:eastAsia="pt-BR"/>
              <w14:ligatures w14:val="standardContextual"/>
            </w:rPr>
          </w:pPr>
          <w:hyperlink w:anchor="_Toc229695964" w:history="1">
            <w:r w:rsidRPr="002A26FC">
              <w:rPr>
                <w:rStyle w:val="Hyperlink"/>
                <w:rFonts w:cs="Times New Roman"/>
                <w:noProof/>
                <w:sz w:val="20"/>
                <w:szCs w:val="20"/>
              </w:rPr>
              <w:t>4.6.3 Choque externo de oferta e LP-IV</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_Toc229695964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49</w:t>
            </w:r>
            <w:r w:rsidRPr="002A26FC">
              <w:rPr>
                <w:rFonts w:cs="Times New Roman"/>
                <w:noProof/>
                <w:webHidden/>
                <w:sz w:val="20"/>
                <w:szCs w:val="20"/>
              </w:rPr>
              <w:fldChar w:fldCharType="end"/>
            </w:r>
          </w:hyperlink>
        </w:p>
        <w:p w14:paraId="67307006"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65" w:history="1">
            <w:r w:rsidRPr="002A26FC">
              <w:rPr>
                <w:rStyle w:val="Hyperlink"/>
                <w:rFonts w:cs="Times New Roman"/>
                <w:noProof/>
                <w:sz w:val="20"/>
                <w:szCs w:val="20"/>
              </w:rPr>
              <w:t>4.7 Robustez com o modelo VAR</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_Toc229695965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50</w:t>
            </w:r>
            <w:r w:rsidRPr="002A26FC">
              <w:rPr>
                <w:rFonts w:cs="Times New Roman"/>
                <w:noProof/>
                <w:webHidden/>
                <w:sz w:val="20"/>
                <w:szCs w:val="20"/>
              </w:rPr>
              <w:fldChar w:fldCharType="end"/>
            </w:r>
          </w:hyperlink>
        </w:p>
        <w:p w14:paraId="4846969B"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66" w:history="1">
            <w:r w:rsidRPr="002A26FC">
              <w:rPr>
                <w:rStyle w:val="Hyperlink"/>
                <w:rFonts w:cs="Times New Roman"/>
                <w:noProof/>
                <w:sz w:val="20"/>
                <w:szCs w:val="20"/>
              </w:rPr>
              <w:t>4.8 Síntese dos resultados</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_Toc229695966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51</w:t>
            </w:r>
            <w:r w:rsidRPr="002A26FC">
              <w:rPr>
                <w:rFonts w:cs="Times New Roman"/>
                <w:noProof/>
                <w:webHidden/>
                <w:sz w:val="20"/>
                <w:szCs w:val="20"/>
              </w:rPr>
              <w:fldChar w:fldCharType="end"/>
            </w:r>
          </w:hyperlink>
        </w:p>
        <w:p w14:paraId="570C9EE2" w14:textId="77777777" w:rsidR="002A26FC" w:rsidRPr="002A26FC" w:rsidRDefault="002A26FC">
          <w:pPr>
            <w:pStyle w:val="TOC1"/>
            <w:tabs>
              <w:tab w:val="right" w:leader="dot" w:pos="9395"/>
            </w:tabs>
            <w:rPr>
              <w:rFonts w:eastAsiaTheme="minorEastAsia" w:cs="Times New Roman"/>
              <w:noProof/>
              <w:kern w:val="2"/>
              <w:sz w:val="20"/>
              <w:szCs w:val="20"/>
              <w:lang w:val="pt-BR" w:eastAsia="pt-BR"/>
              <w14:ligatures w14:val="standardContextual"/>
            </w:rPr>
          </w:pPr>
          <w:hyperlink w:anchor="_Toc229695967" w:history="1">
            <w:r w:rsidRPr="002A26FC">
              <w:rPr>
                <w:rStyle w:val="Hyperlink"/>
                <w:rFonts w:cs="Times New Roman"/>
                <w:noProof/>
                <w:sz w:val="20"/>
                <w:szCs w:val="20"/>
              </w:rPr>
              <w:t>5 CONCLUSÃO</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_Toc229695967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52</w:t>
            </w:r>
            <w:r w:rsidRPr="002A26FC">
              <w:rPr>
                <w:rFonts w:cs="Times New Roman"/>
                <w:noProof/>
                <w:webHidden/>
                <w:sz w:val="20"/>
                <w:szCs w:val="20"/>
              </w:rPr>
              <w:fldChar w:fldCharType="end"/>
            </w:r>
          </w:hyperlink>
        </w:p>
        <w:p w14:paraId="1A38377E" w14:textId="77777777" w:rsidR="002A26FC" w:rsidRPr="002A26FC" w:rsidRDefault="002A26FC">
          <w:pPr>
            <w:pStyle w:val="TOC1"/>
            <w:tabs>
              <w:tab w:val="right" w:leader="dot" w:pos="9395"/>
            </w:tabs>
            <w:rPr>
              <w:rFonts w:eastAsiaTheme="minorEastAsia" w:cs="Times New Roman"/>
              <w:noProof/>
              <w:kern w:val="2"/>
              <w:sz w:val="20"/>
              <w:szCs w:val="20"/>
              <w:lang w:val="pt-BR" w:eastAsia="pt-BR"/>
              <w14:ligatures w14:val="standardContextual"/>
            </w:rPr>
          </w:pPr>
          <w:hyperlink w:anchor="_Toc229695968" w:history="1">
            <w:r w:rsidRPr="002A26FC">
              <w:rPr>
                <w:rStyle w:val="Hyperlink"/>
                <w:rFonts w:cs="Times New Roman"/>
                <w:noProof/>
                <w:sz w:val="20"/>
                <w:szCs w:val="20"/>
              </w:rPr>
              <w:t>REFERÊNCIAS</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_Toc229695968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53</w:t>
            </w:r>
            <w:r w:rsidRPr="002A26FC">
              <w:rPr>
                <w:rFonts w:cs="Times New Roman"/>
                <w:noProof/>
                <w:webHidden/>
                <w:sz w:val="20"/>
                <w:szCs w:val="20"/>
              </w:rPr>
              <w:fldChar w:fldCharType="end"/>
            </w:r>
          </w:hyperlink>
        </w:p>
        <w:p w14:paraId="79B5AC1F" w14:textId="77777777" w:rsidR="002A26FC" w:rsidRPr="002A26FC" w:rsidRDefault="002A26FC">
          <w:pPr>
            <w:pStyle w:val="TOC1"/>
            <w:tabs>
              <w:tab w:val="right" w:leader="dot" w:pos="9395"/>
            </w:tabs>
            <w:rPr>
              <w:rFonts w:eastAsiaTheme="minorEastAsia" w:cs="Times New Roman"/>
              <w:noProof/>
              <w:kern w:val="2"/>
              <w:sz w:val="20"/>
              <w:szCs w:val="20"/>
              <w:lang w:val="pt-BR" w:eastAsia="pt-BR"/>
              <w14:ligatures w14:val="standardContextual"/>
            </w:rPr>
          </w:pPr>
          <w:hyperlink w:anchor="_Toc229695969" w:history="1">
            <w:r w:rsidRPr="002A26FC">
              <w:rPr>
                <w:rStyle w:val="Hyperlink"/>
                <w:rFonts w:cs="Times New Roman"/>
                <w:noProof/>
                <w:sz w:val="20"/>
                <w:szCs w:val="20"/>
              </w:rPr>
              <w:t>APÊNDICE B - RESULTADOS ATUALIZADOS COM BRENT EM REAIS, REGIMES PETROBRAS E CHOQUE EXTERNO DE OFERTA</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_Toc229695969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56</w:t>
            </w:r>
            <w:r w:rsidRPr="002A26FC">
              <w:rPr>
                <w:rFonts w:cs="Times New Roman"/>
                <w:noProof/>
                <w:webHidden/>
                <w:sz w:val="20"/>
                <w:szCs w:val="20"/>
              </w:rPr>
              <w:fldChar w:fldCharType="end"/>
            </w:r>
          </w:hyperlink>
        </w:p>
        <w:p w14:paraId="499908D0"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70" w:history="1">
            <w:r w:rsidRPr="002A26FC">
              <w:rPr>
                <w:rStyle w:val="Hyperlink"/>
                <w:rFonts w:cs="Times New Roman"/>
                <w:noProof/>
                <w:sz w:val="20"/>
                <w:szCs w:val="20"/>
              </w:rPr>
              <w:t>B.1 Petróleo em reais e canal dos combustíveis</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_Toc229695970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56</w:t>
            </w:r>
            <w:r w:rsidRPr="002A26FC">
              <w:rPr>
                <w:rFonts w:cs="Times New Roman"/>
                <w:noProof/>
                <w:webHidden/>
                <w:sz w:val="20"/>
                <w:szCs w:val="20"/>
              </w:rPr>
              <w:fldChar w:fldCharType="end"/>
            </w:r>
          </w:hyperlink>
        </w:p>
        <w:p w14:paraId="0EF3EE9B"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71" w:history="1">
            <w:r w:rsidRPr="002A26FC">
              <w:rPr>
                <w:rStyle w:val="Hyperlink"/>
                <w:rFonts w:cs="Times New Roman"/>
                <w:noProof/>
                <w:sz w:val="20"/>
                <w:szCs w:val="20"/>
              </w:rPr>
              <w:t>B.2 Regimes Petrobras e teste de Wald</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_Toc229695971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57</w:t>
            </w:r>
            <w:r w:rsidRPr="002A26FC">
              <w:rPr>
                <w:rFonts w:cs="Times New Roman"/>
                <w:noProof/>
                <w:webHidden/>
                <w:sz w:val="20"/>
                <w:szCs w:val="20"/>
              </w:rPr>
              <w:fldChar w:fldCharType="end"/>
            </w:r>
          </w:hyperlink>
        </w:p>
        <w:p w14:paraId="3F155805"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72" w:history="1">
            <w:r w:rsidRPr="002A26FC">
              <w:rPr>
                <w:rStyle w:val="Hyperlink"/>
                <w:rFonts w:cs="Times New Roman"/>
                <w:noProof/>
                <w:sz w:val="20"/>
                <w:szCs w:val="20"/>
              </w:rPr>
              <w:t>B.3 Identificação externa com Oil Supply News Shock</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_Toc229695972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59</w:t>
            </w:r>
            <w:r w:rsidRPr="002A26FC">
              <w:rPr>
                <w:rFonts w:cs="Times New Roman"/>
                <w:noProof/>
                <w:webHidden/>
                <w:sz w:val="20"/>
                <w:szCs w:val="20"/>
              </w:rPr>
              <w:fldChar w:fldCharType="end"/>
            </w:r>
          </w:hyperlink>
        </w:p>
        <w:p w14:paraId="30DE9BFF"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73" w:history="1">
            <w:r w:rsidRPr="002A26FC">
              <w:rPr>
                <w:rStyle w:val="Hyperlink"/>
                <w:rFonts w:cs="Times New Roman"/>
                <w:noProof/>
                <w:sz w:val="20"/>
                <w:szCs w:val="20"/>
              </w:rPr>
              <w:t>B.4 Síntese da atualização</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_Toc229695973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61</w:t>
            </w:r>
            <w:r w:rsidRPr="002A26FC">
              <w:rPr>
                <w:rFonts w:cs="Times New Roman"/>
                <w:noProof/>
                <w:webHidden/>
                <w:sz w:val="20"/>
                <w:szCs w:val="20"/>
              </w:rPr>
              <w:fldChar w:fldCharType="end"/>
            </w:r>
          </w:hyperlink>
        </w:p>
        <w:p w14:paraId="671359DB" w14:textId="77777777" w:rsidR="002A26FC" w:rsidRPr="002A26FC" w:rsidRDefault="002A26FC">
          <w:pPr>
            <w:pStyle w:val="TOC1"/>
            <w:tabs>
              <w:tab w:val="right" w:leader="dot" w:pos="9395"/>
            </w:tabs>
            <w:rPr>
              <w:rFonts w:eastAsiaTheme="minorEastAsia" w:cs="Times New Roman"/>
              <w:noProof/>
              <w:kern w:val="2"/>
              <w:sz w:val="20"/>
              <w:szCs w:val="20"/>
              <w:lang w:val="pt-BR" w:eastAsia="pt-BR"/>
              <w14:ligatures w14:val="standardContextual"/>
            </w:rPr>
          </w:pPr>
          <w:hyperlink w:anchor="_Toc229695974" w:history="1">
            <w:r w:rsidRPr="002A26FC">
              <w:rPr>
                <w:rStyle w:val="Hyperlink"/>
                <w:rFonts w:cs="Times New Roman"/>
                <w:noProof/>
                <w:sz w:val="20"/>
                <w:szCs w:val="20"/>
              </w:rPr>
              <w:t>APÊNDICE C — ROBUSTEZ COM MODELOS VAR</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_Toc229695974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63</w:t>
            </w:r>
            <w:r w:rsidRPr="002A26FC">
              <w:rPr>
                <w:rFonts w:cs="Times New Roman"/>
                <w:noProof/>
                <w:webHidden/>
                <w:sz w:val="20"/>
                <w:szCs w:val="20"/>
              </w:rPr>
              <w:fldChar w:fldCharType="end"/>
            </w:r>
          </w:hyperlink>
        </w:p>
        <w:p w14:paraId="6C6B06B0"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75" w:history="1">
            <w:r w:rsidRPr="002A26FC">
              <w:rPr>
                <w:rStyle w:val="Hyperlink"/>
                <w:rFonts w:cs="Times New Roman"/>
                <w:noProof/>
                <w:sz w:val="20"/>
                <w:szCs w:val="20"/>
              </w:rPr>
              <w:t>C.1 Especificação geral do VAR</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_Toc229695975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63</w:t>
            </w:r>
            <w:r w:rsidRPr="002A26FC">
              <w:rPr>
                <w:rFonts w:cs="Times New Roman"/>
                <w:noProof/>
                <w:webHidden/>
                <w:sz w:val="20"/>
                <w:szCs w:val="20"/>
              </w:rPr>
              <w:fldChar w:fldCharType="end"/>
            </w:r>
          </w:hyperlink>
        </w:p>
        <w:p w14:paraId="60EC8FDD"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76" w:history="1">
            <w:r w:rsidRPr="002A26FC">
              <w:rPr>
                <w:rStyle w:val="Hyperlink"/>
                <w:rFonts w:cs="Times New Roman"/>
                <w:noProof/>
                <w:sz w:val="20"/>
                <w:szCs w:val="20"/>
              </w:rPr>
              <w:t>C.2 Funções impulso-resposta acumuladas</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_Toc229695976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64</w:t>
            </w:r>
            <w:r w:rsidRPr="002A26FC">
              <w:rPr>
                <w:rFonts w:cs="Times New Roman"/>
                <w:noProof/>
                <w:webHidden/>
                <w:sz w:val="20"/>
                <w:szCs w:val="20"/>
              </w:rPr>
              <w:fldChar w:fldCharType="end"/>
            </w:r>
          </w:hyperlink>
        </w:p>
        <w:p w14:paraId="6E57E9EC"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77" w:history="1">
            <w:r w:rsidRPr="002A26FC">
              <w:rPr>
                <w:rStyle w:val="Hyperlink"/>
                <w:rFonts w:cs="Times New Roman"/>
                <w:noProof/>
                <w:sz w:val="20"/>
                <w:szCs w:val="20"/>
              </w:rPr>
              <w:t>C.3 Decomposição da variância dos erros de previsão</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_Toc229695977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67</w:t>
            </w:r>
            <w:r w:rsidRPr="002A26FC">
              <w:rPr>
                <w:rFonts w:cs="Times New Roman"/>
                <w:noProof/>
                <w:webHidden/>
                <w:sz w:val="20"/>
                <w:szCs w:val="20"/>
              </w:rPr>
              <w:fldChar w:fldCharType="end"/>
            </w:r>
          </w:hyperlink>
        </w:p>
        <w:p w14:paraId="3DB5FE5E"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78" w:history="1">
            <w:r w:rsidRPr="002A26FC">
              <w:rPr>
                <w:rStyle w:val="Hyperlink"/>
                <w:rFonts w:cs="Times New Roman"/>
                <w:noProof/>
                <w:sz w:val="20"/>
                <w:szCs w:val="20"/>
              </w:rPr>
              <w:t>C.4 Robustez à ordenação de Cholesky</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_Toc229695978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68</w:t>
            </w:r>
            <w:r w:rsidRPr="002A26FC">
              <w:rPr>
                <w:rFonts w:cs="Times New Roman"/>
                <w:noProof/>
                <w:webHidden/>
                <w:sz w:val="20"/>
                <w:szCs w:val="20"/>
              </w:rPr>
              <w:fldChar w:fldCharType="end"/>
            </w:r>
          </w:hyperlink>
        </w:p>
        <w:p w14:paraId="09EC2AE7"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79" w:history="1">
            <w:r w:rsidRPr="002A26FC">
              <w:rPr>
                <w:rStyle w:val="Hyperlink"/>
                <w:rFonts w:cs="Times New Roman"/>
                <w:noProof/>
                <w:sz w:val="20"/>
                <w:szCs w:val="20"/>
              </w:rPr>
              <w:t>C.5 Estabilidade do sistema</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_Toc229695979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69</w:t>
            </w:r>
            <w:r w:rsidRPr="002A26FC">
              <w:rPr>
                <w:rFonts w:cs="Times New Roman"/>
                <w:noProof/>
                <w:webHidden/>
                <w:sz w:val="20"/>
                <w:szCs w:val="20"/>
              </w:rPr>
              <w:fldChar w:fldCharType="end"/>
            </w:r>
          </w:hyperlink>
        </w:p>
        <w:p w14:paraId="44368FB9" w14:textId="77777777" w:rsidR="002A26FC" w:rsidRPr="002A26FC" w:rsidRDefault="002A26FC">
          <w:pPr>
            <w:pStyle w:val="TOC2"/>
            <w:tabs>
              <w:tab w:val="right" w:leader="dot" w:pos="9395"/>
            </w:tabs>
            <w:rPr>
              <w:rFonts w:eastAsiaTheme="minorEastAsia" w:cs="Times New Roman"/>
              <w:noProof/>
              <w:kern w:val="2"/>
              <w:sz w:val="20"/>
              <w:szCs w:val="20"/>
              <w:lang w:val="pt-BR" w:eastAsia="pt-BR"/>
              <w14:ligatures w14:val="standardContextual"/>
            </w:rPr>
          </w:pPr>
          <w:hyperlink w:anchor="_Toc229695980" w:history="1">
            <w:r w:rsidRPr="002A26FC">
              <w:rPr>
                <w:rStyle w:val="Hyperlink"/>
                <w:rFonts w:cs="Times New Roman"/>
                <w:noProof/>
                <w:sz w:val="20"/>
                <w:szCs w:val="20"/>
              </w:rPr>
              <w:t>C.6 Síntese do papel do VAR no TCC</w:t>
            </w:r>
            <w:r w:rsidRPr="002A26FC">
              <w:rPr>
                <w:rFonts w:cs="Times New Roman"/>
                <w:noProof/>
                <w:webHidden/>
                <w:sz w:val="20"/>
                <w:szCs w:val="20"/>
              </w:rPr>
              <w:tab/>
            </w:r>
            <w:r w:rsidRPr="002A26FC">
              <w:rPr>
                <w:rFonts w:cs="Times New Roman"/>
                <w:noProof/>
                <w:webHidden/>
                <w:sz w:val="20"/>
                <w:szCs w:val="20"/>
              </w:rPr>
              <w:fldChar w:fldCharType="begin"/>
            </w:r>
            <w:r w:rsidRPr="002A26FC">
              <w:rPr>
                <w:rFonts w:cs="Times New Roman"/>
                <w:noProof/>
                <w:webHidden/>
                <w:sz w:val="20"/>
                <w:szCs w:val="20"/>
              </w:rPr>
              <w:instrText xml:space="preserve"> PAGEREF _Toc229695980 \h </w:instrText>
            </w:r>
            <w:r w:rsidRPr="002A26FC">
              <w:rPr>
                <w:rFonts w:cs="Times New Roman"/>
                <w:noProof/>
                <w:webHidden/>
                <w:sz w:val="20"/>
                <w:szCs w:val="20"/>
              </w:rPr>
            </w:r>
            <w:r w:rsidRPr="002A26FC">
              <w:rPr>
                <w:rFonts w:cs="Times New Roman"/>
                <w:noProof/>
                <w:webHidden/>
                <w:sz w:val="20"/>
                <w:szCs w:val="20"/>
              </w:rPr>
              <w:fldChar w:fldCharType="separate"/>
            </w:r>
            <w:r w:rsidRPr="002A26FC">
              <w:rPr>
                <w:rFonts w:cs="Times New Roman"/>
                <w:noProof/>
                <w:webHidden/>
                <w:sz w:val="20"/>
                <w:szCs w:val="20"/>
              </w:rPr>
              <w:t>70</w:t>
            </w:r>
            <w:r w:rsidRPr="002A26FC">
              <w:rPr>
                <w:rFonts w:cs="Times New Roman"/>
                <w:noProof/>
                <w:webHidden/>
                <w:sz w:val="20"/>
                <w:szCs w:val="20"/>
              </w:rPr>
              <w:fldChar w:fldCharType="end"/>
            </w:r>
          </w:hyperlink>
        </w:p>
        <w:p w14:paraId="7C3481B2" w14:textId="77777777" w:rsidR="00D810CD" w:rsidRDefault="00D810CD">
          <w:r w:rsidRPr="002A26FC">
            <w:rPr>
              <w:rFonts w:cs="Times New Roman"/>
              <w:b/>
              <w:bCs/>
              <w:noProof/>
              <w:sz w:val="20"/>
              <w:szCs w:val="20"/>
            </w:rPr>
            <w:fldChar w:fldCharType="end"/>
          </w:r>
        </w:p>
      </w:sdtContent>
    </w:sdt>
    <w:p w14:paraId="05609389" w14:textId="77777777" w:rsidR="005F0DB9" w:rsidRDefault="00000000">
      <w:r>
        <w:br w:type="page"/>
      </w:r>
    </w:p>
    <w:p w14:paraId="6508AAA3" w14:textId="77777777" w:rsidR="008E44CC" w:rsidRPr="009C7F96" w:rsidRDefault="008E44CC" w:rsidP="008E44CC">
      <w:pPr>
        <w:pStyle w:val="Heading1"/>
        <w:rPr>
          <w:rFonts w:cs="Times New Roman"/>
          <w:szCs w:val="24"/>
        </w:rPr>
      </w:pPr>
      <w:bookmarkStart w:id="4" w:name="_Toc229695931"/>
      <w:r w:rsidRPr="009C7F96">
        <w:rPr>
          <w:rFonts w:ascii="Times New Roman" w:hAnsi="Times New Roman" w:cs="Times New Roman"/>
          <w:szCs w:val="24"/>
        </w:rPr>
        <w:lastRenderedPageBreak/>
        <w:t>1 INTRODUÇÃO</w:t>
      </w:r>
      <w:bookmarkEnd w:id="4"/>
    </w:p>
    <w:p w14:paraId="18870E14" w14:textId="77777777" w:rsidR="008E44CC" w:rsidRPr="009C7F96" w:rsidRDefault="008E44CC" w:rsidP="008E44CC">
      <w:pPr>
        <w:spacing w:after="120"/>
        <w:rPr>
          <w:rFonts w:eastAsiaTheme="majorEastAsia" w:cs="Times New Roman"/>
          <w:szCs w:val="24"/>
          <w:lang w:val="pt-BR"/>
        </w:rPr>
      </w:pPr>
      <w:r w:rsidRPr="009C7F96">
        <w:rPr>
          <w:rFonts w:eastAsiaTheme="majorEastAsia" w:cs="Times New Roman"/>
          <w:szCs w:val="24"/>
          <w:lang w:val="pt-BR"/>
        </w:rPr>
        <w:t>A dinâmica dos preços de energia ocupa posição central na análise macroeconômica, especialmente em economias emergentes abertas e sujeitas a choques externos. O petróleo, além de ser uma commodity estratégica para produção, transporte e formação de custos, funciona como um importante canal de transmissão de pressões internacionais para os preços domésticos. Variações no preço internacional do barril podem se propagar por diferentes mecanismos, como taxa de câmbio, custos de refino, preços dos combustíveis ao consumidor, expectativas de inflação, fretes e índices agregados de preços. No caso brasileiro, esse processo ganha complexidade adicional porque a transmissão dos preços internacionais para os combustíveis domésticos não depende apenas das condições de mercado, mas também da política de preços praticada pela Petrobras.</w:t>
      </w:r>
    </w:p>
    <w:p w14:paraId="1033C719" w14:textId="77777777" w:rsidR="008E44CC" w:rsidRPr="009C7F96" w:rsidRDefault="008E44CC" w:rsidP="008E44CC">
      <w:pPr>
        <w:spacing w:after="120"/>
        <w:rPr>
          <w:rFonts w:eastAsiaTheme="majorEastAsia" w:cs="Times New Roman"/>
          <w:szCs w:val="24"/>
          <w:lang w:val="pt-BR"/>
        </w:rPr>
      </w:pPr>
      <w:r w:rsidRPr="009C7F96">
        <w:rPr>
          <w:rFonts w:eastAsiaTheme="majorEastAsia" w:cs="Times New Roman"/>
          <w:szCs w:val="24"/>
          <w:lang w:val="pt-BR"/>
        </w:rPr>
        <w:t>A experiência brasileira mostra que o repasse de choques internacionais do petróleo para os preços internos não é mecânico nem constante ao longo do tempo. Em alguns períodos, os preços domésticos dos combustíveis se aproximaram mais rapidamente das cotações internacionais, refletindo movimentos do petróleo e da taxa de câmbio. Em outros momentos, a política de preços da Petrobras suavizou ou retardou parte desse repasse, reduzindo temporariamente a sensibilidade dos preços domésticos às oscilações externas. Essa característica torna o Brasil um caso relevante para o estudo do pass-through energético, pois o efeito final sobre a inflação depende tanto da magnitude do choque externo quanto da forma como ele é absorvido pela estrutura doméstica de preços.</w:t>
      </w:r>
    </w:p>
    <w:p w14:paraId="2D69B58B" w14:textId="77777777" w:rsidR="008E44CC" w:rsidRPr="009C7F96" w:rsidRDefault="008E44CC" w:rsidP="008E44CC">
      <w:pPr>
        <w:spacing w:after="120"/>
        <w:rPr>
          <w:rFonts w:eastAsiaTheme="majorEastAsia" w:cs="Times New Roman"/>
          <w:szCs w:val="24"/>
          <w:lang w:val="pt-BR"/>
        </w:rPr>
      </w:pPr>
      <w:r w:rsidRPr="009C7F96">
        <w:rPr>
          <w:rFonts w:eastAsiaTheme="majorEastAsia" w:cs="Times New Roman"/>
          <w:szCs w:val="24"/>
          <w:lang w:val="pt-BR"/>
        </w:rPr>
        <w:t>A literatura macroeconômica reconhece há décadas que choques no preço do petróleo podem produzir efeitos relevantes sobre atividade econômica e inflação. Trabalhos como Hamilton (1983) associaram choques petrolíferos a flutuações macroeconômicas, enquanto contribuições posteriores, como Kilian (2009), destacaram a importância de distinguir choques de oferta, choques de demanda global e choques de demanda específica por petróleo. Essa distinção é fundamental porque nem toda elevação do petróleo possui a mesma interpretação econômica. Um aumento provocado por maior demanda global pode estar associado à expansão da atividade mundial, enquanto uma elevação causada por restrição de oferta tende a representar pressão de custos. Assim, analisar o efeito do petróleo sobre a inflação exige cuidado na identificação do choque e na interpretação de seus canais de transmissão.</w:t>
      </w:r>
    </w:p>
    <w:p w14:paraId="4B665675" w14:textId="77777777" w:rsidR="008E44CC" w:rsidRPr="009C7F96" w:rsidRDefault="008E44CC" w:rsidP="008E44CC">
      <w:pPr>
        <w:spacing w:after="120"/>
        <w:rPr>
          <w:rFonts w:eastAsiaTheme="majorEastAsia" w:cs="Times New Roman"/>
          <w:szCs w:val="24"/>
          <w:lang w:val="pt-BR"/>
        </w:rPr>
      </w:pPr>
      <w:r w:rsidRPr="009C7F96">
        <w:rPr>
          <w:rFonts w:eastAsiaTheme="majorEastAsia" w:cs="Times New Roman"/>
          <w:szCs w:val="24"/>
          <w:lang w:val="pt-BR"/>
        </w:rPr>
        <w:lastRenderedPageBreak/>
        <w:t>No Brasil, a relação entre petróleo, combustíveis e inflação assume importância especial por causa da composição do IPCA e do peso dos combustíveis no grupo de transportes. Gasolina, etanol e óleo diesel possuem efeitos diretos e indiretos sobre os preços ao consumidor. O efeito direto ocorre quando a variação do combustível aparece no próprio índice de preços. O efeito indireto ocorre quando o aumento dos combustíveis encarece transporte, frete, distribuição e outros custos de produção, podendo pressionar outros bens e serviços. Ainda assim, a magnitude desse repasse para o IPCA Geral tende a ser menor do que para o IPCA Transportes, pois o índice agregado dilui o choque entre diversos grupos de consumo.</w:t>
      </w:r>
    </w:p>
    <w:p w14:paraId="300FB2DA" w14:textId="77777777" w:rsidR="008E44CC" w:rsidRPr="009C7F96" w:rsidRDefault="008E44CC" w:rsidP="008E44CC">
      <w:pPr>
        <w:spacing w:after="120"/>
        <w:rPr>
          <w:rFonts w:eastAsiaTheme="majorEastAsia" w:cs="Times New Roman"/>
          <w:szCs w:val="24"/>
          <w:lang w:val="pt-BR"/>
        </w:rPr>
      </w:pPr>
      <w:r w:rsidRPr="009C7F96">
        <w:rPr>
          <w:rFonts w:eastAsiaTheme="majorEastAsia" w:cs="Times New Roman"/>
          <w:szCs w:val="24"/>
          <w:lang w:val="pt-BR"/>
        </w:rPr>
        <w:t>Diante desse contexto, este trabalho busca responder à seguinte pergunta: em que medida choques no preço internacional do petróleo são transmitidos aos preços domésticos de combustíveis e à inflação brasileira entre 2003 e 2026? A pergunta envolve três dimensões principais. A primeira é a transmissão do petróleo para os combustíveis domésticos, especialmente gasolina, etanol, óleo diesel e preço da gasolina na refinaria. A segunda é o efeito dos combustíveis sobre o IPCA Transportes, que representa o canal mais diretamente exposto ao choque. A terceira é o impacto sobre o IPCA Geral, que permite avaliar se a pressão setorial se transforma em inflação agregada.</w:t>
      </w:r>
    </w:p>
    <w:p w14:paraId="654D21B2" w14:textId="77777777" w:rsidR="008E44CC" w:rsidRPr="009C7F96" w:rsidRDefault="008E44CC" w:rsidP="008E44CC">
      <w:pPr>
        <w:spacing w:after="120"/>
        <w:rPr>
          <w:rFonts w:eastAsiaTheme="majorEastAsia" w:cs="Times New Roman"/>
          <w:szCs w:val="24"/>
          <w:lang w:val="pt-BR"/>
        </w:rPr>
      </w:pPr>
      <w:r w:rsidRPr="009C7F96">
        <w:rPr>
          <w:rFonts w:eastAsiaTheme="majorEastAsia" w:cs="Times New Roman"/>
          <w:szCs w:val="24"/>
          <w:lang w:val="pt-BR"/>
        </w:rPr>
        <w:t>A hipótese central do trabalho é que o repasse dos choques de petróleo para a inflação brasileira ocorre principalmente por meio dos combustíveis, com efeito mais evidente sobre o IPCA Transportes do que sobre o IPCA Geral. Espera-se que choques positivos no petróleo afetem os combustíveis domésticos, mas que a intensidade desse repasse varie ao longo do tempo em função de mudanças na política de preços da Petrobras, da taxa de câmbio, do ciclo econômico e das condições do regime inflacionário. Também se espera que o impacto sobre o IPCA Geral seja mais limitado e menos persistente, uma vez que a inflação agregada depende de um conjunto mais amplo de componentes.</w:t>
      </w:r>
    </w:p>
    <w:p w14:paraId="5B1294F6" w14:textId="77777777" w:rsidR="008E44CC" w:rsidRPr="009C7F96" w:rsidRDefault="008E44CC" w:rsidP="008E44CC">
      <w:pPr>
        <w:spacing w:after="120"/>
        <w:rPr>
          <w:rFonts w:eastAsiaTheme="majorEastAsia" w:cs="Times New Roman"/>
          <w:szCs w:val="24"/>
          <w:lang w:val="pt-BR"/>
        </w:rPr>
      </w:pPr>
      <w:r w:rsidRPr="009C7F96">
        <w:rPr>
          <w:rFonts w:eastAsiaTheme="majorEastAsia" w:cs="Times New Roman"/>
          <w:szCs w:val="24"/>
          <w:lang w:val="pt-BR"/>
        </w:rPr>
        <w:t xml:space="preserve">A contribuição deste estudo está em combinar a análise do canal energético com uma estratégia empírica voltada à dinâmica temporal do repasse. Em vez de observar apenas correlações contemporâneas, o trabalho estima como os efeitos se acumulam ao longo dos meses após o choque. Para isso, a estratégia empírica principal é baseada em modelos de Local Projections, propostos por Jordà (2005), que permitem estimar diretamente a resposta acumulada dos combustíveis e da inflação em diferentes horizontes. Essa abordagem é especialmente adequada para o objetivo do trabalho porque permite organizar o mecanismo de transmissão em etapas: </w:t>
      </w:r>
      <w:r w:rsidRPr="009C7F96">
        <w:rPr>
          <w:rFonts w:eastAsiaTheme="majorEastAsia" w:cs="Times New Roman"/>
          <w:szCs w:val="24"/>
          <w:lang w:val="pt-BR"/>
        </w:rPr>
        <w:lastRenderedPageBreak/>
        <w:t>petróleo para combustíveis, combustíveis para IPCA Transportes e IPCA Geral, petróleo para inflação com controle pelos combustíveis e comparação entre regimes de política de preços.</w:t>
      </w:r>
    </w:p>
    <w:p w14:paraId="72E97F66" w14:textId="77777777" w:rsidR="008E44CC" w:rsidRPr="009C7F96" w:rsidRDefault="008E44CC" w:rsidP="008E44CC">
      <w:pPr>
        <w:spacing w:after="120"/>
        <w:rPr>
          <w:rFonts w:eastAsiaTheme="majorEastAsia" w:cs="Times New Roman"/>
          <w:szCs w:val="24"/>
          <w:lang w:val="pt-BR"/>
        </w:rPr>
      </w:pPr>
      <w:r w:rsidRPr="009C7F96">
        <w:rPr>
          <w:rFonts w:eastAsiaTheme="majorEastAsia" w:cs="Times New Roman"/>
          <w:szCs w:val="24"/>
          <w:lang w:val="pt-BR"/>
        </w:rPr>
        <w:t>Além das Local Projections, o trabalho utiliza um modelo de Vetores Autorregressivos, denominado VAR, como exercício de robustez. O VAR não é tratado como especificação principal, mas como uma forma complementar de verificar se os principais sinais encontrados pelas Local Projections permanecem consistentes em uma estrutura dinâmica multivariada tradicional. Enquanto as Local Projections oferecem maior flexibilidade para estimar respostas acumuladas horizonte a horizonte e separar canais específicos de transmissão, o VAR permite analisar a interação conjunta entre as variáveis, recuperar funções impulso-resposta e comparar a direção, a persistência e a coerência dos choques em um sistema dinâmico. Dessa forma, o uso do VAR fortalece a análise ao verificar se a evidência central do repasse petróleo-combustíveis-inflação também aparece sob uma abordagem econométrica alternativa.</w:t>
      </w:r>
    </w:p>
    <w:p w14:paraId="02C96AB0" w14:textId="77777777" w:rsidR="008E44CC" w:rsidRPr="009C7F96" w:rsidRDefault="008E44CC" w:rsidP="008E44CC">
      <w:pPr>
        <w:spacing w:after="120"/>
        <w:rPr>
          <w:rFonts w:eastAsiaTheme="majorEastAsia" w:cs="Times New Roman"/>
          <w:szCs w:val="24"/>
          <w:lang w:val="pt-BR"/>
        </w:rPr>
      </w:pPr>
      <w:r w:rsidRPr="009C7F96">
        <w:rPr>
          <w:rFonts w:eastAsiaTheme="majorEastAsia" w:cs="Times New Roman"/>
          <w:szCs w:val="24"/>
          <w:lang w:val="pt-BR"/>
        </w:rPr>
        <w:t>No modelo de Local Projections, a variável dependente é construída como a resposta acumulada da variável de interesse entre o mês do choque e o horizonte futuro. Essa escolha é adequada para a análise da inflação, pois permite interpretar o coeficiente estimado como o efeito acumulado de um choque ao longo de determinado período. O modelo inclui defasagens da variável dependente, defasagens do choque, controles macroeconômicos, dummies sazonais e erros-padrão robustos do tipo HAC/Newey-West. Os choques são padronizados, de modo que os coeficientes possam ser interpretados como a resposta da variável dependente a um choque de um desvio-padrão na variável de impulso.</w:t>
      </w:r>
    </w:p>
    <w:p w14:paraId="040E9485" w14:textId="77777777" w:rsidR="008E44CC" w:rsidRPr="009C7F96" w:rsidRDefault="008E44CC" w:rsidP="008E44CC">
      <w:pPr>
        <w:spacing w:after="120"/>
        <w:rPr>
          <w:rFonts w:eastAsiaTheme="majorEastAsia" w:cs="Times New Roman"/>
          <w:szCs w:val="24"/>
          <w:lang w:val="pt-BR"/>
        </w:rPr>
      </w:pPr>
      <w:r w:rsidRPr="009C7F96">
        <w:rPr>
          <w:rFonts w:eastAsiaTheme="majorEastAsia" w:cs="Times New Roman"/>
          <w:szCs w:val="24"/>
          <w:lang w:val="pt-BR"/>
        </w:rPr>
        <w:t>Uma preocupação importante do trabalho é distinguir o efeito total do petróleo sobre a inflação do efeito que ocorre por meio dos combustíveis. O efeito total mede a resposta da inflação ao choque do petróleo considerando todos os canais possíveis de transmissão. Já a especificação com controle pelos combustíveis permite verificar se o petróleo ainda possui impacto sobre a inflação depois que os preços domésticos dos combustíveis são incluídos no modelo. Caso o efeito do petróleo diminua após a inclusão desses controles, há evidência de que os combustíveis funcionam como canal de mediação entre o choque externo e a inflação doméstica.</w:t>
      </w:r>
    </w:p>
    <w:p w14:paraId="3E6456BC" w14:textId="77777777" w:rsidR="008E44CC" w:rsidRPr="00CC258E" w:rsidRDefault="008E44CC" w:rsidP="00CC258E">
      <w:pPr>
        <w:spacing w:after="120"/>
        <w:rPr>
          <w:rFonts w:eastAsiaTheme="majorEastAsia" w:cs="Times New Roman"/>
          <w:szCs w:val="24"/>
          <w:lang w:val="pt-BR"/>
        </w:rPr>
      </w:pPr>
      <w:r w:rsidRPr="005C3052">
        <w:rPr>
          <w:lang w:val="pt-BR"/>
        </w:rPr>
        <w:t xml:space="preserve">Por fim, a amostra de 2003 a 2026 compreende períodos distintos da política de preços da Petrobras e diferentes contextos macroeconômicos. Por isso, o trabalho considera divisões de amostra associadas a regimes de precificação. Na versão atual dos resultados, a comparação </w:t>
      </w:r>
      <w:r w:rsidRPr="005C3052">
        <w:rPr>
          <w:lang w:val="pt-BR"/>
        </w:rPr>
        <w:lastRenderedPageBreak/>
        <w:t>Petrobras utiliza como corte setembro de 2016, mês associado à consolidação de uma política de maior aderência à paridade internacional. A escolha não implica que todos os meses posteriores formem um regime homogêneo, pois o período posterior inclui a fase de paridade de importação, choques tributários, a pandemia, alterações de política econômica e a nova estratégia comercial anunciada em 2023. Assim, os resultados por regime são interpretados como evidência de heterogeneidade institucional, e não como prova de uma quebra única e definitiva no comportamento dos preços domésticos. A estrutura do estudo está organizada em revisão da literatura, descrição da base de dados, metodologia econométrica, apresentação dos resultados e conclusão. Com isso, busca-se avaliar não apenas se o petróleo afeta a inflação brasileira, mas por quais canais esse efeito ocorre, com que intensidade aparece no IPCA Transportes, em que medida se transmite para o IPCA Geral e se os resultados permanecem consistentes quando comparados com a evidência de robustez obtida pelo VAR.</w:t>
      </w:r>
    </w:p>
    <w:p w14:paraId="2A603F68" w14:textId="77777777" w:rsidR="008E44CC" w:rsidRPr="009C7F96" w:rsidRDefault="008E44CC" w:rsidP="00CC258E">
      <w:pPr>
        <w:pStyle w:val="Heading1"/>
        <w:spacing w:before="240" w:after="120"/>
        <w:rPr>
          <w:rFonts w:cs="Times New Roman"/>
          <w:szCs w:val="24"/>
        </w:rPr>
      </w:pPr>
      <w:bookmarkStart w:id="5" w:name="_Toc229695932"/>
      <w:r w:rsidRPr="009C7F96">
        <w:rPr>
          <w:rFonts w:ascii="Times New Roman" w:eastAsia="Times New Roman" w:hAnsi="Times New Roman" w:cs="Times New Roman"/>
          <w:szCs w:val="24"/>
        </w:rPr>
        <w:t>2 REVISÃO BIBLIOGRÁFICA</w:t>
      </w:r>
      <w:bookmarkEnd w:id="5"/>
    </w:p>
    <w:p w14:paraId="496D5086" w14:textId="77777777" w:rsidR="008E44CC" w:rsidRPr="009C7F96" w:rsidRDefault="008E44CC" w:rsidP="008E44CC">
      <w:pPr>
        <w:spacing w:after="120"/>
        <w:rPr>
          <w:rFonts w:cs="Times New Roman"/>
          <w:szCs w:val="24"/>
          <w:lang w:val="pt-BR"/>
        </w:rPr>
      </w:pPr>
      <w:r w:rsidRPr="009C7F96">
        <w:rPr>
          <w:rFonts w:cs="Times New Roman"/>
          <w:szCs w:val="24"/>
          <w:lang w:val="pt-BR"/>
        </w:rPr>
        <w:t>Esta revisão bibliográfica sistematiza os fundamentos teóricos e empíricos necessários à análise da transmissão de choques no preço internacional do petróleo para os preços domésticos de combustíveis e, posteriormente, para a inflação brasileira. A discussão parte da literatura clássica sobre choques de petróleo e inflação, incorpora a literatura recente de local projections e reposiciona o problema para o caso brasileiro, no qual a estrutura de refino, a política comercial da Petrobras, a formação dos preços de gasolina e diesel e a composição do IPCA modificam a intensidade e a velocidade do repasse.</w:t>
      </w:r>
    </w:p>
    <w:p w14:paraId="01B6F30F" w14:textId="77777777" w:rsidR="008E44CC" w:rsidRPr="009C7F96" w:rsidRDefault="008E44CC" w:rsidP="008E44CC">
      <w:pPr>
        <w:spacing w:after="120"/>
        <w:rPr>
          <w:rFonts w:cs="Times New Roman"/>
          <w:szCs w:val="24"/>
          <w:lang w:val="pt-BR"/>
        </w:rPr>
      </w:pPr>
      <w:r w:rsidRPr="009C7F96">
        <w:rPr>
          <w:rFonts w:cs="Times New Roman"/>
          <w:szCs w:val="24"/>
          <w:lang w:val="pt-BR"/>
        </w:rPr>
        <w:t>O eixo central da revisão é que a transmissão do petróleo à inflação não deve ser tratada como uma relação mecânica e homogênea. A variação do barril em dólares precisa ser convertida em preço relevante para a economia doméstica por meio da taxa de câmbio; em seguida, esse choque passa pela etapa de formação de preços no refino, pela distribuição, pela revenda e pela estrutura tributária; por fim, atinge os subitens do IPCA, especialmente os ligados a combustíveis, transportes e custos logísticos. Portanto, a análise adequada do caso brasileiro requer separar, sempre que possível, três níveis de transmissão: preço internacional do petróleo, preço doméstico na refinaria e preço final ao consumidor.</w:t>
      </w:r>
    </w:p>
    <w:p w14:paraId="629739C6" w14:textId="77777777" w:rsidR="008E44CC" w:rsidRPr="009C7F96" w:rsidRDefault="008E44CC" w:rsidP="008E44CC">
      <w:pPr>
        <w:spacing w:after="120"/>
        <w:rPr>
          <w:rFonts w:cs="Times New Roman"/>
          <w:szCs w:val="24"/>
          <w:lang w:val="pt-BR"/>
        </w:rPr>
      </w:pPr>
      <w:r w:rsidRPr="009C7F96">
        <w:rPr>
          <w:rFonts w:cs="Times New Roman"/>
          <w:szCs w:val="24"/>
          <w:lang w:val="pt-BR"/>
        </w:rPr>
        <w:t xml:space="preserve">A escolha metodológica parte das local projections como estratégia empírica principal, mas mantém os modelos VAR como referência de robustez. Enquanto modelos VAR tradicionais </w:t>
      </w:r>
      <w:r w:rsidRPr="009C7F96">
        <w:rPr>
          <w:rFonts w:cs="Times New Roman"/>
          <w:szCs w:val="24"/>
          <w:lang w:val="pt-BR"/>
        </w:rPr>
        <w:lastRenderedPageBreak/>
        <w:t>estimam um sistema dinâmico conjunto e recuperam funções impulso-resposta a partir da estrutura estimada, as local projections estimam diretamente a resposta de uma variável em cada horizonte temporal. Essa diferença permite maior flexibilidade na inclusão de controles, variáveis institucionais, regimes e respostas heterogêneas. Ao mesmo tempo, o VAR permanece útil como comparação porque verifica se os sinais centrais encontrados nas local projections também aparecem em uma estrutura multivariada tradicional. Essa combinação é particularmente relevante para o presente tema, porque o repasse do petróleo para a inflação brasileira pode variar conforme o regime de preços da Petrobras, a fase do ciclo econômico, a taxa de câmbio, a política monetária e a composição dos combustíveis no índice de preços.</w:t>
      </w:r>
    </w:p>
    <w:p w14:paraId="5E904B07" w14:textId="77777777" w:rsidR="008E44CC" w:rsidRPr="009C7F96" w:rsidRDefault="008E44CC" w:rsidP="008E44CC">
      <w:pPr>
        <w:pStyle w:val="Heading2"/>
        <w:spacing w:before="240" w:after="120"/>
        <w:jc w:val="both"/>
        <w:rPr>
          <w:rFonts w:cs="Times New Roman"/>
          <w:szCs w:val="24"/>
        </w:rPr>
      </w:pPr>
      <w:bookmarkStart w:id="6" w:name="_Toc229695933"/>
      <w:r w:rsidRPr="009C7F96">
        <w:rPr>
          <w:rFonts w:ascii="Times New Roman" w:eastAsia="Times New Roman" w:hAnsi="Times New Roman" w:cs="Times New Roman"/>
          <w:szCs w:val="24"/>
        </w:rPr>
        <w:t>2.1 Choques do petróleo, inflação e atividade econômica</w:t>
      </w:r>
      <w:bookmarkEnd w:id="6"/>
    </w:p>
    <w:p w14:paraId="609B442D" w14:textId="77777777" w:rsidR="008E44CC" w:rsidRPr="009C7F96" w:rsidRDefault="008E44CC" w:rsidP="008E44CC">
      <w:pPr>
        <w:spacing w:after="120"/>
        <w:rPr>
          <w:rFonts w:cs="Times New Roman"/>
          <w:szCs w:val="24"/>
          <w:lang w:val="pt-BR"/>
        </w:rPr>
      </w:pPr>
      <w:r w:rsidRPr="009C7F96">
        <w:rPr>
          <w:rFonts w:cs="Times New Roman"/>
          <w:szCs w:val="24"/>
          <w:lang w:val="pt-BR"/>
        </w:rPr>
        <w:t>A literatura sobre petróleo e macroeconomia se desenvolveu, inicialmente, a partir da interpretação de que elevações expressivas no preço do barril funcionariam como choques adversos de oferta. Nesse tipo de choque, a energia mais cara eleva os custos de produção, reduz a renda real disponível, pressiona preços finais e pode desacelerar a atividade econômica. Hamilton (2003) é uma referência central nesse debate ao mostrar que aumentos relevantes no preço do petróleo precederam diversos episódios recessivos nos Estados Unidos no período pós-guerra. A contribuição do autor não se restringe à associação histórica entre petróleo e recessões; ela também reforça a ideia de que choques de energia podem afetar simultaneamente inflação e produto.</w:t>
      </w:r>
    </w:p>
    <w:p w14:paraId="3F935D1F" w14:textId="77777777" w:rsidR="008E44CC" w:rsidRPr="009C7F96" w:rsidRDefault="008E44CC" w:rsidP="008E44CC">
      <w:pPr>
        <w:spacing w:after="120"/>
        <w:rPr>
          <w:rFonts w:cs="Times New Roman"/>
          <w:szCs w:val="24"/>
          <w:lang w:val="pt-BR"/>
        </w:rPr>
      </w:pPr>
      <w:r w:rsidRPr="009C7F96">
        <w:rPr>
          <w:rFonts w:cs="Times New Roman"/>
          <w:szCs w:val="24"/>
          <w:lang w:val="pt-BR"/>
        </w:rPr>
        <w:t>Uma das formas clássicas de representar o choque de petróleo na literatura de Hamilton é o net oil price increase, isto é, uma medida que considera apenas aumentos do preço do petróleo acima do maior valor observado em determinado período anterior. De forma simplificada, essa medida pode ser escrita como:</w:t>
      </w:r>
    </w:p>
    <w:p w14:paraId="136841E2" w14:textId="77777777" w:rsidR="008E44CC" w:rsidRPr="009C7F96" w:rsidRDefault="008E44CC" w:rsidP="008E44CC">
      <w:pPr>
        <w:jc w:val="center"/>
        <w:rPr>
          <w:rFonts w:cs="Times New Roman"/>
          <w:szCs w:val="24"/>
          <w:lang w:val="pt-BR"/>
        </w:rPr>
      </w:pPr>
      <w:r>
        <w:rPr>
          <w:i/>
        </w:rPr>
        <w:t>NOPI_t = max(0, P_t - max(P_{t-1}, ..., P_{t-12}))</w:t>
      </w:r>
    </w:p>
    <w:p w14:paraId="21B449DA" w14:textId="644EA521" w:rsidR="008E44CC" w:rsidRPr="009C7F96" w:rsidRDefault="00F05B77" w:rsidP="008E44CC">
      <w:pPr>
        <w:spacing w:before="120" w:after="120"/>
        <w:rPr>
          <w:rFonts w:cs="Times New Roman"/>
          <w:szCs w:val="24"/>
          <w:lang w:val="pt-BR"/>
        </w:rPr>
      </w:pPr>
      <m:oMathPara>
        <m:oMath>
          <m:r>
            <w:rPr>
              <w:rFonts w:ascii="Cambria Math" w:hAnsi="Cambria Math" w:cs="Times New Roman"/>
              <w:szCs w:val="24"/>
              <w:lang w:val="pt-BR"/>
            </w:rPr>
            <m:t>NOPIₜ = max{0, ln(Pₜ</m:t>
          </m:r>
          <m:r>
            <w:rPr>
              <w:rFonts w:ascii="Cambria Math" w:hAnsi="Cambria Math" w:cs="Times New Roman"/>
              <w:szCs w:val="24"/>
            </w:rPr>
            <m:t>ᵒ</m:t>
          </m:r>
          <m:r>
            <w:rPr>
              <w:rFonts w:ascii="Cambria Math" w:hAnsi="Cambria Math" w:cs="Times New Roman"/>
              <w:szCs w:val="24"/>
              <w:lang w:val="pt-BR"/>
            </w:rPr>
            <m:t>ⁱˡ) - max[ln(Pₜ₋₁</m:t>
          </m:r>
          <m:r>
            <w:rPr>
              <w:rFonts w:ascii="Cambria Math" w:hAnsi="Cambria Math" w:cs="Times New Roman"/>
              <w:szCs w:val="24"/>
            </w:rPr>
            <m:t>ᵒ</m:t>
          </m:r>
          <m:r>
            <w:rPr>
              <w:rFonts w:ascii="Cambria Math" w:hAnsi="Cambria Math" w:cs="Times New Roman"/>
              <w:szCs w:val="24"/>
              <w:lang w:val="pt-BR"/>
            </w:rPr>
            <m:t>ⁱˡ), ..., ln(Pₜ₋₁₂</m:t>
          </m:r>
          <m:r>
            <w:rPr>
              <w:rFonts w:ascii="Cambria Math" w:hAnsi="Cambria Math" w:cs="Times New Roman"/>
              <w:szCs w:val="24"/>
            </w:rPr>
            <m:t>ᵒ</m:t>
          </m:r>
          <m:r>
            <w:rPr>
              <w:rFonts w:ascii="Cambria Math" w:hAnsi="Cambria Math" w:cs="Times New Roman"/>
              <w:szCs w:val="24"/>
              <w:lang w:val="pt-BR"/>
            </w:rPr>
            <m:t>ⁱˡ)]}      (1)</m:t>
          </m:r>
        </m:oMath>
      </m:oMathPara>
    </w:p>
    <w:p w14:paraId="1C82065E" w14:textId="77777777" w:rsidR="008E44CC" w:rsidRPr="009C7F96" w:rsidRDefault="008E44CC" w:rsidP="008E44CC">
      <w:pPr>
        <w:rPr>
          <w:rFonts w:cs="Times New Roman"/>
          <w:szCs w:val="24"/>
          <w:lang w:val="pt-BR"/>
        </w:rPr>
      </w:pPr>
    </w:p>
    <w:p w14:paraId="433AF347" w14:textId="76AFD614" w:rsidR="008E44CC" w:rsidRPr="009C7F96" w:rsidRDefault="008E44CC" w:rsidP="008E44CC">
      <w:pPr>
        <w:spacing w:after="120"/>
        <w:rPr>
          <w:rFonts w:cs="Times New Roman"/>
          <w:szCs w:val="24"/>
          <w:lang w:val="pt-BR"/>
        </w:rPr>
      </w:pPr>
      <w:r w:rsidRPr="009C7F96">
        <w:rPr>
          <w:rFonts w:cs="Times New Roman"/>
          <w:szCs w:val="24"/>
          <w:lang w:val="pt-BR"/>
        </w:rPr>
        <w:t xml:space="preserve">Em que </w:t>
      </w:r>
      <m:oMath>
        <m:r>
          <w:rPr>
            <w:rFonts w:ascii="Cambria Math" w:hAnsi="Cambria Math" w:cs="Times New Roman"/>
            <w:szCs w:val="24"/>
            <w:lang w:val="pt-BR"/>
          </w:rPr>
          <m:t>NOPIₜ</m:t>
        </m:r>
      </m:oMath>
      <w:r w:rsidRPr="009C7F96">
        <w:rPr>
          <w:rFonts w:cs="Times New Roman"/>
          <w:szCs w:val="24"/>
          <w:lang w:val="pt-BR"/>
        </w:rPr>
        <w:t xml:space="preserve"> representa o aumento líquido do preço do petróleo no período </w:t>
      </w:r>
      <m:oMath>
        <m:r>
          <w:rPr>
            <w:rFonts w:ascii="Cambria Math" w:hAnsi="Cambria Math" w:cs="Times New Roman"/>
            <w:szCs w:val="24"/>
            <w:lang w:val="pt-BR"/>
          </w:rPr>
          <m:t>t</m:t>
        </m:r>
      </m:oMath>
      <w:r w:rsidRPr="009C7F96">
        <w:rPr>
          <w:rFonts w:cs="Times New Roman"/>
          <w:szCs w:val="24"/>
          <w:lang w:val="pt-BR"/>
        </w:rPr>
        <w:t xml:space="preserve"> e </w:t>
      </w:r>
      <m:oMath>
        <m:r>
          <w:rPr>
            <w:rFonts w:ascii="Cambria Math" w:hAnsi="Cambria Math" w:cs="Times New Roman"/>
            <w:szCs w:val="24"/>
            <w:lang w:val="pt-BR"/>
          </w:rPr>
          <m:t>Pₜ</m:t>
        </m:r>
        <m:r>
          <w:rPr>
            <w:rFonts w:ascii="Cambria Math" w:hAnsi="Cambria Math" w:cs="Times New Roman"/>
            <w:szCs w:val="24"/>
          </w:rPr>
          <m:t>ᵒ</m:t>
        </m:r>
        <m:r>
          <w:rPr>
            <w:rFonts w:ascii="Cambria Math" w:hAnsi="Cambria Math" w:cs="Times New Roman"/>
            <w:szCs w:val="24"/>
            <w:lang w:val="pt-BR"/>
          </w:rPr>
          <m:t>ⁱˡ</m:t>
        </m:r>
      </m:oMath>
      <w:r w:rsidRPr="009C7F96">
        <w:rPr>
          <w:rFonts w:cs="Times New Roman"/>
          <w:szCs w:val="24"/>
          <w:lang w:val="pt-BR"/>
        </w:rPr>
        <w:t xml:space="preserve"> representa o preço do petróleo. A intuição dessa medida é que pequenas variações ou movimentos que apenas recuperam quedas anteriores podem não ter o mesmo efeito macroeconômico que uma alta capaz de superar o pico recente. Para o presente trabalho, essa formulação é útil porque mostra </w:t>
      </w:r>
      <w:r w:rsidRPr="009C7F96">
        <w:rPr>
          <w:rFonts w:cs="Times New Roman"/>
          <w:szCs w:val="24"/>
          <w:lang w:val="pt-BR"/>
        </w:rPr>
        <w:lastRenderedPageBreak/>
        <w:t>que o impacto inflacionário do petróleo pode depender da intensidade e da novidade do choque, e não apenas da variação mensal do barril.</w:t>
      </w:r>
    </w:p>
    <w:p w14:paraId="4793CE4C" w14:textId="1584594F" w:rsidR="008E44CC" w:rsidRPr="009C7F96" w:rsidRDefault="008E44CC" w:rsidP="008E44CC">
      <w:pPr>
        <w:spacing w:after="120"/>
        <w:rPr>
          <w:rFonts w:cs="Times New Roman"/>
          <w:szCs w:val="24"/>
          <w:lang w:val="pt-BR"/>
        </w:rPr>
      </w:pPr>
      <w:r w:rsidRPr="009C7F96">
        <w:rPr>
          <w:rFonts w:cs="Times New Roman"/>
          <w:szCs w:val="24"/>
          <w:lang w:val="pt-BR"/>
        </w:rPr>
        <w:t>Com o avanço da literatura, tornou-se claro que nem toda elevação do preço do petróleo possui a mesma origem. Kilian (2009) argumenta que movimentos do preço do petróleo podem refletir choques de oferta, choques de demanda agregada global ou choques de demanda específica por petróleo, como aqueles associados à demanda precaucional</w:t>
      </w:r>
      <w:r w:rsidR="00321F2B">
        <w:rPr>
          <w:rFonts w:cs="Times New Roman"/>
          <w:szCs w:val="24"/>
          <w:lang w:val="pt-BR"/>
        </w:rPr>
        <w:t xml:space="preserve"> </w:t>
      </w:r>
      <w:r w:rsidR="00321F2B" w:rsidRPr="00321F2B">
        <w:rPr>
          <w:rFonts w:cs="Times New Roman"/>
          <w:szCs w:val="24"/>
          <w:lang w:val="pt-BR"/>
        </w:rPr>
        <w:t>(motivo precaução)</w:t>
      </w:r>
      <w:r w:rsidRPr="009C7F96">
        <w:rPr>
          <w:rFonts w:cs="Times New Roman"/>
          <w:szCs w:val="24"/>
          <w:lang w:val="pt-BR"/>
        </w:rPr>
        <w:t>. Essa distinção é essencial porque um aumento do petróleo causado por forte demanda global pode vir acompanhado de maior atividade econômica, enquanto um aumento causado por restrição de oferta pode ter efeitos mais diretamente contracionistas e inflacionários.</w:t>
      </w:r>
    </w:p>
    <w:p w14:paraId="0C5E1BD8" w14:textId="77777777" w:rsidR="008E44CC" w:rsidRPr="009C7F96" w:rsidRDefault="008E44CC" w:rsidP="008E44CC">
      <w:pPr>
        <w:spacing w:after="120"/>
        <w:rPr>
          <w:rFonts w:cs="Times New Roman"/>
          <w:szCs w:val="24"/>
          <w:lang w:val="pt-BR"/>
        </w:rPr>
      </w:pPr>
      <w:r w:rsidRPr="009C7F96">
        <w:rPr>
          <w:rFonts w:cs="Times New Roman"/>
          <w:szCs w:val="24"/>
          <w:lang w:val="pt-BR"/>
        </w:rPr>
        <w:t>A decomposição proposta por Kilian pode ser representada por um sistema estrutural que relaciona produção mundial de petróleo, atividade econômica global e preço real do petróleo:</w:t>
      </w:r>
    </w:p>
    <w:p w14:paraId="115EE5F8" w14:textId="77777777" w:rsidR="008E44CC" w:rsidRPr="00F05B77" w:rsidRDefault="008E44CC" w:rsidP="008E44CC">
      <w:pPr>
        <w:jc w:val="center"/>
        <w:rPr>
          <w:rFonts w:ascii="Cambria Math" w:hAnsi="Cambria Math" w:cs="Times New Roman"/>
          <w:szCs w:val="24"/>
          <w:lang w:val="pt-BR"/>
          <w:oMath/>
        </w:rPr>
      </w:pPr>
      <w:r>
        <w:rPr>
          <w:i/>
        </w:rPr>
        <w:t>A_0 X_t = α + A_1 X_{t-1} + ... + ε_t</w:t>
      </w:r>
    </w:p>
    <w:p w14:paraId="00A90CED" w14:textId="6CAE2F4D" w:rsidR="008E44CC" w:rsidRPr="00F05B77" w:rsidRDefault="00F05B77" w:rsidP="00F05B77">
      <w:pPr>
        <w:spacing w:before="120" w:after="120"/>
        <w:ind w:firstLine="0"/>
        <w:jc w:val="center"/>
        <w:rPr>
          <w:rFonts w:cs="Times New Roman"/>
          <w:szCs w:val="24"/>
          <w:lang w:val="pt-BR"/>
        </w:rPr>
      </w:pPr>
      <m:oMathPara>
        <m:oMath>
          <m:sSup>
            <m:sSupPr>
              <m:ctrlPr>
                <w:rPr>
                  <w:rFonts w:ascii="Cambria Math" w:hAnsi="Cambria Math" w:cs="Times New Roman"/>
                  <w:i/>
                  <w:szCs w:val="24"/>
                  <w:lang w:val="pt-BR"/>
                </w:rPr>
              </m:ctrlPr>
            </m:sSupPr>
            <m:e>
              <m:r>
                <w:rPr>
                  <w:rFonts w:ascii="Cambria Math" w:hAnsi="Cambria Math" w:cs="Times New Roman"/>
                  <w:szCs w:val="24"/>
                  <w:lang w:val="pt-BR"/>
                </w:rPr>
                <m:t>A</m:t>
              </m:r>
            </m:e>
            <m:sup>
              <m:r>
                <w:rPr>
                  <w:rFonts w:ascii="Cambria Math" w:hAnsi="Cambria Math" w:cs="Times New Roman"/>
                  <w:szCs w:val="24"/>
                  <w:lang w:val="pt-BR"/>
                </w:rPr>
                <m:t>0</m:t>
              </m:r>
            </m:sup>
          </m:sSup>
          <m:r>
            <w:rPr>
              <w:rFonts w:ascii="Cambria Math" w:hAnsi="Cambria Math" w:cs="Times New Roman"/>
              <w:szCs w:val="24"/>
              <w:lang w:val="pt-BR"/>
            </w:rPr>
            <m:t>yₜ=</m:t>
          </m:r>
          <m:r>
            <w:rPr>
              <w:rFonts w:ascii="Cambria Math" w:hAnsi="Cambria Math" w:cs="Times New Roman"/>
              <w:szCs w:val="24"/>
            </w:rPr>
            <m:t>α</m:t>
          </m:r>
          <m:r>
            <w:rPr>
              <w:rFonts w:ascii="Cambria Math" w:hAnsi="Cambria Math" w:cs="Times New Roman"/>
              <w:szCs w:val="24"/>
              <w:lang w:val="pt-BR"/>
            </w:rPr>
            <m:t>+</m:t>
          </m:r>
          <m:sSubSup>
            <m:sSubSupPr>
              <m:ctrlPr>
                <w:rPr>
                  <w:rFonts w:ascii="Cambria Math" w:hAnsi="Cambria Math" w:cs="Times New Roman"/>
                  <w:i/>
                  <w:szCs w:val="24"/>
                  <w:lang w:val="pt-BR"/>
                </w:rPr>
              </m:ctrlPr>
            </m:sSubSupPr>
            <m:e>
              <m:r>
                <w:rPr>
                  <w:rFonts w:ascii="Cambria Math" w:hAnsi="Cambria Math" w:cs="Times New Roman"/>
                  <w:szCs w:val="24"/>
                </w:rPr>
                <m:t>Σ</m:t>
              </m:r>
              <m:ctrlPr>
                <w:rPr>
                  <w:rFonts w:ascii="Cambria Math" w:hAnsi="Cambria Math" w:cs="Times New Roman"/>
                  <w:i/>
                  <w:szCs w:val="24"/>
                </w:rPr>
              </m:ctrlPr>
            </m:e>
            <m:sub>
              <m:r>
                <w:rPr>
                  <w:rFonts w:ascii="Cambria Math" w:hAnsi="Cambria Math" w:cs="Times New Roman"/>
                  <w:szCs w:val="24"/>
                  <w:lang w:val="pt-BR"/>
                </w:rPr>
                <m:t>i=1</m:t>
              </m:r>
            </m:sub>
            <m:sup>
              <m:r>
                <w:rPr>
                  <w:rFonts w:ascii="Cambria Math" w:hAnsi="Cambria Math" w:cs="Times New Roman"/>
                  <w:szCs w:val="24"/>
                  <w:lang w:val="pt-BR"/>
                </w:rPr>
                <m:t>p</m:t>
              </m:r>
            </m:sup>
          </m:sSubSup>
          <m:r>
            <w:rPr>
              <w:rFonts w:ascii="Cambria Math" w:hAnsi="Cambria Math" w:cs="Times New Roman"/>
              <w:szCs w:val="24"/>
              <w:lang w:val="pt-BR"/>
            </w:rPr>
            <m:t xml:space="preserve"> A</m:t>
          </m:r>
          <m:r>
            <w:rPr>
              <w:rFonts w:ascii="Cambria Math" w:hAnsi="Cambria Math" w:cs="Times New Roman"/>
              <w:szCs w:val="24"/>
            </w:rPr>
            <m:t>ᵢ</m:t>
          </m:r>
          <m:r>
            <w:rPr>
              <w:rFonts w:ascii="Cambria Math" w:hAnsi="Cambria Math" w:cs="Times New Roman"/>
              <w:szCs w:val="24"/>
              <w:lang w:val="pt-BR"/>
            </w:rPr>
            <m:t xml:space="preserve"> yₜ₋</m:t>
          </m:r>
          <m:r>
            <w:rPr>
              <w:rFonts w:ascii="Cambria Math" w:hAnsi="Cambria Math" w:cs="Times New Roman"/>
              <w:szCs w:val="24"/>
            </w:rPr>
            <m:t>ᵢ</m:t>
          </m:r>
          <m:r>
            <w:rPr>
              <w:rFonts w:ascii="Cambria Math" w:hAnsi="Cambria Math" w:cs="Times New Roman"/>
              <w:szCs w:val="24"/>
              <w:lang w:val="pt-BR"/>
            </w:rPr>
            <m:t xml:space="preserve"> + </m:t>
          </m:r>
          <m:r>
            <w:rPr>
              <w:rFonts w:ascii="Cambria Math" w:hAnsi="Cambria Math" w:cs="Times New Roman"/>
              <w:szCs w:val="24"/>
            </w:rPr>
            <m:t>ε</m:t>
          </m:r>
          <m:r>
            <w:rPr>
              <w:rFonts w:ascii="Cambria Math" w:hAnsi="Cambria Math" w:cs="Times New Roman"/>
              <w:szCs w:val="24"/>
              <w:lang w:val="pt-BR"/>
            </w:rPr>
            <m:t>ₜ,    yₜ = [</m:t>
          </m:r>
          <m:r>
            <w:rPr>
              <w:rFonts w:ascii="Cambria Math" w:hAnsi="Cambria Math" w:cs="Times New Roman"/>
              <w:szCs w:val="24"/>
            </w:rPr>
            <m:t>Δ</m:t>
          </m:r>
          <m:r>
            <w:rPr>
              <w:rFonts w:ascii="Cambria Math" w:hAnsi="Cambria Math" w:cs="Times New Roman"/>
              <w:szCs w:val="24"/>
              <w:lang w:val="pt-BR"/>
            </w:rPr>
            <m:t>prodₜ</m:t>
          </m:r>
          <m:r>
            <w:rPr>
              <w:rFonts w:ascii="Cambria Math" w:hAnsi="Cambria Math" w:cs="Times New Roman"/>
              <w:szCs w:val="24"/>
            </w:rPr>
            <m:t>ᵒ</m:t>
          </m:r>
          <m:r>
            <w:rPr>
              <w:rFonts w:ascii="Cambria Math" w:hAnsi="Cambria Math" w:cs="Times New Roman"/>
              <w:szCs w:val="24"/>
              <w:lang w:val="pt-BR"/>
            </w:rPr>
            <m:t>ⁱˡ, reaₜ, rpoₜ]'      (2)</m:t>
          </m:r>
        </m:oMath>
      </m:oMathPara>
    </w:p>
    <w:p w14:paraId="70618B8E" w14:textId="77777777" w:rsidR="008E44CC" w:rsidRPr="009C7F96" w:rsidRDefault="008E44CC" w:rsidP="008E44CC">
      <w:pPr>
        <w:rPr>
          <w:rFonts w:cs="Times New Roman"/>
          <w:szCs w:val="24"/>
          <w:lang w:val="pt-BR"/>
        </w:rPr>
      </w:pPr>
    </w:p>
    <w:p w14:paraId="6933ADE9" w14:textId="77777777" w:rsidR="008E44CC" w:rsidRPr="009C7F96" w:rsidRDefault="008E44CC" w:rsidP="008E44CC">
      <w:pPr>
        <w:spacing w:after="120"/>
        <w:rPr>
          <w:rFonts w:cs="Times New Roman"/>
          <w:szCs w:val="24"/>
          <w:lang w:val="pt-BR"/>
        </w:rPr>
      </w:pPr>
      <w:r w:rsidRPr="009C7F96">
        <w:rPr>
          <w:rFonts w:cs="Times New Roman"/>
          <w:szCs w:val="24"/>
          <w:lang w:val="pt-BR"/>
        </w:rPr>
        <w:t xml:space="preserve">Nessa formulação, </w:t>
      </w:r>
      <w:r w:rsidRPr="009C7F96">
        <w:rPr>
          <w:rFonts w:cs="Times New Roman"/>
          <w:szCs w:val="24"/>
        </w:rPr>
        <w:t>Δ</w:t>
      </w:r>
      <w:r w:rsidRPr="009C7F96">
        <w:rPr>
          <w:rFonts w:cs="Times New Roman"/>
          <w:szCs w:val="24"/>
          <w:lang w:val="pt-BR"/>
        </w:rPr>
        <w:t>prodₜ</w:t>
      </w:r>
      <w:r w:rsidRPr="009C7F96">
        <w:rPr>
          <w:rFonts w:cs="Times New Roman"/>
          <w:szCs w:val="24"/>
        </w:rPr>
        <w:t>ᵒ</w:t>
      </w:r>
      <w:r w:rsidRPr="009C7F96">
        <w:rPr>
          <w:rFonts w:cs="Times New Roman"/>
          <w:szCs w:val="24"/>
          <w:lang w:val="pt-BR"/>
        </w:rPr>
        <w:t xml:space="preserve">ⁱˡ representa a variação da produção mundial de petróleo, reaₜ é uma medida de atividade econômica global, rpoₜ é o preço real do petróleo e </w:t>
      </w:r>
      <w:r w:rsidRPr="009C7F96">
        <w:rPr>
          <w:rFonts w:cs="Times New Roman"/>
          <w:szCs w:val="24"/>
        </w:rPr>
        <w:t>ε</w:t>
      </w:r>
      <w:r w:rsidRPr="009C7F96">
        <w:rPr>
          <w:rFonts w:cs="Times New Roman"/>
          <w:szCs w:val="24"/>
          <w:lang w:val="pt-BR"/>
        </w:rPr>
        <w:t>ₜ reúne os choques estruturais. A principal implicação dessa equação para a presente pesquisa é que o preço do barril não deve ser analisado apenas como variável exógena única. A origem do choque importa para a magnitude, a duração e o canal de transmissão para a inflação brasileira.</w:t>
      </w:r>
    </w:p>
    <w:p w14:paraId="7EA3BB9A" w14:textId="77777777" w:rsidR="008E44CC" w:rsidRPr="009C7F96" w:rsidRDefault="008E44CC" w:rsidP="008E44CC">
      <w:pPr>
        <w:spacing w:after="120"/>
        <w:rPr>
          <w:rFonts w:cs="Times New Roman"/>
          <w:szCs w:val="24"/>
          <w:lang w:val="pt-BR"/>
        </w:rPr>
      </w:pPr>
      <w:r w:rsidRPr="009C7F96">
        <w:rPr>
          <w:rFonts w:cs="Times New Roman"/>
          <w:szCs w:val="24"/>
          <w:lang w:val="pt-BR"/>
        </w:rPr>
        <w:t>A literatura também mostra que o efeito do petróleo sobre a inflação não é uniforme entre todos os componentes dos índices de preços. Hooker (2002) observa que, a partir dos anos 1980, o impacto do petróleo sobre a inflação norte-americana tornou-se mais concentrado nos componentes diretamente ligados à energia, com menor disseminação para medidas de núcleo. Esse resultado é relevante para o caso brasileiro porque sugere que o IPCA cheio pode esconder mecanismos importantes quando analisado de forma agregada. Por isso, torna-se necessário separar o IPCA geral, o IPCA de transportes e os subitens diretamente ligados a combustíveis.</w:t>
      </w:r>
    </w:p>
    <w:p w14:paraId="6A60FBBA" w14:textId="77777777" w:rsidR="008E44CC" w:rsidRPr="009C7F96" w:rsidRDefault="008E44CC" w:rsidP="008E44CC">
      <w:pPr>
        <w:spacing w:after="120"/>
        <w:rPr>
          <w:rFonts w:cs="Times New Roman"/>
          <w:szCs w:val="24"/>
          <w:lang w:val="pt-BR"/>
        </w:rPr>
      </w:pPr>
      <w:r w:rsidRPr="009C7F96">
        <w:rPr>
          <w:rFonts w:cs="Times New Roman"/>
          <w:szCs w:val="24"/>
          <w:lang w:val="pt-BR"/>
        </w:rPr>
        <w:t xml:space="preserve">Blanchard e Galí (2007) reforçam essa leitura ao comparar os choques dos anos 1970 com choques posteriores. Os autores mostram que os efeitos macroeconômicos do petróleo se tornaram menos severos em economias avançadas, resultado associado a menor intensidade energética, </w:t>
      </w:r>
      <w:r w:rsidRPr="009C7F96">
        <w:rPr>
          <w:rFonts w:cs="Times New Roman"/>
          <w:szCs w:val="24"/>
          <w:lang w:val="pt-BR"/>
        </w:rPr>
        <w:lastRenderedPageBreak/>
        <w:t>maior flexibilidade dos mercados e maior credibilidade da política monetária. A contribuição desse estudo está em mostrar que o repasse do petróleo à inflação depende do regime macroeconômico e institucional. Assim, não se deve presumir um coeficiente fixo de transmissão ao longo do tempo.</w:t>
      </w:r>
    </w:p>
    <w:p w14:paraId="25A60748" w14:textId="77777777" w:rsidR="008E44CC" w:rsidRPr="009C7F96" w:rsidRDefault="008E44CC" w:rsidP="008E44CC">
      <w:pPr>
        <w:pStyle w:val="Heading2"/>
        <w:spacing w:before="240" w:after="120"/>
        <w:jc w:val="both"/>
        <w:rPr>
          <w:rFonts w:cs="Times New Roman"/>
          <w:szCs w:val="24"/>
        </w:rPr>
      </w:pPr>
      <w:bookmarkStart w:id="7" w:name="_Toc229695934"/>
      <w:r w:rsidRPr="009C7F96">
        <w:rPr>
          <w:rFonts w:ascii="Times New Roman" w:eastAsia="Times New Roman" w:hAnsi="Times New Roman" w:cs="Times New Roman"/>
          <w:szCs w:val="24"/>
        </w:rPr>
        <w:t>2.2 Petróleo em moeda doméstica, câmbio e pass-through inflacionário</w:t>
      </w:r>
      <w:bookmarkEnd w:id="7"/>
    </w:p>
    <w:p w14:paraId="6D722088" w14:textId="77777777" w:rsidR="008E44CC" w:rsidRPr="009C7F96" w:rsidRDefault="008E44CC" w:rsidP="008E44CC">
      <w:pPr>
        <w:spacing w:after="120"/>
        <w:rPr>
          <w:rFonts w:cs="Times New Roman"/>
          <w:szCs w:val="24"/>
          <w:lang w:val="pt-BR"/>
        </w:rPr>
      </w:pPr>
      <w:r w:rsidRPr="009C7F96">
        <w:rPr>
          <w:rFonts w:cs="Times New Roman"/>
          <w:szCs w:val="24"/>
          <w:lang w:val="pt-BR"/>
        </w:rPr>
        <w:t>Em economias abertas, a transmissão do petróleo para a inflação depende não apenas do preço internacional em dólares, mas também da taxa de câmbio. Para países como o Brasil, o choque relevante para empresas, refinarias, importadores e consumidores é o preço do petróleo em reais. Esse mecanismo pode ser representado por:</w:t>
      </w:r>
    </w:p>
    <w:p w14:paraId="4E56F745" w14:textId="77777777" w:rsidR="008E44CC" w:rsidRPr="009C7F96" w:rsidRDefault="008E44CC" w:rsidP="008E44CC">
      <w:pPr>
        <w:jc w:val="center"/>
        <w:rPr>
          <w:rFonts w:cs="Times New Roman"/>
          <w:szCs w:val="24"/>
          <w:lang w:val="pt-BR"/>
        </w:rPr>
      </w:pPr>
      <w:r>
        <w:rPr>
          <w:i/>
        </w:rPr>
        <w:t>P^{BRL}_t = P^{USD}_t × E_t</w:t>
      </w:r>
    </w:p>
    <w:p w14:paraId="7958E143" w14:textId="6A185D7F" w:rsidR="008E44CC" w:rsidRPr="009C7F96" w:rsidRDefault="00F05B77" w:rsidP="00F05B77">
      <w:pPr>
        <w:spacing w:before="120" w:after="120"/>
        <w:jc w:val="center"/>
        <w:rPr>
          <w:rFonts w:cs="Times New Roman"/>
          <w:szCs w:val="24"/>
          <w:lang w:val="pt-BR"/>
        </w:rPr>
      </w:pPr>
      <m:oMathPara>
        <m:oMath>
          <m:r>
            <w:rPr>
              <w:rFonts w:ascii="Cambria Math" w:hAnsi="Cambria Math" w:cs="Times New Roman"/>
              <w:szCs w:val="24"/>
              <w:lang w:val="pt-BR"/>
            </w:rPr>
            <m:t>Pₜ</m:t>
          </m:r>
          <m:r>
            <w:rPr>
              <w:rFonts w:ascii="Cambria Math" w:hAnsi="Cambria Math" w:cs="Times New Roman"/>
              <w:szCs w:val="24"/>
            </w:rPr>
            <m:t>ᵒ</m:t>
          </m:r>
          <m:r>
            <w:rPr>
              <w:rFonts w:ascii="Cambria Math" w:hAnsi="Cambria Math" w:cs="Times New Roman"/>
              <w:szCs w:val="24"/>
              <w:lang w:val="pt-BR"/>
            </w:rPr>
            <m:t>ⁱˡ,</m:t>
          </m:r>
          <m:r>
            <w:rPr>
              <w:rFonts w:ascii="Cambria Math" w:hAnsi="Cambria Math" w:cs="Times New Roman"/>
              <w:szCs w:val="24"/>
            </w:rPr>
            <m:t>ᴮᴿᴸ</m:t>
          </m:r>
          <m:r>
            <w:rPr>
              <w:rFonts w:ascii="Cambria Math" w:hAnsi="Cambria Math" w:cs="Times New Roman"/>
              <w:szCs w:val="24"/>
              <w:lang w:val="pt-BR"/>
            </w:rPr>
            <m:t xml:space="preserve"> = Eₜ · Pₜ</m:t>
          </m:r>
          <m:r>
            <w:rPr>
              <w:rFonts w:ascii="Cambria Math" w:hAnsi="Cambria Math" w:cs="Times New Roman"/>
              <w:szCs w:val="24"/>
            </w:rPr>
            <m:t>ᵒ</m:t>
          </m:r>
          <m:r>
            <w:rPr>
              <w:rFonts w:ascii="Cambria Math" w:hAnsi="Cambria Math" w:cs="Times New Roman"/>
              <w:szCs w:val="24"/>
              <w:lang w:val="pt-BR"/>
            </w:rPr>
            <m:t>ⁱˡ,</m:t>
          </m:r>
          <m:r>
            <w:rPr>
              <w:rFonts w:ascii="Cambria Math" w:hAnsi="Cambria Math" w:cs="Times New Roman"/>
              <w:szCs w:val="24"/>
            </w:rPr>
            <m:t>ᵁ</m:t>
          </m:r>
          <m:r>
            <w:rPr>
              <w:rFonts w:ascii="Cambria Math" w:hAnsi="Cambria Math" w:cs="Times New Roman"/>
              <w:szCs w:val="24"/>
              <w:lang w:val="pt-BR"/>
            </w:rPr>
            <m:t>ˢ</m:t>
          </m:r>
          <m:r>
            <w:rPr>
              <w:rFonts w:ascii="Cambria Math" w:hAnsi="Cambria Math" w:cs="Times New Roman"/>
              <w:szCs w:val="24"/>
            </w:rPr>
            <m:t>ᴰ</m:t>
          </m:r>
          <m:r>
            <w:rPr>
              <w:rFonts w:ascii="Cambria Math" w:hAnsi="Cambria Math" w:cs="Times New Roman"/>
              <w:szCs w:val="24"/>
              <w:lang w:val="pt-BR"/>
            </w:rPr>
            <m:t xml:space="preserve">      (3)</m:t>
          </m:r>
        </m:oMath>
      </m:oMathPara>
    </w:p>
    <w:p w14:paraId="61C6C751" w14:textId="77777777" w:rsidR="008E44CC" w:rsidRPr="009C7F96" w:rsidRDefault="008E44CC" w:rsidP="008E44CC">
      <w:pPr>
        <w:rPr>
          <w:rFonts w:cs="Times New Roman"/>
          <w:szCs w:val="24"/>
          <w:lang w:val="pt-BR"/>
        </w:rPr>
      </w:pPr>
    </w:p>
    <w:p w14:paraId="21D9518F" w14:textId="02CE71C0" w:rsidR="008E44CC" w:rsidRPr="009C7F96" w:rsidRDefault="008E44CC" w:rsidP="008E44CC">
      <w:pPr>
        <w:spacing w:after="120"/>
        <w:rPr>
          <w:rFonts w:cs="Times New Roman"/>
          <w:szCs w:val="24"/>
          <w:lang w:val="pt-BR"/>
        </w:rPr>
      </w:pPr>
      <w:r w:rsidRPr="009C7F96">
        <w:rPr>
          <w:rFonts w:cs="Times New Roman"/>
          <w:szCs w:val="24"/>
          <w:lang w:val="pt-BR"/>
        </w:rPr>
        <w:t xml:space="preserve">Em que </w:t>
      </w:r>
      <m:oMath>
        <m:r>
          <w:rPr>
            <w:rFonts w:ascii="Cambria Math" w:hAnsi="Cambria Math" w:cs="Times New Roman"/>
            <w:szCs w:val="24"/>
            <w:lang w:val="pt-BR"/>
          </w:rPr>
          <m:t>Pₜ</m:t>
        </m:r>
        <m:r>
          <w:rPr>
            <w:rFonts w:ascii="Cambria Math" w:hAnsi="Cambria Math" w:cs="Times New Roman"/>
            <w:szCs w:val="24"/>
          </w:rPr>
          <m:t>ᵒ</m:t>
        </m:r>
        <m:r>
          <w:rPr>
            <w:rFonts w:ascii="Cambria Math" w:hAnsi="Cambria Math" w:cs="Times New Roman"/>
            <w:szCs w:val="24"/>
            <w:lang w:val="pt-BR"/>
          </w:rPr>
          <m:t>ⁱˡ,</m:t>
        </m:r>
        <m:r>
          <w:rPr>
            <w:rFonts w:ascii="Cambria Math" w:hAnsi="Cambria Math" w:cs="Times New Roman"/>
            <w:szCs w:val="24"/>
          </w:rPr>
          <m:t>ᴮᴿᴸ</m:t>
        </m:r>
      </m:oMath>
      <w:r w:rsidRPr="009C7F96">
        <w:rPr>
          <w:rFonts w:cs="Times New Roman"/>
          <w:szCs w:val="24"/>
          <w:lang w:val="pt-BR"/>
        </w:rPr>
        <w:t xml:space="preserve"> representa o preço do petróleo em moeda doméstica, </w:t>
      </w:r>
      <m:oMath>
        <m:r>
          <w:rPr>
            <w:rFonts w:ascii="Cambria Math" w:hAnsi="Cambria Math" w:cs="Times New Roman"/>
            <w:szCs w:val="24"/>
            <w:lang w:val="pt-BR"/>
          </w:rPr>
          <m:t>Eₜ</m:t>
        </m:r>
      </m:oMath>
      <w:r w:rsidRPr="009C7F96">
        <w:rPr>
          <w:rFonts w:cs="Times New Roman"/>
          <w:szCs w:val="24"/>
          <w:lang w:val="pt-BR"/>
        </w:rPr>
        <w:t xml:space="preserve"> é a taxa de câmbio nominal, medida em reais por dólar, e </w:t>
      </w:r>
      <m:oMath>
        <m:r>
          <w:rPr>
            <w:rFonts w:ascii="Cambria Math" w:hAnsi="Cambria Math" w:cs="Times New Roman"/>
            <w:szCs w:val="24"/>
            <w:lang w:val="pt-BR"/>
          </w:rPr>
          <m:t>Pₜ</m:t>
        </m:r>
        <m:r>
          <w:rPr>
            <w:rFonts w:ascii="Cambria Math" w:hAnsi="Cambria Math" w:cs="Times New Roman"/>
            <w:szCs w:val="24"/>
          </w:rPr>
          <m:t>ᵒ</m:t>
        </m:r>
        <m:r>
          <w:rPr>
            <w:rFonts w:ascii="Cambria Math" w:hAnsi="Cambria Math" w:cs="Times New Roman"/>
            <w:szCs w:val="24"/>
            <w:lang w:val="pt-BR"/>
          </w:rPr>
          <m:t>ⁱˡ,</m:t>
        </m:r>
        <m:r>
          <w:rPr>
            <w:rFonts w:ascii="Cambria Math" w:hAnsi="Cambria Math" w:cs="Times New Roman"/>
            <w:szCs w:val="24"/>
          </w:rPr>
          <m:t>ᵁ</m:t>
        </m:r>
        <m:r>
          <w:rPr>
            <w:rFonts w:ascii="Cambria Math" w:hAnsi="Cambria Math" w:cs="Times New Roman"/>
            <w:szCs w:val="24"/>
            <w:lang w:val="pt-BR"/>
          </w:rPr>
          <m:t>ˢ</m:t>
        </m:r>
        <m:r>
          <w:rPr>
            <w:rFonts w:ascii="Cambria Math" w:hAnsi="Cambria Math" w:cs="Times New Roman"/>
            <w:szCs w:val="24"/>
          </w:rPr>
          <m:t>ᴰ</m:t>
        </m:r>
      </m:oMath>
      <w:r w:rsidRPr="009C7F96">
        <w:rPr>
          <w:rFonts w:cs="Times New Roman"/>
          <w:szCs w:val="24"/>
          <w:lang w:val="pt-BR"/>
        </w:rPr>
        <w:t xml:space="preserve"> é o preço internacional do petróleo em dólares. A equação mostra que a inflação doméstica pode ser pressionada tanto por alta do barril em dólar quanto por depreciação cambial. No caso brasileiro, essa distinção é decisiva, pois choques externos frequentemente chegam ao mercado doméstico combinados com movimentos relevantes da taxa de câmbio.</w:t>
      </w:r>
    </w:p>
    <w:p w14:paraId="291A9A57" w14:textId="77777777" w:rsidR="008E44CC" w:rsidRPr="009C7F96" w:rsidRDefault="008E44CC" w:rsidP="008E44CC">
      <w:pPr>
        <w:spacing w:after="120"/>
        <w:rPr>
          <w:rFonts w:cs="Times New Roman"/>
          <w:szCs w:val="24"/>
          <w:lang w:val="pt-BR"/>
        </w:rPr>
      </w:pPr>
      <w:r w:rsidRPr="009C7F96">
        <w:rPr>
          <w:rFonts w:cs="Times New Roman"/>
          <w:szCs w:val="24"/>
          <w:lang w:val="pt-BR"/>
        </w:rPr>
        <w:t>A relação entre petróleo, câmbio e inflação pode ser incorporada a uma curva de Phillips aberta. Em uma forma reduzida, a inflação depende de expectativas, inércia, hiato do produto e fatores externos, como câmbio e commodities:</w:t>
      </w:r>
    </w:p>
    <w:p w14:paraId="7C9FC8B4" w14:textId="77777777" w:rsidR="008E44CC" w:rsidRPr="009C7F96" w:rsidRDefault="008E44CC" w:rsidP="008E44CC">
      <w:pPr>
        <w:jc w:val="center"/>
        <w:rPr>
          <w:rFonts w:cs="Times New Roman"/>
          <w:szCs w:val="24"/>
          <w:lang w:val="pt-BR"/>
        </w:rPr>
      </w:pPr>
      <w:r>
        <w:rPr>
          <w:i/>
        </w:rPr>
        <w:t>π_t = c + α π^e_t + β π_{t-1} + γ ỹ_t + δ ΔE_t + θ ΔP^{oil}_t + ε_t</w:t>
      </w:r>
    </w:p>
    <w:p w14:paraId="18E39E13" w14:textId="43A34A31" w:rsidR="008E44CC" w:rsidRPr="009C7F96" w:rsidRDefault="00F05B77" w:rsidP="008E44CC">
      <w:pPr>
        <w:spacing w:before="120" w:after="120"/>
        <w:rPr>
          <w:rFonts w:cs="Times New Roman"/>
          <w:szCs w:val="24"/>
          <w:lang w:val="pt-BR"/>
        </w:rPr>
      </w:pPr>
      <m:oMathPara>
        <m:oMath>
          <m:r>
            <w:rPr>
              <w:rFonts w:ascii="Cambria Math" w:hAnsi="Cambria Math" w:cs="Times New Roman"/>
              <w:szCs w:val="24"/>
            </w:rPr>
            <m:t>π</m:t>
          </m:r>
          <m:r>
            <w:rPr>
              <w:rFonts w:ascii="Cambria Math" w:hAnsi="Cambria Math" w:cs="Times New Roman"/>
              <w:szCs w:val="24"/>
              <w:lang w:val="pt-BR"/>
            </w:rPr>
            <m:t xml:space="preserve">ₜ = </m:t>
          </m:r>
          <m:r>
            <w:rPr>
              <w:rFonts w:ascii="Cambria Math" w:hAnsi="Cambria Math" w:cs="Times New Roman"/>
              <w:szCs w:val="24"/>
            </w:rPr>
            <m:t>α</m:t>
          </m:r>
          <m:r>
            <w:rPr>
              <w:rFonts w:ascii="Cambria Math" w:hAnsi="Cambria Math" w:cs="Times New Roman"/>
              <w:szCs w:val="24"/>
              <w:lang w:val="pt-BR"/>
            </w:rPr>
            <m:t xml:space="preserve"> + </m:t>
          </m:r>
          <m:r>
            <w:rPr>
              <w:rFonts w:ascii="Cambria Math" w:hAnsi="Cambria Math" w:cs="Times New Roman"/>
              <w:szCs w:val="24"/>
            </w:rPr>
            <m:t>β</m:t>
          </m:r>
          <m:r>
            <w:rPr>
              <w:rFonts w:ascii="Cambria Math" w:hAnsi="Cambria Math" w:cs="Times New Roman"/>
              <w:szCs w:val="24"/>
              <w:lang w:val="pt-BR"/>
            </w:rPr>
            <m:t>₁ Eₜ(</m:t>
          </m:r>
          <m:r>
            <w:rPr>
              <w:rFonts w:ascii="Cambria Math" w:hAnsi="Cambria Math" w:cs="Times New Roman"/>
              <w:szCs w:val="24"/>
            </w:rPr>
            <m:t>π</m:t>
          </m:r>
          <m:r>
            <w:rPr>
              <w:rFonts w:ascii="Cambria Math" w:hAnsi="Cambria Math" w:cs="Times New Roman"/>
              <w:szCs w:val="24"/>
              <w:lang w:val="pt-BR"/>
            </w:rPr>
            <m:t xml:space="preserve">ₜ₊₁) + </m:t>
          </m:r>
          <m:r>
            <w:rPr>
              <w:rFonts w:ascii="Cambria Math" w:hAnsi="Cambria Math" w:cs="Times New Roman"/>
              <w:szCs w:val="24"/>
            </w:rPr>
            <m:t>β</m:t>
          </m:r>
          <m:r>
            <w:rPr>
              <w:rFonts w:ascii="Cambria Math" w:hAnsi="Cambria Math" w:cs="Times New Roman"/>
              <w:szCs w:val="24"/>
              <w:lang w:val="pt-BR"/>
            </w:rPr>
            <m:t xml:space="preserve">₂ </m:t>
          </m:r>
          <m:r>
            <w:rPr>
              <w:rFonts w:ascii="Cambria Math" w:hAnsi="Cambria Math" w:cs="Times New Roman"/>
              <w:szCs w:val="24"/>
            </w:rPr>
            <m:t>π</m:t>
          </m:r>
          <m:r>
            <w:rPr>
              <w:rFonts w:ascii="Cambria Math" w:hAnsi="Cambria Math" w:cs="Times New Roman"/>
              <w:szCs w:val="24"/>
              <w:lang w:val="pt-BR"/>
            </w:rPr>
            <m:t xml:space="preserve">ₜ₋₁ + </m:t>
          </m:r>
          <m:r>
            <w:rPr>
              <w:rFonts w:ascii="Cambria Math" w:hAnsi="Cambria Math" w:cs="Times New Roman"/>
              <w:szCs w:val="24"/>
            </w:rPr>
            <m:t>β</m:t>
          </m:r>
          <m:r>
            <w:rPr>
              <w:rFonts w:ascii="Cambria Math" w:hAnsi="Cambria Math" w:cs="Times New Roman"/>
              <w:szCs w:val="24"/>
              <w:lang w:val="pt-BR"/>
            </w:rPr>
            <m:t xml:space="preserve">₃ yₜ + </m:t>
          </m:r>
          <m:r>
            <w:rPr>
              <w:rFonts w:ascii="Cambria Math" w:hAnsi="Cambria Math" w:cs="Times New Roman"/>
              <w:szCs w:val="24"/>
            </w:rPr>
            <m:t>β</m:t>
          </m:r>
          <m:r>
            <w:rPr>
              <w:rFonts w:ascii="Cambria Math" w:hAnsi="Cambria Math" w:cs="Times New Roman"/>
              <w:szCs w:val="24"/>
              <w:lang w:val="pt-BR"/>
            </w:rPr>
            <m:t>₄ zₜ + uₜ      (4)</m:t>
          </m:r>
        </m:oMath>
      </m:oMathPara>
    </w:p>
    <w:p w14:paraId="6F33FBF7" w14:textId="77777777" w:rsidR="008E44CC" w:rsidRPr="009C7F96" w:rsidRDefault="008E44CC" w:rsidP="008E44CC">
      <w:pPr>
        <w:rPr>
          <w:rFonts w:cs="Times New Roman"/>
          <w:szCs w:val="24"/>
          <w:lang w:val="pt-BR"/>
        </w:rPr>
      </w:pPr>
    </w:p>
    <w:p w14:paraId="3856345B" w14:textId="4E2755F2" w:rsidR="008E44CC" w:rsidRPr="009C7F96" w:rsidRDefault="008E44CC" w:rsidP="008E44CC">
      <w:pPr>
        <w:spacing w:after="120"/>
        <w:rPr>
          <w:rFonts w:cs="Times New Roman"/>
          <w:szCs w:val="24"/>
          <w:lang w:val="pt-BR"/>
        </w:rPr>
      </w:pPr>
      <w:r w:rsidRPr="009C7F96">
        <w:rPr>
          <w:rFonts w:cs="Times New Roman"/>
          <w:szCs w:val="24"/>
          <w:lang w:val="pt-BR"/>
        </w:rPr>
        <w:t xml:space="preserve">Nessa equação, </w:t>
      </w:r>
      <w:r w:rsidRPr="009C7F96">
        <w:rPr>
          <w:rFonts w:cs="Times New Roman"/>
          <w:szCs w:val="24"/>
        </w:rPr>
        <w:t>π</w:t>
      </w:r>
      <w:r w:rsidRPr="009C7F96">
        <w:rPr>
          <w:rFonts w:cs="Times New Roman"/>
          <w:szCs w:val="24"/>
          <w:lang w:val="pt-BR"/>
        </w:rPr>
        <w:t xml:space="preserve">ₜ representa a inflação, </w:t>
      </w:r>
      <m:oMath>
        <m:r>
          <w:rPr>
            <w:rFonts w:ascii="Cambria Math" w:hAnsi="Cambria Math" w:cs="Times New Roman"/>
            <w:szCs w:val="24"/>
            <w:lang w:val="pt-BR"/>
          </w:rPr>
          <m:t>Eₜ(</m:t>
        </m:r>
        <m:r>
          <w:rPr>
            <w:rFonts w:ascii="Cambria Math" w:hAnsi="Cambria Math" w:cs="Times New Roman"/>
            <w:szCs w:val="24"/>
          </w:rPr>
          <m:t>π</m:t>
        </m:r>
        <m:r>
          <w:rPr>
            <w:rFonts w:ascii="Cambria Math" w:hAnsi="Cambria Math" w:cs="Times New Roman"/>
            <w:szCs w:val="24"/>
            <w:lang w:val="pt-BR"/>
          </w:rPr>
          <m:t xml:space="preserve">ₜ₊₁) </m:t>
        </m:r>
      </m:oMath>
      <w:r w:rsidRPr="009C7F96">
        <w:rPr>
          <w:rFonts w:cs="Times New Roman"/>
          <w:szCs w:val="24"/>
          <w:lang w:val="pt-BR"/>
        </w:rPr>
        <w:t xml:space="preserve">corresponde às expectativas de inflação, </w:t>
      </w:r>
      <m:oMath>
        <m:r>
          <w:rPr>
            <w:rFonts w:ascii="Cambria Math" w:hAnsi="Cambria Math" w:cs="Times New Roman"/>
            <w:szCs w:val="24"/>
          </w:rPr>
          <m:t>π</m:t>
        </m:r>
        <m:r>
          <w:rPr>
            <w:rFonts w:ascii="Cambria Math" w:hAnsi="Cambria Math" w:cs="Times New Roman"/>
            <w:szCs w:val="24"/>
            <w:lang w:val="pt-BR"/>
          </w:rPr>
          <m:t>ₜ₋₁</m:t>
        </m:r>
      </m:oMath>
      <w:r w:rsidRPr="009C7F96">
        <w:rPr>
          <w:rFonts w:cs="Times New Roman"/>
          <w:szCs w:val="24"/>
          <w:lang w:val="pt-BR"/>
        </w:rPr>
        <w:t xml:space="preserve"> capta a inércia inflacionária, </w:t>
      </w:r>
      <m:oMath>
        <m:r>
          <w:rPr>
            <w:rFonts w:ascii="Cambria Math" w:hAnsi="Cambria Math" w:cs="Times New Roman"/>
            <w:szCs w:val="24"/>
            <w:lang w:val="pt-BR"/>
          </w:rPr>
          <m:t>yₜ</m:t>
        </m:r>
      </m:oMath>
      <w:r w:rsidRPr="009C7F96">
        <w:rPr>
          <w:rFonts w:cs="Times New Roman"/>
          <w:szCs w:val="24"/>
          <w:lang w:val="pt-BR"/>
        </w:rPr>
        <w:t xml:space="preserve"> representa o hiato do produto e </w:t>
      </w:r>
      <m:oMath>
        <m:r>
          <w:rPr>
            <w:rFonts w:ascii="Cambria Math" w:hAnsi="Cambria Math" w:cs="Times New Roman"/>
            <w:szCs w:val="24"/>
            <w:lang w:val="pt-BR"/>
          </w:rPr>
          <m:t>zₜ</m:t>
        </m:r>
      </m:oMath>
      <w:r w:rsidRPr="009C7F96">
        <w:rPr>
          <w:rFonts w:cs="Times New Roman"/>
          <w:szCs w:val="24"/>
          <w:lang w:val="pt-BR"/>
        </w:rPr>
        <w:t xml:space="preserve"> reúne variáveis externas, como câmbio e preço internacional do petróleo. Para o presente trabalho, o termo </w:t>
      </w:r>
      <m:oMath>
        <m:r>
          <w:rPr>
            <w:rFonts w:ascii="Cambria Math" w:hAnsi="Cambria Math" w:cs="Times New Roman"/>
            <w:szCs w:val="24"/>
            <w:lang w:val="pt-BR"/>
          </w:rPr>
          <m:t>zₜ</m:t>
        </m:r>
      </m:oMath>
      <w:r w:rsidRPr="009C7F96">
        <w:rPr>
          <w:rFonts w:cs="Times New Roman"/>
          <w:szCs w:val="24"/>
          <w:lang w:val="pt-BR"/>
        </w:rPr>
        <w:t xml:space="preserve"> é central, pois permite incorporar pressões de custo vindas de fora da economia doméstica.</w:t>
      </w:r>
    </w:p>
    <w:p w14:paraId="5E236A30" w14:textId="77777777" w:rsidR="008E44CC" w:rsidRPr="009C7F96" w:rsidRDefault="008E44CC" w:rsidP="008E44CC">
      <w:pPr>
        <w:spacing w:after="120"/>
        <w:rPr>
          <w:rFonts w:cs="Times New Roman"/>
          <w:szCs w:val="24"/>
          <w:lang w:val="pt-BR"/>
        </w:rPr>
      </w:pPr>
      <w:r w:rsidRPr="009C7F96">
        <w:rPr>
          <w:rFonts w:cs="Times New Roman"/>
          <w:szCs w:val="24"/>
          <w:lang w:val="pt-BR"/>
        </w:rPr>
        <w:lastRenderedPageBreak/>
        <w:t>A literatura sobre pass-through cambial acrescenta que o repasse de choques externos para a inflação não é necessariamente completo nem imediato. Ele depende da credibilidade da política monetária, da indexação, da composição do índice de preços, do grau de abertura, da concorrência nos setores afetados e da persistência do choque. No Brasil, a combinação entre câmbio, petróleo e combustíveis torna esse mecanismo especialmente relevante, uma vez que gasolina, diesel e gás possuem peso direto no IPCA e também afetam custos de transporte, logística e produção.</w:t>
      </w:r>
    </w:p>
    <w:p w14:paraId="0FAD9932" w14:textId="77777777" w:rsidR="008E44CC" w:rsidRPr="009C7F96" w:rsidRDefault="008E44CC" w:rsidP="008E44CC">
      <w:pPr>
        <w:pStyle w:val="Heading2"/>
        <w:spacing w:before="240" w:after="120"/>
        <w:jc w:val="both"/>
        <w:rPr>
          <w:rFonts w:cs="Times New Roman"/>
          <w:szCs w:val="24"/>
        </w:rPr>
      </w:pPr>
      <w:bookmarkStart w:id="8" w:name="_Toc229695935"/>
      <w:r w:rsidRPr="009C7F96">
        <w:rPr>
          <w:rFonts w:ascii="Times New Roman" w:eastAsia="Times New Roman" w:hAnsi="Times New Roman" w:cs="Times New Roman"/>
          <w:szCs w:val="24"/>
        </w:rPr>
        <w:t>2.3 Formação dos preços de combustíveis e especificidades brasileiras</w:t>
      </w:r>
      <w:bookmarkEnd w:id="8"/>
    </w:p>
    <w:p w14:paraId="11DAB9E8" w14:textId="77777777" w:rsidR="008E44CC" w:rsidRPr="009C7F96" w:rsidRDefault="008E44CC" w:rsidP="008E44CC">
      <w:pPr>
        <w:spacing w:after="120"/>
        <w:rPr>
          <w:rFonts w:cs="Times New Roman"/>
          <w:szCs w:val="24"/>
          <w:lang w:val="pt-BR"/>
        </w:rPr>
      </w:pPr>
      <w:r w:rsidRPr="009C7F96">
        <w:rPr>
          <w:rFonts w:cs="Times New Roman"/>
          <w:szCs w:val="24"/>
          <w:lang w:val="pt-BR"/>
        </w:rPr>
        <w:t>A transmissão do petróleo para a inflação brasileira possui uma característica institucional importante: o preço final dos combustíveis não resulta apenas da cotação internacional do barril. Ele é mediado pelo preço praticado nas refinarias, pela política comercial da Petrobras, pela estrutura tributária, pela mistura obrigatória de biocombustíveis, pelas margens de distribuição e revenda e pela competição regional. Assim, a análise do pass-through no Brasil exige separar a etapa internacional, a etapa de refino e a etapa de preço final ao consumidor.</w:t>
      </w:r>
    </w:p>
    <w:p w14:paraId="0F1AA93D" w14:textId="77777777" w:rsidR="008E44CC" w:rsidRPr="009C7F96" w:rsidRDefault="008E44CC" w:rsidP="008E44CC">
      <w:pPr>
        <w:spacing w:after="120"/>
        <w:rPr>
          <w:rFonts w:cs="Times New Roman"/>
          <w:szCs w:val="24"/>
          <w:lang w:val="pt-BR"/>
        </w:rPr>
      </w:pPr>
      <w:r w:rsidRPr="009C7F96">
        <w:rPr>
          <w:rFonts w:cs="Times New Roman"/>
          <w:szCs w:val="24"/>
          <w:lang w:val="pt-BR"/>
        </w:rPr>
        <w:t>Almeida, Oliveira e Losekann (2015) destacam que a Petrobras exerceu, durante longo período, papel dominante no refino e na importação de derivados, o que fez da empresa uma instituição central na formação dos preços internos de combustíveis. Em determinados períodos, a política de preços de combustíveis foi utilizada como mecanismo de suavização inflacionária, com reajustes nas refinarias inferiores ao que seria sugerido pela paridade internacional. Esse fato cria uma diferença importante entre o caso brasileiro e economias nas quais os preços domésticos seguem de forma mais automática a referência internacional.</w:t>
      </w:r>
    </w:p>
    <w:p w14:paraId="0CDB463B" w14:textId="77777777" w:rsidR="008E44CC" w:rsidRPr="009C7F96" w:rsidRDefault="008E44CC" w:rsidP="008E44CC">
      <w:pPr>
        <w:spacing w:after="120"/>
        <w:rPr>
          <w:rFonts w:cs="Times New Roman"/>
          <w:szCs w:val="24"/>
          <w:lang w:val="pt-BR"/>
        </w:rPr>
      </w:pPr>
      <w:r w:rsidRPr="009C7F96">
        <w:rPr>
          <w:rFonts w:cs="Times New Roman"/>
          <w:szCs w:val="24"/>
          <w:lang w:val="pt-BR"/>
        </w:rPr>
        <w:t>A formação do preço da gasolina ao consumidor pode ser representada, de modo simplificado, como:</w:t>
      </w:r>
    </w:p>
    <w:p w14:paraId="5321FA55" w14:textId="77777777" w:rsidR="008E44CC" w:rsidRPr="009C7F96" w:rsidRDefault="008E44CC" w:rsidP="008E44CC">
      <w:pPr>
        <w:jc w:val="center"/>
        <w:rPr>
          <w:rFonts w:cs="Times New Roman"/>
          <w:szCs w:val="24"/>
          <w:lang w:val="pt-BR"/>
        </w:rPr>
      </w:pPr>
      <w:r>
        <w:rPr>
          <w:i/>
        </w:rPr>
        <w:t>P^{consumidor}_t = P^{refinaria}_t + P^{etanol}_t + Tributos_t + Margens_t</w:t>
      </w:r>
    </w:p>
    <w:p w14:paraId="598D71DC" w14:textId="2D103A95" w:rsidR="008E44CC" w:rsidRPr="009C7F96" w:rsidRDefault="00F05B77" w:rsidP="008E44CC">
      <w:pPr>
        <w:spacing w:before="120" w:after="120"/>
        <w:rPr>
          <w:rFonts w:cs="Times New Roman"/>
          <w:szCs w:val="24"/>
          <w:lang w:val="pt-BR"/>
        </w:rPr>
      </w:pPr>
      <m:oMathPara>
        <m:oMath>
          <m:r>
            <w:rPr>
              <w:rFonts w:ascii="Cambria Math" w:hAnsi="Cambria Math" w:cs="Times New Roman"/>
              <w:szCs w:val="24"/>
              <w:lang w:val="pt-BR"/>
            </w:rPr>
            <m:t>Pₜ</m:t>
          </m:r>
          <m:r>
            <w:rPr>
              <w:rFonts w:ascii="Cambria Math" w:hAnsi="Cambria Math" w:cs="Times New Roman"/>
              <w:szCs w:val="24"/>
            </w:rPr>
            <m:t>ᵍᵃ</m:t>
          </m:r>
          <m:r>
            <w:rPr>
              <w:rFonts w:ascii="Cambria Math" w:hAnsi="Cambria Math" w:cs="Times New Roman"/>
              <w:szCs w:val="24"/>
              <w:lang w:val="pt-BR"/>
            </w:rPr>
            <m:t>ˢ = Pₜʳ</m:t>
          </m:r>
          <m:r>
            <w:rPr>
              <w:rFonts w:ascii="Cambria Math" w:hAnsi="Cambria Math" w:cs="Times New Roman"/>
              <w:szCs w:val="24"/>
            </w:rPr>
            <m:t>ᵉᶠ</m:t>
          </m:r>
          <m:r>
            <w:rPr>
              <w:rFonts w:ascii="Cambria Math" w:hAnsi="Cambria Math" w:cs="Times New Roman"/>
              <w:szCs w:val="24"/>
              <w:lang w:val="pt-BR"/>
            </w:rPr>
            <m:t xml:space="preserve"> + Cₜ</m:t>
          </m:r>
          <m:r>
            <w:rPr>
              <w:rFonts w:ascii="Cambria Math" w:hAnsi="Cambria Math" w:cs="Times New Roman"/>
              <w:szCs w:val="24"/>
            </w:rPr>
            <m:t>ᵉᵗᵃ</m:t>
          </m:r>
          <m:r>
            <w:rPr>
              <w:rFonts w:ascii="Cambria Math" w:hAnsi="Cambria Math" w:cs="Times New Roman"/>
              <w:szCs w:val="24"/>
              <w:lang w:val="pt-BR"/>
            </w:rPr>
            <m:t>ⁿ</m:t>
          </m:r>
          <m:r>
            <w:rPr>
              <w:rFonts w:ascii="Cambria Math" w:hAnsi="Cambria Math" w:cs="Times New Roman"/>
              <w:szCs w:val="24"/>
            </w:rPr>
            <m:t>ᵒ</m:t>
          </m:r>
          <m:r>
            <w:rPr>
              <w:rFonts w:ascii="Cambria Math" w:hAnsi="Cambria Math" w:cs="Times New Roman"/>
              <w:szCs w:val="24"/>
              <w:lang w:val="pt-BR"/>
            </w:rPr>
            <m:t>ˡ + Tₜ + Mₜ      (5)</m:t>
          </m:r>
        </m:oMath>
      </m:oMathPara>
    </w:p>
    <w:p w14:paraId="2255DCBD" w14:textId="77777777" w:rsidR="008E44CC" w:rsidRPr="009C7F96" w:rsidRDefault="008E44CC" w:rsidP="008E44CC">
      <w:pPr>
        <w:rPr>
          <w:rFonts w:cs="Times New Roman"/>
          <w:szCs w:val="24"/>
          <w:lang w:val="pt-BR"/>
        </w:rPr>
      </w:pPr>
    </w:p>
    <w:p w14:paraId="53021401" w14:textId="0356237B" w:rsidR="008E44CC" w:rsidRPr="009C7F96" w:rsidRDefault="008E44CC" w:rsidP="008E44CC">
      <w:pPr>
        <w:spacing w:after="120"/>
        <w:rPr>
          <w:rFonts w:cs="Times New Roman"/>
          <w:szCs w:val="24"/>
          <w:lang w:val="pt-BR"/>
        </w:rPr>
      </w:pPr>
      <w:r w:rsidRPr="009C7F96">
        <w:rPr>
          <w:rFonts w:cs="Times New Roman"/>
          <w:szCs w:val="24"/>
          <w:lang w:val="pt-BR"/>
        </w:rPr>
        <w:t xml:space="preserve">Em que </w:t>
      </w:r>
      <m:oMath>
        <m:r>
          <w:rPr>
            <w:rFonts w:ascii="Cambria Math" w:hAnsi="Cambria Math" w:cs="Times New Roman"/>
            <w:szCs w:val="24"/>
            <w:lang w:val="pt-BR"/>
          </w:rPr>
          <m:t>Pₜ</m:t>
        </m:r>
        <m:r>
          <w:rPr>
            <w:rFonts w:ascii="Cambria Math" w:hAnsi="Cambria Math" w:cs="Times New Roman"/>
            <w:szCs w:val="24"/>
          </w:rPr>
          <m:t>ᵍᵃ</m:t>
        </m:r>
        <m:r>
          <w:rPr>
            <w:rFonts w:ascii="Cambria Math" w:hAnsi="Cambria Math" w:cs="Times New Roman"/>
            <w:szCs w:val="24"/>
            <w:lang w:val="pt-BR"/>
          </w:rPr>
          <m:t>ˢ</m:t>
        </m:r>
      </m:oMath>
      <w:r w:rsidRPr="009C7F96">
        <w:rPr>
          <w:rFonts w:cs="Times New Roman"/>
          <w:szCs w:val="24"/>
          <w:lang w:val="pt-BR"/>
        </w:rPr>
        <w:t xml:space="preserve"> é o preço da gasolina ao consumidor, </w:t>
      </w:r>
      <m:oMath>
        <m:r>
          <w:rPr>
            <w:rFonts w:ascii="Cambria Math" w:hAnsi="Cambria Math" w:cs="Times New Roman"/>
            <w:szCs w:val="24"/>
            <w:lang w:val="pt-BR"/>
          </w:rPr>
          <m:t>Pₜʳ</m:t>
        </m:r>
        <m:r>
          <w:rPr>
            <w:rFonts w:ascii="Cambria Math" w:hAnsi="Cambria Math" w:cs="Times New Roman"/>
            <w:szCs w:val="24"/>
          </w:rPr>
          <m:t>ᵉᶠ</m:t>
        </m:r>
      </m:oMath>
      <w:r w:rsidRPr="009C7F96">
        <w:rPr>
          <w:rFonts w:cs="Times New Roman"/>
          <w:szCs w:val="24"/>
          <w:lang w:val="pt-BR"/>
        </w:rPr>
        <w:t xml:space="preserve"> representa o preço na refinaria, </w:t>
      </w:r>
      <m:oMath>
        <m:r>
          <w:rPr>
            <w:rFonts w:ascii="Cambria Math" w:hAnsi="Cambria Math" w:cs="Times New Roman"/>
            <w:szCs w:val="24"/>
            <w:lang w:val="pt-BR"/>
          </w:rPr>
          <m:t>Cₜ</m:t>
        </m:r>
        <m:r>
          <w:rPr>
            <w:rFonts w:ascii="Cambria Math" w:hAnsi="Cambria Math" w:cs="Times New Roman"/>
            <w:szCs w:val="24"/>
          </w:rPr>
          <m:t>ᵉᵗᵃ</m:t>
        </m:r>
        <m:r>
          <w:rPr>
            <w:rFonts w:ascii="Cambria Math" w:hAnsi="Cambria Math" w:cs="Times New Roman"/>
            <w:szCs w:val="24"/>
            <w:lang w:val="pt-BR"/>
          </w:rPr>
          <m:t>ⁿ</m:t>
        </m:r>
        <m:r>
          <w:rPr>
            <w:rFonts w:ascii="Cambria Math" w:hAnsi="Cambria Math" w:cs="Times New Roman"/>
            <w:szCs w:val="24"/>
          </w:rPr>
          <m:t>ᵒ</m:t>
        </m:r>
        <m:r>
          <w:rPr>
            <w:rFonts w:ascii="Cambria Math" w:hAnsi="Cambria Math" w:cs="Times New Roman"/>
            <w:szCs w:val="24"/>
            <w:lang w:val="pt-BR"/>
          </w:rPr>
          <m:t>ˡ</m:t>
        </m:r>
      </m:oMath>
      <w:r w:rsidRPr="009C7F96">
        <w:rPr>
          <w:rFonts w:cs="Times New Roman"/>
          <w:szCs w:val="24"/>
          <w:lang w:val="pt-BR"/>
        </w:rPr>
        <w:t xml:space="preserve"> corresponde ao custo associado ao etanol anidro, </w:t>
      </w:r>
      <m:oMath>
        <m:r>
          <w:rPr>
            <w:rFonts w:ascii="Cambria Math" w:hAnsi="Cambria Math" w:cs="Times New Roman"/>
            <w:szCs w:val="24"/>
            <w:lang w:val="pt-BR"/>
          </w:rPr>
          <m:t>Tₜ</m:t>
        </m:r>
      </m:oMath>
      <w:r w:rsidRPr="009C7F96">
        <w:rPr>
          <w:rFonts w:cs="Times New Roman"/>
          <w:szCs w:val="24"/>
          <w:lang w:val="pt-BR"/>
        </w:rPr>
        <w:t xml:space="preserve"> reúne tributos federais e estaduais e </w:t>
      </w:r>
      <m:oMath>
        <m:r>
          <w:rPr>
            <w:rFonts w:ascii="Cambria Math" w:hAnsi="Cambria Math" w:cs="Times New Roman"/>
            <w:szCs w:val="24"/>
            <w:lang w:val="pt-BR"/>
          </w:rPr>
          <m:t>Mₜ</m:t>
        </m:r>
      </m:oMath>
      <w:r w:rsidRPr="009C7F96">
        <w:rPr>
          <w:rFonts w:cs="Times New Roman"/>
          <w:szCs w:val="24"/>
          <w:lang w:val="pt-BR"/>
        </w:rPr>
        <w:t xml:space="preserve"> representa margens de distribuição e revenda. A equação mostra que a cotação do petróleo influencia o preço final apenas indiretamente, por meio do preço na refinaria e de seus efeitos sobre </w:t>
      </w:r>
      <w:r w:rsidRPr="009C7F96">
        <w:rPr>
          <w:rFonts w:cs="Times New Roman"/>
          <w:szCs w:val="24"/>
          <w:lang w:val="pt-BR"/>
        </w:rPr>
        <w:lastRenderedPageBreak/>
        <w:t>o custo de oportunidade de importação, mas o preço final também depende de componentes domésticos.</w:t>
      </w:r>
    </w:p>
    <w:p w14:paraId="11C63FEF" w14:textId="77777777" w:rsidR="008E44CC" w:rsidRPr="009C7F96" w:rsidRDefault="008E44CC" w:rsidP="008E44CC">
      <w:pPr>
        <w:spacing w:after="120"/>
        <w:rPr>
          <w:rFonts w:cs="Times New Roman"/>
          <w:szCs w:val="24"/>
          <w:lang w:val="pt-BR"/>
        </w:rPr>
      </w:pPr>
      <w:r w:rsidRPr="009C7F96">
        <w:rPr>
          <w:rFonts w:cs="Times New Roman"/>
          <w:szCs w:val="24"/>
          <w:lang w:val="pt-BR"/>
        </w:rPr>
        <w:t>Uma forma de medir a intensidade do repasse entre o petróleo e o combustível ao consumidor é o coeficiente de pass-through:</w:t>
      </w:r>
    </w:p>
    <w:p w14:paraId="7D8F77EE" w14:textId="122EA458" w:rsidR="008E44CC" w:rsidRPr="009C7F96" w:rsidRDefault="00F05B77" w:rsidP="008E44CC">
      <w:pPr>
        <w:jc w:val="center"/>
        <w:rPr>
          <w:rFonts w:cs="Times New Roman"/>
          <w:szCs w:val="24"/>
          <w:lang w:val="pt-BR"/>
        </w:rPr>
      </w:pPr>
      <w:r>
        <w:rPr>
          <w:i/>
        </w:rPr>
        <w:t>PT_h = ΔP^{consumidor}_{t+h} / ΔP^{oil}_t</w:t>
      </w:r>
    </w:p>
    <w:p w14:paraId="7F33550E" w14:textId="77777777" w:rsidR="008E44CC" w:rsidRPr="009C7F96" w:rsidRDefault="008E44CC" w:rsidP="008E44CC">
      <w:pPr>
        <w:rPr>
          <w:rFonts w:cs="Times New Roman"/>
          <w:szCs w:val="24"/>
          <w:lang w:val="pt-BR"/>
        </w:rPr>
      </w:pPr>
    </w:p>
    <w:p w14:paraId="6F52F51E" w14:textId="01E03A71" w:rsidR="008E44CC" w:rsidRPr="009C7F96" w:rsidRDefault="008E44CC" w:rsidP="008E44CC">
      <w:pPr>
        <w:spacing w:after="120"/>
        <w:rPr>
          <w:rFonts w:cs="Times New Roman"/>
          <w:szCs w:val="24"/>
          <w:lang w:val="pt-BR"/>
        </w:rPr>
      </w:pPr>
      <w:r w:rsidRPr="009C7F96">
        <w:rPr>
          <w:rFonts w:cs="Times New Roman"/>
          <w:szCs w:val="24"/>
          <w:lang w:val="pt-BR"/>
        </w:rPr>
        <w:t xml:space="preserve">Em que </w:t>
      </w:r>
      <m:oMath>
        <m:r>
          <w:rPr>
            <w:rFonts w:ascii="Cambria Math" w:hAnsi="Cambria Math" w:cs="Times New Roman"/>
            <w:szCs w:val="24"/>
          </w:rPr>
          <m:t>θ</m:t>
        </m:r>
        <m:r>
          <w:rPr>
            <w:rFonts w:ascii="Cambria Math" w:hAnsi="Cambria Math" w:cs="Times New Roman"/>
            <w:szCs w:val="24"/>
            <w:lang w:val="pt-BR"/>
          </w:rPr>
          <m:t>ₕ</m:t>
        </m:r>
      </m:oMath>
      <w:r w:rsidRPr="009C7F96">
        <w:rPr>
          <w:rFonts w:cs="Times New Roman"/>
          <w:szCs w:val="24"/>
          <w:lang w:val="pt-BR"/>
        </w:rPr>
        <w:t xml:space="preserve"> mede o repasse acumulado ou pontual, no horizonte </w:t>
      </w:r>
      <m:oMath>
        <m:r>
          <w:rPr>
            <w:rFonts w:ascii="Cambria Math" w:hAnsi="Cambria Math" w:cs="Times New Roman"/>
            <w:szCs w:val="24"/>
            <w:lang w:val="pt-BR"/>
          </w:rPr>
          <m:t>h</m:t>
        </m:r>
      </m:oMath>
      <w:r w:rsidRPr="009C7F96">
        <w:rPr>
          <w:rFonts w:cs="Times New Roman"/>
          <w:szCs w:val="24"/>
          <w:lang w:val="pt-BR"/>
        </w:rPr>
        <w:t>, de uma variação do petróleo em reais para o preço doméstico do combustível. Valores próximos de um indicariam repasse mais completo; valores inferiores a um indicariam amortecimento; e valores superiores a um poderiam sugerir amplificação por câmbio, tributos, margens ou ajustes defasados. No caso brasileiro, esse coeficiente não deve ser tratado como constante no tempo, pois mudanças na política comercial da Petrobras e na tributação podem alterar sua magnitude.</w:t>
      </w:r>
    </w:p>
    <w:p w14:paraId="5C9263A0" w14:textId="77777777" w:rsidR="008E44CC" w:rsidRPr="009C7F96" w:rsidRDefault="008E44CC" w:rsidP="008E44CC">
      <w:pPr>
        <w:spacing w:after="120"/>
        <w:rPr>
          <w:rFonts w:cs="Times New Roman"/>
          <w:szCs w:val="24"/>
          <w:lang w:val="pt-BR"/>
        </w:rPr>
      </w:pPr>
      <w:r w:rsidRPr="00CA3657">
        <w:rPr>
          <w:lang w:val="pt-BR"/>
        </w:rPr>
        <w:t>As mudanças na estratégia comercial da Petrobras reforçam a necessidade de considerar regimes institucionais. Entre 2011 e 2014, a política de preços ficou mais associada à contenção de reajustes domésticos, o que reduziu temporariamente a sensibilidade dos combustíveis aos movimentos do petróleo e do câmbio. A partir de 2015, iniciou-se um processo de realinhamento de preços, seguido pela formalização da política de paridade de importação em 2016. Em 2023, a Petrobras anunciou uma nova estratégia comercial, menos vinculada a uma regra mecânica de paridade e mais dependente de custos alternativos, condições competitivas e valor marginal para a empresa. Essa sequência institucional indica que o canal internacional não se transmite automaticamente aos preços domésticos. Portanto, a análise por regimes deve ser interpretada como um exercício de heterogeneidade do repasse, e não como uma simples comparação entre dois períodos perfeitamente homogêneos.</w:t>
      </w:r>
    </w:p>
    <w:p w14:paraId="7704E855" w14:textId="77777777" w:rsidR="008E44CC" w:rsidRPr="009C7F96" w:rsidRDefault="008E44CC" w:rsidP="008E44CC">
      <w:pPr>
        <w:pStyle w:val="Heading2"/>
        <w:spacing w:before="240" w:after="120"/>
        <w:jc w:val="both"/>
        <w:rPr>
          <w:rFonts w:cs="Times New Roman"/>
          <w:szCs w:val="24"/>
        </w:rPr>
      </w:pPr>
      <w:bookmarkStart w:id="9" w:name="_Toc229695936"/>
      <w:r w:rsidRPr="009C7F96">
        <w:rPr>
          <w:rFonts w:ascii="Times New Roman" w:eastAsia="Times New Roman" w:hAnsi="Times New Roman" w:cs="Times New Roman"/>
          <w:szCs w:val="24"/>
        </w:rPr>
        <w:t>2.4 Evidências empíricas internacionais sobre petróleo e inflação</w:t>
      </w:r>
      <w:bookmarkEnd w:id="9"/>
    </w:p>
    <w:p w14:paraId="125204B6" w14:textId="77777777" w:rsidR="008E44CC" w:rsidRPr="009C7F96" w:rsidRDefault="008E44CC" w:rsidP="008E44CC">
      <w:pPr>
        <w:spacing w:after="120"/>
        <w:rPr>
          <w:rFonts w:cs="Times New Roman"/>
          <w:szCs w:val="24"/>
          <w:lang w:val="pt-BR"/>
        </w:rPr>
      </w:pPr>
      <w:r w:rsidRPr="009C7F96">
        <w:rPr>
          <w:rFonts w:cs="Times New Roman"/>
          <w:szCs w:val="24"/>
          <w:lang w:val="pt-BR"/>
        </w:rPr>
        <w:t xml:space="preserve">A literatura empírica internacional confirma que o petróleo afeta a inflação, mas mostra que a intensidade e a persistência do efeito variam entre países, períodos e componentes do índice de preços. Choi et al. (2018), em estudo com painel de economias avançadas e em desenvolvimento, estimam o repasse do petróleo para a inflação doméstica e encontram evidência de que choques no preço do petróleo elevam a inflação no curto prazo, com efeitos que tendem a se dissipar ao longo </w:t>
      </w:r>
      <w:r w:rsidRPr="009C7F96">
        <w:rPr>
          <w:rFonts w:cs="Times New Roman"/>
          <w:szCs w:val="24"/>
          <w:lang w:val="pt-BR"/>
        </w:rPr>
        <w:lastRenderedPageBreak/>
        <w:t>do tempo. A contribuição do artigo é relevante porque fornece um benchmark internacional para o pass-through de petróleo, mas sua limitação para o caso brasileiro está em não modelar detalhadamente a etapa institucional de refino e precificação doméstica.</w:t>
      </w:r>
    </w:p>
    <w:p w14:paraId="6F8B6918" w14:textId="77777777" w:rsidR="008E44CC" w:rsidRPr="009C7F96" w:rsidRDefault="008E44CC" w:rsidP="008E44CC">
      <w:pPr>
        <w:spacing w:after="120"/>
        <w:rPr>
          <w:rFonts w:cs="Times New Roman"/>
          <w:szCs w:val="24"/>
          <w:lang w:val="pt-BR"/>
        </w:rPr>
      </w:pPr>
      <w:r w:rsidRPr="009C7F96">
        <w:rPr>
          <w:rFonts w:cs="Times New Roman"/>
          <w:szCs w:val="24"/>
          <w:lang w:val="pt-BR"/>
        </w:rPr>
        <w:t>O modelo empírico de Choi et al. (2018) pode ser aproximado por uma local projection em painel:</w:t>
      </w:r>
    </w:p>
    <w:p w14:paraId="524BB9A6" w14:textId="77777777" w:rsidR="008E44CC" w:rsidRPr="009C7F96" w:rsidRDefault="008E44CC" w:rsidP="008E44CC">
      <w:pPr>
        <w:jc w:val="center"/>
        <w:rPr>
          <w:rFonts w:cs="Times New Roman"/>
          <w:szCs w:val="24"/>
          <w:lang w:val="pt-BR"/>
        </w:rPr>
      </w:pPr>
      <w:r>
        <w:rPr>
          <w:i/>
        </w:rPr>
        <w:t>π_{i, t+h} = α_{i,h} + λ_{t,h} + β_h Shock_{i,t} + Γ X_{i,t} + ε_{i, t+h}</w:t>
      </w:r>
    </w:p>
    <w:p w14:paraId="3E1DFFEE" w14:textId="5D729F36" w:rsidR="008E44CC" w:rsidRPr="009C7F96" w:rsidRDefault="00E148DD" w:rsidP="00E148DD">
      <w:pPr>
        <w:spacing w:before="120" w:after="120"/>
        <w:ind w:firstLine="0"/>
        <w:rPr>
          <w:rFonts w:cs="Times New Roman"/>
          <w:szCs w:val="24"/>
          <w:lang w:val="pt-BR"/>
        </w:rPr>
      </w:pPr>
      <m:oMathPara>
        <m:oMath>
          <m:r>
            <w:rPr>
              <w:rFonts w:ascii="Cambria Math" w:hAnsi="Cambria Math" w:cs="Times New Roman"/>
              <w:szCs w:val="24"/>
            </w:rPr>
            <m:t>πᵢ</m:t>
          </m:r>
          <m:r>
            <w:rPr>
              <w:rFonts w:ascii="Cambria Math" w:hAnsi="Cambria Math" w:cs="Times New Roman"/>
              <w:szCs w:val="24"/>
              <w:lang w:val="pt-BR"/>
            </w:rPr>
            <m:t xml:space="preserve">,ₜ₊ₕ - </m:t>
          </m:r>
          <m:r>
            <w:rPr>
              <w:rFonts w:ascii="Cambria Math" w:hAnsi="Cambria Math" w:cs="Times New Roman"/>
              <w:szCs w:val="24"/>
            </w:rPr>
            <m:t>πᵢ</m:t>
          </m:r>
          <m:r>
            <w:rPr>
              <w:rFonts w:ascii="Cambria Math" w:hAnsi="Cambria Math" w:cs="Times New Roman"/>
              <w:szCs w:val="24"/>
              <w:lang w:val="pt-BR"/>
            </w:rPr>
            <m:t xml:space="preserve">,ₜ₋₁ = </m:t>
          </m:r>
          <m:r>
            <w:rPr>
              <w:rFonts w:ascii="Cambria Math" w:hAnsi="Cambria Math" w:cs="Times New Roman"/>
              <w:szCs w:val="24"/>
            </w:rPr>
            <m:t>αᵢ</m:t>
          </m:r>
          <m:r>
            <w:rPr>
              <w:rFonts w:ascii="Cambria Math" w:hAnsi="Cambria Math" w:cs="Times New Roman"/>
              <w:szCs w:val="24"/>
              <w:lang w:val="pt-BR"/>
            </w:rPr>
            <m:t xml:space="preserve">,ₕ + </m:t>
          </m:r>
          <m:r>
            <w:rPr>
              <w:rFonts w:ascii="Cambria Math" w:hAnsi="Cambria Math" w:cs="Times New Roman"/>
              <w:szCs w:val="24"/>
            </w:rPr>
            <m:t>τ</m:t>
          </m:r>
          <m:r>
            <w:rPr>
              <w:rFonts w:ascii="Cambria Math" w:hAnsi="Cambria Math" w:cs="Times New Roman"/>
              <w:szCs w:val="24"/>
              <w:lang w:val="pt-BR"/>
            </w:rPr>
            <m:t xml:space="preserve">ₜ,ₕ + </m:t>
          </m:r>
          <m:r>
            <w:rPr>
              <w:rFonts w:ascii="Cambria Math" w:hAnsi="Cambria Math" w:cs="Times New Roman"/>
              <w:szCs w:val="24"/>
            </w:rPr>
            <m:t>β</m:t>
          </m:r>
          <m:r>
            <w:rPr>
              <w:rFonts w:ascii="Cambria Math" w:hAnsi="Cambria Math" w:cs="Times New Roman"/>
              <w:szCs w:val="24"/>
              <w:lang w:val="pt-BR"/>
            </w:rPr>
            <m:t xml:space="preserve">ₕ </m:t>
          </m:r>
          <m:r>
            <w:rPr>
              <w:rFonts w:ascii="Cambria Math" w:hAnsi="Cambria Math" w:cs="Times New Roman"/>
              <w:szCs w:val="24"/>
            </w:rPr>
            <m:t>Δ</m:t>
          </m:r>
          <m:r>
            <w:rPr>
              <w:rFonts w:ascii="Cambria Math" w:hAnsi="Cambria Math" w:cs="Times New Roman"/>
              <w:szCs w:val="24"/>
              <w:lang w:val="pt-BR"/>
            </w:rPr>
            <m:t xml:space="preserve">oilₜ + </m:t>
          </m:r>
          <m:r>
            <w:rPr>
              <w:rFonts w:ascii="Cambria Math" w:hAnsi="Cambria Math" w:cs="Times New Roman"/>
              <w:szCs w:val="24"/>
            </w:rPr>
            <m:t>Γ</m:t>
          </m:r>
          <m:r>
            <w:rPr>
              <w:rFonts w:ascii="Cambria Math" w:hAnsi="Cambria Math" w:cs="Times New Roman"/>
              <w:szCs w:val="24"/>
              <w:lang w:val="pt-BR"/>
            </w:rPr>
            <m:t>_h X</m:t>
          </m:r>
          <m:r>
            <w:rPr>
              <w:rFonts w:ascii="Cambria Math" w:hAnsi="Cambria Math" w:cs="Times New Roman"/>
              <w:szCs w:val="24"/>
            </w:rPr>
            <m:t>ᵢ</m:t>
          </m:r>
          <m:r>
            <w:rPr>
              <w:rFonts w:ascii="Cambria Math" w:hAnsi="Cambria Math" w:cs="Times New Roman"/>
              <w:szCs w:val="24"/>
              <w:lang w:val="pt-BR"/>
            </w:rPr>
            <m:t xml:space="preserve">,ₜ + </m:t>
          </m:r>
          <m:r>
            <w:rPr>
              <w:rFonts w:ascii="Cambria Math" w:hAnsi="Cambria Math" w:cs="Times New Roman"/>
              <w:szCs w:val="24"/>
            </w:rPr>
            <m:t>εᵢ</m:t>
          </m:r>
          <m:r>
            <w:rPr>
              <w:rFonts w:ascii="Cambria Math" w:hAnsi="Cambria Math" w:cs="Times New Roman"/>
              <w:szCs w:val="24"/>
              <w:lang w:val="pt-BR"/>
            </w:rPr>
            <m:t>,ₜ₊ₕ⁽ʰ⁾      (7)</m:t>
          </m:r>
        </m:oMath>
      </m:oMathPara>
    </w:p>
    <w:p w14:paraId="1FF01326" w14:textId="77777777" w:rsidR="008E44CC" w:rsidRPr="009C7F96" w:rsidRDefault="008E44CC" w:rsidP="008E44CC">
      <w:pPr>
        <w:rPr>
          <w:rFonts w:cs="Times New Roman"/>
          <w:szCs w:val="24"/>
          <w:lang w:val="pt-BR"/>
        </w:rPr>
      </w:pPr>
    </w:p>
    <w:p w14:paraId="581B496F" w14:textId="3569B659" w:rsidR="008E44CC" w:rsidRPr="009C7F96" w:rsidRDefault="008E44CC" w:rsidP="008E44CC">
      <w:pPr>
        <w:spacing w:after="120"/>
        <w:rPr>
          <w:rFonts w:cs="Times New Roman"/>
          <w:szCs w:val="24"/>
          <w:lang w:val="pt-BR"/>
        </w:rPr>
      </w:pPr>
      <w:r w:rsidRPr="009C7F96">
        <w:rPr>
          <w:rFonts w:cs="Times New Roman"/>
          <w:szCs w:val="24"/>
          <w:lang w:val="pt-BR"/>
        </w:rPr>
        <w:t xml:space="preserve">Em que </w:t>
      </w:r>
      <m:oMath>
        <m:r>
          <w:rPr>
            <w:rFonts w:ascii="Cambria Math" w:hAnsi="Cambria Math" w:cs="Times New Roman"/>
            <w:szCs w:val="24"/>
          </w:rPr>
          <m:t>πᵢ</m:t>
        </m:r>
        <m:r>
          <w:rPr>
            <w:rFonts w:ascii="Cambria Math" w:hAnsi="Cambria Math" w:cs="Times New Roman"/>
            <w:szCs w:val="24"/>
            <w:lang w:val="pt-BR"/>
          </w:rPr>
          <m:t>,ₜ₊ₕ</m:t>
        </m:r>
      </m:oMath>
      <w:r w:rsidRPr="009C7F96">
        <w:rPr>
          <w:rFonts w:cs="Times New Roman"/>
          <w:szCs w:val="24"/>
          <w:lang w:val="pt-BR"/>
        </w:rPr>
        <w:t xml:space="preserve"> representa a inflação do país</w:t>
      </w:r>
      <m:oMath>
        <m:r>
          <w:rPr>
            <w:rFonts w:ascii="Cambria Math" w:hAnsi="Cambria Math" w:cs="Times New Roman"/>
            <w:szCs w:val="24"/>
            <w:lang w:val="pt-BR"/>
          </w:rPr>
          <m:t xml:space="preserve"> i</m:t>
        </m:r>
      </m:oMath>
      <w:r w:rsidRPr="009C7F96">
        <w:rPr>
          <w:rFonts w:cs="Times New Roman"/>
          <w:szCs w:val="24"/>
          <w:lang w:val="pt-BR"/>
        </w:rPr>
        <w:t xml:space="preserve"> no horizonte h, </w:t>
      </w:r>
      <m:oMath>
        <m:r>
          <w:rPr>
            <w:rFonts w:ascii="Cambria Math" w:hAnsi="Cambria Math" w:cs="Times New Roman"/>
            <w:szCs w:val="24"/>
          </w:rPr>
          <m:t>Δ</m:t>
        </m:r>
        <m:r>
          <w:rPr>
            <w:rFonts w:ascii="Cambria Math" w:hAnsi="Cambria Math" w:cs="Times New Roman"/>
            <w:szCs w:val="24"/>
            <w:lang w:val="pt-BR"/>
          </w:rPr>
          <m:t>oil</m:t>
        </m:r>
      </m:oMath>
      <w:r w:rsidRPr="009C7F96">
        <w:rPr>
          <w:rFonts w:cs="Times New Roman"/>
          <w:szCs w:val="24"/>
          <w:lang w:val="pt-BR"/>
        </w:rPr>
        <w:t xml:space="preserve">ₜ é o choque no preço do petróleo e </w:t>
      </w:r>
      <m:oMath>
        <m:r>
          <w:rPr>
            <w:rFonts w:ascii="Cambria Math" w:hAnsi="Cambria Math" w:cs="Times New Roman"/>
            <w:szCs w:val="24"/>
            <w:lang w:val="pt-BR"/>
          </w:rPr>
          <m:t>X</m:t>
        </m:r>
        <m:r>
          <w:rPr>
            <w:rFonts w:ascii="Cambria Math" w:hAnsi="Cambria Math" w:cs="Times New Roman"/>
            <w:szCs w:val="24"/>
          </w:rPr>
          <m:t>ᵢ</m:t>
        </m:r>
        <m:r>
          <w:rPr>
            <w:rFonts w:ascii="Cambria Math" w:hAnsi="Cambria Math" w:cs="Times New Roman"/>
            <w:szCs w:val="24"/>
            <w:lang w:val="pt-BR"/>
          </w:rPr>
          <m:t>,ₜ</m:t>
        </m:r>
      </m:oMath>
      <w:r w:rsidRPr="009C7F96">
        <w:rPr>
          <w:rFonts w:cs="Times New Roman"/>
          <w:szCs w:val="24"/>
          <w:lang w:val="pt-BR"/>
        </w:rPr>
        <w:t xml:space="preserve"> reúne controles macroeconômicos. A presença de efeitos fixos de país e de tempo permite controlar diferenças estruturais entre economias e choques globais comuns. Essa estrutura é útil para o presente trabalho porque pode ser adaptada para um painel regional brasileiro, caso se utilizem áreas do IPCA ou preços regionais de combustíveis.</w:t>
      </w:r>
    </w:p>
    <w:p w14:paraId="29DCFCBF" w14:textId="77777777" w:rsidR="008E44CC" w:rsidRPr="009C7F96" w:rsidRDefault="008E44CC" w:rsidP="008E44CC">
      <w:pPr>
        <w:spacing w:after="120"/>
        <w:rPr>
          <w:rFonts w:cs="Times New Roman"/>
          <w:szCs w:val="24"/>
          <w:lang w:val="pt-BR"/>
        </w:rPr>
      </w:pPr>
      <w:r w:rsidRPr="009C7F96">
        <w:rPr>
          <w:rFonts w:cs="Times New Roman"/>
          <w:szCs w:val="24"/>
          <w:lang w:val="pt-BR"/>
        </w:rPr>
        <w:t>Hwang e Zhu (2024) avançam ao mostrar que o repasse do petróleo depende do estado da economia e do regime de metas de inflação. A evidência sugere que o efeito inflacionário do petróleo pode ser mais intenso em fases de expansão e que regimes monetários mais críveis podem reduzir a persistência do desvio inflacionário. Essa conclusão dialoga diretamente com o caso brasileiro, uma vez que choques de petróleo podem ocorrer em ambientes de inflação já elevada, expectativas desancoradas ou política monetária restritiva, modificando a resposta do IPCA.</w:t>
      </w:r>
    </w:p>
    <w:p w14:paraId="1DD8E190" w14:textId="77777777" w:rsidR="008E44CC" w:rsidRPr="009C7F96" w:rsidRDefault="008E44CC" w:rsidP="008E44CC">
      <w:pPr>
        <w:spacing w:after="120"/>
        <w:rPr>
          <w:rFonts w:cs="Times New Roman"/>
          <w:szCs w:val="24"/>
          <w:lang w:val="pt-BR"/>
        </w:rPr>
      </w:pPr>
      <w:r w:rsidRPr="009C7F96">
        <w:rPr>
          <w:rFonts w:cs="Times New Roman"/>
          <w:szCs w:val="24"/>
          <w:lang w:val="pt-BR"/>
        </w:rPr>
        <w:t>Estudos recentes também têm destacado os efeitos de segunda ordem. Alvarez e Kroen (2025) investigam a origem energética do surto inflacionário global recente e mostram que choques de energia se propagam de maneira heterogênea entre setores, principalmente conforme a intensidade energética e a rigidez de preços. Allon-Pineda, Ocampo e Santos (2025), ao estudarem choques de óleo e alimentos, mostram que os efeitos indiretos e as expectativas podem ser tão relevantes quanto o efeito direto sobre itens energéticos. Para o Brasil, esses resultados reforçam a necessidade de distinguir o efeito imediato sobre combustíveis do efeito posterior sobre transportes, alimentos, serviços e expectativas.</w:t>
      </w:r>
    </w:p>
    <w:p w14:paraId="2452114E" w14:textId="77777777" w:rsidR="008E44CC" w:rsidRPr="009C7F96" w:rsidRDefault="008E44CC" w:rsidP="008E44CC">
      <w:pPr>
        <w:spacing w:after="120"/>
        <w:rPr>
          <w:rFonts w:cs="Times New Roman"/>
          <w:szCs w:val="24"/>
          <w:lang w:val="pt-BR"/>
        </w:rPr>
      </w:pPr>
      <w:r w:rsidRPr="009C7F96">
        <w:rPr>
          <w:rFonts w:cs="Times New Roman"/>
          <w:szCs w:val="24"/>
          <w:lang w:val="pt-BR"/>
        </w:rPr>
        <w:t xml:space="preserve">Cornejo, Hallack e Matias (2025), ao analisarem países da América Latina e Caribe, mostram que a estrutura energética pode amortecer ou amplificar o repasse de choques de petróleo </w:t>
      </w:r>
      <w:r w:rsidRPr="009C7F96">
        <w:rPr>
          <w:rFonts w:cs="Times New Roman"/>
          <w:szCs w:val="24"/>
          <w:lang w:val="pt-BR"/>
        </w:rPr>
        <w:lastRenderedPageBreak/>
        <w:t>e gás para a inflação. A evidência é relevante porque indica que o canal energético não depende apenas do preço internacional do petróleo, mas também da matriz energética, do peso dos combustíveis fósseis no consumo e das instituições nacionais de formação de preços. No caso brasileiro, mesmo com uma matriz elétrica relativamente renovável, a dependência do transporte rodoviário torna diesel e gasolina canais importantes de transmissão.</w:t>
      </w:r>
    </w:p>
    <w:p w14:paraId="7B6E9574" w14:textId="77777777" w:rsidR="008E44CC" w:rsidRPr="009C7F96" w:rsidRDefault="008E44CC" w:rsidP="008E44CC">
      <w:pPr>
        <w:pStyle w:val="Heading2"/>
        <w:spacing w:before="240" w:after="120"/>
        <w:jc w:val="both"/>
        <w:rPr>
          <w:rFonts w:cs="Times New Roman"/>
          <w:szCs w:val="24"/>
        </w:rPr>
      </w:pPr>
      <w:bookmarkStart w:id="10" w:name="_Toc229695937"/>
      <w:r w:rsidRPr="009C7F96">
        <w:rPr>
          <w:rFonts w:ascii="Times New Roman" w:eastAsia="Times New Roman" w:hAnsi="Times New Roman" w:cs="Times New Roman"/>
          <w:szCs w:val="24"/>
        </w:rPr>
        <w:t>2.5 Modelos VAR e funções impulso-resposta como referência de robustez</w:t>
      </w:r>
      <w:bookmarkEnd w:id="10"/>
    </w:p>
    <w:p w14:paraId="30CB7569" w14:textId="5EFD6714" w:rsidR="008E44CC" w:rsidRPr="009C7F96" w:rsidRDefault="008E44CC" w:rsidP="00E148DD">
      <w:pPr>
        <w:spacing w:after="120"/>
        <w:rPr>
          <w:rFonts w:cs="Times New Roman"/>
          <w:szCs w:val="24"/>
          <w:lang w:val="pt-BR"/>
        </w:rPr>
      </w:pPr>
      <w:r w:rsidRPr="009C7F96">
        <w:rPr>
          <w:rFonts w:cs="Times New Roman"/>
          <w:szCs w:val="24"/>
          <w:lang w:val="pt-BR"/>
        </w:rPr>
        <w:t>Além das local projections, a literatura de choques macroeconômicos utiliza amplamente modelos de Vetores Autorregressivos, conhecidos como VAR. A referência central dessa abordagem é Sims (1980), que propôs os VARs como alternativa a modelos macroeconométricos excessivamente restritivos, nos quais muitas relações eram impostas previamente pelo pesquisador. A contribuição de Sims está em tratar as variáveis macroeconômicas como parte de um sistema dinâmico conjunto, no qual cada variável pode responder às suas próprias defasagens e às defasagens das demais variáveis do sistema. Essa estrutura é especialmente útil para estudar choques de petróleo, câmbio, combustíveis e inflação, pois esses preços interagem ao longo do tempo e dificilmente podem ser tratados como relações puramente isoladas.</w:t>
      </w:r>
    </w:p>
    <w:p w14:paraId="0863FC3D" w14:textId="77777777" w:rsidR="008E44CC" w:rsidRPr="009C7F96" w:rsidRDefault="008E44CC" w:rsidP="008E44CC">
      <w:pPr>
        <w:spacing w:after="120"/>
        <w:rPr>
          <w:rFonts w:cs="Times New Roman"/>
          <w:szCs w:val="24"/>
          <w:lang w:val="pt-BR"/>
        </w:rPr>
      </w:pPr>
      <w:r w:rsidRPr="009C7F96">
        <w:rPr>
          <w:rFonts w:cs="Times New Roman"/>
          <w:szCs w:val="24"/>
          <w:lang w:val="pt-BR"/>
        </w:rPr>
        <w:t>Uma forma reduzida de representar um VAR com controles exógenos pode ser escrita como:</w:t>
      </w:r>
    </w:p>
    <w:p w14:paraId="7ED06162" w14:textId="77777777" w:rsidR="008E44CC" w:rsidRPr="009C7F96" w:rsidRDefault="008E44CC" w:rsidP="008E44CC">
      <w:pPr>
        <w:jc w:val="center"/>
        <w:rPr>
          <w:rFonts w:cs="Times New Roman"/>
          <w:szCs w:val="24"/>
          <w:lang w:val="pt-BR"/>
        </w:rPr>
      </w:pPr>
      <w:r>
        <w:rPr>
          <w:i/>
        </w:rPr>
        <w:t>Y_t = c + A_1 Y_{t-1} + ... + A_p Y_{t-p} + B X_t + u_t</w:t>
      </w:r>
    </w:p>
    <w:p w14:paraId="1B34F9C5" w14:textId="1CBB7828" w:rsidR="008E44CC" w:rsidRPr="009C7F96" w:rsidRDefault="00E148DD" w:rsidP="008E44CC">
      <w:pPr>
        <w:spacing w:before="120" w:after="120"/>
        <w:rPr>
          <w:rFonts w:cs="Times New Roman"/>
          <w:szCs w:val="24"/>
          <w:lang w:val="pt-BR"/>
        </w:rPr>
      </w:pPr>
      <m:oMathPara>
        <m:oMath>
          <m:r>
            <w:rPr>
              <w:rFonts w:ascii="Cambria Math" w:hAnsi="Cambria Math" w:cs="Times New Roman"/>
              <w:szCs w:val="24"/>
              <w:lang w:val="pt-BR"/>
            </w:rPr>
            <m:t>Yₜ = c + A₁Yₜ₋₁ + A₂Yₜ₋₂ + ... + AₚYₜ₋ₚ + BXₜ + uₜ      (8)</m:t>
          </m:r>
        </m:oMath>
      </m:oMathPara>
    </w:p>
    <w:p w14:paraId="5A5EB622" w14:textId="77777777" w:rsidR="008E44CC" w:rsidRPr="009C7F96" w:rsidRDefault="008E44CC" w:rsidP="008E44CC">
      <w:pPr>
        <w:rPr>
          <w:rFonts w:cs="Times New Roman"/>
          <w:szCs w:val="24"/>
          <w:lang w:val="pt-BR"/>
        </w:rPr>
      </w:pPr>
    </w:p>
    <w:p w14:paraId="7E7E1FB2" w14:textId="2845AD8A" w:rsidR="008E44CC" w:rsidRPr="009C7F96" w:rsidRDefault="008E44CC" w:rsidP="008E44CC">
      <w:pPr>
        <w:spacing w:after="120"/>
        <w:rPr>
          <w:rFonts w:cs="Times New Roman"/>
          <w:szCs w:val="24"/>
          <w:lang w:val="pt-BR"/>
        </w:rPr>
      </w:pPr>
      <w:r w:rsidRPr="009C7F96">
        <w:rPr>
          <w:rFonts w:cs="Times New Roman"/>
          <w:szCs w:val="24"/>
          <w:lang w:val="pt-BR"/>
        </w:rPr>
        <w:t xml:space="preserve">Em que </w:t>
      </w:r>
      <m:oMath>
        <m:r>
          <w:rPr>
            <w:rFonts w:ascii="Cambria Math" w:hAnsi="Cambria Math" w:cs="Times New Roman"/>
            <w:szCs w:val="24"/>
            <w:lang w:val="pt-BR"/>
          </w:rPr>
          <m:t>Yₜ</m:t>
        </m:r>
      </m:oMath>
      <w:r w:rsidRPr="009C7F96">
        <w:rPr>
          <w:rFonts w:cs="Times New Roman"/>
          <w:szCs w:val="24"/>
          <w:lang w:val="pt-BR"/>
        </w:rPr>
        <w:t xml:space="preserve"> é o vetor de variáveis endógenas, </w:t>
      </w:r>
      <m:oMath>
        <m:r>
          <w:rPr>
            <w:rFonts w:ascii="Cambria Math" w:hAnsi="Cambria Math" w:cs="Times New Roman"/>
            <w:szCs w:val="24"/>
            <w:lang w:val="pt-BR"/>
          </w:rPr>
          <m:t>c</m:t>
        </m:r>
      </m:oMath>
      <w:r w:rsidRPr="009C7F96">
        <w:rPr>
          <w:rFonts w:cs="Times New Roman"/>
          <w:szCs w:val="24"/>
          <w:lang w:val="pt-BR"/>
        </w:rPr>
        <w:t xml:space="preserve"> é o vetor de constantes, </w:t>
      </w:r>
      <m:oMath>
        <m:r>
          <w:rPr>
            <w:rFonts w:ascii="Cambria Math" w:hAnsi="Cambria Math" w:cs="Times New Roman"/>
            <w:szCs w:val="24"/>
            <w:lang w:val="pt-BR"/>
          </w:rPr>
          <m:t>A₁,...,Aₚ</m:t>
        </m:r>
      </m:oMath>
      <w:r w:rsidRPr="009C7F96">
        <w:rPr>
          <w:rFonts w:cs="Times New Roman"/>
          <w:szCs w:val="24"/>
          <w:lang w:val="pt-BR"/>
        </w:rPr>
        <w:t xml:space="preserve"> são matrizes de coeficientes associados às defasagens, </w:t>
      </w:r>
      <m:oMath>
        <m:r>
          <w:rPr>
            <w:rFonts w:ascii="Cambria Math" w:hAnsi="Cambria Math" w:cs="Times New Roman"/>
            <w:szCs w:val="24"/>
            <w:lang w:val="pt-BR"/>
          </w:rPr>
          <m:t>Xₜ</m:t>
        </m:r>
      </m:oMath>
      <w:r w:rsidRPr="009C7F96">
        <w:rPr>
          <w:rFonts w:cs="Times New Roman"/>
          <w:szCs w:val="24"/>
          <w:lang w:val="pt-BR"/>
        </w:rPr>
        <w:t xml:space="preserve"> reúne controles exógenos, </w:t>
      </w:r>
      <m:oMath>
        <m:r>
          <w:rPr>
            <w:rFonts w:ascii="Cambria Math" w:hAnsi="Cambria Math" w:cs="Times New Roman"/>
            <w:szCs w:val="24"/>
            <w:lang w:val="pt-BR"/>
          </w:rPr>
          <m:t>B</m:t>
        </m:r>
      </m:oMath>
      <w:r w:rsidRPr="009C7F96">
        <w:rPr>
          <w:rFonts w:cs="Times New Roman"/>
          <w:szCs w:val="24"/>
          <w:lang w:val="pt-BR"/>
        </w:rPr>
        <w:t xml:space="preserve"> é a matriz de coeficientes desses controles e </w:t>
      </w:r>
      <m:oMath>
        <m:r>
          <w:rPr>
            <w:rFonts w:ascii="Cambria Math" w:hAnsi="Cambria Math" w:cs="Times New Roman"/>
            <w:szCs w:val="24"/>
            <w:lang w:val="pt-BR"/>
          </w:rPr>
          <m:t>uₜ</m:t>
        </m:r>
      </m:oMath>
      <w:r w:rsidRPr="009C7F96">
        <w:rPr>
          <w:rFonts w:cs="Times New Roman"/>
          <w:szCs w:val="24"/>
          <w:lang w:val="pt-BR"/>
        </w:rPr>
        <w:t xml:space="preserve"> é o vetor de resíduos. No contexto deste trabalho, </w:t>
      </w:r>
      <m:oMath>
        <m:r>
          <w:rPr>
            <w:rFonts w:ascii="Cambria Math" w:hAnsi="Cambria Math" w:cs="Times New Roman"/>
            <w:szCs w:val="24"/>
            <w:lang w:val="pt-BR"/>
          </w:rPr>
          <m:t>Yₜ</m:t>
        </m:r>
      </m:oMath>
      <w:r w:rsidRPr="009C7F96">
        <w:rPr>
          <w:rFonts w:cs="Times New Roman"/>
          <w:szCs w:val="24"/>
          <w:lang w:val="pt-BR"/>
        </w:rPr>
        <w:t xml:space="preserve"> pode reunir variáveis como preço do petróleo, taxa de câmbio, preços de combustíveis, IPCA Geral, IPCA Transportes, Selic e expectativas de inflação, dependendo da especificação estimada.</w:t>
      </w:r>
    </w:p>
    <w:p w14:paraId="4792FEB4" w14:textId="77777777" w:rsidR="008E44CC" w:rsidRPr="009C7F96" w:rsidRDefault="008E44CC" w:rsidP="008E44CC">
      <w:pPr>
        <w:spacing w:after="120"/>
        <w:rPr>
          <w:rFonts w:cs="Times New Roman"/>
          <w:szCs w:val="24"/>
          <w:lang w:val="pt-BR"/>
        </w:rPr>
      </w:pPr>
      <w:r w:rsidRPr="009C7F96">
        <w:rPr>
          <w:rFonts w:cs="Times New Roman"/>
          <w:szCs w:val="24"/>
          <w:lang w:val="pt-BR"/>
        </w:rPr>
        <w:t>A partir do VAR, é possível recuperar funções impulso-resposta, que descrevem como as variáveis do sistema reagem ao longo do tempo a um choque em uma variável específica. De forma esquemática, a resposta ao choque j no horizonte h pode ser representada por:</w:t>
      </w:r>
    </w:p>
    <w:p w14:paraId="6D420FC9" w14:textId="77777777" w:rsidR="008E44CC" w:rsidRPr="009C7F96" w:rsidRDefault="008E44CC" w:rsidP="008E44CC">
      <w:pPr>
        <w:jc w:val="center"/>
        <w:rPr>
          <w:rFonts w:cs="Times New Roman"/>
          <w:szCs w:val="24"/>
          <w:lang w:val="pt-BR"/>
        </w:rPr>
      </w:pPr>
      <w:r>
        <w:rPr>
          <w:i/>
        </w:rPr>
        <w:t>IRF(h) = ∂Y_{t+h} / ∂ε_{j,t}</w:t>
      </w:r>
    </w:p>
    <w:p w14:paraId="1A648E67" w14:textId="72F8D72F" w:rsidR="008E44CC" w:rsidRPr="009C7F96" w:rsidRDefault="009B4AD2" w:rsidP="008E44CC">
      <w:pPr>
        <w:spacing w:before="120" w:after="120"/>
        <w:rPr>
          <w:rFonts w:cs="Times New Roman"/>
          <w:szCs w:val="24"/>
          <w:lang w:val="pt-BR"/>
        </w:rPr>
      </w:pPr>
      <m:oMathPara>
        <m:oMath>
          <m:r>
            <w:rPr>
              <w:rFonts w:ascii="Cambria Math" w:hAnsi="Cambria Math" w:cs="Times New Roman"/>
              <w:szCs w:val="24"/>
              <w:lang w:val="pt-BR"/>
            </w:rPr>
            <w:lastRenderedPageBreak/>
            <m:t>IRF</m:t>
          </m:r>
          <m:r>
            <w:rPr>
              <w:rFonts w:ascii="Cambria Math" w:hAnsi="Cambria Math" w:cs="Times New Roman"/>
              <w:szCs w:val="24"/>
            </w:rPr>
            <m:t>ⱼ</m:t>
          </m:r>
          <m:d>
            <m:dPr>
              <m:ctrlPr>
                <w:rPr>
                  <w:rFonts w:ascii="Cambria Math" w:hAnsi="Cambria Math" w:cs="Times New Roman"/>
                  <w:i/>
                  <w:szCs w:val="24"/>
                  <w:lang w:val="pt-BR"/>
                </w:rPr>
              </m:ctrlPr>
            </m:dPr>
            <m:e>
              <m:r>
                <w:rPr>
                  <w:rFonts w:ascii="Cambria Math" w:hAnsi="Cambria Math" w:cs="Times New Roman"/>
                  <w:szCs w:val="24"/>
                  <w:lang w:val="pt-BR"/>
                </w:rPr>
                <m:t>h</m:t>
              </m:r>
            </m:e>
          </m:d>
          <m:r>
            <w:rPr>
              <w:rFonts w:ascii="Cambria Math" w:hAnsi="Cambria Math" w:cs="Times New Roman"/>
              <w:szCs w:val="24"/>
              <w:lang w:val="pt-BR"/>
            </w:rPr>
            <m:t>=</m:t>
          </m:r>
          <m:f>
            <m:fPr>
              <m:ctrlPr>
                <w:rPr>
                  <w:rFonts w:ascii="Cambria Math" w:hAnsi="Cambria Math" w:cs="Times New Roman"/>
                  <w:i/>
                  <w:szCs w:val="24"/>
                  <w:lang w:val="pt-BR"/>
                </w:rPr>
              </m:ctrlPr>
            </m:fPr>
            <m:num>
              <m:r>
                <w:rPr>
                  <w:rFonts w:ascii="Cambria Math" w:hAnsi="Cambria Math" w:cs="Times New Roman"/>
                  <w:szCs w:val="24"/>
                  <w:lang w:val="pt-BR"/>
                </w:rPr>
                <m:t xml:space="preserve"> ∂Yₜ₊ₕ</m:t>
              </m:r>
            </m:num>
            <m:den>
              <m:r>
                <w:rPr>
                  <w:rFonts w:ascii="Cambria Math" w:hAnsi="Cambria Math" w:cs="Times New Roman"/>
                  <w:szCs w:val="24"/>
                  <w:lang w:val="pt-BR"/>
                </w:rPr>
                <m:t>∂</m:t>
              </m:r>
              <m:r>
                <w:rPr>
                  <w:rFonts w:ascii="Cambria Math" w:hAnsi="Cambria Math" w:cs="Times New Roman"/>
                  <w:szCs w:val="24"/>
                </w:rPr>
                <m:t>εⱼ</m:t>
              </m:r>
              <m:r>
                <w:rPr>
                  <w:rFonts w:ascii="Cambria Math" w:hAnsi="Cambria Math" w:cs="Times New Roman"/>
                  <w:szCs w:val="24"/>
                  <w:lang w:val="pt-BR"/>
                </w:rPr>
                <m:t>,ₜ</m:t>
              </m:r>
            </m:den>
          </m:f>
          <m:r>
            <w:rPr>
              <w:rFonts w:ascii="Cambria Math" w:hAnsi="Cambria Math" w:cs="Times New Roman"/>
              <w:szCs w:val="24"/>
              <w:lang w:val="pt-BR"/>
            </w:rPr>
            <m:t xml:space="preserve">  = </m:t>
          </m:r>
          <m:r>
            <w:rPr>
              <w:rFonts w:ascii="Cambria Math" w:hAnsi="Cambria Math" w:cs="Times New Roman"/>
              <w:szCs w:val="24"/>
            </w:rPr>
            <m:t>Ψ</m:t>
          </m:r>
          <m:r>
            <w:rPr>
              <w:rFonts w:ascii="Cambria Math" w:hAnsi="Cambria Math" w:cs="Times New Roman"/>
              <w:szCs w:val="24"/>
              <w:lang w:val="pt-BR"/>
            </w:rPr>
            <m:t>ₕe</m:t>
          </m:r>
          <m:r>
            <w:rPr>
              <w:rFonts w:ascii="Cambria Math" w:hAnsi="Cambria Math" w:cs="Times New Roman"/>
              <w:szCs w:val="24"/>
            </w:rPr>
            <m:t>ⱼ</m:t>
          </m:r>
          <m:r>
            <w:rPr>
              <w:rFonts w:ascii="Cambria Math" w:hAnsi="Cambria Math" w:cs="Times New Roman"/>
              <w:szCs w:val="24"/>
              <w:lang w:val="pt-BR"/>
            </w:rPr>
            <m:t xml:space="preserve">      (9)</m:t>
          </m:r>
        </m:oMath>
      </m:oMathPara>
    </w:p>
    <w:p w14:paraId="1EB7CCFA" w14:textId="77777777" w:rsidR="008E44CC" w:rsidRPr="009C7F96" w:rsidRDefault="008E44CC" w:rsidP="008E44CC">
      <w:pPr>
        <w:rPr>
          <w:rFonts w:cs="Times New Roman"/>
          <w:szCs w:val="24"/>
          <w:lang w:val="pt-BR"/>
        </w:rPr>
      </w:pPr>
    </w:p>
    <w:p w14:paraId="0C3F5835" w14:textId="5E169978" w:rsidR="008E44CC" w:rsidRPr="009C7F96" w:rsidRDefault="008E44CC" w:rsidP="008E44CC">
      <w:pPr>
        <w:spacing w:after="120"/>
        <w:rPr>
          <w:rFonts w:cs="Times New Roman"/>
          <w:szCs w:val="24"/>
          <w:lang w:val="pt-BR"/>
        </w:rPr>
      </w:pPr>
      <w:r w:rsidRPr="009C7F96">
        <w:rPr>
          <w:rFonts w:cs="Times New Roman"/>
          <w:szCs w:val="24"/>
          <w:lang w:val="pt-BR"/>
        </w:rPr>
        <w:t xml:space="preserve">Nessa expressão, </w:t>
      </w:r>
      <m:oMath>
        <m:r>
          <w:rPr>
            <w:rFonts w:ascii="Cambria Math" w:hAnsi="Cambria Math" w:cs="Times New Roman"/>
            <w:szCs w:val="24"/>
          </w:rPr>
          <m:t>Ψ</m:t>
        </m:r>
        <m:r>
          <w:rPr>
            <w:rFonts w:ascii="Cambria Math" w:hAnsi="Cambria Math" w:cs="Times New Roman"/>
            <w:szCs w:val="24"/>
            <w:lang w:val="pt-BR"/>
          </w:rPr>
          <m:t>ₕ</m:t>
        </m:r>
      </m:oMath>
      <w:r w:rsidRPr="009C7F96">
        <w:rPr>
          <w:rFonts w:cs="Times New Roman"/>
          <w:szCs w:val="24"/>
          <w:lang w:val="pt-BR"/>
        </w:rPr>
        <w:t xml:space="preserve"> representa a matriz de respostas dinâmicas no horizonte </w:t>
      </w:r>
      <m:oMath>
        <m:r>
          <w:rPr>
            <w:rFonts w:ascii="Cambria Math" w:hAnsi="Cambria Math" w:cs="Times New Roman"/>
            <w:szCs w:val="24"/>
            <w:lang w:val="pt-BR"/>
          </w:rPr>
          <m:t>h</m:t>
        </m:r>
      </m:oMath>
      <w:r w:rsidRPr="009C7F96">
        <w:rPr>
          <w:rFonts w:cs="Times New Roman"/>
          <w:szCs w:val="24"/>
          <w:lang w:val="pt-BR"/>
        </w:rPr>
        <w:t xml:space="preserve"> e </w:t>
      </w:r>
      <m:oMath>
        <m:r>
          <w:rPr>
            <w:rFonts w:ascii="Cambria Math" w:hAnsi="Cambria Math" w:cs="Times New Roman"/>
            <w:szCs w:val="24"/>
            <w:lang w:val="pt-BR"/>
          </w:rPr>
          <m:t>e</m:t>
        </m:r>
        <m:r>
          <w:rPr>
            <w:rFonts w:ascii="Cambria Math" w:hAnsi="Cambria Math" w:cs="Times New Roman"/>
            <w:szCs w:val="24"/>
          </w:rPr>
          <m:t>ⱼ</m:t>
        </m:r>
        <m:r>
          <w:rPr>
            <w:rFonts w:ascii="Cambria Math" w:hAnsi="Cambria Math" w:cs="Times New Roman"/>
            <w:szCs w:val="24"/>
            <w:lang w:val="pt-BR"/>
          </w:rPr>
          <m:t xml:space="preserve"> </m:t>
        </m:r>
      </m:oMath>
      <w:r w:rsidRPr="009C7F96">
        <w:rPr>
          <w:rFonts w:cs="Times New Roman"/>
          <w:szCs w:val="24"/>
          <w:lang w:val="pt-BR"/>
        </w:rPr>
        <w:t>identifica o choque estrutural de interesse. No caso do presente trabalho, as funções impulso-resposta do VAR permitem observar se um choque no petróleo ou nos combustíveis gera respostas compatíveis com aquelas obtidas pelas local projections. O objetivo não é substituir a estratégia principal, mas verificar a direção, a persistência e a coerência econômica dos resultados em uma estrutura alternativa.</w:t>
      </w:r>
    </w:p>
    <w:p w14:paraId="7527A45F" w14:textId="77777777" w:rsidR="008E44CC" w:rsidRPr="009C7F96" w:rsidRDefault="008E44CC" w:rsidP="008E44CC">
      <w:pPr>
        <w:spacing w:after="120"/>
        <w:rPr>
          <w:rFonts w:cs="Times New Roman"/>
          <w:szCs w:val="24"/>
          <w:lang w:val="pt-BR"/>
        </w:rPr>
      </w:pPr>
      <w:r w:rsidRPr="009C7F96">
        <w:rPr>
          <w:rFonts w:cs="Times New Roman"/>
          <w:szCs w:val="24"/>
          <w:lang w:val="pt-BR"/>
        </w:rPr>
        <w:t>Quando se utiliza uma identificação recursiva, como a decomposição de Cholesky, a ordenação das variáveis passa a ter importância. A intuição é que as variáveis posicionadas antes no sistema podem afetar contemporaneamente as variáveis posteriores, enquanto as posteriores afetam as anteriores apenas com defasagem. Por isso, a escolha da ordenação precisa seguir uma lógica econômica. Em um estudo sobre petróleo, combustíveis e inflação, é razoável ordenar primeiro os choques externos, como petróleo e câmbio, depois os preços domésticos de combustíveis e, por fim, as medidas de inflação e política monetária. Essa estrutura é compatível com a hipótese de que choques internacionais se transmitem gradualmente para preços domésticos e inflação.</w:t>
      </w:r>
    </w:p>
    <w:p w14:paraId="0CD9B66B" w14:textId="77777777" w:rsidR="008E44CC" w:rsidRPr="009C7F96" w:rsidRDefault="008E44CC" w:rsidP="008E44CC">
      <w:pPr>
        <w:spacing w:after="120"/>
        <w:rPr>
          <w:rFonts w:cs="Times New Roman"/>
          <w:szCs w:val="24"/>
          <w:lang w:val="pt-BR"/>
        </w:rPr>
      </w:pPr>
      <w:r w:rsidRPr="009C7F96">
        <w:rPr>
          <w:rFonts w:cs="Times New Roman"/>
          <w:szCs w:val="24"/>
          <w:lang w:val="pt-BR"/>
        </w:rPr>
        <w:t>No presente estudo, o modelo VAR é utilizado como exercício de robustez. Isso significa que ele não é tratado como a especificação principal, mas como uma checagem complementar dos resultados obtidos nas local projections. Essa escolha se justifica porque as local projections são mais adequadas para organizar o canal de transmissão em blocos e estimar respostas acumuladas de forma direta, enquanto o VAR permite verificar se os principais sinais aparecem também em um sistema dinâmico conjunto. Assim, se os resultados do VAR apontarem para respostas com direção semelhante às encontradas nas local projections, a evidência empírica do repasse petróleo-combustíveis-inflação se torna mais consistente.</w:t>
      </w:r>
    </w:p>
    <w:p w14:paraId="1737DB8C" w14:textId="77777777" w:rsidR="008E44CC" w:rsidRPr="009C7F96" w:rsidRDefault="008E44CC" w:rsidP="008E44CC">
      <w:pPr>
        <w:spacing w:after="120"/>
        <w:rPr>
          <w:rFonts w:cs="Times New Roman"/>
          <w:szCs w:val="24"/>
          <w:lang w:val="pt-BR"/>
        </w:rPr>
      </w:pPr>
      <w:r w:rsidRPr="009C7F96">
        <w:rPr>
          <w:rFonts w:cs="Times New Roman"/>
          <w:szCs w:val="24"/>
          <w:lang w:val="pt-BR"/>
        </w:rPr>
        <w:t xml:space="preserve">A utilização do VAR como robustez também dialoga com a literatura recente que compara VARs e local projections. Plagborg-Møller e Wolf (2021) mostram que, sob condições adequadas, os dois métodos podem estimar objetos populacionais semelhantes. A diferença prática está nas propriedades de amostra finita, no grau de flexibilidade e na forma como a dinâmica é imposta. </w:t>
      </w:r>
      <w:r w:rsidRPr="009C7F96">
        <w:rPr>
          <w:rFonts w:cs="Times New Roman"/>
          <w:szCs w:val="24"/>
          <w:lang w:val="pt-BR"/>
        </w:rPr>
        <w:lastRenderedPageBreak/>
        <w:t>Portanto, a combinação entre local projections e VAR fortalece a pesquisa porque reduz a dependência de uma única especificação econométrica.</w:t>
      </w:r>
    </w:p>
    <w:p w14:paraId="54EE57EF" w14:textId="77777777" w:rsidR="008E44CC" w:rsidRPr="009C7F96" w:rsidRDefault="008E44CC" w:rsidP="008E44CC">
      <w:pPr>
        <w:pStyle w:val="Heading2"/>
        <w:spacing w:before="240" w:after="120"/>
        <w:jc w:val="both"/>
        <w:rPr>
          <w:rFonts w:cs="Times New Roman"/>
          <w:szCs w:val="24"/>
        </w:rPr>
      </w:pPr>
      <w:bookmarkStart w:id="11" w:name="_Toc229695938"/>
      <w:r w:rsidRPr="009C7F96">
        <w:rPr>
          <w:rFonts w:ascii="Times New Roman" w:eastAsia="Times New Roman" w:hAnsi="Times New Roman" w:cs="Times New Roman"/>
          <w:szCs w:val="24"/>
        </w:rPr>
        <w:t>2.6 Local projections: fundamentos metodológicos</w:t>
      </w:r>
      <w:bookmarkEnd w:id="11"/>
    </w:p>
    <w:p w14:paraId="56B05001" w14:textId="79CA7F8E" w:rsidR="008E44CC" w:rsidRPr="009C7F96" w:rsidRDefault="008E44CC" w:rsidP="008E44CC">
      <w:pPr>
        <w:spacing w:after="120"/>
        <w:rPr>
          <w:rFonts w:cs="Times New Roman"/>
          <w:szCs w:val="24"/>
          <w:lang w:val="pt-BR"/>
        </w:rPr>
      </w:pPr>
      <w:r w:rsidRPr="009C7F96">
        <w:rPr>
          <w:rFonts w:cs="Times New Roman"/>
          <w:szCs w:val="24"/>
          <w:lang w:val="pt-BR"/>
        </w:rPr>
        <w:t xml:space="preserve">A escolha da metodologia de local projections se justifica porque o objetivo da pesquisa não é apenas estimar correlações entre petróleo e inflação, mas recuperar o perfil temporal do repasse em diferentes horizontes. Jordà (2005) propõe as local projections como alternativa direta à estimação de funções impulso-resposta. Em vez de estimar um sistema VAR completo e obter respostas por iteração, estima-se uma regressão separada para cada horizonte </w:t>
      </w:r>
      <m:oMath>
        <m:r>
          <w:rPr>
            <w:rFonts w:ascii="Cambria Math" w:hAnsi="Cambria Math" w:cs="Times New Roman"/>
            <w:szCs w:val="24"/>
            <w:lang w:val="pt-BR"/>
          </w:rPr>
          <m:t>h</m:t>
        </m:r>
      </m:oMath>
      <w:r w:rsidRPr="009C7F96">
        <w:rPr>
          <w:rFonts w:cs="Times New Roman"/>
          <w:szCs w:val="24"/>
          <w:lang w:val="pt-BR"/>
        </w:rPr>
        <w:t>. A forma canônica é:</w:t>
      </w:r>
    </w:p>
    <w:p w14:paraId="44FA0A95" w14:textId="77777777" w:rsidR="008E44CC" w:rsidRPr="009C7F96" w:rsidRDefault="008E44CC" w:rsidP="008E44CC">
      <w:pPr>
        <w:jc w:val="center"/>
        <w:rPr>
          <w:rFonts w:cs="Times New Roman"/>
          <w:szCs w:val="24"/>
          <w:lang w:val="pt-BR"/>
        </w:rPr>
      </w:pPr>
      <w:r>
        <w:rPr>
          <w:i/>
        </w:rPr>
        <w:t>Y_{t+h} = α_h + β_h Shock_t + Γ_h X_t + ε_{t+h}</w:t>
      </w:r>
    </w:p>
    <w:p w14:paraId="4774D643" w14:textId="08BF5D8D" w:rsidR="008E44CC" w:rsidRPr="009C7F96" w:rsidRDefault="009A1DBC" w:rsidP="008E44CC">
      <w:pPr>
        <w:spacing w:before="120" w:after="120"/>
        <w:rPr>
          <w:rFonts w:cs="Times New Roman"/>
          <w:szCs w:val="24"/>
          <w:lang w:val="pt-BR"/>
        </w:rPr>
      </w:pPr>
      <w:commentRangeStart w:id="12"/>
      <m:oMath>
        <m:r>
          <w:rPr>
            <w:rFonts w:ascii="Cambria Math" w:hAnsi="Cambria Math" w:cs="Times New Roman"/>
            <w:szCs w:val="24"/>
            <w:lang w:val="pt-BR"/>
          </w:rPr>
          <m:t>y</m:t>
        </m:r>
        <m:sSup>
          <m:sSupPr>
            <m:ctrlPr>
              <w:rPr>
                <w:rFonts w:ascii="Cambria Math" w:hAnsi="Cambria Math" w:cs="Times New Roman"/>
                <w:i/>
                <w:szCs w:val="24"/>
                <w:lang w:val="pt-BR"/>
              </w:rPr>
            </m:ctrlPr>
          </m:sSupPr>
          <m:e>
            <m:r>
              <w:rPr>
                <w:rFonts w:ascii="Cambria Math" w:hAnsi="Cambria Math" w:cs="Times New Roman"/>
                <w:szCs w:val="24"/>
                <w:lang w:val="pt-BR"/>
              </w:rPr>
              <m:t>ₜ</m:t>
            </m:r>
          </m:e>
          <m:sup>
            <m:r>
              <w:rPr>
                <w:rFonts w:ascii="Cambria Math" w:hAnsi="Cambria Math" w:cs="Times New Roman"/>
                <w:szCs w:val="24"/>
                <w:lang w:val="pt-BR"/>
              </w:rPr>
              <m:t>+</m:t>
            </m:r>
          </m:sup>
        </m:sSup>
        <m:r>
          <w:rPr>
            <w:rFonts w:ascii="Cambria Math" w:hAnsi="Cambria Math" w:cs="Times New Roman"/>
            <w:szCs w:val="24"/>
            <w:lang w:val="pt-BR"/>
          </w:rPr>
          <m:t>ₕ-y</m:t>
        </m:r>
        <m:sSup>
          <m:sSupPr>
            <m:ctrlPr>
              <w:rPr>
                <w:rFonts w:ascii="Cambria Math" w:hAnsi="Cambria Math" w:cs="Times New Roman"/>
                <w:i/>
                <w:szCs w:val="24"/>
                <w:lang w:val="pt-BR"/>
              </w:rPr>
            </m:ctrlPr>
          </m:sSupPr>
          <m:e>
            <m:r>
              <w:rPr>
                <w:rFonts w:ascii="Cambria Math" w:hAnsi="Cambria Math" w:cs="Times New Roman"/>
                <w:szCs w:val="24"/>
                <w:lang w:val="pt-BR"/>
              </w:rPr>
              <m:t>ₜ</m:t>
            </m:r>
          </m:e>
          <m:sup>
            <m:r>
              <w:rPr>
                <w:rFonts w:ascii="Cambria Math" w:hAnsi="Cambria Math" w:cs="Times New Roman"/>
                <w:szCs w:val="24"/>
                <w:lang w:val="pt-BR"/>
              </w:rPr>
              <m:t>-1</m:t>
            </m:r>
          </m:sup>
        </m:sSup>
        <m:r>
          <w:rPr>
            <w:rFonts w:ascii="Cambria Math" w:hAnsi="Cambria Math" w:cs="Times New Roman"/>
            <w:szCs w:val="24"/>
            <w:lang w:val="pt-BR"/>
          </w:rPr>
          <m:t>=</m:t>
        </m:r>
        <m:r>
          <w:rPr>
            <w:rFonts w:ascii="Cambria Math" w:hAnsi="Cambria Math" w:cs="Times New Roman"/>
            <w:szCs w:val="24"/>
          </w:rPr>
          <m:t>α</m:t>
        </m:r>
        <m:r>
          <w:rPr>
            <w:rFonts w:ascii="Cambria Math" w:hAnsi="Cambria Math" w:cs="Times New Roman"/>
            <w:szCs w:val="24"/>
            <w:lang w:val="pt-BR"/>
          </w:rPr>
          <m:t>ₕ+</m:t>
        </m:r>
        <m:r>
          <w:rPr>
            <w:rFonts w:ascii="Cambria Math" w:hAnsi="Cambria Math" w:cs="Times New Roman"/>
            <w:szCs w:val="24"/>
          </w:rPr>
          <m:t>β</m:t>
        </m:r>
        <m:r>
          <w:rPr>
            <w:rFonts w:ascii="Cambria Math" w:hAnsi="Cambria Math" w:cs="Times New Roman"/>
            <w:szCs w:val="24"/>
            <w:lang w:val="pt-BR"/>
          </w:rPr>
          <m:t>ₕxₜ+</m:t>
        </m:r>
        <m:sSubSup>
          <m:sSubSupPr>
            <m:ctrlPr>
              <w:rPr>
                <w:rFonts w:ascii="Cambria Math" w:hAnsi="Cambria Math" w:cs="Times New Roman"/>
                <w:i/>
                <w:szCs w:val="24"/>
              </w:rPr>
            </m:ctrlPr>
          </m:sSubSupPr>
          <m:e>
            <m:r>
              <w:rPr>
                <w:rFonts w:ascii="Cambria Math" w:hAnsi="Cambria Math" w:cs="Times New Roman"/>
                <w:szCs w:val="24"/>
              </w:rPr>
              <m:t>Σ</m:t>
            </m:r>
            <m:ctrlPr>
              <w:rPr>
                <w:rFonts w:ascii="Cambria Math" w:hAnsi="Cambria Math" w:cs="Times New Roman"/>
                <w:i/>
                <w:szCs w:val="24"/>
                <w:lang w:val="pt-BR"/>
              </w:rPr>
            </m:ctrlPr>
          </m:e>
          <m:sub>
            <m:r>
              <m:rPr>
                <m:scr m:val="script"/>
              </m:rPr>
              <w:rPr>
                <w:rFonts w:ascii="Cambria Math" w:hAnsi="Cambria Math" w:cs="Times New Roman"/>
                <w:szCs w:val="24"/>
                <w:lang w:val="pt-BR"/>
              </w:rPr>
              <m:t>l</m:t>
            </m:r>
            <m:r>
              <w:rPr>
                <w:rFonts w:ascii="Cambria Math" w:hAnsi="Cambria Math" w:cs="Times New Roman"/>
                <w:szCs w:val="24"/>
                <w:lang w:val="pt-BR"/>
              </w:rPr>
              <m:t>=1</m:t>
            </m:r>
            <m:ctrlPr>
              <w:rPr>
                <w:rFonts w:ascii="Cambria Math" w:hAnsi="Cambria Math" w:cs="Times New Roman"/>
                <w:i/>
                <w:szCs w:val="24"/>
                <w:lang w:val="pt-BR"/>
              </w:rPr>
            </m:ctrlPr>
          </m:sub>
          <m:sup>
            <m:r>
              <w:rPr>
                <w:rFonts w:ascii="Cambria Math" w:hAnsi="Cambria Math" w:cs="Times New Roman"/>
                <w:szCs w:val="24"/>
                <w:lang w:val="pt-BR"/>
              </w:rPr>
              <m:t>p</m:t>
            </m:r>
            <m:ctrlPr>
              <w:rPr>
                <w:rFonts w:ascii="Cambria Math" w:hAnsi="Cambria Math" w:cs="Times New Roman"/>
                <w:i/>
                <w:szCs w:val="24"/>
                <w:lang w:val="pt-BR"/>
              </w:rPr>
            </m:ctrlPr>
          </m:sup>
        </m:sSubSup>
        <m:r>
          <w:rPr>
            <w:rFonts w:ascii="Cambria Math" w:hAnsi="Cambria Math" w:cs="Times New Roman"/>
            <w:szCs w:val="24"/>
            <w:lang w:val="pt-BR"/>
          </w:rPr>
          <m:t xml:space="preserve"> </m:t>
        </m:r>
        <m:r>
          <w:rPr>
            <w:rFonts w:ascii="Cambria Math" w:hAnsi="Cambria Math" w:cs="Times New Roman"/>
            <w:szCs w:val="24"/>
          </w:rPr>
          <m:t>Γ</m:t>
        </m:r>
        <m:r>
          <m:rPr>
            <m:scr m:val="script"/>
          </m:rPr>
          <w:rPr>
            <w:rFonts w:ascii="Cambria Math" w:hAnsi="Cambria Math" w:cs="Times New Roman"/>
            <w:szCs w:val="24"/>
            <w:lang w:val="pt-BR"/>
          </w:rPr>
          <m:t xml:space="preserve">ₕ,l </m:t>
        </m:r>
        <m:r>
          <w:rPr>
            <w:rFonts w:ascii="Cambria Math" w:hAnsi="Cambria Math" w:cs="Times New Roman"/>
            <w:szCs w:val="24"/>
            <w:lang w:val="pt-BR"/>
          </w:rPr>
          <m:t>W</m:t>
        </m:r>
        <m:r>
          <m:rPr>
            <m:scr m:val="script"/>
          </m:rPr>
          <w:rPr>
            <w:rFonts w:ascii="Cambria Math" w:hAnsi="Cambria Math" w:cs="Times New Roman"/>
            <w:szCs w:val="24"/>
            <w:lang w:val="pt-BR"/>
          </w:rPr>
          <m:t xml:space="preserve">ₜ₋l + </m:t>
        </m:r>
        <m:r>
          <w:rPr>
            <w:rFonts w:ascii="Cambria Math" w:hAnsi="Cambria Math" w:cs="Times New Roman"/>
            <w:szCs w:val="24"/>
            <w:lang w:val="pt-BR"/>
          </w:rPr>
          <m:t xml:space="preserve">uₜ₊ₕ⁽ʰ⁾,    h = </m:t>
        </m:r>
        <m:r>
          <w:rPr>
            <w:rFonts w:ascii="Cambria Math" w:hAnsi="Cambria Math" w:cs="Times New Roman"/>
            <w:szCs w:val="24"/>
            <w:lang w:val="pt-BR"/>
          </w:rPr>
          <m:t>0,...,H      (11)</m:t>
        </m:r>
      </m:oMath>
      <w:commentRangeEnd w:id="12"/>
      <w:r w:rsidR="00FB2C60" w:rsidRPr="009C7F96">
        <w:rPr>
          <w:rStyle w:val="CommentReference"/>
          <w:rFonts w:cs="Times New Roman"/>
          <w:sz w:val="24"/>
          <w:szCs w:val="24"/>
          <w:lang w:val="pt-BR"/>
        </w:rPr>
        <w:commentReference w:id="12"/>
      </w:r>
    </w:p>
    <w:p w14:paraId="684CA3E6" w14:textId="77777777" w:rsidR="008E44CC" w:rsidRPr="009C7F96" w:rsidRDefault="008E44CC" w:rsidP="008E44CC">
      <w:pPr>
        <w:rPr>
          <w:rFonts w:cs="Times New Roman"/>
          <w:szCs w:val="24"/>
          <w:lang w:val="pt-BR"/>
        </w:rPr>
      </w:pPr>
    </w:p>
    <w:p w14:paraId="5F38AD68" w14:textId="5B676191" w:rsidR="008E44CC" w:rsidRPr="009C7F96" w:rsidRDefault="008E44CC" w:rsidP="008E44CC">
      <w:pPr>
        <w:spacing w:after="120"/>
        <w:rPr>
          <w:rFonts w:cs="Times New Roman"/>
          <w:szCs w:val="24"/>
          <w:lang w:val="pt-BR"/>
        </w:rPr>
      </w:pPr>
      <w:r w:rsidRPr="009C7F96">
        <w:rPr>
          <w:rFonts w:cs="Times New Roman"/>
          <w:szCs w:val="24"/>
          <w:lang w:val="pt-BR"/>
        </w:rPr>
        <w:t xml:space="preserve">Nessa equação, </w:t>
      </w:r>
      <m:oMath>
        <m:r>
          <w:rPr>
            <w:rFonts w:ascii="Cambria Math" w:hAnsi="Cambria Math" w:cs="Times New Roman"/>
            <w:szCs w:val="24"/>
            <w:lang w:val="pt-BR"/>
          </w:rPr>
          <m:t>yₜ₊ₕ</m:t>
        </m:r>
      </m:oMath>
      <w:r w:rsidRPr="009C7F96">
        <w:rPr>
          <w:rFonts w:cs="Times New Roman"/>
          <w:szCs w:val="24"/>
          <w:lang w:val="pt-BR"/>
        </w:rPr>
        <w:t xml:space="preserve"> é a variável de resposta no horizonte h, </w:t>
      </w:r>
      <m:oMath>
        <m:r>
          <w:rPr>
            <w:rFonts w:ascii="Cambria Math" w:hAnsi="Cambria Math" w:cs="Times New Roman"/>
            <w:szCs w:val="24"/>
            <w:lang w:val="pt-BR"/>
          </w:rPr>
          <m:t>xₜ</m:t>
        </m:r>
      </m:oMath>
      <w:r w:rsidRPr="009C7F96">
        <w:rPr>
          <w:rFonts w:cs="Times New Roman"/>
          <w:szCs w:val="24"/>
          <w:lang w:val="pt-BR"/>
        </w:rPr>
        <w:t xml:space="preserve"> é o choque de interesse, </w:t>
      </w:r>
      <m:oMath>
        <m:r>
          <w:rPr>
            <w:rFonts w:ascii="Cambria Math" w:hAnsi="Cambria Math" w:cs="Times New Roman"/>
            <w:szCs w:val="24"/>
            <w:lang w:val="pt-BR"/>
          </w:rPr>
          <m:t>Wₜ₋</m:t>
        </m:r>
        <m:r>
          <m:rPr>
            <m:scr m:val="script"/>
          </m:rPr>
          <w:rPr>
            <w:rFonts w:ascii="Cambria Math" w:hAnsi="Cambria Math" w:cs="Times New Roman"/>
            <w:szCs w:val="24"/>
            <w:lang w:val="pt-BR"/>
          </w:rPr>
          <m:t>l</m:t>
        </m:r>
      </m:oMath>
      <w:r w:rsidRPr="009C7F96">
        <w:rPr>
          <w:rFonts w:cs="Times New Roman"/>
          <w:szCs w:val="24"/>
          <w:lang w:val="pt-BR"/>
        </w:rPr>
        <w:t xml:space="preserve"> é o conjunto de controles defasados e </w:t>
      </w:r>
      <m:oMath>
        <m:r>
          <w:rPr>
            <w:rFonts w:ascii="Cambria Math" w:hAnsi="Cambria Math" w:cs="Times New Roman"/>
            <w:szCs w:val="24"/>
          </w:rPr>
          <m:t>β</m:t>
        </m:r>
        <m:r>
          <w:rPr>
            <w:rFonts w:ascii="Cambria Math" w:hAnsi="Cambria Math" w:cs="Times New Roman"/>
            <w:szCs w:val="24"/>
            <w:lang w:val="pt-BR"/>
          </w:rPr>
          <m:t>ₕ</m:t>
        </m:r>
      </m:oMath>
      <w:r w:rsidRPr="009C7F96">
        <w:rPr>
          <w:rFonts w:cs="Times New Roman"/>
          <w:szCs w:val="24"/>
          <w:lang w:val="pt-BR"/>
        </w:rPr>
        <w:t xml:space="preserve"> é a resposta estimada no horizonte </w:t>
      </w:r>
      <m:oMath>
        <m:r>
          <w:rPr>
            <w:rFonts w:ascii="Cambria Math" w:hAnsi="Cambria Math" w:cs="Times New Roman"/>
            <w:szCs w:val="24"/>
            <w:lang w:val="pt-BR"/>
          </w:rPr>
          <m:t>h</m:t>
        </m:r>
      </m:oMath>
      <w:r w:rsidRPr="009C7F96">
        <w:rPr>
          <w:rFonts w:cs="Times New Roman"/>
          <w:szCs w:val="24"/>
          <w:lang w:val="pt-BR"/>
        </w:rPr>
        <w:t>. A principal vantagem das local projections é a flexibilidade. É possível incluir controles específicos, variáveis institucionais, dummies de regime, interações e instrumentos de forma relativamente simples. A principal limitação é que as estimativas podem apresentar maior variância, especialmente em horizontes longos ou em amostras pequenas.</w:t>
      </w:r>
    </w:p>
    <w:p w14:paraId="1C615C7B" w14:textId="77777777" w:rsidR="008E44CC" w:rsidRPr="009C7F96" w:rsidRDefault="008E44CC" w:rsidP="008E44CC">
      <w:pPr>
        <w:spacing w:after="120"/>
        <w:rPr>
          <w:rFonts w:cs="Times New Roman"/>
          <w:szCs w:val="24"/>
          <w:lang w:val="pt-BR"/>
        </w:rPr>
      </w:pPr>
      <w:r w:rsidRPr="009C7F96">
        <w:rPr>
          <w:rFonts w:cs="Times New Roman"/>
          <w:szCs w:val="24"/>
          <w:lang w:val="pt-BR"/>
        </w:rPr>
        <w:t>Plagborg-Møller e Wolf (2021) mostram que, sob condições adequadas, local projections e VARs estimam o mesmo objeto populacional. A diferença central, portanto, não é necessariamente o estimando, mas as propriedades de amostra finita. Em termos aplicados, isso significa que a escolha entre VAR e LP envolve um trade-off entre eficiência e robustez. Para o presente estudo, a LP é particularmente atraente porque permite modelar explicitamente o canal petróleo em reais, preço na refinaria, preço ao consumidor e IPCA, além de comparar respostas por subamostras e regimes de precificação.</w:t>
      </w:r>
    </w:p>
    <w:p w14:paraId="5E258B29" w14:textId="77777777" w:rsidR="008E44CC" w:rsidRPr="009C7F96" w:rsidRDefault="008E44CC" w:rsidP="008E44CC">
      <w:pPr>
        <w:spacing w:after="120"/>
        <w:rPr>
          <w:rFonts w:cs="Times New Roman"/>
          <w:szCs w:val="24"/>
          <w:lang w:val="pt-BR"/>
        </w:rPr>
      </w:pPr>
      <w:r w:rsidRPr="009C7F96">
        <w:rPr>
          <w:rFonts w:cs="Times New Roman"/>
          <w:szCs w:val="24"/>
          <w:lang w:val="pt-BR"/>
        </w:rPr>
        <w:t xml:space="preserve">Kilian e Kim (2011) ressaltam que as local projections podem produzir intervalos de confiança mais amplos e, em amostras finitas, menor precisão do que alguns modelos VAR corretamente especificados. Essa crítica é importante para o presente trabalho porque a amostra mensal brasileira, apesar de relativamente longa desde 2003, pode se tornar curta quando dividida </w:t>
      </w:r>
      <w:r w:rsidRPr="009C7F96">
        <w:rPr>
          <w:rFonts w:cs="Times New Roman"/>
          <w:szCs w:val="24"/>
          <w:lang w:val="pt-BR"/>
        </w:rPr>
        <w:lastRenderedPageBreak/>
        <w:t>em regimes, como pré e pós-mudanças na política de preços. Por isso, a aplicação deve usar inferência robusta, bandas de confiança apropriadas, testes de sensibilidade para o número de defasagens e, quando necessário, versões suavizadas ou regularizadas das LPs.</w:t>
      </w:r>
    </w:p>
    <w:p w14:paraId="615891BD" w14:textId="77777777" w:rsidR="008E44CC" w:rsidRPr="009C7F96" w:rsidRDefault="008E44CC" w:rsidP="008E44CC">
      <w:pPr>
        <w:spacing w:after="120"/>
        <w:rPr>
          <w:rFonts w:cs="Times New Roman"/>
          <w:szCs w:val="24"/>
          <w:lang w:val="pt-BR"/>
        </w:rPr>
      </w:pPr>
      <w:r w:rsidRPr="009C7F96">
        <w:rPr>
          <w:rFonts w:cs="Times New Roman"/>
          <w:szCs w:val="24"/>
          <w:lang w:val="pt-BR"/>
        </w:rPr>
        <w:t>Li, Plagborg-Møller e Wolf (2024) aprofundam essa discussão ao comparar LPs e VARs em numerosos processos geradores de dados. O resultado reforça o diagnóstico de que as LPs tendem a ter menor viés, mas maior variância. Para a presente pesquisa, a implicação é que o uso de local projections deve ser acompanhado de especificações parcimoniosas, controles bem escolhidos e interpretação cuidadosa das bandas de confiança. Não se deve vender a LP como método automaticamente superior, mas como método mais flexível para responder a uma pergunta institucionalmente complexa.</w:t>
      </w:r>
    </w:p>
    <w:p w14:paraId="1DDBE471" w14:textId="77777777" w:rsidR="008E44CC" w:rsidRPr="009C7F96" w:rsidRDefault="008E44CC" w:rsidP="008E44CC">
      <w:pPr>
        <w:pStyle w:val="Heading2"/>
        <w:spacing w:before="240" w:after="120"/>
        <w:jc w:val="both"/>
        <w:rPr>
          <w:rFonts w:cs="Times New Roman"/>
          <w:szCs w:val="24"/>
        </w:rPr>
      </w:pPr>
      <w:bookmarkStart w:id="13" w:name="_Toc229695939"/>
      <w:r w:rsidRPr="009C7F96">
        <w:rPr>
          <w:rFonts w:ascii="Times New Roman" w:eastAsia="Times New Roman" w:hAnsi="Times New Roman" w:cs="Times New Roman"/>
          <w:szCs w:val="24"/>
        </w:rPr>
        <w:t>2.7 Extensões de local projections relevantes para o tema</w:t>
      </w:r>
      <w:bookmarkEnd w:id="13"/>
    </w:p>
    <w:p w14:paraId="17D7824B" w14:textId="77777777" w:rsidR="008E44CC" w:rsidRPr="009C7F96" w:rsidRDefault="008E44CC" w:rsidP="008E44CC">
      <w:pPr>
        <w:spacing w:after="120"/>
        <w:rPr>
          <w:rFonts w:cs="Times New Roman"/>
          <w:szCs w:val="24"/>
          <w:lang w:val="pt-BR"/>
        </w:rPr>
      </w:pPr>
      <w:r w:rsidRPr="009C7F96">
        <w:rPr>
          <w:rFonts w:cs="Times New Roman"/>
          <w:szCs w:val="24"/>
          <w:lang w:val="pt-BR"/>
        </w:rPr>
        <w:t>A literatura recente desenvolveu várias extensões das local projections que são úteis para estudar choques de petróleo e inflação. A primeira é a LP-IV, que combina local projections com variáveis instrumentais. Essa abordagem é adequada quando o choque observado é potencialmente endógeno. No caso brasileiro, o preço doméstico do combustível pode responder simultaneamente à conjuntura inflacionária, à política de preços da Petrobras, ao câmbio e às condições de oferta. Portanto, tratá-lo como variável exógena pode gerar viés.</w:t>
      </w:r>
    </w:p>
    <w:p w14:paraId="41AE3669" w14:textId="77777777" w:rsidR="008E44CC" w:rsidRPr="009C7F96" w:rsidRDefault="008E44CC" w:rsidP="008E44CC">
      <w:pPr>
        <w:spacing w:after="120"/>
        <w:rPr>
          <w:rFonts w:cs="Times New Roman"/>
          <w:szCs w:val="24"/>
          <w:lang w:val="pt-BR"/>
        </w:rPr>
      </w:pPr>
      <w:r w:rsidRPr="009C7F96">
        <w:rPr>
          <w:rFonts w:cs="Times New Roman"/>
          <w:szCs w:val="24"/>
          <w:lang w:val="pt-BR"/>
        </w:rPr>
        <w:t>A LP-IV pode ser representada em duas etapas. A primeira etapa isola a componente exógena do choque:</w:t>
      </w:r>
    </w:p>
    <w:p w14:paraId="536A38B4" w14:textId="77777777" w:rsidR="008E44CC" w:rsidRPr="009C7F96" w:rsidRDefault="008E44CC" w:rsidP="008E44CC">
      <w:pPr>
        <w:jc w:val="center"/>
        <w:rPr>
          <w:rFonts w:cs="Times New Roman"/>
          <w:szCs w:val="24"/>
          <w:lang w:val="pt-BR"/>
        </w:rPr>
      </w:pPr>
      <w:r>
        <w:rPr>
          <w:i/>
        </w:rPr>
        <w:t>x_t = γ_0 + γ_1 z_t + Γ W_t + v_t</w:t>
      </w:r>
    </w:p>
    <w:p w14:paraId="2D0E3413" w14:textId="0C30EB56" w:rsidR="008E44CC" w:rsidRPr="009C7F96" w:rsidRDefault="007553E0" w:rsidP="008E44CC">
      <w:pPr>
        <w:spacing w:before="120" w:after="120"/>
        <w:rPr>
          <w:rFonts w:cs="Times New Roman"/>
          <w:szCs w:val="24"/>
          <w:lang w:val="pt-BR"/>
        </w:rPr>
      </w:pPr>
      <m:oMathPara>
        <m:oMath>
          <m:r>
            <w:rPr>
              <w:rFonts w:ascii="Cambria Math" w:hAnsi="Cambria Math" w:cs="Times New Roman"/>
              <w:szCs w:val="24"/>
              <w:lang w:val="pt-BR"/>
            </w:rPr>
            <m:t xml:space="preserve">xₜ = </m:t>
          </m:r>
          <m:r>
            <w:rPr>
              <w:rFonts w:ascii="Cambria Math" w:hAnsi="Cambria Math" w:cs="Times New Roman"/>
              <w:szCs w:val="24"/>
            </w:rPr>
            <m:t>π</m:t>
          </m:r>
          <m:r>
            <w:rPr>
              <w:rFonts w:ascii="Cambria Math" w:hAnsi="Cambria Math" w:cs="Times New Roman"/>
              <w:szCs w:val="24"/>
              <w:lang w:val="pt-BR"/>
            </w:rPr>
            <m:t xml:space="preserve"> zₜ + </m:t>
          </m:r>
          <m:r>
            <w:rPr>
              <w:rFonts w:ascii="Cambria Math" w:hAnsi="Cambria Math" w:cs="Times New Roman"/>
              <w:szCs w:val="24"/>
            </w:rPr>
            <m:t>Λ</m:t>
          </m:r>
          <m:r>
            <w:rPr>
              <w:rFonts w:ascii="Cambria Math" w:hAnsi="Cambria Math" w:cs="Times New Roman"/>
              <w:szCs w:val="24"/>
              <w:lang w:val="pt-BR"/>
            </w:rPr>
            <m:t xml:space="preserve"> W_t + </m:t>
          </m:r>
          <m:r>
            <w:rPr>
              <w:rFonts w:ascii="Cambria Math" w:hAnsi="Cambria Math" w:cs="Times New Roman"/>
              <w:szCs w:val="24"/>
            </w:rPr>
            <m:t>ν</m:t>
          </m:r>
          <m:r>
            <w:rPr>
              <w:rFonts w:ascii="Cambria Math" w:hAnsi="Cambria Math" w:cs="Times New Roman"/>
              <w:szCs w:val="24"/>
              <w:lang w:val="pt-BR"/>
            </w:rPr>
            <m:t>ₜ      (12)</m:t>
          </m:r>
        </m:oMath>
      </m:oMathPara>
    </w:p>
    <w:p w14:paraId="14F078D9" w14:textId="77777777" w:rsidR="008E44CC" w:rsidRPr="009C7F96" w:rsidRDefault="008E44CC" w:rsidP="008E44CC">
      <w:pPr>
        <w:rPr>
          <w:rFonts w:cs="Times New Roman"/>
          <w:szCs w:val="24"/>
          <w:lang w:val="pt-BR"/>
        </w:rPr>
      </w:pPr>
    </w:p>
    <w:p w14:paraId="6858DC4B" w14:textId="77777777" w:rsidR="008E44CC" w:rsidRPr="009C7F96" w:rsidRDefault="008E44CC" w:rsidP="008E44CC">
      <w:pPr>
        <w:spacing w:after="120"/>
        <w:rPr>
          <w:rFonts w:cs="Times New Roman"/>
          <w:szCs w:val="24"/>
          <w:lang w:val="pt-BR"/>
        </w:rPr>
      </w:pPr>
      <w:r w:rsidRPr="009C7F96">
        <w:rPr>
          <w:rFonts w:cs="Times New Roman"/>
          <w:szCs w:val="24"/>
          <w:lang w:val="pt-BR"/>
        </w:rPr>
        <w:t>A segunda etapa estima a resposta da variável de interesse à parte instrumentada do choque:</w:t>
      </w:r>
    </w:p>
    <w:p w14:paraId="340823AE" w14:textId="77777777" w:rsidR="008E44CC" w:rsidRPr="009C7F96" w:rsidRDefault="008E44CC" w:rsidP="008E44CC">
      <w:pPr>
        <w:jc w:val="center"/>
        <w:rPr>
          <w:rFonts w:cs="Times New Roman"/>
          <w:szCs w:val="24"/>
          <w:lang w:val="pt-BR"/>
        </w:rPr>
      </w:pPr>
      <w:r>
        <w:rPr>
          <w:i/>
        </w:rPr>
        <w:t>Y_{t+h} = α_h + β_h x̂_t + Θ_h W_t + ε_{t+h}</w:t>
      </w:r>
    </w:p>
    <w:p w14:paraId="374D9C68" w14:textId="115C2B47" w:rsidR="008E44CC" w:rsidRPr="009C7F96" w:rsidRDefault="007553E0" w:rsidP="008E44CC">
      <w:pPr>
        <w:spacing w:before="120" w:after="120"/>
        <w:rPr>
          <w:rFonts w:cs="Times New Roman"/>
          <w:szCs w:val="24"/>
          <w:lang w:val="pt-BR"/>
        </w:rPr>
      </w:pPr>
      <m:oMathPara>
        <m:oMath>
          <m:r>
            <w:rPr>
              <w:rFonts w:ascii="Cambria Math" w:hAnsi="Cambria Math" w:cs="Times New Roman"/>
              <w:szCs w:val="24"/>
              <w:lang w:val="pt-BR"/>
            </w:rPr>
            <m:t xml:space="preserve">yₜ₊ₕ - yₜ₋₁ = </m:t>
          </m:r>
          <m:r>
            <w:rPr>
              <w:rFonts w:ascii="Cambria Math" w:hAnsi="Cambria Math" w:cs="Times New Roman"/>
              <w:szCs w:val="24"/>
            </w:rPr>
            <m:t>α</m:t>
          </m:r>
          <m:r>
            <w:rPr>
              <w:rFonts w:ascii="Cambria Math" w:hAnsi="Cambria Math" w:cs="Times New Roman"/>
              <w:szCs w:val="24"/>
              <w:lang w:val="pt-BR"/>
            </w:rPr>
            <m:t xml:space="preserve">ₕ + </m:t>
          </m:r>
          <m:r>
            <w:rPr>
              <w:rFonts w:ascii="Cambria Math" w:hAnsi="Cambria Math" w:cs="Times New Roman"/>
              <w:szCs w:val="24"/>
            </w:rPr>
            <m:t>β</m:t>
          </m:r>
          <m:r>
            <w:rPr>
              <w:rFonts w:ascii="Cambria Math" w:hAnsi="Cambria Math" w:cs="Times New Roman"/>
              <w:szCs w:val="24"/>
              <w:lang w:val="pt-BR"/>
            </w:rPr>
            <m:t xml:space="preserve">ₕ x̂ₜ + </m:t>
          </m:r>
          <m:r>
            <w:rPr>
              <w:rFonts w:ascii="Cambria Math" w:hAnsi="Cambria Math" w:cs="Times New Roman"/>
              <w:szCs w:val="24"/>
            </w:rPr>
            <m:t>Γ</m:t>
          </m:r>
          <m:r>
            <w:rPr>
              <w:rFonts w:ascii="Cambria Math" w:hAnsi="Cambria Math" w:cs="Times New Roman"/>
              <w:szCs w:val="24"/>
              <w:lang w:val="pt-BR"/>
            </w:rPr>
            <m:t xml:space="preserve">_h W_t + </m:t>
          </m:r>
          <m:r>
            <w:rPr>
              <w:rFonts w:ascii="Cambria Math" w:hAnsi="Cambria Math" w:cs="Times New Roman"/>
              <w:szCs w:val="24"/>
            </w:rPr>
            <m:t>ε</m:t>
          </m:r>
          <m:r>
            <w:rPr>
              <w:rFonts w:ascii="Cambria Math" w:hAnsi="Cambria Math" w:cs="Times New Roman"/>
              <w:szCs w:val="24"/>
              <w:lang w:val="pt-BR"/>
            </w:rPr>
            <m:t>ₜ₊ₕ⁽ʰ⁾      (13)</m:t>
          </m:r>
        </m:oMath>
      </m:oMathPara>
    </w:p>
    <w:p w14:paraId="37762596" w14:textId="77777777" w:rsidR="008E44CC" w:rsidRPr="009C7F96" w:rsidRDefault="008E44CC" w:rsidP="008E44CC">
      <w:pPr>
        <w:rPr>
          <w:rFonts w:cs="Times New Roman"/>
          <w:szCs w:val="24"/>
          <w:lang w:val="pt-BR"/>
        </w:rPr>
      </w:pPr>
    </w:p>
    <w:p w14:paraId="4A8CC33C" w14:textId="77777777" w:rsidR="008E44CC" w:rsidRPr="009C7F96" w:rsidRDefault="008E44CC" w:rsidP="008E44CC">
      <w:pPr>
        <w:spacing w:after="120"/>
        <w:rPr>
          <w:rFonts w:cs="Times New Roman"/>
          <w:szCs w:val="24"/>
          <w:lang w:val="pt-BR"/>
        </w:rPr>
      </w:pPr>
      <w:r w:rsidRPr="009C7F96">
        <w:rPr>
          <w:rFonts w:cs="Times New Roman"/>
          <w:szCs w:val="24"/>
          <w:lang w:val="pt-BR"/>
        </w:rPr>
        <w:t xml:space="preserve">Em que zₜ é o instrumento, xₜ é a variável de choque potencialmente endógena e x̂ₜ é sua componente prevista pela primeira etapa. Para o presente trabalho, instrumentos possíveis incluem </w:t>
      </w:r>
      <w:r w:rsidRPr="009C7F96">
        <w:rPr>
          <w:rFonts w:cs="Times New Roman"/>
          <w:szCs w:val="24"/>
          <w:lang w:val="pt-BR"/>
        </w:rPr>
        <w:lastRenderedPageBreak/>
        <w:t>choques globais de oferta de petróleo, variações externas do Brent em reais, eventos geopolíticos relevantes e medidas de disrupção de refino ou abastecimento quando puderem ser tratadas como plausivelmente exógenas.</w:t>
      </w:r>
    </w:p>
    <w:p w14:paraId="152AA32D" w14:textId="77777777" w:rsidR="008E44CC" w:rsidRPr="009C7F96" w:rsidRDefault="008E44CC" w:rsidP="008E44CC">
      <w:pPr>
        <w:spacing w:after="120"/>
        <w:rPr>
          <w:rFonts w:cs="Times New Roman"/>
          <w:szCs w:val="24"/>
          <w:lang w:val="pt-BR"/>
        </w:rPr>
      </w:pPr>
      <w:r w:rsidRPr="009C7F96">
        <w:rPr>
          <w:rFonts w:cs="Times New Roman"/>
          <w:szCs w:val="24"/>
          <w:lang w:val="pt-BR"/>
        </w:rPr>
        <w:t>A segunda extensão relevante é a state-dependent local projection, utilizada quando o efeito do choque depende do estado da economia ou do regime institucional. No caso do petróleo e dos combustíveis no Brasil, o estado pode ser definido pelo regime de precificação, pela existência de desalinhamento entre referência internacional e preço doméstico, por períodos de inflação elevada ou por episódios de mudança tributária. Uma forma comum de especificar esse modelo é:</w:t>
      </w:r>
    </w:p>
    <w:p w14:paraId="1FC2A8AD" w14:textId="77777777" w:rsidR="008E44CC" w:rsidRPr="009C7F96" w:rsidRDefault="008E44CC" w:rsidP="008E44CC">
      <w:pPr>
        <w:jc w:val="center"/>
        <w:rPr>
          <w:rFonts w:cs="Times New Roman"/>
          <w:szCs w:val="24"/>
          <w:lang w:val="pt-BR"/>
        </w:rPr>
      </w:pPr>
      <w:r>
        <w:rPr>
          <w:i/>
        </w:rPr>
        <w:t>Y_{t+h} = I_t [ α_{1,h} + β_{1,h} Shock_t ] + (1 - I_t) [ α_{2,h} + β_{2,h} Shock_t ] + Γ_h X_t + ε_{t+h}</w:t>
      </w:r>
    </w:p>
    <w:p w14:paraId="09CDB896" w14:textId="5B8C1025" w:rsidR="008E44CC" w:rsidRPr="009C7F96" w:rsidRDefault="00D85D12" w:rsidP="005047D9">
      <w:pPr>
        <w:spacing w:before="120" w:after="120"/>
        <w:rPr>
          <w:rFonts w:cs="Times New Roman"/>
          <w:szCs w:val="24"/>
          <w:lang w:val="pt-BR"/>
        </w:rPr>
      </w:pPr>
      <m:oMathPara>
        <m:oMath>
          <m:sSup>
            <m:sSupPr>
              <m:ctrlPr>
                <w:rPr>
                  <w:rFonts w:ascii="Cambria Math" w:hAnsi="Cambria Math" w:cs="Times New Roman"/>
                  <w:i/>
                  <w:szCs w:val="24"/>
                  <w:lang w:val="pt-BR"/>
                </w:rPr>
              </m:ctrlPr>
            </m:sSupPr>
            <m:e>
              <m:r>
                <w:rPr>
                  <w:rFonts w:ascii="Cambria Math" w:hAnsi="Cambria Math" w:cs="Times New Roman"/>
                  <w:szCs w:val="24"/>
                  <w:lang w:val="pt-BR"/>
                </w:rPr>
                <m:t>y</m:t>
              </m:r>
            </m:e>
            <m:sup>
              <m:r>
                <w:rPr>
                  <w:rFonts w:ascii="Cambria Math" w:hAnsi="Cambria Math" w:cs="Times New Roman"/>
                  <w:szCs w:val="24"/>
                  <w:lang w:val="pt-BR"/>
                </w:rPr>
                <m:t>t+h</m:t>
              </m:r>
            </m:sup>
          </m:sSup>
          <m:r>
            <w:rPr>
              <w:rFonts w:ascii="Cambria Math" w:hAnsi="Cambria Math" w:cs="Times New Roman"/>
              <w:szCs w:val="24"/>
              <w:lang w:val="pt-BR"/>
            </w:rPr>
            <m:t xml:space="preserve"> </m:t>
          </m:r>
          <m:r>
            <w:rPr>
              <w:rFonts w:ascii="Cambria Math" w:hAnsi="Cambria Math" w:cs="Times New Roman"/>
              <w:szCs w:val="24"/>
              <w:lang w:val="pt-BR"/>
            </w:rPr>
            <m:t>-</m:t>
          </m:r>
          <m:r>
            <w:rPr>
              <w:rFonts w:ascii="Cambria Math" w:hAnsi="Cambria Math" w:cs="Times New Roman"/>
              <w:szCs w:val="24"/>
              <w:lang w:val="pt-BR"/>
            </w:rPr>
            <m:t xml:space="preserve"> </m:t>
          </m:r>
          <m:sSup>
            <m:sSupPr>
              <m:ctrlPr>
                <w:rPr>
                  <w:rFonts w:ascii="Cambria Math" w:hAnsi="Cambria Math" w:cs="Times New Roman"/>
                  <w:i/>
                  <w:szCs w:val="24"/>
                  <w:lang w:val="pt-BR"/>
                </w:rPr>
              </m:ctrlPr>
            </m:sSupPr>
            <m:e>
              <m:r>
                <w:rPr>
                  <w:rFonts w:ascii="Cambria Math" w:hAnsi="Cambria Math" w:cs="Times New Roman"/>
                  <w:szCs w:val="24"/>
                  <w:lang w:val="pt-BR"/>
                </w:rPr>
                <m:t>y</m:t>
              </m:r>
            </m:e>
            <m:sup>
              <m:r>
                <w:rPr>
                  <w:rFonts w:ascii="Cambria Math" w:hAnsi="Cambria Math" w:cs="Times New Roman"/>
                  <w:szCs w:val="24"/>
                  <w:lang w:val="pt-BR"/>
                </w:rPr>
                <m:t>t-1</m:t>
              </m:r>
            </m:sup>
          </m:sSup>
          <m:r>
            <w:rPr>
              <w:rFonts w:ascii="Cambria Math" w:hAnsi="Cambria Math" w:cs="Times New Roman"/>
              <w:szCs w:val="24"/>
              <w:lang w:val="pt-BR"/>
            </w:rPr>
            <m:t xml:space="preserve"> </m:t>
          </m:r>
          <m:r>
            <w:rPr>
              <w:rFonts w:ascii="Cambria Math" w:hAnsi="Cambria Math" w:cs="Times New Roman"/>
              <w:szCs w:val="24"/>
              <w:lang w:val="pt-BR"/>
            </w:rPr>
            <m:t>=</m:t>
          </m:r>
          <m:r>
            <w:rPr>
              <w:rFonts w:ascii="Cambria Math" w:hAnsi="Cambria Math" w:cs="Times New Roman"/>
              <w:szCs w:val="24"/>
            </w:rPr>
            <m:t>α</m:t>
          </m:r>
          <m:r>
            <w:rPr>
              <w:rFonts w:ascii="Cambria Math" w:hAnsi="Cambria Math" w:cs="Times New Roman"/>
              <w:szCs w:val="24"/>
              <w:lang w:val="pt-BR"/>
            </w:rPr>
            <m:t>ₕ+</m:t>
          </m:r>
          <m:r>
            <w:rPr>
              <w:rFonts w:ascii="Cambria Math" w:hAnsi="Cambria Math" w:cs="Times New Roman"/>
              <w:szCs w:val="24"/>
            </w:rPr>
            <m:t>β</m:t>
          </m:r>
          <m:sSup>
            <m:sSupPr>
              <m:ctrlPr>
                <w:rPr>
                  <w:rFonts w:ascii="Cambria Math" w:hAnsi="Cambria Math" w:cs="Times New Roman"/>
                  <w:i/>
                  <w:szCs w:val="24"/>
                  <w:lang w:val="pt-BR"/>
                </w:rPr>
              </m:ctrlPr>
            </m:sSupPr>
            <m:e>
              <m:r>
                <w:rPr>
                  <w:rFonts w:ascii="Cambria Math" w:hAnsi="Cambria Math" w:cs="Times New Roman"/>
                  <w:szCs w:val="24"/>
                  <w:lang w:val="pt-BR"/>
                </w:rPr>
                <m:t>ₕ</m:t>
              </m:r>
            </m:e>
            <m:sup>
              <m:r>
                <w:rPr>
                  <w:rFonts w:ascii="Cambria Math" w:hAnsi="Cambria Math" w:cs="Times New Roman"/>
                  <w:szCs w:val="24"/>
                  <w:lang w:val="pt-BR"/>
                </w:rPr>
                <m:t>L</m:t>
              </m:r>
            </m:sup>
          </m:sSup>
          <m:d>
            <m:dPr>
              <m:begChr m:val="["/>
              <m:endChr m:val="]"/>
              <m:ctrlPr>
                <w:rPr>
                  <w:rFonts w:ascii="Cambria Math" w:hAnsi="Cambria Math" w:cs="Times New Roman"/>
                  <w:i/>
                  <w:szCs w:val="24"/>
                  <w:lang w:val="pt-BR"/>
                </w:rPr>
              </m:ctrlPr>
            </m:dPr>
            <m:e>
              <m:r>
                <w:rPr>
                  <w:rFonts w:ascii="Cambria Math" w:hAnsi="Cambria Math" w:cs="Times New Roman"/>
                  <w:szCs w:val="24"/>
                  <w:lang w:val="pt-BR"/>
                </w:rPr>
                <m:t>1-F</m:t>
              </m:r>
              <m:d>
                <m:dPr>
                  <m:ctrlPr>
                    <w:rPr>
                      <w:rFonts w:ascii="Cambria Math" w:hAnsi="Cambria Math" w:cs="Times New Roman"/>
                      <w:i/>
                      <w:szCs w:val="24"/>
                      <w:lang w:val="pt-BR"/>
                    </w:rPr>
                  </m:ctrlPr>
                </m:dPr>
                <m:e>
                  <m:r>
                    <w:rPr>
                      <w:rFonts w:ascii="Cambria Math" w:hAnsi="Cambria Math" w:cs="Times New Roman"/>
                      <w:szCs w:val="24"/>
                      <w:lang w:val="pt-BR"/>
                    </w:rPr>
                    <m:t>s</m:t>
                  </m:r>
                  <m:sSup>
                    <m:sSupPr>
                      <m:ctrlPr>
                        <w:rPr>
                          <w:rFonts w:ascii="Cambria Math" w:hAnsi="Cambria Math" w:cs="Times New Roman"/>
                          <w:i/>
                          <w:szCs w:val="24"/>
                          <w:lang w:val="pt-BR"/>
                        </w:rPr>
                      </m:ctrlPr>
                    </m:sSupPr>
                    <m:e>
                      <m:r>
                        <w:rPr>
                          <w:rFonts w:ascii="Cambria Math" w:hAnsi="Cambria Math" w:cs="Times New Roman"/>
                          <w:szCs w:val="24"/>
                          <w:lang w:val="pt-BR"/>
                        </w:rPr>
                        <m:t>ₜ</m:t>
                      </m:r>
                    </m:e>
                    <m:sup>
                      <m:r>
                        <w:rPr>
                          <w:rFonts w:ascii="Cambria Math" w:hAnsi="Cambria Math" w:cs="Times New Roman"/>
                          <w:szCs w:val="24"/>
                          <w:lang w:val="pt-BR"/>
                        </w:rPr>
                        <m:t>-1</m:t>
                      </m:r>
                    </m:sup>
                  </m:sSup>
                </m:e>
              </m:d>
            </m:e>
          </m:d>
          <m:r>
            <w:rPr>
              <w:rFonts w:ascii="Cambria Math" w:hAnsi="Cambria Math" w:cs="Times New Roman"/>
              <w:szCs w:val="24"/>
              <w:lang w:val="pt-BR"/>
            </w:rPr>
            <m:t>xₜ+</m:t>
          </m:r>
          <m:r>
            <w:rPr>
              <w:rFonts w:ascii="Cambria Math" w:hAnsi="Cambria Math" w:cs="Times New Roman"/>
              <w:szCs w:val="24"/>
            </w:rPr>
            <m:t>β</m:t>
          </m:r>
          <m:sSup>
            <m:sSupPr>
              <m:ctrlPr>
                <w:rPr>
                  <w:rFonts w:ascii="Cambria Math" w:hAnsi="Cambria Math" w:cs="Times New Roman"/>
                  <w:i/>
                  <w:szCs w:val="24"/>
                  <w:lang w:val="pt-BR"/>
                </w:rPr>
              </m:ctrlPr>
            </m:sSupPr>
            <m:e>
              <m:r>
                <w:rPr>
                  <w:rFonts w:ascii="Cambria Math" w:hAnsi="Cambria Math" w:cs="Times New Roman"/>
                  <w:szCs w:val="24"/>
                  <w:lang w:val="pt-BR"/>
                </w:rPr>
                <m:t>ₕ</m:t>
              </m:r>
            </m:e>
            <m:sup>
              <m:r>
                <w:rPr>
                  <w:rFonts w:ascii="Cambria Math" w:hAnsi="Cambria Math" w:cs="Times New Roman"/>
                  <w:szCs w:val="24"/>
                  <w:lang w:val="pt-BR"/>
                </w:rPr>
                <m:t>H</m:t>
              </m:r>
            </m:sup>
          </m:sSup>
          <m:r>
            <w:rPr>
              <w:rFonts w:ascii="Cambria Math" w:hAnsi="Cambria Math" w:cs="Times New Roman"/>
              <w:szCs w:val="24"/>
              <w:lang w:val="pt-BR"/>
            </w:rPr>
            <m:t>F</m:t>
          </m:r>
          <m:d>
            <m:dPr>
              <m:ctrlPr>
                <w:rPr>
                  <w:rFonts w:ascii="Cambria Math" w:hAnsi="Cambria Math" w:cs="Times New Roman"/>
                  <w:i/>
                  <w:szCs w:val="24"/>
                  <w:lang w:val="pt-BR"/>
                </w:rPr>
              </m:ctrlPr>
            </m:dPr>
            <m:e>
              <m:r>
                <w:rPr>
                  <w:rFonts w:ascii="Cambria Math" w:hAnsi="Cambria Math" w:cs="Times New Roman"/>
                  <w:szCs w:val="24"/>
                  <w:lang w:val="pt-BR"/>
                </w:rPr>
                <m:t>s</m:t>
              </m:r>
              <m:sSup>
                <m:sSupPr>
                  <m:ctrlPr>
                    <w:rPr>
                      <w:rFonts w:ascii="Cambria Math" w:hAnsi="Cambria Math" w:cs="Times New Roman"/>
                      <w:i/>
                      <w:szCs w:val="24"/>
                      <w:lang w:val="pt-BR"/>
                    </w:rPr>
                  </m:ctrlPr>
                </m:sSupPr>
                <m:e>
                  <m:r>
                    <w:rPr>
                      <w:rFonts w:ascii="Cambria Math" w:hAnsi="Cambria Math" w:cs="Times New Roman"/>
                      <w:szCs w:val="24"/>
                      <w:lang w:val="pt-BR"/>
                    </w:rPr>
                    <m:t>ₜ</m:t>
                  </m:r>
                </m:e>
                <m:sup>
                  <m:r>
                    <w:rPr>
                      <w:rFonts w:ascii="Cambria Math" w:hAnsi="Cambria Math" w:cs="Times New Roman"/>
                      <w:szCs w:val="24"/>
                      <w:lang w:val="pt-BR"/>
                    </w:rPr>
                    <m:t>-1</m:t>
                  </m:r>
                </m:sup>
              </m:sSup>
            </m:e>
          </m:d>
          <m:r>
            <w:rPr>
              <w:rFonts w:ascii="Cambria Math" w:hAnsi="Cambria Math" w:cs="Times New Roman"/>
              <w:szCs w:val="24"/>
              <w:lang w:val="pt-BR"/>
            </w:rPr>
            <m:t>xₜ+</m:t>
          </m:r>
          <m:sSub>
            <m:sSubPr>
              <m:ctrlPr>
                <w:rPr>
                  <w:rFonts w:ascii="Cambria Math" w:hAnsi="Cambria Math" w:cs="Times New Roman"/>
                  <w:i/>
                  <w:szCs w:val="24"/>
                  <w:lang w:val="pt-BR"/>
                </w:rPr>
              </m:ctrlPr>
            </m:sSubPr>
            <m:e>
              <m:r>
                <w:rPr>
                  <w:rFonts w:ascii="Cambria Math" w:hAnsi="Cambria Math" w:cs="Times New Roman"/>
                  <w:szCs w:val="24"/>
                </w:rPr>
                <m:t>Γ</m:t>
              </m:r>
            </m:e>
            <m:sub>
              <m:r>
                <w:rPr>
                  <w:rFonts w:ascii="Cambria Math" w:hAnsi="Cambria Math" w:cs="Times New Roman"/>
                  <w:szCs w:val="24"/>
                  <w:lang w:val="pt-BR"/>
                </w:rPr>
                <m:t>h</m:t>
              </m:r>
            </m:sub>
          </m:sSub>
          <m:sSub>
            <m:sSubPr>
              <m:ctrlPr>
                <w:rPr>
                  <w:rFonts w:ascii="Cambria Math" w:hAnsi="Cambria Math" w:cs="Times New Roman"/>
                  <w:i/>
                  <w:szCs w:val="24"/>
                  <w:lang w:val="pt-BR"/>
                </w:rPr>
              </m:ctrlPr>
            </m:sSubPr>
            <m:e>
              <m:r>
                <w:rPr>
                  <w:rFonts w:ascii="Cambria Math" w:hAnsi="Cambria Math" w:cs="Times New Roman"/>
                  <w:szCs w:val="24"/>
                  <w:lang w:val="pt-BR"/>
                </w:rPr>
                <m:t>W</m:t>
              </m:r>
            </m:e>
            <m:sub>
              <m:r>
                <w:rPr>
                  <w:rFonts w:ascii="Cambria Math" w:hAnsi="Cambria Math" w:cs="Times New Roman"/>
                  <w:szCs w:val="24"/>
                  <w:lang w:val="pt-BR"/>
                </w:rPr>
                <m:t>t</m:t>
              </m:r>
            </m:sub>
          </m:sSub>
          <m:r>
            <w:rPr>
              <w:rFonts w:ascii="Cambria Math" w:hAnsi="Cambria Math" w:cs="Times New Roman"/>
              <w:szCs w:val="24"/>
              <w:lang w:val="pt-BR"/>
            </w:rPr>
            <m:t xml:space="preserve"> + </m:t>
          </m:r>
          <m:r>
            <w:rPr>
              <w:rFonts w:ascii="Cambria Math" w:hAnsi="Cambria Math" w:cs="Times New Roman"/>
              <w:szCs w:val="24"/>
            </w:rPr>
            <m:t>ε</m:t>
          </m:r>
          <m:r>
            <w:rPr>
              <w:rFonts w:ascii="Cambria Math" w:hAnsi="Cambria Math" w:cs="Times New Roman"/>
              <w:szCs w:val="24"/>
              <w:lang w:val="pt-BR"/>
            </w:rPr>
            <m:t>ₜ₊ₕ⁽ʰ⁾      (14)</m:t>
          </m:r>
        </m:oMath>
      </m:oMathPara>
    </w:p>
    <w:p w14:paraId="342F0DC3" w14:textId="77777777" w:rsidR="008E44CC" w:rsidRPr="009C7F96" w:rsidRDefault="008E44CC" w:rsidP="008E44CC">
      <w:pPr>
        <w:rPr>
          <w:rFonts w:cs="Times New Roman"/>
          <w:szCs w:val="24"/>
          <w:lang w:val="pt-BR"/>
        </w:rPr>
      </w:pPr>
    </w:p>
    <w:p w14:paraId="0C2FBF52" w14:textId="2B3BE925" w:rsidR="008E44CC" w:rsidRPr="009C7F96" w:rsidRDefault="008E44CC" w:rsidP="008E44CC">
      <w:pPr>
        <w:spacing w:after="120"/>
        <w:rPr>
          <w:rFonts w:cs="Times New Roman"/>
          <w:szCs w:val="24"/>
          <w:lang w:val="pt-BR"/>
        </w:rPr>
      </w:pPr>
      <w:r w:rsidRPr="009C7F96">
        <w:rPr>
          <w:rFonts w:cs="Times New Roman"/>
          <w:szCs w:val="24"/>
          <w:lang w:val="pt-BR"/>
        </w:rPr>
        <w:t xml:space="preserve">Em que </w:t>
      </w:r>
      <m:oMath>
        <m:r>
          <w:rPr>
            <w:rFonts w:ascii="Cambria Math" w:hAnsi="Cambria Math" w:cs="Times New Roman"/>
            <w:szCs w:val="24"/>
            <w:lang w:val="pt-BR"/>
          </w:rPr>
          <m:t>F(sₜ₋₁)</m:t>
        </m:r>
      </m:oMath>
      <w:r w:rsidRPr="009C7F96">
        <w:rPr>
          <w:rFonts w:cs="Times New Roman"/>
          <w:szCs w:val="24"/>
          <w:lang w:val="pt-BR"/>
        </w:rPr>
        <w:t xml:space="preserve"> é uma função que indica o estado da economia ou do regime. Gonçalves et al. (2024) alertam que a interpretação causal das LPs dependentes de estado requer cuidado quando o estado é endógeno ao próprio choque. Por isso, para o caso brasileiro, um regime institucional datável, como a mudança de estratégia comercial da Petrobras, tende a ser mais defensável do que estados definidos apenas pela inflação corrente ou pelo hiato, que podem responder ao próprio choque de petróleo.</w:t>
      </w:r>
    </w:p>
    <w:p w14:paraId="1ECB5939" w14:textId="77777777" w:rsidR="008E44CC" w:rsidRPr="009C7F96" w:rsidRDefault="008E44CC" w:rsidP="008E44CC">
      <w:pPr>
        <w:spacing w:after="120"/>
        <w:rPr>
          <w:rFonts w:cs="Times New Roman"/>
          <w:szCs w:val="24"/>
          <w:lang w:val="pt-BR"/>
        </w:rPr>
      </w:pPr>
      <w:r w:rsidRPr="009C7F96">
        <w:rPr>
          <w:rFonts w:cs="Times New Roman"/>
          <w:szCs w:val="24"/>
          <w:lang w:val="pt-BR"/>
        </w:rPr>
        <w:t xml:space="preserve">A terceira extensão é a smooth local projection, desenvolvida por Barnichon e Brownlees (2019). A ideia é impor suavidade à sequência de respostas ao longo dos horizontes, reduzindo a variância das estimativas. Em vez de estimar </w:t>
      </w:r>
      <w:r w:rsidRPr="009C7F96">
        <w:rPr>
          <w:rFonts w:cs="Times New Roman"/>
          <w:szCs w:val="24"/>
        </w:rPr>
        <w:t>β</w:t>
      </w:r>
      <w:r w:rsidRPr="009C7F96">
        <w:rPr>
          <w:rFonts w:cs="Times New Roman"/>
          <w:szCs w:val="24"/>
          <w:lang w:val="pt-BR"/>
        </w:rPr>
        <w:t>ₕ de forma completamente independente para cada horizonte, pode-se escrever:</w:t>
      </w:r>
    </w:p>
    <w:p w14:paraId="7A2AAE87" w14:textId="77777777" w:rsidR="008E44CC" w:rsidRPr="009C7F96" w:rsidRDefault="008E44CC" w:rsidP="008E44CC">
      <w:pPr>
        <w:jc w:val="center"/>
        <w:rPr>
          <w:rFonts w:cs="Times New Roman"/>
          <w:szCs w:val="24"/>
          <w:lang w:val="pt-BR"/>
        </w:rPr>
      </w:pPr>
      <w:r>
        <w:rPr>
          <w:i/>
        </w:rPr>
        <w:t>β_h = Σ_{k=1}^K c_k B_k(h)</w:t>
      </w:r>
    </w:p>
    <w:p w14:paraId="5276748B" w14:textId="2E7E2B3F" w:rsidR="008E44CC" w:rsidRPr="009C7F96" w:rsidRDefault="00F605A1" w:rsidP="00F605A1">
      <w:pPr>
        <w:spacing w:before="120" w:after="120"/>
        <w:rPr>
          <w:rFonts w:cs="Times New Roman"/>
          <w:szCs w:val="24"/>
          <w:lang w:val="pt-BR"/>
        </w:rPr>
      </w:pPr>
      <m:oMathPara>
        <m:oMath>
          <m:r>
            <w:rPr>
              <w:rFonts w:ascii="Cambria Math" w:hAnsi="Cambria Math" w:cs="Times New Roman"/>
              <w:szCs w:val="24"/>
            </w:rPr>
            <m:t>β</m:t>
          </m:r>
          <m:d>
            <m:dPr>
              <m:ctrlPr>
                <w:rPr>
                  <w:rFonts w:ascii="Cambria Math" w:hAnsi="Cambria Math" w:cs="Times New Roman"/>
                  <w:i/>
                  <w:szCs w:val="24"/>
                  <w:lang w:val="pt-BR"/>
                </w:rPr>
              </m:ctrlPr>
            </m:dPr>
            <m:e>
              <m:r>
                <w:rPr>
                  <w:rFonts w:ascii="Cambria Math" w:hAnsi="Cambria Math" w:cs="Times New Roman"/>
                  <w:szCs w:val="24"/>
                  <w:lang w:val="pt-BR"/>
                </w:rPr>
                <m:t>h</m:t>
              </m:r>
            </m:e>
          </m:d>
          <m:r>
            <w:rPr>
              <w:rFonts w:ascii="Cambria Math" w:hAnsi="Cambria Math" w:cs="Times New Roman"/>
              <w:szCs w:val="24"/>
              <w:lang w:val="pt-BR"/>
            </w:rPr>
            <m:t>=</m:t>
          </m:r>
          <m:sSubSup>
            <m:sSubSupPr>
              <m:ctrlPr>
                <w:rPr>
                  <w:rFonts w:ascii="Cambria Math" w:hAnsi="Cambria Math" w:cs="Times New Roman"/>
                  <w:i/>
                  <w:szCs w:val="24"/>
                  <w:lang w:val="pt-BR"/>
                </w:rPr>
              </m:ctrlPr>
            </m:sSubSupPr>
            <m:e>
              <m:r>
                <w:rPr>
                  <w:rFonts w:ascii="Cambria Math" w:hAnsi="Cambria Math" w:cs="Times New Roman"/>
                  <w:szCs w:val="24"/>
                </w:rPr>
                <m:t>Σ</m:t>
              </m:r>
              <m:ctrlPr>
                <w:rPr>
                  <w:rFonts w:ascii="Cambria Math" w:hAnsi="Cambria Math" w:cs="Times New Roman"/>
                  <w:i/>
                  <w:szCs w:val="24"/>
                </w:rPr>
              </m:ctrlPr>
            </m:e>
            <m:sub>
              <m:r>
                <w:rPr>
                  <w:rFonts w:ascii="Cambria Math" w:hAnsi="Cambria Math" w:cs="Times New Roman"/>
                  <w:szCs w:val="24"/>
                  <w:lang w:val="pt-BR"/>
                </w:rPr>
                <m:t>m=1</m:t>
              </m:r>
            </m:sub>
            <m:sup>
              <m:r>
                <w:rPr>
                  <w:rFonts w:ascii="Cambria Math" w:hAnsi="Cambria Math" w:cs="Times New Roman"/>
                  <w:szCs w:val="24"/>
                  <w:lang w:val="pt-BR"/>
                </w:rPr>
                <m:t>M</m:t>
              </m:r>
            </m:sup>
          </m:sSubSup>
          <m:r>
            <w:rPr>
              <w:rFonts w:ascii="Cambria Math" w:hAnsi="Cambria Math" w:cs="Times New Roman"/>
              <w:szCs w:val="24"/>
              <w:lang w:val="pt-BR"/>
            </w:rPr>
            <m:t xml:space="preserve"> bₘ Bₘ(h)      (</m:t>
          </m:r>
          <m:r>
            <w:rPr>
              <w:rFonts w:ascii="Cambria Math" w:hAnsi="Cambria Math" w:cs="Times New Roman"/>
              <w:szCs w:val="24"/>
              <w:lang w:val="pt-BR"/>
            </w:rPr>
            <m:t>15)</m:t>
          </m:r>
        </m:oMath>
      </m:oMathPara>
    </w:p>
    <w:p w14:paraId="2561C9F2" w14:textId="77777777" w:rsidR="008E44CC" w:rsidRPr="009C7F96" w:rsidRDefault="008E44CC" w:rsidP="008E44CC">
      <w:pPr>
        <w:rPr>
          <w:rFonts w:cs="Times New Roman"/>
          <w:szCs w:val="24"/>
          <w:lang w:val="pt-BR"/>
        </w:rPr>
      </w:pPr>
    </w:p>
    <w:p w14:paraId="338D0D66" w14:textId="5AA56788" w:rsidR="008E44CC" w:rsidRPr="009C7F96" w:rsidRDefault="008E44CC" w:rsidP="008E44CC">
      <w:pPr>
        <w:spacing w:after="120"/>
        <w:rPr>
          <w:rFonts w:cs="Times New Roman"/>
          <w:szCs w:val="24"/>
          <w:lang w:val="pt-BR"/>
        </w:rPr>
      </w:pPr>
      <w:r w:rsidRPr="009C7F96">
        <w:rPr>
          <w:rFonts w:cs="Times New Roman"/>
          <w:szCs w:val="24"/>
          <w:lang w:val="pt-BR"/>
        </w:rPr>
        <w:t xml:space="preserve">Em que </w:t>
      </w:r>
      <m:oMath>
        <m:r>
          <w:rPr>
            <w:rFonts w:ascii="Cambria Math" w:hAnsi="Cambria Math" w:cs="Times New Roman"/>
            <w:szCs w:val="24"/>
            <w:lang w:val="pt-BR"/>
          </w:rPr>
          <m:t>Bₘ(h)</m:t>
        </m:r>
      </m:oMath>
      <w:r w:rsidRPr="009C7F96">
        <w:rPr>
          <w:rFonts w:cs="Times New Roman"/>
          <w:szCs w:val="24"/>
          <w:lang w:val="pt-BR"/>
        </w:rPr>
        <w:t xml:space="preserve"> representa funções de base, como splines, e </w:t>
      </w:r>
      <m:oMath>
        <m:r>
          <w:rPr>
            <w:rFonts w:ascii="Cambria Math" w:hAnsi="Cambria Math" w:cs="Times New Roman"/>
            <w:szCs w:val="24"/>
            <w:lang w:val="pt-BR"/>
          </w:rPr>
          <m:t>bₘ</m:t>
        </m:r>
      </m:oMath>
      <w:r w:rsidRPr="009C7F96">
        <w:rPr>
          <w:rFonts w:cs="Times New Roman"/>
          <w:szCs w:val="24"/>
          <w:lang w:val="pt-BR"/>
        </w:rPr>
        <w:t xml:space="preserve"> são coeficientes estimados. Essa abordagem é útil quando se espera que o repasse do petróleo para a inflação siga um perfil relativamente suave, sem oscilações bruscas entre meses consecutivos. No entanto, seu uso exige cautela, pois a suavização pode esconder assimetrias ou quebras reais de regime.</w:t>
      </w:r>
    </w:p>
    <w:p w14:paraId="4547DCA5" w14:textId="77777777" w:rsidR="008E44CC" w:rsidRPr="009C7F96" w:rsidRDefault="008E44CC" w:rsidP="008E44CC">
      <w:pPr>
        <w:spacing w:after="120"/>
        <w:rPr>
          <w:rFonts w:cs="Times New Roman"/>
          <w:szCs w:val="24"/>
          <w:lang w:val="pt-BR"/>
        </w:rPr>
      </w:pPr>
      <w:r w:rsidRPr="009C7F96">
        <w:rPr>
          <w:rFonts w:cs="Times New Roman"/>
          <w:szCs w:val="24"/>
          <w:lang w:val="pt-BR"/>
        </w:rPr>
        <w:lastRenderedPageBreak/>
        <w:t>A quarta extensão é a Bayesian local projection, associada a Ferreira, Miranda-Agrippino e Ricco (2025). A proposta é reduzir a variância das LPs por meio de priors que regularizam os coeficientes. De modo simplificado, pode-se assumir:</w:t>
      </w:r>
    </w:p>
    <w:p w14:paraId="70E87091" w14:textId="77777777" w:rsidR="008E44CC" w:rsidRPr="009C7F96" w:rsidRDefault="008E44CC" w:rsidP="008E44CC">
      <w:pPr>
        <w:jc w:val="center"/>
        <w:rPr>
          <w:rFonts w:cs="Times New Roman"/>
          <w:szCs w:val="24"/>
          <w:lang w:val="pt-BR"/>
        </w:rPr>
      </w:pPr>
      <w:r>
        <w:rPr>
          <w:i/>
        </w:rPr>
        <w:t>β_h ~ N(μ, Σ)</w:t>
      </w:r>
    </w:p>
    <w:p w14:paraId="20336795" w14:textId="6E361304" w:rsidR="008E44CC" w:rsidRPr="009C7F96" w:rsidRDefault="00D85D12" w:rsidP="008E44CC">
      <w:pPr>
        <w:spacing w:before="120" w:after="120"/>
        <w:rPr>
          <w:rFonts w:cs="Times New Roman"/>
          <w:szCs w:val="24"/>
          <w:lang w:val="pt-BR"/>
        </w:rPr>
      </w:pPr>
      <m:oMathPara>
        <m:oMath>
          <m:r>
            <w:rPr>
              <w:rFonts w:ascii="Cambria Math" w:hAnsi="Cambria Math" w:cs="Times New Roman"/>
              <w:szCs w:val="24"/>
            </w:rPr>
            <m:t>θ</m:t>
          </m:r>
          <m:r>
            <w:rPr>
              <w:rFonts w:ascii="Cambria Math" w:hAnsi="Cambria Math" w:cs="Times New Roman"/>
              <w:szCs w:val="24"/>
              <w:lang w:val="pt-BR"/>
            </w:rPr>
            <m:t>ₕ ~ N(</m:t>
          </m:r>
          <m:r>
            <w:rPr>
              <w:rFonts w:ascii="Cambria Math" w:hAnsi="Cambria Math" w:cs="Times New Roman"/>
              <w:szCs w:val="24"/>
            </w:rPr>
            <m:t>μ</m:t>
          </m:r>
          <m:r>
            <w:rPr>
              <w:rFonts w:ascii="Cambria Math" w:hAnsi="Cambria Math" w:cs="Times New Roman"/>
              <w:szCs w:val="24"/>
              <w:lang w:val="pt-BR"/>
            </w:rPr>
            <m:t xml:space="preserve">ₕ, </m:t>
          </m:r>
          <m:r>
            <w:rPr>
              <w:rFonts w:ascii="Cambria Math" w:hAnsi="Cambria Math" w:cs="Times New Roman"/>
              <w:szCs w:val="24"/>
            </w:rPr>
            <m:t>Ω</m:t>
          </m:r>
          <m:r>
            <w:rPr>
              <w:rFonts w:ascii="Cambria Math" w:hAnsi="Cambria Math" w:cs="Times New Roman"/>
              <w:szCs w:val="24"/>
              <w:lang w:val="pt-BR"/>
            </w:rPr>
            <m:t>ₕ)      (16)</m:t>
          </m:r>
        </m:oMath>
      </m:oMathPara>
    </w:p>
    <w:p w14:paraId="6F19912C" w14:textId="77777777" w:rsidR="008E44CC" w:rsidRPr="009C7F96" w:rsidRDefault="008E44CC" w:rsidP="008E44CC">
      <w:pPr>
        <w:rPr>
          <w:rFonts w:cs="Times New Roman"/>
          <w:szCs w:val="24"/>
          <w:lang w:val="pt-BR"/>
        </w:rPr>
      </w:pPr>
    </w:p>
    <w:p w14:paraId="42E34137" w14:textId="4E58EBAC" w:rsidR="008E44CC" w:rsidRPr="009C7F96" w:rsidRDefault="008E44CC" w:rsidP="008E44CC">
      <w:pPr>
        <w:spacing w:after="120"/>
        <w:rPr>
          <w:rFonts w:cs="Times New Roman"/>
          <w:szCs w:val="24"/>
          <w:lang w:val="pt-BR"/>
        </w:rPr>
      </w:pPr>
      <w:r w:rsidRPr="009C7F96">
        <w:rPr>
          <w:rFonts w:cs="Times New Roman"/>
          <w:szCs w:val="24"/>
          <w:lang w:val="pt-BR"/>
        </w:rPr>
        <w:t xml:space="preserve">Em que </w:t>
      </w:r>
      <m:oMath>
        <m:r>
          <w:rPr>
            <w:rFonts w:ascii="Cambria Math" w:hAnsi="Cambria Math" w:cs="Times New Roman"/>
            <w:szCs w:val="24"/>
          </w:rPr>
          <m:t>θ</m:t>
        </m:r>
        <m:r>
          <w:rPr>
            <w:rFonts w:ascii="Cambria Math" w:hAnsi="Cambria Math" w:cs="Times New Roman"/>
            <w:szCs w:val="24"/>
            <w:lang w:val="pt-BR"/>
          </w:rPr>
          <m:t>ₕ</m:t>
        </m:r>
      </m:oMath>
      <w:r w:rsidRPr="009C7F96">
        <w:rPr>
          <w:rFonts w:cs="Times New Roman"/>
          <w:szCs w:val="24"/>
          <w:lang w:val="pt-BR"/>
        </w:rPr>
        <w:t xml:space="preserve"> reúne os parâmetros da regressão no horizonte </w:t>
      </w:r>
      <m:oMath>
        <m:r>
          <w:rPr>
            <w:rFonts w:ascii="Cambria Math" w:hAnsi="Cambria Math" w:cs="Times New Roman"/>
            <w:szCs w:val="24"/>
            <w:lang w:val="pt-BR"/>
          </w:rPr>
          <m:t>h</m:t>
        </m:r>
      </m:oMath>
      <w:r w:rsidRPr="009C7F96">
        <w:rPr>
          <w:rFonts w:cs="Times New Roman"/>
          <w:szCs w:val="24"/>
          <w:lang w:val="pt-BR"/>
        </w:rPr>
        <w:t>. Essa estratégia é útil para amostras curtas, modelos com muitos controles ou respostas muito ruidosas. Para o presente estudo, uma LP bayesiana poderia ser utilizada como robustez, especialmente em subamostras ou modelos com várias variáveis institucionais.</w:t>
      </w:r>
    </w:p>
    <w:p w14:paraId="2349BB1E" w14:textId="77777777" w:rsidR="008E44CC" w:rsidRPr="009C7F96" w:rsidRDefault="008E44CC" w:rsidP="008E44CC">
      <w:pPr>
        <w:spacing w:after="120"/>
        <w:rPr>
          <w:rFonts w:cs="Times New Roman"/>
          <w:szCs w:val="24"/>
          <w:lang w:val="pt-BR"/>
        </w:rPr>
      </w:pPr>
      <w:r w:rsidRPr="009C7F96">
        <w:rPr>
          <w:rFonts w:cs="Times New Roman"/>
          <w:szCs w:val="24"/>
          <w:lang w:val="pt-BR"/>
        </w:rPr>
        <w:t>A quinta extensão é a local projection com parâmetros variando no tempo, ou TVP-LP, discutida por Inoue, Rossi e Wang (2024). Essa abordagem permite que a resposta ao choque mude ao longo do tempo:</w:t>
      </w:r>
    </w:p>
    <w:p w14:paraId="5E9C2319" w14:textId="77777777" w:rsidR="008E44CC" w:rsidRPr="009C7F96" w:rsidRDefault="008E44CC" w:rsidP="008E44CC">
      <w:pPr>
        <w:jc w:val="center"/>
        <w:rPr>
          <w:rFonts w:cs="Times New Roman"/>
          <w:szCs w:val="24"/>
          <w:lang w:val="pt-BR"/>
        </w:rPr>
      </w:pPr>
      <w:r>
        <w:rPr>
          <w:i/>
        </w:rPr>
        <w:t>Y_{t+h} = α_{t,h} + β_{t,h} Shock_t + Γ_{t,h} X_t + ε_{t+h}</w:t>
      </w:r>
    </w:p>
    <w:p w14:paraId="26FB4E93" w14:textId="2655A111" w:rsidR="008E44CC" w:rsidRPr="009C7F96" w:rsidRDefault="00D85D12" w:rsidP="008E44CC">
      <w:pPr>
        <w:spacing w:before="120" w:after="120"/>
        <w:rPr>
          <w:rFonts w:cs="Times New Roman"/>
          <w:szCs w:val="24"/>
          <w:lang w:val="pt-BR"/>
        </w:rPr>
      </w:pPr>
      <m:oMathPara>
        <m:oMath>
          <m:sSup>
            <m:sSupPr>
              <m:ctrlPr>
                <w:rPr>
                  <w:rFonts w:ascii="Cambria Math" w:hAnsi="Cambria Math" w:cs="Times New Roman"/>
                  <w:i/>
                  <w:szCs w:val="24"/>
                  <w:lang w:val="pt-BR"/>
                </w:rPr>
              </m:ctrlPr>
            </m:sSupPr>
            <m:e>
              <m:r>
                <w:rPr>
                  <w:rFonts w:ascii="Cambria Math" w:hAnsi="Cambria Math" w:cs="Times New Roman"/>
                  <w:szCs w:val="24"/>
                  <w:lang w:val="pt-BR"/>
                </w:rPr>
                <m:t>y</m:t>
              </m:r>
            </m:e>
            <m:sup>
              <m:r>
                <w:rPr>
                  <w:rFonts w:ascii="Cambria Math" w:hAnsi="Cambria Math" w:cs="Times New Roman"/>
                  <w:szCs w:val="24"/>
                  <w:lang w:val="pt-BR"/>
                </w:rPr>
                <m:t>t+h</m:t>
              </m:r>
            </m:sup>
          </m:sSup>
          <m:r>
            <w:rPr>
              <w:rFonts w:ascii="Cambria Math" w:hAnsi="Cambria Math" w:cs="Times New Roman"/>
              <w:szCs w:val="24"/>
              <w:lang w:val="pt-BR"/>
            </w:rPr>
            <m:t xml:space="preserve"> </m:t>
          </m:r>
          <m:r>
            <w:rPr>
              <w:rFonts w:ascii="Cambria Math" w:hAnsi="Cambria Math" w:cs="Times New Roman"/>
              <w:szCs w:val="24"/>
              <w:lang w:val="pt-BR"/>
            </w:rPr>
            <m:t>-</m:t>
          </m:r>
          <m:r>
            <w:rPr>
              <w:rFonts w:ascii="Cambria Math" w:hAnsi="Cambria Math" w:cs="Times New Roman"/>
              <w:szCs w:val="24"/>
              <w:lang w:val="pt-BR"/>
            </w:rPr>
            <m:t xml:space="preserve"> </m:t>
          </m:r>
          <m:sSup>
            <m:sSupPr>
              <m:ctrlPr>
                <w:rPr>
                  <w:rFonts w:ascii="Cambria Math" w:hAnsi="Cambria Math" w:cs="Times New Roman"/>
                  <w:i/>
                  <w:szCs w:val="24"/>
                  <w:lang w:val="pt-BR"/>
                </w:rPr>
              </m:ctrlPr>
            </m:sSupPr>
            <m:e>
              <m:r>
                <w:rPr>
                  <w:rFonts w:ascii="Cambria Math" w:hAnsi="Cambria Math" w:cs="Times New Roman"/>
                  <w:szCs w:val="24"/>
                  <w:lang w:val="pt-BR"/>
                </w:rPr>
                <m:t>y</m:t>
              </m:r>
            </m:e>
            <m:sup>
              <m:r>
                <w:rPr>
                  <w:rFonts w:ascii="Cambria Math" w:hAnsi="Cambria Math" w:cs="Times New Roman"/>
                  <w:szCs w:val="24"/>
                  <w:lang w:val="pt-BR"/>
                </w:rPr>
                <m:t>t-1</m:t>
              </m:r>
            </m:sup>
          </m:sSup>
          <m:r>
            <w:rPr>
              <w:rFonts w:ascii="Cambria Math" w:hAnsi="Cambria Math" w:cs="Times New Roman"/>
              <w:szCs w:val="24"/>
              <w:lang w:val="pt-BR"/>
            </w:rPr>
            <m:t xml:space="preserve"> = </m:t>
          </m:r>
          <m:r>
            <w:rPr>
              <w:rFonts w:ascii="Cambria Math" w:hAnsi="Cambria Math" w:cs="Times New Roman"/>
              <w:szCs w:val="24"/>
            </w:rPr>
            <m:t>α</m:t>
          </m:r>
          <m:r>
            <w:rPr>
              <w:rFonts w:ascii="Cambria Math" w:hAnsi="Cambria Math" w:cs="Times New Roman"/>
              <w:szCs w:val="24"/>
              <w:lang w:val="pt-BR"/>
            </w:rPr>
            <m:t xml:space="preserve">ₕ,ₜ + </m:t>
          </m:r>
          <m:r>
            <w:rPr>
              <w:rFonts w:ascii="Cambria Math" w:hAnsi="Cambria Math" w:cs="Times New Roman"/>
              <w:szCs w:val="24"/>
            </w:rPr>
            <m:t>β</m:t>
          </m:r>
          <m:r>
            <w:rPr>
              <w:rFonts w:ascii="Cambria Math" w:hAnsi="Cambria Math" w:cs="Times New Roman"/>
              <w:szCs w:val="24"/>
              <w:lang w:val="pt-BR"/>
            </w:rPr>
            <m:t xml:space="preserve">ₕ,ₜxₜ + </m:t>
          </m:r>
          <m:r>
            <w:rPr>
              <w:rFonts w:ascii="Cambria Math" w:hAnsi="Cambria Math" w:cs="Times New Roman"/>
              <w:szCs w:val="24"/>
            </w:rPr>
            <m:t>Γ</m:t>
          </m:r>
          <m:r>
            <w:rPr>
              <w:rFonts w:ascii="Cambria Math" w:hAnsi="Cambria Math" w:cs="Times New Roman"/>
              <w:szCs w:val="24"/>
              <w:lang w:val="pt-BR"/>
            </w:rPr>
            <m:t xml:space="preserve">ₕ,ₜW_t + </m:t>
          </m:r>
          <m:r>
            <w:rPr>
              <w:rFonts w:ascii="Cambria Math" w:hAnsi="Cambria Math" w:cs="Times New Roman"/>
              <w:szCs w:val="24"/>
            </w:rPr>
            <m:t>ε</m:t>
          </m:r>
          <m:r>
            <w:rPr>
              <w:rFonts w:ascii="Cambria Math" w:hAnsi="Cambria Math" w:cs="Times New Roman"/>
              <w:szCs w:val="24"/>
              <w:lang w:val="pt-BR"/>
            </w:rPr>
            <m:t>ₜ₊ₕ,ₕ      (17)</m:t>
          </m:r>
        </m:oMath>
      </m:oMathPara>
    </w:p>
    <w:p w14:paraId="120224BD" w14:textId="77777777" w:rsidR="008E44CC" w:rsidRPr="009C7F96" w:rsidRDefault="008E44CC" w:rsidP="008E44CC">
      <w:pPr>
        <w:rPr>
          <w:rFonts w:cs="Times New Roman"/>
          <w:szCs w:val="24"/>
          <w:lang w:val="pt-BR"/>
        </w:rPr>
      </w:pPr>
    </w:p>
    <w:p w14:paraId="77481723" w14:textId="77777777" w:rsidR="008E44CC" w:rsidRPr="009C7F96" w:rsidRDefault="008E44CC" w:rsidP="008E44CC">
      <w:pPr>
        <w:spacing w:after="120"/>
        <w:rPr>
          <w:rFonts w:cs="Times New Roman"/>
          <w:szCs w:val="24"/>
          <w:lang w:val="pt-BR"/>
        </w:rPr>
      </w:pPr>
      <w:r w:rsidRPr="009C7F96">
        <w:rPr>
          <w:rFonts w:cs="Times New Roman"/>
          <w:szCs w:val="24"/>
          <w:lang w:val="pt-BR"/>
        </w:rPr>
        <w:t xml:space="preserve">Essa formulação é particularmente adequada para o caso brasileiro, pois a relação entre petróleo, Petrobras, combustíveis e inflação mudou ao longo das últimas duas décadas. Períodos de maior controle de preços, adoção de paridade de importação, choques tributários e nova estratégia comercial podem alterar </w:t>
      </w:r>
      <w:r w:rsidRPr="009C7F96">
        <w:rPr>
          <w:rFonts w:cs="Times New Roman"/>
          <w:szCs w:val="24"/>
        </w:rPr>
        <w:t>β</w:t>
      </w:r>
      <w:r w:rsidRPr="009C7F96">
        <w:rPr>
          <w:rFonts w:cs="Times New Roman"/>
          <w:szCs w:val="24"/>
          <w:lang w:val="pt-BR"/>
        </w:rPr>
        <w:t>ₕ,ₜ, isto é, a resposta da inflação ao choque.</w:t>
      </w:r>
    </w:p>
    <w:p w14:paraId="23AC8790" w14:textId="77777777" w:rsidR="008E44CC" w:rsidRPr="009C7F96" w:rsidRDefault="008E44CC" w:rsidP="008E44CC">
      <w:pPr>
        <w:spacing w:after="120"/>
        <w:rPr>
          <w:rFonts w:cs="Times New Roman"/>
          <w:szCs w:val="24"/>
          <w:lang w:val="pt-BR"/>
        </w:rPr>
      </w:pPr>
      <w:r w:rsidRPr="009C7F96">
        <w:rPr>
          <w:rFonts w:cs="Times New Roman"/>
          <w:szCs w:val="24"/>
          <w:lang w:val="pt-BR"/>
        </w:rPr>
        <w:t>Por fim, a literatura recente também discute decomposições de variância em ambiente de local projections. Gorodnichenko e Lee (2020) propõem estimar forecast error variance decompositions a partir de respostas estruturais obtidas por LP. De forma esquemática, a participação de um choque j na variância do erro de previsão da variável k pode ser escrita como:</w:t>
      </w:r>
    </w:p>
    <w:p w14:paraId="2CD95DE1" w14:textId="77777777" w:rsidR="008E44CC" w:rsidRPr="009C7F96" w:rsidRDefault="008E44CC" w:rsidP="008E44CC">
      <w:pPr>
        <w:jc w:val="center"/>
        <w:rPr>
          <w:rFonts w:cs="Times New Roman"/>
          <w:szCs w:val="24"/>
          <w:lang w:val="pt-BR"/>
        </w:rPr>
      </w:pPr>
      <w:r>
        <w:rPr>
          <w:i/>
        </w:rPr>
        <w:t>FEVD_{j,k}(h) = (Σ_{i=0}^h β_{i,j,k}^2 σ_j^2) / (Σ_m Σ_{i=0}^h β_{i,m,k}^2 σ_m^2)</w:t>
      </w:r>
    </w:p>
    <w:p w14:paraId="29F34DEB" w14:textId="255BC2B5" w:rsidR="008E44CC" w:rsidRPr="009C7F96" w:rsidRDefault="000E1567" w:rsidP="008E44CC">
      <w:pPr>
        <w:spacing w:before="120" w:after="120"/>
        <w:rPr>
          <w:rFonts w:cs="Times New Roman"/>
          <w:szCs w:val="24"/>
          <w:lang w:val="pt-BR"/>
        </w:rPr>
      </w:pPr>
      <w:commentRangeStart w:id="14"/>
      <m:oMath>
        <m:r>
          <w:rPr>
            <w:rFonts w:ascii="Cambria Math" w:hAnsi="Cambria Math" w:cs="Times New Roman"/>
            <w:szCs w:val="24"/>
            <w:lang w:val="pt-BR"/>
          </w:rPr>
          <m:t>FEVDₖ←</m:t>
        </m:r>
        <m:r>
          <w:rPr>
            <w:rFonts w:ascii="Cambria Math" w:hAnsi="Cambria Math" w:cs="Times New Roman"/>
            <w:szCs w:val="24"/>
          </w:rPr>
          <m:t>ⱼ</m:t>
        </m:r>
        <m:r>
          <w:rPr>
            <w:rFonts w:ascii="Cambria Math" w:hAnsi="Cambria Math" w:cs="Times New Roman"/>
            <w:szCs w:val="24"/>
            <w:lang w:val="pt-BR"/>
          </w:rPr>
          <m:t>(H) = [</m:t>
        </m:r>
        <m:r>
          <w:rPr>
            <w:rFonts w:ascii="Cambria Math" w:hAnsi="Cambria Math" w:cs="Times New Roman"/>
            <w:szCs w:val="24"/>
          </w:rPr>
          <m:t>Σ</m:t>
        </m:r>
        <m:r>
          <w:rPr>
            <w:rFonts w:ascii="Cambria Math" w:hAnsi="Cambria Math" w:cs="Times New Roman"/>
            <w:szCs w:val="24"/>
            <w:lang w:val="pt-BR"/>
          </w:rPr>
          <m:t>ₕ₌₀</m:t>
        </m:r>
        <m:r>
          <w:rPr>
            <w:rFonts w:ascii="Cambria Math" w:hAnsi="Cambria Math" w:cs="Times New Roman"/>
            <w:szCs w:val="24"/>
          </w:rPr>
          <m:t>ᴴ</m:t>
        </m:r>
        <m:r>
          <w:rPr>
            <w:rFonts w:ascii="Cambria Math" w:hAnsi="Cambria Math" w:cs="Times New Roman"/>
            <w:szCs w:val="24"/>
            <w:lang w:val="pt-BR"/>
          </w:rPr>
          <m:t>⁻¹(eₖ'</m:t>
        </m:r>
        <m:r>
          <w:rPr>
            <w:rFonts w:ascii="Cambria Math" w:hAnsi="Cambria Math" w:cs="Times New Roman"/>
            <w:szCs w:val="24"/>
          </w:rPr>
          <m:t>Ψ</m:t>
        </m:r>
        <m:r>
          <w:rPr>
            <w:rFonts w:ascii="Cambria Math" w:hAnsi="Cambria Math" w:cs="Times New Roman"/>
            <w:szCs w:val="24"/>
            <w:lang w:val="pt-BR"/>
          </w:rPr>
          <m:t>ₕ e</m:t>
        </m:r>
        <m:r>
          <w:rPr>
            <w:rFonts w:ascii="Cambria Math" w:hAnsi="Cambria Math" w:cs="Times New Roman"/>
            <w:szCs w:val="24"/>
          </w:rPr>
          <m:t>ⱼ</m:t>
        </m:r>
        <m:r>
          <w:rPr>
            <w:rFonts w:ascii="Cambria Math" w:hAnsi="Cambria Math" w:cs="Times New Roman"/>
            <w:szCs w:val="24"/>
            <w:lang w:val="pt-BR"/>
          </w:rPr>
          <m:t>)^2] / [</m:t>
        </m:r>
        <m:r>
          <w:rPr>
            <w:rFonts w:ascii="Cambria Math" w:hAnsi="Cambria Math" w:cs="Times New Roman"/>
            <w:szCs w:val="24"/>
          </w:rPr>
          <m:t>Σ</m:t>
        </m:r>
        <m:r>
          <w:rPr>
            <w:rFonts w:ascii="Cambria Math" w:hAnsi="Cambria Math" w:cs="Times New Roman"/>
            <w:szCs w:val="24"/>
            <w:lang w:val="pt-BR"/>
          </w:rPr>
          <m:t>ₕ₌₀</m:t>
        </m:r>
        <m:r>
          <w:rPr>
            <w:rFonts w:ascii="Cambria Math" w:hAnsi="Cambria Math" w:cs="Times New Roman"/>
            <w:szCs w:val="24"/>
          </w:rPr>
          <m:t>ᴴ</m:t>
        </m:r>
        <m:r>
          <w:rPr>
            <w:rFonts w:ascii="Cambria Math" w:hAnsi="Cambria Math" w:cs="Times New Roman"/>
            <w:szCs w:val="24"/>
            <w:lang w:val="pt-BR"/>
          </w:rPr>
          <m:t>⁻¹ eₖ'</m:t>
        </m:r>
        <m:r>
          <w:rPr>
            <w:rFonts w:ascii="Cambria Math" w:hAnsi="Cambria Math" w:cs="Times New Roman"/>
            <w:szCs w:val="24"/>
          </w:rPr>
          <m:t>Ψ</m:t>
        </m:r>
        <m:r>
          <w:rPr>
            <w:rFonts w:ascii="Cambria Math" w:hAnsi="Cambria Math" w:cs="Times New Roman"/>
            <w:szCs w:val="24"/>
            <w:lang w:val="pt-BR"/>
          </w:rPr>
          <m:t xml:space="preserve">ₕ </m:t>
        </m:r>
        <m:r>
          <w:rPr>
            <w:rFonts w:ascii="Cambria Math" w:hAnsi="Cambria Math" w:cs="Times New Roman"/>
            <w:szCs w:val="24"/>
          </w:rPr>
          <m:t>Σ</m:t>
        </m:r>
        <m:r>
          <w:rPr>
            <w:rFonts w:ascii="Cambria Math" w:hAnsi="Cambria Math" w:cs="Times New Roman"/>
            <w:szCs w:val="24"/>
            <w:lang w:val="pt-BR"/>
          </w:rPr>
          <m:t xml:space="preserve"> </m:t>
        </m:r>
        <m:r>
          <w:rPr>
            <w:rFonts w:ascii="Cambria Math" w:hAnsi="Cambria Math" w:cs="Times New Roman"/>
            <w:szCs w:val="24"/>
          </w:rPr>
          <m:t>Ψ</m:t>
        </m:r>
        <m:r>
          <w:rPr>
            <w:rFonts w:ascii="Cambria Math" w:hAnsi="Cambria Math" w:cs="Times New Roman"/>
            <w:szCs w:val="24"/>
            <w:lang w:val="pt-BR"/>
          </w:rPr>
          <m:t>ₕ'eₖ]      (18)</m:t>
        </m:r>
      </m:oMath>
      <w:commentRangeEnd w:id="14"/>
      <w:r w:rsidRPr="009C7F96">
        <w:rPr>
          <w:rStyle w:val="CommentReference"/>
          <w:rFonts w:cs="Times New Roman"/>
          <w:sz w:val="24"/>
          <w:szCs w:val="24"/>
          <w:lang w:val="pt-BR"/>
        </w:rPr>
        <w:commentReference w:id="14"/>
      </w:r>
    </w:p>
    <w:p w14:paraId="7600E74A" w14:textId="77777777" w:rsidR="008E44CC" w:rsidRPr="009C7F96" w:rsidRDefault="008E44CC" w:rsidP="008E44CC">
      <w:pPr>
        <w:rPr>
          <w:rFonts w:cs="Times New Roman"/>
          <w:szCs w:val="24"/>
          <w:lang w:val="pt-BR"/>
        </w:rPr>
      </w:pPr>
    </w:p>
    <w:p w14:paraId="1BB6078F" w14:textId="77777777" w:rsidR="008E44CC" w:rsidRPr="009C7F96" w:rsidRDefault="008E44CC" w:rsidP="008E44CC">
      <w:pPr>
        <w:spacing w:after="120"/>
        <w:rPr>
          <w:rFonts w:cs="Times New Roman"/>
          <w:szCs w:val="24"/>
          <w:lang w:val="pt-BR"/>
        </w:rPr>
      </w:pPr>
      <w:r w:rsidRPr="009C7F96">
        <w:rPr>
          <w:rFonts w:cs="Times New Roman"/>
          <w:szCs w:val="24"/>
          <w:lang w:val="pt-BR"/>
        </w:rPr>
        <w:lastRenderedPageBreak/>
        <w:t>Essa extensão é relevante porque permite quantificar a importância relativa de choques de petróleo, câmbio, refino, expectativas e atividade na variância da inflação. Embora a FEVD por LP exija identificação estrutural mais forte, ela pode complementar as funções impulso-resposta ao mostrar não apenas a direção do efeito, mas também sua contribuição relativa para a incerteza inflacionária.</w:t>
      </w:r>
    </w:p>
    <w:p w14:paraId="314CAE39" w14:textId="77777777" w:rsidR="008E44CC" w:rsidRPr="009C7F96" w:rsidRDefault="008E44CC" w:rsidP="008E44CC">
      <w:pPr>
        <w:pStyle w:val="Heading2"/>
        <w:spacing w:before="240" w:after="120"/>
        <w:jc w:val="both"/>
        <w:rPr>
          <w:rFonts w:cs="Times New Roman"/>
          <w:szCs w:val="24"/>
        </w:rPr>
      </w:pPr>
      <w:bookmarkStart w:id="15" w:name="_Toc229695940"/>
      <w:r w:rsidRPr="009C7F96">
        <w:rPr>
          <w:rFonts w:ascii="Times New Roman" w:eastAsia="Times New Roman" w:hAnsi="Times New Roman" w:cs="Times New Roman"/>
          <w:szCs w:val="24"/>
        </w:rPr>
        <w:t>2.8 Aplicação ao canal Petrobras, combustíveis e IPCA</w:t>
      </w:r>
      <w:bookmarkEnd w:id="15"/>
    </w:p>
    <w:p w14:paraId="65C4A02A" w14:textId="77777777" w:rsidR="008E44CC" w:rsidRPr="009C7F96" w:rsidRDefault="008E44CC" w:rsidP="008E44CC">
      <w:pPr>
        <w:spacing w:after="120"/>
        <w:rPr>
          <w:rFonts w:cs="Times New Roman"/>
          <w:szCs w:val="24"/>
          <w:lang w:val="pt-BR"/>
        </w:rPr>
      </w:pPr>
      <w:r w:rsidRPr="009C7F96">
        <w:rPr>
          <w:rFonts w:cs="Times New Roman"/>
          <w:szCs w:val="24"/>
          <w:lang w:val="pt-BR"/>
        </w:rPr>
        <w:t>A partir da literatura revisada, o canal de transmissão relevante para o Brasil pode ser organizado em quatro etapas. A primeira é o choque internacional, representado pelo preço do Brent em dólares. A segunda é a conversão desse choque para reais, por meio da taxa de câmbio. A terceira é a transmissão para os preços domésticos de combustíveis, mediada pela refinaria, pela política comercial da Petrobras, por tributos e por margens de distribuição e revenda. A quarta é o impacto sobre o IPCA, tanto por efeito direto nos subitens de combustíveis quanto por efeitos indiretos em transportes, frete, alimentos e expectativas.</w:t>
      </w:r>
    </w:p>
    <w:p w14:paraId="434154D5" w14:textId="77777777" w:rsidR="008E44CC" w:rsidRPr="009C7F96" w:rsidRDefault="008E44CC" w:rsidP="008E44CC">
      <w:pPr>
        <w:spacing w:after="120"/>
        <w:rPr>
          <w:rFonts w:cs="Times New Roman"/>
          <w:szCs w:val="24"/>
          <w:lang w:val="pt-BR"/>
        </w:rPr>
      </w:pPr>
      <w:r w:rsidRPr="009C7F96">
        <w:rPr>
          <w:rFonts w:cs="Times New Roman"/>
          <w:szCs w:val="24"/>
          <w:lang w:val="pt-BR"/>
        </w:rPr>
        <w:t>Uma especificação reduzida para a primeira etapa do canal pode estimar o efeito do petróleo em reais sobre o preço doméstico do combustível:</w:t>
      </w:r>
    </w:p>
    <w:p w14:paraId="3C604699" w14:textId="77777777" w:rsidR="008E44CC" w:rsidRPr="009C7F96" w:rsidRDefault="008E44CC" w:rsidP="008E44CC">
      <w:pPr>
        <w:rPr>
          <w:rFonts w:cs="Times New Roman"/>
          <w:szCs w:val="24"/>
          <w:lang w:val="pt-BR"/>
        </w:rPr>
      </w:pPr>
    </w:p>
    <w:p w14:paraId="54811F8B" w14:textId="747CD804" w:rsidR="008E44CC" w:rsidRPr="009C7F96" w:rsidRDefault="000E1567" w:rsidP="008E44CC">
      <w:pPr>
        <w:spacing w:before="120" w:after="120"/>
        <w:rPr>
          <w:rFonts w:cs="Times New Roman"/>
          <w:szCs w:val="24"/>
          <w:lang w:val="pt-BR"/>
        </w:rPr>
      </w:pPr>
      <w:commentRangeStart w:id="16"/>
      <m:oMath>
        <m:r>
          <w:rPr>
            <w:rFonts w:ascii="Cambria Math" w:hAnsi="Cambria Math" w:cs="Times New Roman"/>
            <w:szCs w:val="24"/>
          </w:rPr>
          <m:t>Δ</m:t>
        </m:r>
        <m:r>
          <w:rPr>
            <w:rFonts w:ascii="Cambria Math" w:hAnsi="Cambria Math" w:cs="Times New Roman"/>
            <w:szCs w:val="24"/>
            <w:lang w:val="pt-BR"/>
          </w:rPr>
          <m:t>ₕ pₜ₊ₕ</m:t>
        </m:r>
        <m:r>
          <w:rPr>
            <w:rFonts w:ascii="Cambria Math" w:hAnsi="Cambria Math" w:cs="Times New Roman"/>
            <w:szCs w:val="24"/>
          </w:rPr>
          <m:t>ᶠᵘᵉ</m:t>
        </m:r>
        <m:r>
          <w:rPr>
            <w:rFonts w:ascii="Cambria Math" w:hAnsi="Cambria Math" w:cs="Times New Roman"/>
            <w:szCs w:val="24"/>
            <w:lang w:val="pt-BR"/>
          </w:rPr>
          <m:t xml:space="preserve">ˡ = </m:t>
        </m:r>
        <m:r>
          <w:rPr>
            <w:rFonts w:ascii="Cambria Math" w:hAnsi="Cambria Math" w:cs="Times New Roman"/>
            <w:szCs w:val="24"/>
          </w:rPr>
          <m:t>α</m:t>
        </m:r>
        <m:r>
          <w:rPr>
            <w:rFonts w:ascii="Cambria Math" w:hAnsi="Cambria Math" w:cs="Times New Roman"/>
            <w:szCs w:val="24"/>
            <w:lang w:val="pt-BR"/>
          </w:rPr>
          <m:t xml:space="preserve">ₕ + </m:t>
        </m:r>
        <m:r>
          <w:rPr>
            <w:rFonts w:ascii="Cambria Math" w:hAnsi="Cambria Math" w:cs="Times New Roman"/>
            <w:szCs w:val="24"/>
          </w:rPr>
          <m:t>β</m:t>
        </m:r>
        <m:r>
          <w:rPr>
            <w:rFonts w:ascii="Cambria Math" w:hAnsi="Cambria Math" w:cs="Times New Roman"/>
            <w:szCs w:val="24"/>
            <w:lang w:val="pt-BR"/>
          </w:rPr>
          <m:t xml:space="preserve">ₕ </m:t>
        </m:r>
        <m:r>
          <w:rPr>
            <w:rFonts w:ascii="Cambria Math" w:hAnsi="Cambria Math" w:cs="Times New Roman"/>
            <w:szCs w:val="24"/>
          </w:rPr>
          <m:t>Δ</m:t>
        </m:r>
        <m:r>
          <w:rPr>
            <w:rFonts w:ascii="Cambria Math" w:hAnsi="Cambria Math" w:cs="Times New Roman"/>
            <w:szCs w:val="24"/>
            <w:lang w:val="pt-BR"/>
          </w:rPr>
          <m:t xml:space="preserve">ln(Brentₜ · Eₜ) + </m:t>
        </m:r>
        <m:r>
          <w:rPr>
            <w:rFonts w:ascii="Cambria Math" w:hAnsi="Cambria Math" w:cs="Times New Roman"/>
            <w:szCs w:val="24"/>
          </w:rPr>
          <m:t>Σ</m:t>
        </m:r>
        <m:r>
          <m:rPr>
            <m:scr m:val="script"/>
          </m:rPr>
          <w:rPr>
            <w:rFonts w:ascii="Cambria Math" w:hAnsi="Cambria Math" w:cs="Times New Roman"/>
            <w:szCs w:val="24"/>
            <w:lang w:val="pt-BR"/>
          </w:rPr>
          <m:t>l₌₁</m:t>
        </m:r>
        <m:r>
          <w:rPr>
            <w:rFonts w:ascii="Cambria Math" w:hAnsi="Cambria Math" w:cs="Times New Roman"/>
            <w:szCs w:val="24"/>
          </w:rPr>
          <m:t>ᵖ</m:t>
        </m:r>
        <m:r>
          <w:rPr>
            <w:rFonts w:ascii="Cambria Math" w:hAnsi="Cambria Math" w:cs="Times New Roman"/>
            <w:szCs w:val="24"/>
            <w:lang w:val="pt-BR"/>
          </w:rPr>
          <m:t xml:space="preserve"> </m:t>
        </m:r>
        <m:r>
          <w:rPr>
            <w:rFonts w:ascii="Cambria Math" w:hAnsi="Cambria Math" w:cs="Times New Roman"/>
            <w:szCs w:val="24"/>
          </w:rPr>
          <m:t>Γ</m:t>
        </m:r>
        <m:r>
          <m:rPr>
            <m:scr m:val="script"/>
          </m:rPr>
          <w:rPr>
            <w:rFonts w:ascii="Cambria Math" w:hAnsi="Cambria Math" w:cs="Times New Roman"/>
            <w:szCs w:val="24"/>
            <w:lang w:val="pt-BR"/>
          </w:rPr>
          <m:t>ₕ,l</m:t>
        </m:r>
        <m:r>
          <w:rPr>
            <w:rFonts w:ascii="Cambria Math" w:hAnsi="Cambria Math" w:cs="Times New Roman"/>
            <w:szCs w:val="24"/>
            <w:lang w:val="pt-BR"/>
          </w:rPr>
          <m:t>W</m:t>
        </m:r>
        <m:r>
          <m:rPr>
            <m:scr m:val="script"/>
          </m:rPr>
          <w:rPr>
            <w:rFonts w:ascii="Cambria Math" w:hAnsi="Cambria Math" w:cs="Times New Roman"/>
            <w:szCs w:val="24"/>
            <w:lang w:val="pt-BR"/>
          </w:rPr>
          <m:t xml:space="preserve">ₜ₋l + </m:t>
        </m:r>
        <m:r>
          <w:rPr>
            <w:rFonts w:ascii="Cambria Math" w:hAnsi="Cambria Math" w:cs="Times New Roman"/>
            <w:szCs w:val="24"/>
          </w:rPr>
          <m:t>ε</m:t>
        </m:r>
        <m:r>
          <w:rPr>
            <w:rFonts w:ascii="Cambria Math" w:hAnsi="Cambria Math" w:cs="Times New Roman"/>
            <w:szCs w:val="24"/>
            <w:lang w:val="pt-BR"/>
          </w:rPr>
          <m:t>ₜ₊ₕ⁽ʰ⁾      (19)</m:t>
        </m:r>
      </m:oMath>
      <w:commentRangeEnd w:id="16"/>
      <w:r w:rsidRPr="009C7F96">
        <w:rPr>
          <w:rStyle w:val="CommentReference"/>
          <w:rFonts w:cs="Times New Roman"/>
          <w:sz w:val="24"/>
          <w:szCs w:val="24"/>
          <w:lang w:val="pt-BR"/>
        </w:rPr>
        <w:commentReference w:id="16"/>
      </w:r>
    </w:p>
    <w:p w14:paraId="78A3E7AB" w14:textId="77777777" w:rsidR="008E44CC" w:rsidRPr="009C7F96" w:rsidRDefault="008E44CC" w:rsidP="008E44CC">
      <w:pPr>
        <w:rPr>
          <w:rFonts w:cs="Times New Roman"/>
          <w:szCs w:val="24"/>
          <w:lang w:val="pt-BR"/>
        </w:rPr>
      </w:pPr>
    </w:p>
    <w:p w14:paraId="42FB7299" w14:textId="1674533F" w:rsidR="008E44CC" w:rsidRPr="000E1567" w:rsidRDefault="008E44CC" w:rsidP="000E1567">
      <w:pPr>
        <w:spacing w:after="120"/>
        <w:rPr>
          <w:rFonts w:cs="Times New Roman"/>
          <w:szCs w:val="24"/>
          <w:lang w:val="pt-BR"/>
        </w:rPr>
      </w:pPr>
      <w:r w:rsidRPr="009C7F96">
        <w:rPr>
          <w:rFonts w:cs="Times New Roman"/>
          <w:szCs w:val="24"/>
          <w:lang w:val="pt-BR"/>
        </w:rPr>
        <w:t xml:space="preserve">Em que </w:t>
      </w:r>
      <w:commentRangeStart w:id="17"/>
      <w:r w:rsidRPr="009C7F96">
        <w:rPr>
          <w:rFonts w:cs="Times New Roman"/>
          <w:szCs w:val="24"/>
          <w:lang w:val="pt-BR"/>
        </w:rPr>
        <w:t>pₜ₊ₕ</w:t>
      </w:r>
      <w:r w:rsidRPr="009C7F96">
        <w:rPr>
          <w:rFonts w:cs="Times New Roman"/>
          <w:szCs w:val="24"/>
        </w:rPr>
        <w:t>ᶠᵘᵉ</w:t>
      </w:r>
      <w:r w:rsidRPr="009C7F96">
        <w:rPr>
          <w:rFonts w:cs="Times New Roman"/>
          <w:szCs w:val="24"/>
          <w:lang w:val="pt-BR"/>
        </w:rPr>
        <w:t xml:space="preserve">ˡ </w:t>
      </w:r>
      <w:commentRangeEnd w:id="17"/>
      <w:r w:rsidR="000E1567" w:rsidRPr="009C7F96">
        <w:rPr>
          <w:rStyle w:val="CommentReference"/>
          <w:rFonts w:cs="Times New Roman"/>
          <w:sz w:val="24"/>
          <w:szCs w:val="24"/>
          <w:lang w:val="pt-BR"/>
        </w:rPr>
        <w:commentReference w:id="17"/>
      </w:r>
      <w:r w:rsidRPr="009C7F96">
        <w:rPr>
          <w:rFonts w:cs="Times New Roman"/>
          <w:szCs w:val="24"/>
          <w:lang w:val="pt-BR"/>
        </w:rPr>
        <w:t xml:space="preserve">pode representar gasolina, diesel ou etanol, e </w:t>
      </w:r>
      <m:oMath>
        <m:sSub>
          <m:sSubPr>
            <m:ctrlPr>
              <w:rPr>
                <w:rFonts w:ascii="Cambria Math" w:hAnsi="Cambria Math" w:cs="Times New Roman"/>
                <w:i/>
                <w:szCs w:val="24"/>
                <w:lang w:val="pt-BR"/>
              </w:rPr>
            </m:ctrlPr>
          </m:sSubPr>
          <m:e>
            <m:r>
              <w:rPr>
                <w:rFonts w:ascii="Cambria Math" w:hAnsi="Cambria Math" w:cs="Times New Roman"/>
                <w:szCs w:val="24"/>
                <w:lang w:val="pt-BR"/>
              </w:rPr>
              <m:t>W</m:t>
            </m:r>
          </m:e>
          <m:sub>
            <m:r>
              <w:rPr>
                <w:rFonts w:ascii="Cambria Math" w:hAnsi="Cambria Math" w:cs="Times New Roman"/>
                <w:szCs w:val="24"/>
                <w:lang w:val="pt-BR"/>
              </w:rPr>
              <m:t>t</m:t>
            </m:r>
          </m:sub>
        </m:sSub>
      </m:oMath>
      <w:r w:rsidRPr="009C7F96">
        <w:rPr>
          <w:rFonts w:cs="Times New Roman"/>
          <w:szCs w:val="24"/>
          <w:lang w:val="pt-BR"/>
        </w:rPr>
        <w:t xml:space="preserve"> inclui controles como inflação passada, atividade, sazonalidade, câmbio, tributos e dummies de mudanças institucionais. Essa equação mede a primeira perna do repasse: do choque internacional em reais para o preço doméstico do combustível.</w:t>
      </w:r>
    </w:p>
    <w:p w14:paraId="43682B94" w14:textId="77777777" w:rsidR="008E44CC" w:rsidRPr="009C7F96" w:rsidRDefault="008E44CC" w:rsidP="008E44CC">
      <w:pPr>
        <w:spacing w:after="120"/>
        <w:rPr>
          <w:rFonts w:cs="Times New Roman"/>
          <w:szCs w:val="24"/>
          <w:lang w:val="pt-BR"/>
        </w:rPr>
      </w:pPr>
      <w:r w:rsidRPr="009C7F96">
        <w:rPr>
          <w:rFonts w:cs="Times New Roman"/>
          <w:szCs w:val="24"/>
          <w:lang w:val="pt-BR"/>
        </w:rPr>
        <w:t>A segunda etapa consiste em estimar o efeito do preço do combustível sobre a inflação. Uma especificação possível é:</w:t>
      </w:r>
    </w:p>
    <w:p w14:paraId="0E5C97FF" w14:textId="77777777" w:rsidR="008E44CC" w:rsidRPr="009C7F96" w:rsidRDefault="008E44CC" w:rsidP="008E44CC">
      <w:pPr>
        <w:jc w:val="center"/>
        <w:rPr>
          <w:rFonts w:cs="Times New Roman"/>
          <w:szCs w:val="24"/>
          <w:lang w:val="pt-BR"/>
        </w:rPr>
      </w:pPr>
      <w:r>
        <w:rPr>
          <w:i/>
        </w:rPr>
        <w:t>π_{t+h} = α_h + β_h P^{fuel}_t + Γ_h X_t + ε_{t+h}</w:t>
      </w:r>
    </w:p>
    <w:p w14:paraId="113FD334" w14:textId="012669EA" w:rsidR="008E44CC" w:rsidRPr="009C7F96" w:rsidRDefault="000E1567" w:rsidP="008E44CC">
      <w:pPr>
        <w:spacing w:before="120" w:after="120"/>
        <w:rPr>
          <w:rFonts w:cs="Times New Roman"/>
          <w:szCs w:val="24"/>
          <w:lang w:val="pt-BR"/>
        </w:rPr>
      </w:pPr>
      <w:commentRangeStart w:id="18"/>
      <m:oMath>
        <m:r>
          <w:rPr>
            <w:rFonts w:ascii="Cambria Math" w:hAnsi="Cambria Math" w:cs="Times New Roman"/>
            <w:szCs w:val="24"/>
          </w:rPr>
          <m:t>Δ</m:t>
        </m:r>
        <m:r>
          <w:rPr>
            <w:rFonts w:ascii="Cambria Math" w:hAnsi="Cambria Math" w:cs="Times New Roman"/>
            <w:szCs w:val="24"/>
            <w:lang w:val="pt-BR"/>
          </w:rPr>
          <m:t xml:space="preserve">ₕ </m:t>
        </m:r>
        <m:r>
          <w:rPr>
            <w:rFonts w:ascii="Cambria Math" w:hAnsi="Cambria Math" w:cs="Times New Roman"/>
            <w:szCs w:val="24"/>
          </w:rPr>
          <m:t>π</m:t>
        </m:r>
        <m:r>
          <w:rPr>
            <w:rFonts w:ascii="Cambria Math" w:hAnsi="Cambria Math" w:cs="Times New Roman"/>
            <w:szCs w:val="24"/>
            <w:lang w:val="pt-BR"/>
          </w:rPr>
          <m:t>ₜ₊ₕ</m:t>
        </m:r>
        <m:r>
          <w:rPr>
            <w:rFonts w:ascii="Cambria Math" w:hAnsi="Cambria Math" w:cs="Times New Roman"/>
            <w:szCs w:val="24"/>
          </w:rPr>
          <m:t>ᴵᴾᶜᴬ</m:t>
        </m:r>
        <m:r>
          <w:rPr>
            <w:rFonts w:ascii="Cambria Math" w:hAnsi="Cambria Math" w:cs="Times New Roman"/>
            <w:szCs w:val="24"/>
            <w:lang w:val="pt-BR"/>
          </w:rPr>
          <m:t xml:space="preserve"> = </m:t>
        </m:r>
        <m:r>
          <w:rPr>
            <w:rFonts w:ascii="Cambria Math" w:hAnsi="Cambria Math" w:cs="Times New Roman"/>
            <w:szCs w:val="24"/>
          </w:rPr>
          <m:t>α</m:t>
        </m:r>
        <m:r>
          <w:rPr>
            <w:rFonts w:ascii="Cambria Math" w:hAnsi="Cambria Math" w:cs="Times New Roman"/>
            <w:szCs w:val="24"/>
            <w:lang w:val="pt-BR"/>
          </w:rPr>
          <m:t xml:space="preserve">ₕ + </m:t>
        </m:r>
        <m:r>
          <w:rPr>
            <w:rFonts w:ascii="Cambria Math" w:hAnsi="Cambria Math" w:cs="Times New Roman"/>
            <w:szCs w:val="24"/>
          </w:rPr>
          <m:t>θ</m:t>
        </m:r>
        <m:r>
          <w:rPr>
            <w:rFonts w:ascii="Cambria Math" w:hAnsi="Cambria Math" w:cs="Times New Roman"/>
            <w:szCs w:val="24"/>
            <w:lang w:val="pt-BR"/>
          </w:rPr>
          <m:t xml:space="preserve">ₕ </m:t>
        </m:r>
        <m:r>
          <w:rPr>
            <w:rFonts w:ascii="Cambria Math" w:hAnsi="Cambria Math" w:cs="Times New Roman"/>
            <w:szCs w:val="24"/>
          </w:rPr>
          <m:t>Δ</m:t>
        </m:r>
        <m:r>
          <w:rPr>
            <w:rFonts w:ascii="Cambria Math" w:hAnsi="Cambria Math" w:cs="Times New Roman"/>
            <w:szCs w:val="24"/>
            <w:lang w:val="pt-BR"/>
          </w:rPr>
          <m:t>pₜ</m:t>
        </m:r>
        <m:r>
          <w:rPr>
            <w:rFonts w:ascii="Cambria Math" w:hAnsi="Cambria Math" w:cs="Times New Roman"/>
            <w:szCs w:val="24"/>
          </w:rPr>
          <m:t>ᶠᵘᵉ</m:t>
        </m:r>
        <m:r>
          <w:rPr>
            <w:rFonts w:ascii="Cambria Math" w:hAnsi="Cambria Math" w:cs="Times New Roman"/>
            <w:szCs w:val="24"/>
            <w:lang w:val="pt-BR"/>
          </w:rPr>
          <m:t xml:space="preserve">ˡ + </m:t>
        </m:r>
        <m:r>
          <w:rPr>
            <w:rFonts w:ascii="Cambria Math" w:hAnsi="Cambria Math" w:cs="Times New Roman"/>
            <w:szCs w:val="24"/>
          </w:rPr>
          <m:t>Φ</m:t>
        </m:r>
        <m:r>
          <w:rPr>
            <w:rFonts w:ascii="Cambria Math" w:hAnsi="Cambria Math" w:cs="Times New Roman"/>
            <w:szCs w:val="24"/>
            <w:lang w:val="pt-BR"/>
          </w:rPr>
          <m:t xml:space="preserve">_h W_t + </m:t>
        </m:r>
        <m:r>
          <w:rPr>
            <w:rFonts w:ascii="Cambria Math" w:hAnsi="Cambria Math" w:cs="Times New Roman"/>
            <w:szCs w:val="24"/>
          </w:rPr>
          <m:t>υ</m:t>
        </m:r>
        <m:r>
          <w:rPr>
            <w:rFonts w:ascii="Cambria Math" w:hAnsi="Cambria Math" w:cs="Times New Roman"/>
            <w:szCs w:val="24"/>
            <w:lang w:val="pt-BR"/>
          </w:rPr>
          <m:t>_{t+h}^{(h)}      (</m:t>
        </m:r>
        <m:r>
          <w:rPr>
            <w:rFonts w:ascii="Cambria Math" w:hAnsi="Cambria Math" w:cs="Times New Roman"/>
            <w:szCs w:val="24"/>
            <w:lang w:val="pt-BR"/>
          </w:rPr>
          <m:t>20)</m:t>
        </m:r>
      </m:oMath>
      <w:commentRangeEnd w:id="18"/>
      <w:r w:rsidRPr="009C7F96">
        <w:rPr>
          <w:rStyle w:val="CommentReference"/>
          <w:rFonts w:cs="Times New Roman"/>
          <w:sz w:val="24"/>
          <w:szCs w:val="24"/>
          <w:lang w:val="pt-BR"/>
        </w:rPr>
        <w:commentReference w:id="18"/>
      </w:r>
    </w:p>
    <w:p w14:paraId="589622E4" w14:textId="77777777" w:rsidR="008E44CC" w:rsidRPr="009C7F96" w:rsidRDefault="008E44CC" w:rsidP="008E44CC">
      <w:pPr>
        <w:rPr>
          <w:rFonts w:cs="Times New Roman"/>
          <w:szCs w:val="24"/>
          <w:lang w:val="pt-BR"/>
        </w:rPr>
      </w:pPr>
    </w:p>
    <w:p w14:paraId="12C57D17" w14:textId="3C87AA8F" w:rsidR="008E44CC" w:rsidRPr="009C7F96" w:rsidRDefault="008E44CC" w:rsidP="008E44CC">
      <w:pPr>
        <w:spacing w:after="120"/>
        <w:rPr>
          <w:rFonts w:cs="Times New Roman"/>
          <w:szCs w:val="24"/>
          <w:lang w:val="pt-BR"/>
        </w:rPr>
      </w:pPr>
      <w:r w:rsidRPr="009C7F96">
        <w:rPr>
          <w:rFonts w:cs="Times New Roman"/>
          <w:szCs w:val="24"/>
          <w:lang w:val="pt-BR"/>
        </w:rPr>
        <w:lastRenderedPageBreak/>
        <w:t xml:space="preserve">Quando </w:t>
      </w:r>
      <m:oMath>
        <m:r>
          <w:rPr>
            <w:rFonts w:ascii="Cambria Math" w:hAnsi="Cambria Math" w:cs="Times New Roman"/>
            <w:szCs w:val="24"/>
          </w:rPr>
          <m:t>Δ</m:t>
        </m:r>
        <m:r>
          <w:rPr>
            <w:rFonts w:ascii="Cambria Math" w:hAnsi="Cambria Math" w:cs="Times New Roman"/>
            <w:szCs w:val="24"/>
            <w:lang w:val="pt-BR"/>
          </w:rPr>
          <m:t>pₜ</m:t>
        </m:r>
        <m:r>
          <w:rPr>
            <w:rFonts w:ascii="Cambria Math" w:hAnsi="Cambria Math" w:cs="Times New Roman"/>
            <w:szCs w:val="24"/>
          </w:rPr>
          <m:t>ᶠᵘᵉ</m:t>
        </m:r>
        <m:r>
          <w:rPr>
            <w:rFonts w:ascii="Cambria Math" w:hAnsi="Cambria Math" w:cs="Times New Roman"/>
            <w:szCs w:val="24"/>
            <w:lang w:val="pt-BR"/>
          </w:rPr>
          <m:t>ˡ</m:t>
        </m:r>
      </m:oMath>
      <w:r w:rsidRPr="009C7F96">
        <w:rPr>
          <w:rFonts w:cs="Times New Roman"/>
          <w:szCs w:val="24"/>
          <w:lang w:val="pt-BR"/>
        </w:rPr>
        <w:t xml:space="preserve"> for potencialmente endógeno, a variável deve ser instrumentada por choques externos ou por medidas plausivelmente exógenas de pressão sobre o preço doméstico. Essa etapa é central porque permite separar o efeito do combustível sobre o IPCA geral, o IPCA de transportes e os subitens específicos. O coeficiente </w:t>
      </w:r>
      <m:oMath>
        <m:r>
          <w:rPr>
            <w:rFonts w:ascii="Cambria Math" w:hAnsi="Cambria Math" w:cs="Times New Roman"/>
            <w:szCs w:val="24"/>
          </w:rPr>
          <m:t>θ</m:t>
        </m:r>
        <m:r>
          <w:rPr>
            <w:rFonts w:ascii="Cambria Math" w:hAnsi="Cambria Math" w:cs="Times New Roman"/>
            <w:szCs w:val="24"/>
            <w:lang w:val="pt-BR"/>
          </w:rPr>
          <m:t>ₕ</m:t>
        </m:r>
      </m:oMath>
      <w:r w:rsidRPr="009C7F96">
        <w:rPr>
          <w:rFonts w:cs="Times New Roman"/>
          <w:szCs w:val="24"/>
          <w:lang w:val="pt-BR"/>
        </w:rPr>
        <w:t xml:space="preserve"> mede a resposta da inflação no horizonte </w:t>
      </w:r>
      <m:oMath>
        <m:r>
          <w:rPr>
            <w:rFonts w:ascii="Cambria Math" w:hAnsi="Cambria Math" w:cs="Times New Roman"/>
            <w:szCs w:val="24"/>
            <w:lang w:val="pt-BR"/>
          </w:rPr>
          <m:t>h</m:t>
        </m:r>
      </m:oMath>
      <w:r w:rsidRPr="009C7F96">
        <w:rPr>
          <w:rFonts w:cs="Times New Roman"/>
          <w:szCs w:val="24"/>
          <w:lang w:val="pt-BR"/>
        </w:rPr>
        <w:t xml:space="preserve"> a uma variação do combustível.</w:t>
      </w:r>
    </w:p>
    <w:p w14:paraId="3D5CA34A" w14:textId="77777777" w:rsidR="008E44CC" w:rsidRPr="009C7F96" w:rsidRDefault="008E44CC" w:rsidP="008E44CC">
      <w:pPr>
        <w:spacing w:after="120"/>
        <w:rPr>
          <w:rFonts w:cs="Times New Roman"/>
          <w:szCs w:val="24"/>
          <w:lang w:val="pt-BR"/>
        </w:rPr>
      </w:pPr>
      <w:r w:rsidRPr="009C7F96">
        <w:rPr>
          <w:rFonts w:cs="Times New Roman"/>
          <w:szCs w:val="24"/>
          <w:lang w:val="pt-BR"/>
        </w:rPr>
        <w:t>Para captar a dimensão institucional, uma especificação dependente de regime pode comparar o repasse antes e depois de mudanças na política comercial da Petrobras:</w:t>
      </w:r>
    </w:p>
    <w:p w14:paraId="25F10FBF" w14:textId="77777777" w:rsidR="008E44CC" w:rsidRPr="009C7F96" w:rsidRDefault="008E44CC" w:rsidP="008E44CC">
      <w:pPr>
        <w:jc w:val="center"/>
        <w:rPr>
          <w:rFonts w:cs="Times New Roman"/>
          <w:szCs w:val="24"/>
          <w:lang w:val="pt-BR"/>
        </w:rPr>
      </w:pPr>
      <w:r>
        <w:rPr>
          <w:i/>
        </w:rPr>
        <w:t>π_{t+h} = α_h + β_{1,h} P^{fuel}_t × D_t + β_{2,h} P^{fuel}_t × (1-D_t) + Γ_h X_t + ε_{t+h}</w:t>
      </w:r>
    </w:p>
    <w:p w14:paraId="2BF5DF44" w14:textId="03FA8767" w:rsidR="008E44CC" w:rsidRPr="009C7F96" w:rsidRDefault="000E1567" w:rsidP="008E44CC">
      <w:pPr>
        <w:spacing w:before="120" w:after="120"/>
        <w:rPr>
          <w:rFonts w:cs="Times New Roman"/>
          <w:szCs w:val="24"/>
          <w:lang w:val="pt-BR"/>
        </w:rPr>
      </w:pPr>
      <w:commentRangeStart w:id="19"/>
      <m:oMath>
        <m:r>
          <w:rPr>
            <w:rFonts w:ascii="Cambria Math" w:hAnsi="Cambria Math" w:cs="Times New Roman"/>
            <w:szCs w:val="24"/>
          </w:rPr>
          <m:t>Δ</m:t>
        </m:r>
        <m:r>
          <w:rPr>
            <w:rFonts w:ascii="Cambria Math" w:hAnsi="Cambria Math" w:cs="Times New Roman"/>
            <w:szCs w:val="24"/>
            <w:lang w:val="pt-BR"/>
          </w:rPr>
          <m:t xml:space="preserve">ₕ </m:t>
        </m:r>
        <m:r>
          <w:rPr>
            <w:rFonts w:ascii="Cambria Math" w:hAnsi="Cambria Math" w:cs="Times New Roman"/>
            <w:szCs w:val="24"/>
          </w:rPr>
          <m:t>π</m:t>
        </m:r>
        <m:r>
          <w:rPr>
            <w:rFonts w:ascii="Cambria Math" w:hAnsi="Cambria Math" w:cs="Times New Roman"/>
            <w:szCs w:val="24"/>
            <w:lang w:val="pt-BR"/>
          </w:rPr>
          <m:t xml:space="preserve">_{t+h} = </m:t>
        </m:r>
        <m:r>
          <w:rPr>
            <w:rFonts w:ascii="Cambria Math" w:hAnsi="Cambria Math" w:cs="Times New Roman"/>
            <w:szCs w:val="24"/>
          </w:rPr>
          <m:t>α</m:t>
        </m:r>
        <m:r>
          <w:rPr>
            <w:rFonts w:ascii="Cambria Math" w:hAnsi="Cambria Math" w:cs="Times New Roman"/>
            <w:szCs w:val="24"/>
            <w:lang w:val="pt-BR"/>
          </w:rPr>
          <m:t xml:space="preserve">ₕ + </m:t>
        </m:r>
        <m:r>
          <w:rPr>
            <w:rFonts w:ascii="Cambria Math" w:hAnsi="Cambria Math" w:cs="Times New Roman"/>
            <w:szCs w:val="24"/>
          </w:rPr>
          <m:t>β</m:t>
        </m:r>
        <m:r>
          <w:rPr>
            <w:rFonts w:ascii="Cambria Math" w:hAnsi="Cambria Math" w:cs="Times New Roman"/>
            <w:szCs w:val="24"/>
            <w:lang w:val="pt-BR"/>
          </w:rPr>
          <m:t xml:space="preserve">ₕ^{pre}(1 - Dₜ)xₜ + </m:t>
        </m:r>
        <m:r>
          <w:rPr>
            <w:rFonts w:ascii="Cambria Math" w:hAnsi="Cambria Math" w:cs="Times New Roman"/>
            <w:szCs w:val="24"/>
          </w:rPr>
          <m:t>β</m:t>
        </m:r>
        <m:r>
          <w:rPr>
            <w:rFonts w:ascii="Cambria Math" w:hAnsi="Cambria Math" w:cs="Times New Roman"/>
            <w:szCs w:val="24"/>
            <w:lang w:val="pt-BR"/>
          </w:rPr>
          <m:t xml:space="preserve">ₕ^{post}Dₜ xₜ + </m:t>
        </m:r>
        <m:r>
          <w:rPr>
            <w:rFonts w:ascii="Cambria Math" w:hAnsi="Cambria Math" w:cs="Times New Roman"/>
            <w:szCs w:val="24"/>
          </w:rPr>
          <m:t>Γ</m:t>
        </m:r>
        <m:r>
          <w:rPr>
            <w:rFonts w:ascii="Cambria Math" w:hAnsi="Cambria Math" w:cs="Times New Roman"/>
            <w:szCs w:val="24"/>
            <w:lang w:val="pt-BR"/>
          </w:rPr>
          <m:t xml:space="preserve">_hW_t + </m:t>
        </m:r>
        <m:r>
          <w:rPr>
            <w:rFonts w:ascii="Cambria Math" w:hAnsi="Cambria Math" w:cs="Times New Roman"/>
            <w:szCs w:val="24"/>
          </w:rPr>
          <m:t>ε</m:t>
        </m:r>
        <m:r>
          <w:rPr>
            <w:rFonts w:ascii="Cambria Math" w:hAnsi="Cambria Math" w:cs="Times New Roman"/>
            <w:szCs w:val="24"/>
            <w:lang w:val="pt-BR"/>
          </w:rPr>
          <m:t>ₜ₊ₕ⁽ʰ⁾      (21)</m:t>
        </m:r>
      </m:oMath>
      <w:commentRangeEnd w:id="19"/>
      <w:r w:rsidRPr="009C7F96">
        <w:rPr>
          <w:rStyle w:val="CommentReference"/>
          <w:rFonts w:cs="Times New Roman"/>
          <w:sz w:val="24"/>
          <w:szCs w:val="24"/>
          <w:lang w:val="pt-BR"/>
        </w:rPr>
        <w:commentReference w:id="19"/>
      </w:r>
    </w:p>
    <w:p w14:paraId="1282F51E" w14:textId="77777777" w:rsidR="008E44CC" w:rsidRPr="009C7F96" w:rsidRDefault="008E44CC" w:rsidP="008E44CC">
      <w:pPr>
        <w:rPr>
          <w:rFonts w:cs="Times New Roman"/>
          <w:szCs w:val="24"/>
          <w:lang w:val="pt-BR"/>
        </w:rPr>
      </w:pPr>
    </w:p>
    <w:p w14:paraId="45024954" w14:textId="052288B3" w:rsidR="008E44CC" w:rsidRPr="00890875" w:rsidRDefault="008E44CC" w:rsidP="00890875">
      <w:pPr>
        <w:spacing w:after="120"/>
        <w:rPr>
          <w:rFonts w:cs="Times New Roman"/>
          <w:szCs w:val="24"/>
          <w:lang w:val="pt-BR"/>
        </w:rPr>
      </w:pPr>
      <w:r w:rsidRPr="009C7F96">
        <w:rPr>
          <w:rFonts w:cs="Times New Roman"/>
          <w:szCs w:val="24"/>
          <w:lang w:val="pt-BR"/>
        </w:rPr>
        <w:t xml:space="preserve">Em que Dₜ é uma dummy que assume valor igual a um no período posterior à mudança de regime. Se </w:t>
      </w:r>
      <m:oMath>
        <m:r>
          <w:rPr>
            <w:rFonts w:ascii="Cambria Math" w:hAnsi="Cambria Math" w:cs="Times New Roman"/>
            <w:szCs w:val="24"/>
          </w:rPr>
          <m:t>β</m:t>
        </m:r>
        <m:sSup>
          <m:sSupPr>
            <m:ctrlPr>
              <w:rPr>
                <w:rFonts w:ascii="Cambria Math" w:hAnsi="Cambria Math" w:cs="Times New Roman"/>
                <w:i/>
                <w:szCs w:val="24"/>
                <w:lang w:val="pt-BR"/>
              </w:rPr>
            </m:ctrlPr>
          </m:sSupPr>
          <m:e>
            <m:r>
              <w:rPr>
                <w:rFonts w:ascii="Cambria Math" w:hAnsi="Cambria Math" w:cs="Times New Roman"/>
                <w:szCs w:val="24"/>
                <w:lang w:val="pt-BR"/>
              </w:rPr>
              <m:t>ₕ</m:t>
            </m:r>
          </m:e>
          <m:sup>
            <m:r>
              <w:rPr>
                <w:rFonts w:ascii="Cambria Math" w:hAnsi="Cambria Math" w:cs="Times New Roman"/>
                <w:szCs w:val="24"/>
                <w:lang w:val="pt-BR"/>
              </w:rPr>
              <m:t>pre</m:t>
            </m:r>
          </m:sup>
        </m:sSup>
      </m:oMath>
      <w:r w:rsidRPr="009C7F96">
        <w:rPr>
          <w:rFonts w:cs="Times New Roman"/>
          <w:szCs w:val="24"/>
          <w:lang w:val="pt-BR"/>
        </w:rPr>
        <w:t xml:space="preserve"> e </w:t>
      </w:r>
      <m:oMath>
        <m:r>
          <w:rPr>
            <w:rFonts w:ascii="Cambria Math" w:hAnsi="Cambria Math" w:cs="Times New Roman"/>
            <w:szCs w:val="24"/>
          </w:rPr>
          <m:t>β</m:t>
        </m:r>
        <m:sSup>
          <m:sSupPr>
            <m:ctrlPr>
              <w:rPr>
                <w:rFonts w:ascii="Cambria Math" w:hAnsi="Cambria Math" w:cs="Times New Roman"/>
                <w:i/>
                <w:szCs w:val="24"/>
                <w:lang w:val="pt-BR"/>
              </w:rPr>
            </m:ctrlPr>
          </m:sSupPr>
          <m:e>
            <m:r>
              <w:rPr>
                <w:rFonts w:ascii="Cambria Math" w:hAnsi="Cambria Math" w:cs="Times New Roman"/>
                <w:szCs w:val="24"/>
                <w:lang w:val="pt-BR"/>
              </w:rPr>
              <m:t>ₕ</m:t>
            </m:r>
          </m:e>
          <m:sup>
            <m:r>
              <w:rPr>
                <w:rFonts w:ascii="Cambria Math" w:hAnsi="Cambria Math" w:cs="Times New Roman"/>
                <w:szCs w:val="24"/>
                <w:lang w:val="pt-BR"/>
              </w:rPr>
              <m:t>post</m:t>
            </m:r>
          </m:sup>
        </m:sSup>
      </m:oMath>
      <w:r w:rsidRPr="009C7F96">
        <w:rPr>
          <w:rFonts w:cs="Times New Roman"/>
          <w:szCs w:val="24"/>
          <w:lang w:val="pt-BR"/>
        </w:rPr>
        <w:t xml:space="preserve"> forem estatisticamente distintos, haverá evidência de que o regime de precificação alterou a transmissão dos choques de petróleo e combustíveis para a inflação. Essa especificação se conecta diretamente à hipótese de que a Petrobras pode suavizar, retardar ou alterar a intensidade do repasse.</w:t>
      </w:r>
    </w:p>
    <w:p w14:paraId="03C3F5A9" w14:textId="77777777" w:rsidR="008E44CC" w:rsidRPr="009C7F96" w:rsidRDefault="008E44CC" w:rsidP="008E44CC">
      <w:pPr>
        <w:spacing w:after="120"/>
        <w:rPr>
          <w:rFonts w:cs="Times New Roman"/>
          <w:szCs w:val="24"/>
          <w:lang w:val="pt-BR"/>
        </w:rPr>
      </w:pPr>
      <w:r w:rsidRPr="009C7F96">
        <w:rPr>
          <w:rFonts w:cs="Times New Roman"/>
          <w:szCs w:val="24"/>
          <w:lang w:val="pt-BR"/>
        </w:rPr>
        <w:t>Em uma extensão regional, pode-se explorar diferenças entre áreas de coleta do IPCA e mercados locais de combustíveis. Uma panel LP pode ser escrita como:</w:t>
      </w:r>
    </w:p>
    <w:p w14:paraId="0FB3F537" w14:textId="77777777" w:rsidR="008E44CC" w:rsidRPr="009C7F96" w:rsidRDefault="008E44CC" w:rsidP="008E44CC">
      <w:pPr>
        <w:jc w:val="center"/>
        <w:rPr>
          <w:rFonts w:cs="Times New Roman"/>
          <w:szCs w:val="24"/>
          <w:lang w:val="pt-BR"/>
        </w:rPr>
      </w:pPr>
      <w:r>
        <w:rPr>
          <w:i/>
        </w:rPr>
        <w:t>π_{r, t+h} = α_{r,h} + λ_{t,h} + β_h P^{fuel}_{r,t} + Γ X_{r,t} + ε_{r, t+h}</w:t>
      </w:r>
    </w:p>
    <w:p w14:paraId="05D307E4" w14:textId="18660EB1" w:rsidR="008E44CC" w:rsidRPr="009C7F96" w:rsidRDefault="00890875" w:rsidP="00890875">
      <w:pPr>
        <w:spacing w:before="120" w:after="120"/>
        <w:rPr>
          <w:rFonts w:cs="Times New Roman"/>
          <w:szCs w:val="24"/>
          <w:lang w:val="pt-BR"/>
        </w:rPr>
      </w:pPr>
      <m:oMathPara>
        <m:oMath>
          <m:r>
            <w:rPr>
              <w:rFonts w:ascii="Cambria Math" w:hAnsi="Cambria Math" w:cs="Times New Roman"/>
              <w:szCs w:val="24"/>
            </w:rPr>
            <m:t>Δ</m:t>
          </m:r>
          <m:r>
            <w:rPr>
              <w:rFonts w:ascii="Cambria Math" w:hAnsi="Cambria Math" w:cs="Times New Roman"/>
              <w:szCs w:val="24"/>
              <w:lang w:val="pt-BR"/>
            </w:rPr>
            <m:t>ₕ</m:t>
          </m:r>
          <m:r>
            <w:rPr>
              <w:rFonts w:ascii="Cambria Math" w:hAnsi="Cambria Math" w:cs="Times New Roman"/>
              <w:szCs w:val="24"/>
            </w:rPr>
            <m:t>πᵣ</m:t>
          </m:r>
          <m:r>
            <w:rPr>
              <w:rFonts w:ascii="Cambria Math" w:hAnsi="Cambria Math" w:cs="Times New Roman"/>
              <w:szCs w:val="24"/>
              <w:lang w:val="pt-BR"/>
            </w:rPr>
            <m:t>,</m:t>
          </m:r>
          <m:sSup>
            <m:sSupPr>
              <m:ctrlPr>
                <w:rPr>
                  <w:rFonts w:ascii="Cambria Math" w:hAnsi="Cambria Math" w:cs="Times New Roman"/>
                  <w:i/>
                  <w:szCs w:val="24"/>
                  <w:lang w:val="pt-BR"/>
                </w:rPr>
              </m:ctrlPr>
            </m:sSupPr>
            <m:e>
              <m:r>
                <w:rPr>
                  <w:rFonts w:ascii="Cambria Math" w:hAnsi="Cambria Math" w:cs="Times New Roman"/>
                  <w:szCs w:val="24"/>
                  <w:lang w:val="pt-BR"/>
                </w:rPr>
                <m:t>ₜ</m:t>
              </m:r>
            </m:e>
            <m:sup>
              <m:r>
                <w:rPr>
                  <w:rFonts w:ascii="Cambria Math" w:hAnsi="Cambria Math" w:cs="Times New Roman"/>
                  <w:szCs w:val="24"/>
                  <w:lang w:val="pt-BR"/>
                </w:rPr>
                <m:t>+</m:t>
              </m:r>
            </m:sup>
          </m:sSup>
          <m:r>
            <w:rPr>
              <w:rFonts w:ascii="Cambria Math" w:hAnsi="Cambria Math" w:cs="Times New Roman"/>
              <w:szCs w:val="24"/>
              <w:lang w:val="pt-BR"/>
            </w:rPr>
            <m:t>ₕ=</m:t>
          </m:r>
          <m:r>
            <w:rPr>
              <w:rFonts w:ascii="Cambria Math" w:hAnsi="Cambria Math" w:cs="Times New Roman"/>
              <w:szCs w:val="24"/>
            </w:rPr>
            <m:t>αᵣ</m:t>
          </m:r>
          <m:r>
            <w:rPr>
              <w:rFonts w:ascii="Cambria Math" w:hAnsi="Cambria Math" w:cs="Times New Roman"/>
              <w:szCs w:val="24"/>
              <w:lang w:val="pt-BR"/>
            </w:rPr>
            <m:t>,ₕ+</m:t>
          </m:r>
          <m:r>
            <w:rPr>
              <w:rFonts w:ascii="Cambria Math" w:hAnsi="Cambria Math" w:cs="Times New Roman"/>
              <w:szCs w:val="24"/>
            </w:rPr>
            <m:t>τ</m:t>
          </m:r>
          <m:r>
            <w:rPr>
              <w:rFonts w:ascii="Cambria Math" w:hAnsi="Cambria Math" w:cs="Times New Roman"/>
              <w:szCs w:val="24"/>
              <w:lang w:val="pt-BR"/>
            </w:rPr>
            <m:t>ₜ,ₕ+</m:t>
          </m:r>
          <m:r>
            <w:rPr>
              <w:rFonts w:ascii="Cambria Math" w:hAnsi="Cambria Math" w:cs="Times New Roman"/>
              <w:szCs w:val="24"/>
            </w:rPr>
            <m:t>β</m:t>
          </m:r>
          <m:r>
            <w:rPr>
              <w:rFonts w:ascii="Cambria Math" w:hAnsi="Cambria Math" w:cs="Times New Roman"/>
              <w:szCs w:val="24"/>
              <w:lang w:val="pt-BR"/>
            </w:rPr>
            <m:t>ₕshock</m:t>
          </m:r>
          <m:r>
            <w:rPr>
              <w:rFonts w:ascii="Cambria Math" w:hAnsi="Cambria Math" w:cs="Times New Roman"/>
              <w:szCs w:val="24"/>
            </w:rPr>
            <m:t>ᵣ</m:t>
          </m:r>
          <m:r>
            <w:rPr>
              <w:rFonts w:ascii="Cambria Math" w:hAnsi="Cambria Math" w:cs="Times New Roman"/>
              <w:szCs w:val="24"/>
              <w:lang w:val="pt-BR"/>
            </w:rPr>
            <m:t>,ₜ</m:t>
          </m:r>
          <m:r>
            <w:rPr>
              <w:rFonts w:ascii="Cambria Math" w:hAnsi="Cambria Math" w:cs="Times New Roman"/>
              <w:szCs w:val="24"/>
            </w:rPr>
            <m:t>ᶠᵘᵉ</m:t>
          </m:r>
          <m:r>
            <w:rPr>
              <w:rFonts w:ascii="Cambria Math" w:hAnsi="Cambria Math" w:cs="Times New Roman"/>
              <w:szCs w:val="24"/>
              <w:lang w:val="pt-BR"/>
            </w:rPr>
            <m:t>ˡ+</m:t>
          </m:r>
          <m:sSub>
            <m:sSubPr>
              <m:ctrlPr>
                <w:rPr>
                  <w:rFonts w:ascii="Cambria Math" w:hAnsi="Cambria Math" w:cs="Times New Roman"/>
                  <w:i/>
                  <w:szCs w:val="24"/>
                  <w:lang w:val="pt-BR"/>
                </w:rPr>
              </m:ctrlPr>
            </m:sSubPr>
            <m:e>
              <m:r>
                <w:rPr>
                  <w:rFonts w:ascii="Cambria Math" w:hAnsi="Cambria Math" w:cs="Times New Roman"/>
                  <w:szCs w:val="24"/>
                </w:rPr>
                <m:t>Γ</m:t>
              </m:r>
            </m:e>
            <m:sub>
              <m:r>
                <w:rPr>
                  <w:rFonts w:ascii="Cambria Math" w:hAnsi="Cambria Math" w:cs="Times New Roman"/>
                  <w:szCs w:val="24"/>
                  <w:lang w:val="pt-BR"/>
                </w:rPr>
                <m:t>h</m:t>
              </m:r>
            </m:sub>
          </m:sSub>
          <m:r>
            <w:rPr>
              <w:rFonts w:ascii="Cambria Math" w:hAnsi="Cambria Math" w:cs="Times New Roman"/>
              <w:szCs w:val="24"/>
              <w:lang w:val="pt-BR"/>
            </w:rPr>
            <m:t>W</m:t>
          </m:r>
          <m:r>
            <w:rPr>
              <w:rFonts w:ascii="Cambria Math" w:hAnsi="Cambria Math" w:cs="Times New Roman"/>
              <w:szCs w:val="24"/>
            </w:rPr>
            <m:t>ᵣ</m:t>
          </m:r>
          <m:r>
            <w:rPr>
              <w:rFonts w:ascii="Cambria Math" w:hAnsi="Cambria Math" w:cs="Times New Roman"/>
              <w:szCs w:val="24"/>
              <w:lang w:val="pt-BR"/>
            </w:rPr>
            <m:t xml:space="preserve">,ₜ + </m:t>
          </m:r>
          <m:r>
            <w:rPr>
              <w:rFonts w:ascii="Cambria Math" w:hAnsi="Cambria Math" w:cs="Times New Roman"/>
              <w:szCs w:val="24"/>
            </w:rPr>
            <m:t>εᵣ</m:t>
          </m:r>
          <m:r>
            <w:rPr>
              <w:rFonts w:ascii="Cambria Math" w:hAnsi="Cambria Math" w:cs="Times New Roman"/>
              <w:szCs w:val="24"/>
              <w:lang w:val="pt-BR"/>
            </w:rPr>
            <m:t>,ₜ₊ₕ⁽ʰ⁾      (22)</m:t>
          </m:r>
        </m:oMath>
      </m:oMathPara>
    </w:p>
    <w:p w14:paraId="0BE25F31" w14:textId="77777777" w:rsidR="008E44CC" w:rsidRPr="009C7F96" w:rsidRDefault="008E44CC" w:rsidP="008E44CC">
      <w:pPr>
        <w:rPr>
          <w:rFonts w:cs="Times New Roman"/>
          <w:szCs w:val="24"/>
          <w:lang w:val="pt-BR"/>
        </w:rPr>
      </w:pPr>
    </w:p>
    <w:p w14:paraId="066A9878" w14:textId="7D0A4561" w:rsidR="008E44CC" w:rsidRPr="009C7F96" w:rsidRDefault="008E44CC" w:rsidP="008E44CC">
      <w:pPr>
        <w:spacing w:after="120"/>
        <w:rPr>
          <w:rFonts w:cs="Times New Roman"/>
          <w:szCs w:val="24"/>
          <w:lang w:val="pt-BR"/>
        </w:rPr>
      </w:pPr>
      <w:r w:rsidRPr="009C7F96">
        <w:rPr>
          <w:rFonts w:cs="Times New Roman"/>
          <w:szCs w:val="24"/>
          <w:lang w:val="pt-BR"/>
        </w:rPr>
        <w:t xml:space="preserve">Em que </w:t>
      </w:r>
      <m:oMath>
        <m:r>
          <w:rPr>
            <w:rFonts w:ascii="Cambria Math" w:hAnsi="Cambria Math" w:cs="Times New Roman"/>
            <w:szCs w:val="24"/>
            <w:lang w:val="pt-BR"/>
          </w:rPr>
          <m:t>r</m:t>
        </m:r>
      </m:oMath>
      <w:r w:rsidRPr="009C7F96">
        <w:rPr>
          <w:rFonts w:cs="Times New Roman"/>
          <w:szCs w:val="24"/>
          <w:lang w:val="pt-BR"/>
        </w:rPr>
        <w:t xml:space="preserve"> representa a região ou área de coleta, </w:t>
      </w:r>
      <w:r w:rsidRPr="009C7F96">
        <w:rPr>
          <w:rFonts w:cs="Times New Roman"/>
          <w:szCs w:val="24"/>
        </w:rPr>
        <w:t>αᵣ</w:t>
      </w:r>
      <w:r w:rsidRPr="009C7F96">
        <w:rPr>
          <w:rFonts w:cs="Times New Roman"/>
          <w:szCs w:val="24"/>
          <w:lang w:val="pt-BR"/>
        </w:rPr>
        <w:t xml:space="preserve">,ₕ são efeitos fixos regionais e </w:t>
      </w:r>
      <m:oMath>
        <m:r>
          <w:rPr>
            <w:rFonts w:ascii="Cambria Math" w:hAnsi="Cambria Math" w:cs="Times New Roman"/>
            <w:szCs w:val="24"/>
          </w:rPr>
          <m:t>τ</m:t>
        </m:r>
        <m:r>
          <w:rPr>
            <w:rFonts w:ascii="Cambria Math" w:hAnsi="Cambria Math" w:cs="Times New Roman"/>
            <w:szCs w:val="24"/>
            <w:lang w:val="pt-BR"/>
          </w:rPr>
          <m:t>ₜ,ₕ</m:t>
        </m:r>
      </m:oMath>
      <w:r w:rsidRPr="009C7F96">
        <w:rPr>
          <w:rFonts w:cs="Times New Roman"/>
          <w:szCs w:val="24"/>
          <w:lang w:val="pt-BR"/>
        </w:rPr>
        <w:t xml:space="preserve"> são efeitos fixos de tempo. Essa abordagem é útil porque a transmissão de combustíveis pode variar conforme logística, competição, proximidade de refinarias, estrutura tributária estadual e peso regional dos itens no índice. Embora mais exigente em dados, essa estratégia aproxima a pesquisa da literatura internacional recente que explora heterogeneidade espacial no pass-through de petróleo.</w:t>
      </w:r>
    </w:p>
    <w:p w14:paraId="4267F9E0" w14:textId="77777777" w:rsidR="008E44CC" w:rsidRPr="009C7F96" w:rsidRDefault="008E44CC" w:rsidP="008E44CC">
      <w:pPr>
        <w:pStyle w:val="Heading2"/>
        <w:spacing w:before="240" w:after="120"/>
        <w:jc w:val="both"/>
        <w:rPr>
          <w:rFonts w:cs="Times New Roman"/>
          <w:szCs w:val="24"/>
        </w:rPr>
      </w:pPr>
      <w:bookmarkStart w:id="20" w:name="_Toc229695941"/>
      <w:r w:rsidRPr="009C7F96">
        <w:rPr>
          <w:rFonts w:ascii="Times New Roman" w:eastAsia="Times New Roman" w:hAnsi="Times New Roman" w:cs="Times New Roman"/>
          <w:szCs w:val="24"/>
        </w:rPr>
        <w:lastRenderedPageBreak/>
        <w:t>2.9 Síntese crítica da literatura e contribuição da pesquisa</w:t>
      </w:r>
      <w:bookmarkEnd w:id="20"/>
    </w:p>
    <w:p w14:paraId="29E9EEC0" w14:textId="77777777" w:rsidR="008E44CC" w:rsidRPr="009C7F96" w:rsidRDefault="008E44CC" w:rsidP="008E44CC">
      <w:pPr>
        <w:spacing w:after="120"/>
        <w:rPr>
          <w:rFonts w:cs="Times New Roman"/>
          <w:szCs w:val="24"/>
          <w:lang w:val="pt-BR"/>
        </w:rPr>
      </w:pPr>
      <w:r w:rsidRPr="009C7F96">
        <w:rPr>
          <w:rFonts w:cs="Times New Roman"/>
          <w:szCs w:val="24"/>
          <w:lang w:val="pt-BR"/>
        </w:rPr>
        <w:t>A literatura revisada permite identificar quatro consensos. Primeiro, choques no preço do petróleo podem afetar a inflação, mas a magnitude do efeito depende da origem do choque, do regime macroeconômico, da estrutura energética e da credibilidade da política monetária. Segundo, o repasse tende a ser mais forte em componentes diretamente ligados a energia e transportes, o que justifica a análise desagregada do IPCA. Terceiro, em economias abertas, o câmbio é parte indispensável do canal de transmissão, pois o preço relevante para a inflação doméstica é o petróleo em moeda nacional. Quarto, no Brasil, a política de preços e a estrutura de refino da Petrobras impedem que o repasse seja tratado como automático.</w:t>
      </w:r>
    </w:p>
    <w:p w14:paraId="0E791691" w14:textId="77777777" w:rsidR="008E44CC" w:rsidRPr="009C7F96" w:rsidRDefault="008E44CC" w:rsidP="008E44CC">
      <w:pPr>
        <w:spacing w:after="120"/>
        <w:rPr>
          <w:rFonts w:cs="Times New Roman"/>
          <w:szCs w:val="24"/>
          <w:lang w:val="pt-BR"/>
        </w:rPr>
      </w:pPr>
      <w:r w:rsidRPr="009C7F96">
        <w:rPr>
          <w:rFonts w:cs="Times New Roman"/>
          <w:szCs w:val="24"/>
          <w:lang w:val="pt-BR"/>
        </w:rPr>
        <w:t>A incorporação das local projections amplia a contribuição potencial da pesquisa porque permite estimar o perfil temporal do repasse de forma flexível. Em vez de restringir a análise a um sistema VAR único, a pesquisa pode estimar respostas diretas horizonte a horizonte, comparar IPCA geral e IPCA de transportes, introduzir controles defasados, testar regimes institucionais, instrumentar o preço doméstico do combustível e, eventualmente, explorar heterogeneidade regional. Essa flexibilidade é compatível com a complexidade institucional do mercado brasileiro de combustíveis.</w:t>
      </w:r>
    </w:p>
    <w:p w14:paraId="566371D8" w14:textId="77777777" w:rsidR="008E44CC" w:rsidRPr="009C7F96" w:rsidRDefault="008E44CC" w:rsidP="008E44CC">
      <w:pPr>
        <w:spacing w:after="120"/>
        <w:rPr>
          <w:rFonts w:cs="Times New Roman"/>
          <w:szCs w:val="24"/>
          <w:lang w:val="pt-BR"/>
        </w:rPr>
      </w:pPr>
      <w:r w:rsidRPr="009C7F96">
        <w:rPr>
          <w:rFonts w:cs="Times New Roman"/>
          <w:szCs w:val="24"/>
          <w:lang w:val="pt-BR"/>
        </w:rPr>
        <w:t>A lacuna que permanece na literatura brasileira está na articulação conjunta entre preço internacional do petróleo, câmbio, preço na refinaria, preço ao consumidor e diferentes recortes do IPCA. Muitos estudos tratam petróleo e inflação de forma agregada, enquanto outros discutem a formação dos preços de combustíveis sem estimar detalhadamente a dinâmica temporal do repasse para a inflação. A presente pesquisa se insere exatamente nesse espaço, ao propor uma análise do canal combustíveis como meio de propagação do choque internacional do petróleo para a inflação brasileira, com atenção específica à refinaria da Petrobras como etapa intermediária do mecanismo de transmissão.</w:t>
      </w:r>
    </w:p>
    <w:p w14:paraId="40135C03" w14:textId="77777777" w:rsidR="008E44CC" w:rsidRPr="009C7F96" w:rsidRDefault="008E44CC" w:rsidP="008E44CC">
      <w:pPr>
        <w:spacing w:after="120"/>
        <w:rPr>
          <w:rFonts w:cs="Times New Roman"/>
          <w:szCs w:val="24"/>
          <w:lang w:val="pt-BR"/>
        </w:rPr>
      </w:pPr>
      <w:r w:rsidRPr="009C7F96">
        <w:rPr>
          <w:rFonts w:cs="Times New Roman"/>
          <w:szCs w:val="24"/>
          <w:lang w:val="pt-BR"/>
        </w:rPr>
        <w:t xml:space="preserve">Portanto, a revisão bibliográfica sustenta três hipóteses centrais. A primeira é que choques positivos no preço do petróleo em reais elevam os preços domésticos de combustíveis, mas esse repasse depende do regime de precificação e da política comercial da Petrobras. A segunda é que o impacto sobre o IPCA é mais intenso no grupo de transportes e nos subitens diretamente ligados a combustíveis do que no índice agregado. A terceira é que há efeitos indiretos relevantes, sobretudo via diesel, custos de transporte, expectativas e bens comercializáveis. Essas hipóteses </w:t>
      </w:r>
      <w:r w:rsidRPr="009C7F96">
        <w:rPr>
          <w:rFonts w:cs="Times New Roman"/>
          <w:szCs w:val="24"/>
          <w:lang w:val="pt-BR"/>
        </w:rPr>
        <w:lastRenderedPageBreak/>
        <w:t>são coerentes com a literatura internacional e justificam o uso de local projections como estratégia empírica principal.</w:t>
      </w:r>
    </w:p>
    <w:p w14:paraId="41BDB22F" w14:textId="77777777" w:rsidR="008E44CC" w:rsidRPr="009C7F96" w:rsidRDefault="008E44CC" w:rsidP="008E44CC">
      <w:pPr>
        <w:pStyle w:val="Heading2"/>
        <w:spacing w:before="240" w:after="120"/>
        <w:jc w:val="both"/>
        <w:rPr>
          <w:rFonts w:cs="Times New Roman"/>
          <w:szCs w:val="24"/>
        </w:rPr>
      </w:pPr>
      <w:bookmarkStart w:id="21" w:name="_Toc229695942"/>
      <w:r w:rsidRPr="009C7F96">
        <w:rPr>
          <w:rFonts w:ascii="Times New Roman" w:eastAsia="Times New Roman" w:hAnsi="Times New Roman" w:cs="Times New Roman"/>
          <w:szCs w:val="24"/>
        </w:rPr>
        <w:t>2.10 Síntese dos principais modelos incorporados</w:t>
      </w:r>
      <w:bookmarkEnd w:id="21"/>
    </w:p>
    <w:p w14:paraId="25699FC6" w14:textId="77777777" w:rsidR="008E44CC" w:rsidRPr="009C7F96" w:rsidRDefault="008E44CC" w:rsidP="008E44CC">
      <w:pPr>
        <w:spacing w:after="120"/>
        <w:rPr>
          <w:rFonts w:cs="Times New Roman"/>
          <w:szCs w:val="24"/>
          <w:lang w:val="pt-BR"/>
        </w:rPr>
      </w:pPr>
      <w:r w:rsidRPr="009C7F96">
        <w:rPr>
          <w:rFonts w:cs="Times New Roman"/>
          <w:szCs w:val="24"/>
          <w:lang w:val="pt-BR"/>
        </w:rPr>
        <w:t>O Quadro 1 resume os principais modelos discutidos e sua utilidade para o desenho empírico da pesquisa.</w:t>
      </w:r>
    </w:p>
    <w:tbl>
      <w:tblPr>
        <w:tblW w:w="0" w:type="auto"/>
        <w:jc w:val="center"/>
        <w:tblLook w:val="04A0" w:firstRow="1" w:lastRow="0" w:firstColumn="1" w:lastColumn="0" w:noHBand="0" w:noVBand="1"/>
      </w:tblPr>
      <w:tblGrid>
        <w:gridCol w:w="2122"/>
        <w:gridCol w:w="4677"/>
        <w:gridCol w:w="2552"/>
      </w:tblGrid>
      <w:tr w:rsidR="008E44CC" w:rsidRPr="009C7F96" w14:paraId="399F6BC3" w14:textId="77777777" w:rsidTr="00326AA9">
        <w:trPr>
          <w:jc w:val="center"/>
        </w:trPr>
        <w:tc>
          <w:tcPr>
            <w:tcW w:w="2122" w:type="dxa"/>
            <w:shd w:val="clear" w:color="auto" w:fill="D9EAF7"/>
            <w:tcMar>
              <w:top w:w="30" w:type="dxa"/>
              <w:left w:w="30" w:type="dxa"/>
              <w:bottom w:w="30" w:type="dxa"/>
              <w:right w:w="30" w:type="dxa"/>
            </w:tcMar>
            <w:shd w:val="clear" w:color="auto" w:fill="auto"/>
            <w:tcBorders>
              <w:top w:sz="12" w:val="single" w:color="000000"/>
              <w:left w:val="nil"/>
              <w:bottom w:sz="4" w:val="single" w:color="000000"/>
              <w:right w:val="nil"/>
            </w:tcBorders>
          </w:tcPr>
          <w:p>
            <w:pPr>
              <w:ind w:left="0" w:right="0" w:firstLine="0"/>
              <w:jc w:val="center"/>
            </w:pPr>
            <w:r>
              <w:t>Modelo</w:t>
            </w:r>
          </w:p>
        </w:tc>
        <w:tc>
          <w:tcPr>
            <w:tcW w:w="4677" w:type="dxa"/>
            <w:shd w:val="clear" w:color="auto" w:fill="D9EAF7"/>
            <w:tcMar>
              <w:top w:w="30" w:type="dxa"/>
              <w:left w:w="30" w:type="dxa"/>
              <w:bottom w:w="30" w:type="dxa"/>
              <w:right w:w="30" w:type="dxa"/>
            </w:tcMar>
            <w:shd w:val="clear" w:color="auto" w:fill="auto"/>
            <w:tcBorders>
              <w:top w:sz="12" w:val="single" w:color="000000"/>
              <w:left w:val="nil"/>
              <w:bottom w:sz="4" w:val="single" w:color="000000"/>
              <w:right w:val="nil"/>
            </w:tcBorders>
          </w:tcPr>
          <w:p>
            <w:pPr>
              <w:ind w:left="0" w:right="0" w:firstLine="0"/>
              <w:jc w:val="center"/>
            </w:pPr>
            <w:r>
              <w:t>Equação-base</w:t>
            </w:r>
          </w:p>
        </w:tc>
        <w:tc>
          <w:tcPr>
            <w:tcW w:w="2552" w:type="dxa"/>
            <w:shd w:val="clear" w:color="auto" w:fill="D9EAF7"/>
            <w:tcMar>
              <w:top w:w="30" w:type="dxa"/>
              <w:left w:w="30" w:type="dxa"/>
              <w:bottom w:w="30" w:type="dxa"/>
              <w:right w:w="30" w:type="dxa"/>
            </w:tcMar>
            <w:shd w:val="clear" w:color="auto" w:fill="auto"/>
            <w:tcBorders>
              <w:top w:sz="12" w:val="single" w:color="000000"/>
              <w:left w:val="nil"/>
              <w:bottom w:sz="4" w:val="single" w:color="000000"/>
              <w:right w:val="nil"/>
            </w:tcBorders>
          </w:tcPr>
          <w:p>
            <w:pPr>
              <w:ind w:left="0" w:right="0" w:firstLine="0"/>
              <w:jc w:val="center"/>
            </w:pPr>
            <w:r>
              <w:t>Utilidade para o trabalho</w:t>
            </w:r>
          </w:p>
        </w:tc>
      </w:tr>
      <w:tr w:rsidR="008E44CC" w:rsidRPr="00321F2B" w14:paraId="75030E2C" w14:textId="77777777" w:rsidTr="00326AA9">
        <w:trPr>
          <w:jc w:val="center"/>
        </w:trPr>
        <w:tc>
          <w:tcPr>
            <w:tcW w:w="2122"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Choque de petróleo de Hamilton</w:t>
            </w:r>
          </w:p>
        </w:tc>
        <w:tc>
          <w:tcPr>
            <w:tcW w:w="4677"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NOPIₜ = max{0, ln(Pₜᵒⁱˡ) - max ln(Pₜ₋ⱼ^oil)}</w:t>
            </w:r>
          </w:p>
        </w:tc>
        <w:tc>
          <w:tcPr>
            <w:tcW w:w="2552"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Mede choques relevantes como aumentos acima do pico recente.</w:t>
            </w:r>
          </w:p>
        </w:tc>
      </w:tr>
      <w:tr w:rsidR="008E44CC" w:rsidRPr="00321F2B" w14:paraId="13B59682" w14:textId="77777777" w:rsidTr="00326AA9">
        <w:trPr>
          <w:jc w:val="center"/>
        </w:trPr>
        <w:tc>
          <w:tcPr>
            <w:tcW w:w="2122"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SVAR de Kilian</w:t>
            </w:r>
          </w:p>
        </w:tc>
        <w:tc>
          <w:tcPr>
            <w:tcW w:w="4677"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A₀ yₜ = α + Σ Aᵢ yₜ₋ᵢ + εₜ</w:t>
            </w:r>
          </w:p>
        </w:tc>
        <w:tc>
          <w:tcPr>
            <w:tcW w:w="2552"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Distingue choques de oferta, demanda global e demanda específica por petróleo.</w:t>
            </w:r>
          </w:p>
        </w:tc>
      </w:tr>
      <w:tr w:rsidR="008E44CC" w:rsidRPr="00321F2B" w14:paraId="3AFD11C5" w14:textId="77777777" w:rsidTr="00326AA9">
        <w:trPr>
          <w:jc w:val="center"/>
        </w:trPr>
        <w:tc>
          <w:tcPr>
            <w:tcW w:w="2122"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Curva de Phillips aberta</w:t>
            </w:r>
          </w:p>
        </w:tc>
        <w:tc>
          <w:tcPr>
            <w:tcW w:w="4677"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πₜ = α + β₁Eₜπₜ₊₁ + β₂πₜ₋₁ + β₃yₜ + β₄zₜ + uₜ</w:t>
            </w:r>
          </w:p>
        </w:tc>
        <w:tc>
          <w:tcPr>
            <w:tcW w:w="2552"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Integra câmbio, petróleo, expectativas e hiato na inflação doméstica.</w:t>
            </w:r>
          </w:p>
        </w:tc>
      </w:tr>
      <w:tr w:rsidR="008E44CC" w:rsidRPr="00321F2B" w14:paraId="4B1974C8" w14:textId="77777777" w:rsidTr="00326AA9">
        <w:trPr>
          <w:jc w:val="center"/>
        </w:trPr>
        <w:tc>
          <w:tcPr>
            <w:tcW w:w="2122"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Modelo VAR de Sims</w:t>
            </w:r>
          </w:p>
        </w:tc>
        <w:tc>
          <w:tcPr>
            <w:tcW w:w="4677"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Yₜ = c + Σᵢ₌₁ᵖ AᵢYₜ₋ᵢ + BXₜ + uₜ; IRFⱼ(h) = Ψₕeⱼ</w:t>
            </w:r>
          </w:p>
        </w:tc>
        <w:tc>
          <w:tcPr>
            <w:tcW w:w="2552"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Serve como referência tradicional para respostas dinâmicas e como robustez ao modelo principal de local projections.</w:t>
            </w:r>
          </w:p>
        </w:tc>
      </w:tr>
      <w:tr w:rsidR="008E44CC" w:rsidRPr="00321F2B" w14:paraId="2CB8F0B6" w14:textId="77777777" w:rsidTr="00326AA9">
        <w:trPr>
          <w:jc w:val="center"/>
        </w:trPr>
        <w:tc>
          <w:tcPr>
            <w:tcW w:w="2122"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Local projection linear</w:t>
            </w:r>
          </w:p>
        </w:tc>
        <w:tc>
          <w:tcPr>
            <w:tcW w:w="4677"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yₜ₊ₕ - yₜ₋₁ = αₕ + βₕxₜ + Γ_hW_t + u_{t+h}</w:t>
            </w:r>
          </w:p>
        </w:tc>
        <w:tc>
          <w:tcPr>
            <w:tcW w:w="2552"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Estima diretamente a resposta do IPCA e dos combustíveis em cada horizonte.</w:t>
            </w:r>
          </w:p>
        </w:tc>
      </w:tr>
      <w:tr w:rsidR="008E44CC" w:rsidRPr="00321F2B" w14:paraId="16198ED6" w14:textId="77777777" w:rsidTr="00326AA9">
        <w:trPr>
          <w:jc w:val="center"/>
        </w:trPr>
        <w:tc>
          <w:tcPr>
            <w:tcW w:w="2122"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LP-IV</w:t>
            </w:r>
          </w:p>
        </w:tc>
        <w:tc>
          <w:tcPr>
            <w:tcW w:w="4677"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xₜ = πzₜ + ΛW_t + νₜ; yₜ₊ₕ = αₕ + βₕx̂ₜ + Γ_hW_t + εₜ</w:t>
            </w:r>
          </w:p>
        </w:tc>
        <w:tc>
          <w:tcPr>
            <w:tcW w:w="2552"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Permite tratar endogeneidade do preço doméstico dos combustíveis.</w:t>
            </w:r>
          </w:p>
        </w:tc>
      </w:tr>
      <w:tr w:rsidR="008E44CC" w:rsidRPr="00321F2B" w14:paraId="072FBA84" w14:textId="77777777" w:rsidTr="00326AA9">
        <w:trPr>
          <w:jc w:val="center"/>
        </w:trPr>
        <w:tc>
          <w:tcPr>
            <w:tcW w:w="2122"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State-dependent LP</w:t>
            </w:r>
          </w:p>
        </w:tc>
        <w:tc>
          <w:tcPr>
            <w:tcW w:w="4677"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βₕ^L(1-F(s))xₜ + βₕ^HF(s)xₜ</w:t>
            </w:r>
          </w:p>
        </w:tc>
        <w:tc>
          <w:tcPr>
            <w:tcW w:w="2552"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Compara repasse por regimes, como mudanças na política da Petrobras.</w:t>
            </w:r>
          </w:p>
        </w:tc>
      </w:tr>
      <w:tr w:rsidR="008E44CC" w:rsidRPr="00321F2B" w14:paraId="7E0E5EAC" w14:textId="77777777" w:rsidTr="00326AA9">
        <w:trPr>
          <w:jc w:val="center"/>
        </w:trPr>
        <w:tc>
          <w:tcPr>
            <w:tcW w:w="2122"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Smooth/Bayesian LP</w:t>
            </w:r>
          </w:p>
        </w:tc>
        <w:tc>
          <w:tcPr>
            <w:tcW w:w="4677"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β(h)=ΣbₘBₘ(h); θₕ~N(μₕ,Ωₕ)</w:t>
            </w:r>
          </w:p>
        </w:tc>
        <w:tc>
          <w:tcPr>
            <w:tcW w:w="2552"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Reduz ruído das respostas em amostras curtas e horizontes longos.</w:t>
            </w:r>
          </w:p>
        </w:tc>
      </w:tr>
      <w:tr w:rsidR="008E44CC" w:rsidRPr="00321F2B" w14:paraId="1BB97ACE" w14:textId="77777777" w:rsidTr="00326AA9">
        <w:trPr>
          <w:jc w:val="center"/>
        </w:trPr>
        <w:tc>
          <w:tcPr>
            <w:tcW w:w="2122" w:type="dxa"/>
            <w:tcMar>
              <w:top w:w="30" w:type="dxa"/>
              <w:left w:w="30" w:type="dxa"/>
              <w:bottom w:w="30" w:type="dxa"/>
              <w:right w:w="30" w:type="dxa"/>
            </w:tcMar>
            <w:shd w:val="clear" w:color="auto" w:fill="auto"/>
            <w:tcBorders>
              <w:top w:val="nil"/>
              <w:left w:val="nil"/>
              <w:bottom w:sz="12" w:val="single" w:color="000000"/>
              <w:right w:val="nil"/>
            </w:tcBorders>
          </w:tcPr>
          <w:p>
            <w:pPr>
              <w:ind w:left="0" w:right="0" w:firstLine="0"/>
              <w:jc w:val="center"/>
            </w:pPr>
            <w:r>
              <w:t>Panel LP</w:t>
            </w:r>
          </w:p>
        </w:tc>
        <w:tc>
          <w:tcPr>
            <w:tcW w:w="4677" w:type="dxa"/>
            <w:tcMar>
              <w:top w:w="30" w:type="dxa"/>
              <w:left w:w="30" w:type="dxa"/>
              <w:bottom w:w="30" w:type="dxa"/>
              <w:right w:w="30" w:type="dxa"/>
            </w:tcMar>
            <w:shd w:val="clear" w:color="auto" w:fill="auto"/>
            <w:tcBorders>
              <w:top w:val="nil"/>
              <w:left w:val="nil"/>
              <w:bottom w:sz="12" w:val="single" w:color="000000"/>
              <w:right w:val="nil"/>
            </w:tcBorders>
          </w:tcPr>
          <w:p>
            <w:pPr>
              <w:ind w:left="0" w:right="0" w:firstLine="0"/>
              <w:jc w:val="center"/>
            </w:pPr>
            <w:r>
              <w:t>Δₕπᵣ,ₜ₊ₕ=α_r+τ_t+βₕshock_{r,t}+Γ_hWᵣ,ₜ+ε</w:t>
            </w:r>
          </w:p>
        </w:tc>
        <w:tc>
          <w:tcPr>
            <w:tcW w:w="2552" w:type="dxa"/>
            <w:tcMar>
              <w:top w:w="30" w:type="dxa"/>
              <w:left w:w="30" w:type="dxa"/>
              <w:bottom w:w="30" w:type="dxa"/>
              <w:right w:w="30" w:type="dxa"/>
            </w:tcMar>
            <w:shd w:val="clear" w:color="auto" w:fill="auto"/>
            <w:tcBorders>
              <w:top w:val="nil"/>
              <w:left w:val="nil"/>
              <w:bottom w:sz="12" w:val="single" w:color="000000"/>
              <w:right w:val="nil"/>
            </w:tcBorders>
          </w:tcPr>
          <w:p>
            <w:pPr>
              <w:ind w:left="0" w:right="0" w:firstLine="0"/>
              <w:jc w:val="center"/>
            </w:pPr>
            <w:r>
              <w:t>Explora heterogeneidade regional do IPCA e dos combustíveis.</w:t>
            </w:r>
          </w:p>
        </w:tc>
      </w:tr>
    </w:tbl>
    <w:p w14:paraId="35A8E18A" w14:textId="77777777" w:rsidR="008E44CC" w:rsidRPr="009C7F96" w:rsidRDefault="008E44CC" w:rsidP="008E44CC">
      <w:pPr>
        <w:spacing w:after="240"/>
        <w:ind w:firstLine="0"/>
        <w:jc w:val="center"/>
        <w:rPr>
          <w:rFonts w:cs="Times New Roman"/>
          <w:szCs w:val="24"/>
          <w:lang w:val="pt-BR"/>
        </w:rPr>
      </w:pPr>
      <w:r w:rsidRPr="009C7F96">
        <w:rPr>
          <w:rFonts w:cs="Times New Roman"/>
          <w:sz w:val="20"/>
          <w:szCs w:val="24"/>
          <w:lang w:val="pt-BR"/>
        </w:rPr>
        <w:t>Fonte: Elaboração própria com base na literatura revisada.</w:t>
      </w:r>
    </w:p>
    <w:p w14:paraId="2AE14785" w14:textId="77777777" w:rsidR="008E44CC" w:rsidRPr="009C7F96" w:rsidRDefault="008E44CC" w:rsidP="008E44CC">
      <w:pPr>
        <w:pStyle w:val="Heading1"/>
        <w:spacing w:before="240" w:after="120"/>
        <w:rPr>
          <w:rFonts w:cs="Times New Roman"/>
          <w:szCs w:val="24"/>
        </w:rPr>
      </w:pPr>
      <w:bookmarkStart w:id="22" w:name="_Toc229695943"/>
      <w:r w:rsidRPr="009C7F96">
        <w:rPr>
          <w:rFonts w:ascii="Times New Roman" w:eastAsia="Times New Roman" w:hAnsi="Times New Roman" w:cs="Times New Roman"/>
          <w:szCs w:val="24"/>
        </w:rPr>
        <w:t>3 METODOLOGIA</w:t>
      </w:r>
      <w:bookmarkEnd w:id="22"/>
    </w:p>
    <w:p w14:paraId="1F8191BC" w14:textId="77777777" w:rsidR="008E44CC" w:rsidRPr="009C7F96" w:rsidRDefault="008E44CC" w:rsidP="008E44CC">
      <w:pPr>
        <w:spacing w:after="120"/>
        <w:rPr>
          <w:rFonts w:cs="Times New Roman"/>
          <w:szCs w:val="24"/>
          <w:lang w:val="pt-BR"/>
        </w:rPr>
      </w:pPr>
      <w:r w:rsidRPr="009C7F96">
        <w:rPr>
          <w:rFonts w:cs="Times New Roman"/>
          <w:szCs w:val="24"/>
          <w:lang w:val="pt-BR"/>
        </w:rPr>
        <w:t xml:space="preserve">Esta seção descreve a estratégia empírica utilizada para analisar a transmissão de choques no preço internacional do petróleo para os preços domésticos dos combustíveis e para a inflação </w:t>
      </w:r>
      <w:r w:rsidRPr="009C7F96">
        <w:rPr>
          <w:rFonts w:cs="Times New Roman"/>
          <w:szCs w:val="24"/>
          <w:lang w:val="pt-BR"/>
        </w:rPr>
        <w:lastRenderedPageBreak/>
        <w:t>brasileira. A metodologia foi organizada para separar o mecanismo de transmissão em etapas. Primeiro, avalia-se se o petróleo afeta os combustíveis domésticos. Em seguida, estima-se se os combustíveis afetam o IPCA Transportes e o IPCA Geral. Por fim, verifica-se se o efeito do petróleo sobre a inflação se mantém quando os combustíveis são incluídos como canal de transmissão.</w:t>
      </w:r>
    </w:p>
    <w:p w14:paraId="48C099A9" w14:textId="77777777" w:rsidR="008E44CC" w:rsidRPr="009C7F96" w:rsidRDefault="008E44CC" w:rsidP="008E44CC">
      <w:pPr>
        <w:spacing w:after="120"/>
        <w:rPr>
          <w:rFonts w:cs="Times New Roman"/>
          <w:szCs w:val="24"/>
          <w:lang w:val="pt-BR"/>
        </w:rPr>
      </w:pPr>
      <w:r w:rsidRPr="009C7F96">
        <w:rPr>
          <w:rFonts w:cs="Times New Roman"/>
          <w:szCs w:val="24"/>
          <w:lang w:val="pt-BR"/>
        </w:rPr>
        <w:t>O modelo principal do trabalho é estimado por Local Projections, pois esse método permite calcular diretamente a resposta da variável dependente em diferentes horizontes após um choque. Como exercício de robustez, utiliza-se o modelo VAR, que representa uma especificação multivariada complementar. O VAR não substitui as Local Projections, mas permite avaliar se os sinais centrais encontrados no modelo principal permanecem consistentes em um sistema dinâmico no qual as variáveis interagem conjuntamente.</w:t>
      </w:r>
    </w:p>
    <w:p w14:paraId="1FD3C35C" w14:textId="77777777" w:rsidR="008E44CC" w:rsidRPr="009C7F96" w:rsidRDefault="008E44CC" w:rsidP="008E44CC">
      <w:pPr>
        <w:pStyle w:val="Heading2"/>
        <w:spacing w:before="120" w:after="120"/>
        <w:jc w:val="both"/>
        <w:rPr>
          <w:rFonts w:cs="Times New Roman"/>
          <w:szCs w:val="24"/>
        </w:rPr>
      </w:pPr>
      <w:bookmarkStart w:id="23" w:name="_Toc229695944"/>
      <w:r w:rsidRPr="009C7F96">
        <w:rPr>
          <w:rFonts w:ascii="Times New Roman" w:eastAsia="Times New Roman" w:hAnsi="Times New Roman" w:cs="Times New Roman"/>
          <w:szCs w:val="24"/>
        </w:rPr>
        <w:t>3.1 Base de dados, frequência e amostra</w:t>
      </w:r>
      <w:bookmarkEnd w:id="23"/>
    </w:p>
    <w:p w14:paraId="19FA6788" w14:textId="77777777" w:rsidR="008E44CC" w:rsidRPr="009C7F96" w:rsidRDefault="008E44CC" w:rsidP="008E44CC">
      <w:pPr>
        <w:spacing w:after="120"/>
        <w:rPr>
          <w:rFonts w:cs="Times New Roman"/>
          <w:szCs w:val="24"/>
          <w:lang w:val="pt-BR"/>
        </w:rPr>
      </w:pPr>
      <w:r w:rsidRPr="009C7F96">
        <w:rPr>
          <w:rFonts w:cs="Times New Roman"/>
          <w:szCs w:val="24"/>
          <w:lang w:val="pt-BR"/>
        </w:rPr>
        <w:t>A base de dados possui frequência mensal e cobre o período de 2003 a 2026. A escolha desse intervalo decorre da disponibilidade das séries macroeconômicas utilizadas como controles e da necessidade de compatibilizar preços internacionais, câmbio, combustíveis, atividade econômica, política monetária, expectativas e índices de preços em uma mesma frequência.</w:t>
      </w:r>
    </w:p>
    <w:p w14:paraId="36628E58" w14:textId="77777777" w:rsidR="008E44CC" w:rsidRPr="009C7F96" w:rsidRDefault="008E44CC" w:rsidP="008E44CC">
      <w:pPr>
        <w:spacing w:after="120"/>
        <w:rPr>
          <w:rFonts w:cs="Times New Roman"/>
          <w:szCs w:val="24"/>
          <w:lang w:val="pt-BR"/>
        </w:rPr>
      </w:pPr>
      <w:r w:rsidRPr="009C7F96">
        <w:rPr>
          <w:rFonts w:cs="Times New Roman"/>
          <w:szCs w:val="24"/>
          <w:lang w:val="pt-BR"/>
        </w:rPr>
        <w:t>As principais variáveis utilizadas são o preço internacional do petróleo, a taxa de câmbio nominal, os preços domésticos da gasolina, do etanol e do óleo diesel, o preço da gasolina na refinaria, o IPCA Geral, o IPCA Transportes, a atividade econômica, a meta Selic, as expectativas de inflação e o índice de restrição associado à pandemia, usado como controle para o período da Covid-19.</w:t>
      </w:r>
    </w:p>
    <w:p w14:paraId="7DFB99CF" w14:textId="77777777" w:rsidR="008E44CC" w:rsidRPr="009C7F96" w:rsidRDefault="008E44CC" w:rsidP="008E44CC">
      <w:pPr>
        <w:spacing w:before="120" w:after="60"/>
        <w:ind w:firstLine="0"/>
        <w:jc w:val="center"/>
        <w:rPr>
          <w:rFonts w:cs="Times New Roman"/>
          <w:szCs w:val="24"/>
        </w:rPr>
      </w:pPr>
      <w:r w:rsidRPr="009C7F96">
        <w:rPr>
          <w:rFonts w:cs="Times New Roman"/>
          <w:b/>
          <w:sz w:val="20"/>
          <w:szCs w:val="24"/>
        </w:rPr>
        <w:t>Quadro 1 - Variáveis utilizadas na estimação</w:t>
      </w:r>
    </w:p>
    <w:tbl>
      <w:tblPr>
        <w:tblW w:w="0" w:type="auto"/>
        <w:jc w:val="center"/>
        <w:tblLook w:val="04A0" w:firstRow="1" w:lastRow="0" w:firstColumn="1" w:lastColumn="0" w:noHBand="0" w:noVBand="1"/>
      </w:tblPr>
      <w:tblGrid>
        <w:gridCol w:w="3131"/>
        <w:gridCol w:w="3132"/>
        <w:gridCol w:w="3132"/>
      </w:tblGrid>
      <w:tr w:rsidR="008E44CC" w:rsidRPr="009C7F96" w14:paraId="4BB795F5" w14:textId="77777777" w:rsidTr="00AB4120">
        <w:trPr>
          <w:jc w:val="center"/>
        </w:trPr>
        <w:tc>
          <w:tcPr>
            <w:tcW w:w="3135" w:type="dxa"/>
            <w:shd w:val="clear" w:color="auto" w:fill="D9EAF7"/>
            <w:tcMar>
              <w:top w:w="30" w:type="dxa"/>
              <w:left w:w="30" w:type="dxa"/>
              <w:bottom w:w="30" w:type="dxa"/>
              <w:right w:w="30" w:type="dxa"/>
            </w:tcMar>
            <w:shd w:val="clear" w:color="auto" w:fill="auto"/>
            <w:tcBorders>
              <w:top w:sz="12" w:val="single" w:color="000000"/>
              <w:left w:val="nil"/>
              <w:bottom w:sz="4" w:val="single" w:color="000000"/>
              <w:right w:val="nil"/>
            </w:tcBorders>
          </w:tcPr>
          <w:p>
            <w:pPr>
              <w:ind w:left="0" w:right="0" w:firstLine="0"/>
              <w:jc w:val="center"/>
            </w:pPr>
            <w:r>
              <w:t>Variável</w:t>
            </w:r>
          </w:p>
        </w:tc>
        <w:tc>
          <w:tcPr>
            <w:tcW w:w="3135" w:type="dxa"/>
            <w:shd w:val="clear" w:color="auto" w:fill="D9EAF7"/>
            <w:tcMar>
              <w:top w:w="30" w:type="dxa"/>
              <w:left w:w="30" w:type="dxa"/>
              <w:bottom w:w="30" w:type="dxa"/>
              <w:right w:w="30" w:type="dxa"/>
            </w:tcMar>
            <w:shd w:val="clear" w:color="auto" w:fill="auto"/>
            <w:tcBorders>
              <w:top w:sz="12" w:val="single" w:color="000000"/>
              <w:left w:val="nil"/>
              <w:bottom w:sz="4" w:val="single" w:color="000000"/>
              <w:right w:val="nil"/>
            </w:tcBorders>
          </w:tcPr>
          <w:p>
            <w:pPr>
              <w:ind w:left="0" w:right="0" w:firstLine="0"/>
              <w:jc w:val="center"/>
            </w:pPr>
            <w:r>
              <w:t>Papel no modelo</w:t>
            </w:r>
          </w:p>
        </w:tc>
        <w:tc>
          <w:tcPr>
            <w:tcW w:w="3135" w:type="dxa"/>
            <w:shd w:val="clear" w:color="auto" w:fill="D9EAF7"/>
            <w:tcMar>
              <w:top w:w="30" w:type="dxa"/>
              <w:left w:w="30" w:type="dxa"/>
              <w:bottom w:w="30" w:type="dxa"/>
              <w:right w:w="30" w:type="dxa"/>
            </w:tcMar>
            <w:shd w:val="clear" w:color="auto" w:fill="auto"/>
            <w:tcBorders>
              <w:top w:sz="12" w:val="single" w:color="000000"/>
              <w:left w:val="nil"/>
              <w:bottom w:sz="4" w:val="single" w:color="000000"/>
              <w:right w:val="nil"/>
            </w:tcBorders>
          </w:tcPr>
          <w:p>
            <w:pPr>
              <w:ind w:left="0" w:right="0" w:firstLine="0"/>
              <w:jc w:val="center"/>
            </w:pPr>
            <w:r>
              <w:t>Tratamento</w:t>
            </w:r>
          </w:p>
        </w:tc>
      </w:tr>
      <w:tr w:rsidR="008E44CC" w:rsidRPr="009C7F96" w14:paraId="71399E3D" w14:textId="77777777" w:rsidTr="00AB4120">
        <w:trPr>
          <w:jc w:val="center"/>
        </w:trPr>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Preço internacional do petróleo</w:t>
            </w:r>
          </w:p>
        </w:tc>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Choque externo principal</w:t>
            </w:r>
          </w:p>
        </w:tc>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Variação logarítmica mensal</w:t>
            </w:r>
          </w:p>
        </w:tc>
      </w:tr>
      <w:tr w:rsidR="008E44CC" w:rsidRPr="009C7F96" w14:paraId="773F818E" w14:textId="77777777" w:rsidTr="00AB4120">
        <w:trPr>
          <w:jc w:val="center"/>
        </w:trPr>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Câmbio nominal</w:t>
            </w:r>
          </w:p>
        </w:tc>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Canal de transmissão externo e doméstico</w:t>
            </w:r>
          </w:p>
        </w:tc>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Variação logarítmica mensal</w:t>
            </w:r>
          </w:p>
        </w:tc>
      </w:tr>
      <w:tr w:rsidR="008E44CC" w:rsidRPr="009C7F96" w14:paraId="3E616101" w14:textId="77777777" w:rsidTr="00AB4120">
        <w:trPr>
          <w:jc w:val="center"/>
        </w:trPr>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Gasolina, etanol e óleo diesel</w:t>
            </w:r>
          </w:p>
        </w:tc>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Canal doméstico de combustíveis</w:t>
            </w:r>
          </w:p>
        </w:tc>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Variação logarítmica mensal</w:t>
            </w:r>
          </w:p>
        </w:tc>
      </w:tr>
      <w:tr w:rsidR="008E44CC" w:rsidRPr="009C7F96" w14:paraId="5F465DD1" w14:textId="77777777" w:rsidTr="00AB4120">
        <w:trPr>
          <w:jc w:val="center"/>
        </w:trPr>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Gasolina na refinaria</w:t>
            </w:r>
          </w:p>
        </w:tc>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Canal de precificação da Petrobras</w:t>
            </w:r>
          </w:p>
        </w:tc>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Variação logarítmica mensal</w:t>
            </w:r>
          </w:p>
        </w:tc>
      </w:tr>
      <w:tr w:rsidR="008E44CC" w:rsidRPr="00321F2B" w14:paraId="6C36EB98" w14:textId="77777777" w:rsidTr="00AB4120">
        <w:trPr>
          <w:jc w:val="center"/>
        </w:trPr>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IPCA Geral</w:t>
            </w:r>
          </w:p>
        </w:tc>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Inflação agregada</w:t>
            </w:r>
          </w:p>
        </w:tc>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Inflação mensal ou variação logarítmica do índice</w:t>
            </w:r>
          </w:p>
        </w:tc>
      </w:tr>
      <w:tr w:rsidR="008E44CC" w:rsidRPr="00321F2B" w14:paraId="52BFD92F" w14:textId="77777777" w:rsidTr="00AB4120">
        <w:trPr>
          <w:jc w:val="center"/>
        </w:trPr>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IPCA Transportes</w:t>
            </w:r>
          </w:p>
        </w:tc>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Inflação setorial diretamente afetada por combustíveis</w:t>
            </w:r>
          </w:p>
        </w:tc>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Inflação mensal ou variação logarítmica do índice</w:t>
            </w:r>
          </w:p>
        </w:tc>
      </w:tr>
      <w:tr w:rsidR="008E44CC" w:rsidRPr="009C7F96" w14:paraId="624FBC8F" w14:textId="77777777" w:rsidTr="00AB4120">
        <w:trPr>
          <w:jc w:val="center"/>
        </w:trPr>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Atividade econômica</w:t>
            </w:r>
          </w:p>
        </w:tc>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Controle macroeconômico</w:t>
            </w:r>
          </w:p>
        </w:tc>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Variação logarítmica mensal</w:t>
            </w:r>
          </w:p>
        </w:tc>
      </w:tr>
      <w:tr w:rsidR="008E44CC" w:rsidRPr="009C7F96" w14:paraId="1EC69CD6" w14:textId="77777777" w:rsidTr="00AB4120">
        <w:trPr>
          <w:jc w:val="center"/>
        </w:trPr>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Expectativa de inflação</w:t>
            </w:r>
          </w:p>
        </w:tc>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Controle de expectativas</w:t>
            </w:r>
          </w:p>
        </w:tc>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Variação logarítmica mensal</w:t>
            </w:r>
          </w:p>
        </w:tc>
      </w:tr>
      <w:tr w:rsidR="008E44CC" w:rsidRPr="00321F2B" w14:paraId="38720C6C" w14:textId="77777777" w:rsidTr="00AB4120">
        <w:trPr>
          <w:jc w:val="center"/>
        </w:trPr>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Meta Selic</w:t>
            </w:r>
          </w:p>
        </w:tc>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Controle de política monetária no VAR</w:t>
            </w:r>
          </w:p>
        </w:tc>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Média mensal da série diária e log em nível</w:t>
            </w:r>
          </w:p>
        </w:tc>
      </w:tr>
      <w:tr w:rsidR="008E44CC" w:rsidRPr="00321F2B" w14:paraId="04692F01" w14:textId="77777777" w:rsidTr="00AB4120">
        <w:trPr>
          <w:jc w:val="center"/>
        </w:trPr>
        <w:tc>
          <w:tcPr>
            <w:tcW w:w="3135" w:type="dxa"/>
            <w:tcMar>
              <w:top w:w="30" w:type="dxa"/>
              <w:left w:w="30" w:type="dxa"/>
              <w:bottom w:w="30" w:type="dxa"/>
              <w:right w:w="30" w:type="dxa"/>
            </w:tcMar>
            <w:shd w:val="clear" w:color="auto" w:fill="auto"/>
            <w:tcBorders>
              <w:top w:val="nil"/>
              <w:left w:val="nil"/>
              <w:bottom w:sz="12" w:val="single" w:color="000000"/>
              <w:right w:val="nil"/>
            </w:tcBorders>
          </w:tcPr>
          <w:p>
            <w:pPr>
              <w:ind w:left="0" w:right="0" w:firstLine="0"/>
              <w:jc w:val="center"/>
            </w:pPr>
            <w:r>
              <w:t>Stringency index</w:t>
            </w:r>
          </w:p>
        </w:tc>
        <w:tc>
          <w:tcPr>
            <w:tcW w:w="3135" w:type="dxa"/>
            <w:tcMar>
              <w:top w:w="30" w:type="dxa"/>
              <w:left w:w="30" w:type="dxa"/>
              <w:bottom w:w="30" w:type="dxa"/>
              <w:right w:w="30" w:type="dxa"/>
            </w:tcMar>
            <w:shd w:val="clear" w:color="auto" w:fill="auto"/>
            <w:tcBorders>
              <w:top w:val="nil"/>
              <w:left w:val="nil"/>
              <w:bottom w:sz="12" w:val="single" w:color="000000"/>
              <w:right w:val="nil"/>
            </w:tcBorders>
          </w:tcPr>
          <w:p>
            <w:pPr>
              <w:ind w:left="0" w:right="0" w:firstLine="0"/>
              <w:jc w:val="center"/>
            </w:pPr>
            <w:r>
              <w:t>Controle para pandemia</w:t>
            </w:r>
          </w:p>
        </w:tc>
        <w:tc>
          <w:tcPr>
            <w:tcW w:w="3135" w:type="dxa"/>
            <w:tcMar>
              <w:top w:w="30" w:type="dxa"/>
              <w:left w:w="30" w:type="dxa"/>
              <w:bottom w:w="30" w:type="dxa"/>
              <w:right w:w="30" w:type="dxa"/>
            </w:tcMar>
            <w:shd w:val="clear" w:color="auto" w:fill="auto"/>
            <w:tcBorders>
              <w:top w:val="nil"/>
              <w:left w:val="nil"/>
              <w:bottom w:sz="12" w:val="single" w:color="000000"/>
              <w:right w:val="nil"/>
            </w:tcBorders>
          </w:tcPr>
          <w:p>
            <w:pPr>
              <w:ind w:left="0" w:right="0" w:firstLine="0"/>
              <w:jc w:val="center"/>
            </w:pPr>
            <w:r>
              <w:t>Nível mensal e variável exógena</w:t>
            </w:r>
          </w:p>
        </w:tc>
      </w:tr>
    </w:tbl>
    <w:p w14:paraId="523CE1E6" w14:textId="77777777" w:rsidR="008E44CC" w:rsidRPr="009C7F96" w:rsidRDefault="008E44CC" w:rsidP="008E44CC">
      <w:pPr>
        <w:spacing w:after="120" w:line="240" w:lineRule="auto"/>
        <w:ind w:firstLine="0"/>
        <w:jc w:val="center"/>
        <w:rPr>
          <w:rFonts w:cs="Times New Roman"/>
          <w:szCs w:val="24"/>
          <w:lang w:val="pt-BR"/>
        </w:rPr>
      </w:pPr>
      <w:r w:rsidRPr="009C7F96">
        <w:rPr>
          <w:rFonts w:cs="Times New Roman"/>
          <w:sz w:val="20"/>
          <w:szCs w:val="24"/>
          <w:lang w:val="pt-BR"/>
        </w:rPr>
        <w:t>Fonte: Elaboração própria.</w:t>
      </w:r>
    </w:p>
    <w:p w14:paraId="04B318AA" w14:textId="77777777" w:rsidR="008E44CC" w:rsidRPr="009C7F96" w:rsidRDefault="008E44CC" w:rsidP="008E44CC">
      <w:pPr>
        <w:pStyle w:val="Heading2"/>
        <w:spacing w:before="120" w:after="120"/>
        <w:jc w:val="both"/>
        <w:rPr>
          <w:rFonts w:cs="Times New Roman"/>
          <w:szCs w:val="24"/>
        </w:rPr>
      </w:pPr>
      <w:bookmarkStart w:id="24" w:name="_Toc229695945"/>
      <w:r w:rsidRPr="009C7F96">
        <w:rPr>
          <w:rFonts w:ascii="Times New Roman" w:eastAsia="Times New Roman" w:hAnsi="Times New Roman" w:cs="Times New Roman"/>
          <w:szCs w:val="24"/>
        </w:rPr>
        <w:t>3.2 Transformação das séries</w:t>
      </w:r>
      <w:bookmarkEnd w:id="24"/>
    </w:p>
    <w:p w14:paraId="65C5D8A5" w14:textId="77777777" w:rsidR="008E44CC" w:rsidRDefault="008E44CC" w:rsidP="008E44CC">
      <w:pPr>
        <w:spacing w:after="120"/>
        <w:rPr>
          <w:rFonts w:cs="Times New Roman"/>
          <w:szCs w:val="24"/>
          <w:lang w:val="pt-BR"/>
        </w:rPr>
      </w:pPr>
      <w:r w:rsidRPr="009C7F96">
        <w:rPr>
          <w:rFonts w:cs="Times New Roman"/>
          <w:szCs w:val="24"/>
          <w:lang w:val="pt-BR"/>
        </w:rPr>
        <w:t>As séries de preços e índices foram transformadas de forma a aproximar taxas de variação mensais e reduzir o risco de regressões espúrias com variáveis não estacionárias. Para uma variável positiva x_t, a variação logarítmica mensal é definida por:</w:t>
      </w:r>
    </w:p>
    <w:p w14:paraId="48A52CD9" w14:textId="77777777" w:rsidR="000D50A4" w:rsidRPr="009C7F96" w:rsidRDefault="000D50A4" w:rsidP="008E44CC">
      <w:pPr>
        <w:spacing w:after="120"/>
        <w:rPr>
          <w:rFonts w:cs="Times New Roman"/>
          <w:szCs w:val="24"/>
          <w:lang w:val="pt-BR"/>
        </w:rPr>
      </w:pPr>
    </w:p>
    <w:p w14:paraId="72151631" w14:textId="052F9184" w:rsidR="008E44CC" w:rsidRDefault="000D50A4" w:rsidP="008E44CC">
      <w:pPr>
        <w:spacing w:after="120"/>
        <w:rPr>
          <w:rFonts w:cs="Times New Roman"/>
          <w:szCs w:val="24"/>
          <w:lang w:val="pt-BR"/>
        </w:rPr>
      </w:pPr>
      <m:oMathPara>
        <m:oMath>
          <m:r>
            <w:rPr>
              <w:rFonts w:ascii="Cambria Math" w:hAnsi="Cambria Math" w:cs="Times New Roman"/>
              <w:szCs w:val="24"/>
            </w:rPr>
            <m:t>Δ</m:t>
          </m:r>
          <m:r>
            <w:rPr>
              <w:rFonts w:ascii="Cambria Math" w:hAnsi="Cambria Math" w:cs="Times New Roman"/>
              <w:szCs w:val="24"/>
              <w:lang w:val="pt-BR"/>
            </w:rPr>
            <m:t>ln(xₜ) = 100 · [ln(xₜ) - ln(xₜ₋₁)]        (1)</m:t>
          </m:r>
        </m:oMath>
      </m:oMathPara>
    </w:p>
    <w:p w14:paraId="07C6B2E2" w14:textId="7CFFC574" w:rsidR="000D50A4" w:rsidRPr="009C7F96" w:rsidRDefault="000D50A4" w:rsidP="008E44CC">
      <w:pPr>
        <w:spacing w:after="120"/>
        <w:rPr>
          <w:rFonts w:cs="Times New Roman"/>
          <w:szCs w:val="24"/>
          <w:lang w:val="pt-BR"/>
        </w:rPr>
      </w:pPr>
    </w:p>
    <w:p w14:paraId="2E01575A" w14:textId="77777777" w:rsidR="008E44CC" w:rsidRDefault="008E44CC" w:rsidP="008E44CC">
      <w:pPr>
        <w:spacing w:after="120"/>
        <w:rPr>
          <w:rFonts w:cs="Times New Roman"/>
          <w:szCs w:val="24"/>
          <w:lang w:val="pt-BR"/>
        </w:rPr>
      </w:pPr>
      <w:r w:rsidRPr="009C7F96">
        <w:rPr>
          <w:rFonts w:cs="Times New Roman"/>
          <w:szCs w:val="24"/>
          <w:lang w:val="pt-BR"/>
        </w:rPr>
        <w:t>Essa transformação permite interpretar a série aproximadamente como variação percentual mensal. No caso dos índices de preços, quando a série estava em nível, a inflação mensal foi calculada por:</w:t>
      </w:r>
    </w:p>
    <w:p w14:paraId="7A06154B" w14:textId="77777777" w:rsidR="007A672C" w:rsidRPr="009C7F96" w:rsidRDefault="007A672C" w:rsidP="008E44CC">
      <w:pPr>
        <w:spacing w:after="120"/>
        <w:rPr>
          <w:rFonts w:cs="Times New Roman"/>
          <w:szCs w:val="24"/>
          <w:lang w:val="pt-BR"/>
        </w:rPr>
      </w:pPr>
    </w:p>
    <w:p w14:paraId="0480F3C9" w14:textId="5563F9BF" w:rsidR="008E44CC" w:rsidRPr="007A672C" w:rsidRDefault="000D50A4" w:rsidP="008E44CC">
      <w:pPr>
        <w:spacing w:after="120"/>
        <w:rPr>
          <w:rFonts w:cs="Times New Roman"/>
          <w:szCs w:val="24"/>
          <w:lang w:val="pt-BR"/>
        </w:rPr>
      </w:pPr>
      <m:oMathPara>
        <m:oMath>
          <m:r>
            <w:rPr>
              <w:rFonts w:ascii="Cambria Math" w:hAnsi="Cambria Math" w:cs="Times New Roman"/>
              <w:szCs w:val="24"/>
            </w:rPr>
            <m:t>π</m:t>
          </m:r>
          <m:r>
            <w:rPr>
              <w:rFonts w:ascii="Cambria Math" w:hAnsi="Cambria Math" w:cs="Times New Roman"/>
              <w:szCs w:val="24"/>
              <w:lang w:val="pt-BR"/>
            </w:rPr>
            <m:t>ₜ = 100 · [ln(IPCAₜ) - ln(IPCAₜ₋₁)]        (2)</m:t>
          </m:r>
        </m:oMath>
      </m:oMathPara>
    </w:p>
    <w:p w14:paraId="03E86C07" w14:textId="77777777" w:rsidR="007A672C" w:rsidRPr="009C7F96" w:rsidRDefault="007A672C" w:rsidP="008E44CC">
      <w:pPr>
        <w:spacing w:after="120"/>
        <w:rPr>
          <w:rFonts w:cs="Times New Roman"/>
          <w:szCs w:val="24"/>
          <w:lang w:val="pt-BR"/>
        </w:rPr>
      </w:pPr>
    </w:p>
    <w:p w14:paraId="6215228F" w14:textId="77777777" w:rsidR="008E44CC" w:rsidRDefault="008E44CC" w:rsidP="008E44CC">
      <w:pPr>
        <w:spacing w:after="120"/>
        <w:rPr>
          <w:rFonts w:cs="Times New Roman"/>
          <w:szCs w:val="24"/>
          <w:lang w:val="pt-BR"/>
        </w:rPr>
      </w:pPr>
      <w:r w:rsidRPr="009C7F96">
        <w:rPr>
          <w:rFonts w:cs="Times New Roman"/>
          <w:szCs w:val="24"/>
          <w:lang w:val="pt-BR"/>
        </w:rPr>
        <w:t>Quando a série já estava expressa como variação mensal, preservou-se a variável original para evitar dupla diferenciação. Nos modelos de Local Projections, os choques são padronizados pelo desvio-padrão da própria variável de impulso, de modo que o coeficiente estimado represente a resposta a um choque de um desvio-padrão:</w:t>
      </w:r>
    </w:p>
    <w:p w14:paraId="55A37F51" w14:textId="77777777" w:rsidR="007A672C" w:rsidRPr="009C7F96" w:rsidRDefault="007A672C" w:rsidP="008E44CC">
      <w:pPr>
        <w:spacing w:after="120"/>
        <w:rPr>
          <w:rFonts w:cs="Times New Roman"/>
          <w:szCs w:val="24"/>
          <w:lang w:val="pt-BR"/>
        </w:rPr>
      </w:pPr>
    </w:p>
    <w:p w14:paraId="5FDBBF29" w14:textId="5BA25BB5" w:rsidR="008E44CC" w:rsidRPr="007A672C" w:rsidRDefault="000D50A4" w:rsidP="008E44CC">
      <w:pPr>
        <w:spacing w:after="120"/>
        <w:rPr>
          <w:rFonts w:cs="Times New Roman"/>
          <w:szCs w:val="24"/>
          <w:lang w:val="pt-BR"/>
        </w:rPr>
      </w:pPr>
      <m:oMathPara>
        <m:oMath>
          <m:r>
            <w:rPr>
              <w:rFonts w:ascii="Cambria Math" w:hAnsi="Cambria Math" w:cs="Times New Roman"/>
              <w:szCs w:val="24"/>
              <w:lang w:val="pt-BR"/>
            </w:rPr>
            <m:t>shockₜˢ</m:t>
          </m:r>
          <m:r>
            <w:rPr>
              <w:rFonts w:ascii="Cambria Math" w:hAnsi="Cambria Math" w:cs="Times New Roman"/>
              <w:szCs w:val="24"/>
            </w:rPr>
            <m:t>ᵗᵈ</m:t>
          </m:r>
          <m:r>
            <w:rPr>
              <w:rFonts w:ascii="Cambria Math" w:hAnsi="Cambria Math" w:cs="Times New Roman"/>
              <w:szCs w:val="24"/>
              <w:lang w:val="pt-BR"/>
            </w:rPr>
            <m:t xml:space="preserve"> =  </m:t>
          </m:r>
          <m:f>
            <m:fPr>
              <m:ctrlPr>
                <w:rPr>
                  <w:rFonts w:ascii="Cambria Math" w:hAnsi="Cambria Math" w:cs="Times New Roman"/>
                  <w:i/>
                  <w:szCs w:val="24"/>
                  <w:lang w:val="pt-BR"/>
                </w:rPr>
              </m:ctrlPr>
            </m:fPr>
            <m:num>
              <m:r>
                <w:rPr>
                  <w:rFonts w:ascii="Cambria Math" w:hAnsi="Cambria Math" w:cs="Times New Roman"/>
                  <w:szCs w:val="24"/>
                  <w:lang w:val="pt-BR"/>
                </w:rPr>
                <m:t>shockₜ</m:t>
              </m:r>
            </m:num>
            <m:den>
              <m:r>
                <w:rPr>
                  <w:rFonts w:ascii="Cambria Math" w:hAnsi="Cambria Math" w:cs="Times New Roman"/>
                  <w:szCs w:val="24"/>
                </w:rPr>
                <m:t>σ</m:t>
              </m:r>
              <m:r>
                <w:rPr>
                  <w:rFonts w:ascii="Cambria Math" w:hAnsi="Cambria Math" w:cs="Times New Roman"/>
                  <w:szCs w:val="24"/>
                  <w:lang w:val="pt-BR"/>
                </w:rPr>
                <m:t>(shockₜ)</m:t>
              </m:r>
            </m:den>
          </m:f>
          <m:r>
            <w:rPr>
              <w:rFonts w:ascii="Cambria Math" w:hAnsi="Cambria Math" w:cs="Times New Roman"/>
              <w:szCs w:val="24"/>
              <w:lang w:val="pt-BR"/>
            </w:rPr>
            <m:t xml:space="preserve">        (3)</m:t>
          </m:r>
        </m:oMath>
      </m:oMathPara>
    </w:p>
    <w:p w14:paraId="5EF9BE6C" w14:textId="77777777" w:rsidR="007A672C" w:rsidRPr="009C7F96" w:rsidRDefault="007A672C" w:rsidP="008E44CC">
      <w:pPr>
        <w:spacing w:after="120"/>
        <w:rPr>
          <w:rFonts w:cs="Times New Roman"/>
          <w:szCs w:val="24"/>
          <w:lang w:val="pt-BR"/>
        </w:rPr>
      </w:pPr>
    </w:p>
    <w:p w14:paraId="0C41615D" w14:textId="77777777" w:rsidR="008E44CC" w:rsidRPr="009C7F96" w:rsidRDefault="008E44CC" w:rsidP="008E44CC">
      <w:pPr>
        <w:spacing w:after="120"/>
        <w:rPr>
          <w:rFonts w:cs="Times New Roman"/>
          <w:szCs w:val="24"/>
          <w:lang w:val="pt-BR"/>
        </w:rPr>
      </w:pPr>
      <w:r w:rsidRPr="009C7F96">
        <w:rPr>
          <w:rFonts w:cs="Times New Roman"/>
          <w:szCs w:val="24"/>
          <w:lang w:val="pt-BR"/>
        </w:rPr>
        <w:t xml:space="preserve">No VAR, a Selic recebe tratamento específico. Em vez de utilizar somente a coluna mensal da planilha principal, o modelo lê a série diária da meta Selic, calcula sua média mensal e utiliza a variável em logaritmo de nível. Essa escolha preserva o conteúdo econômico do patamar da taxa </w:t>
      </w:r>
      <w:r w:rsidRPr="009C7F96">
        <w:rPr>
          <w:rFonts w:cs="Times New Roman"/>
          <w:szCs w:val="24"/>
          <w:lang w:val="pt-BR"/>
        </w:rPr>
        <w:lastRenderedPageBreak/>
        <w:t>de juros, pois a política monetária atua mais pelo nível da taxa do que apenas por sua variação mensal.</w:t>
      </w:r>
    </w:p>
    <w:p w14:paraId="4340DB9E" w14:textId="77777777" w:rsidR="008E44CC" w:rsidRPr="009C7F96" w:rsidRDefault="008E44CC" w:rsidP="008E44CC">
      <w:pPr>
        <w:pStyle w:val="Heading2"/>
        <w:spacing w:before="120" w:after="120"/>
        <w:jc w:val="both"/>
        <w:rPr>
          <w:rFonts w:cs="Times New Roman"/>
          <w:szCs w:val="24"/>
        </w:rPr>
      </w:pPr>
      <w:bookmarkStart w:id="25" w:name="_Toc229695946"/>
      <w:r w:rsidRPr="009C7F96">
        <w:rPr>
          <w:rFonts w:ascii="Times New Roman" w:eastAsia="Times New Roman" w:hAnsi="Times New Roman" w:cs="Times New Roman"/>
          <w:szCs w:val="24"/>
        </w:rPr>
        <w:t>3.3 Testes preliminares das séries</w:t>
      </w:r>
      <w:bookmarkEnd w:id="25"/>
    </w:p>
    <w:p w14:paraId="2A360408" w14:textId="77777777" w:rsidR="008E44CC" w:rsidRDefault="008E44CC" w:rsidP="008E44CC">
      <w:pPr>
        <w:spacing w:after="120"/>
        <w:rPr>
          <w:rFonts w:cs="Times New Roman"/>
          <w:szCs w:val="24"/>
          <w:lang w:val="pt-BR"/>
        </w:rPr>
      </w:pPr>
      <w:r w:rsidRPr="009C7F96">
        <w:rPr>
          <w:rFonts w:cs="Times New Roman"/>
          <w:szCs w:val="24"/>
          <w:lang w:val="pt-BR"/>
        </w:rPr>
        <w:t>Antes da estimação dos modelos, as séries são avaliadas por testes de estacionariedade. Esse passo é necessário porque modelos dinâmicos podem produzir relações espúrias quando aplicados diretamente a séries não estacionárias. O primeiro teste utilizado é o teste de Dickey-Fuller aumentado, conhecido como ADF. Sua forma simplificada pode ser escrita como:</w:t>
      </w:r>
    </w:p>
    <w:p w14:paraId="366C0180" w14:textId="77777777" w:rsidR="007A672C" w:rsidRPr="009C7F96" w:rsidRDefault="007A672C" w:rsidP="008E44CC">
      <w:pPr>
        <w:spacing w:after="120"/>
        <w:jc w:val="center"/>
        <w:rPr>
          <w:rFonts w:cs="Times New Roman"/>
          <w:szCs w:val="24"/>
          <w:lang w:val="pt-BR"/>
        </w:rPr>
      </w:pPr>
      <w:r>
        <w:rPr>
          <w:i/>
        </w:rPr>
        <w:t>Δy_t = α + βt + γ y_{t-1} + Σ_{i=1}^p δ_i Δy_{t-i} + ε_t</w:t>
      </w:r>
    </w:p>
    <w:p w14:paraId="75457341" w14:textId="45CDF026" w:rsidR="008E44CC" w:rsidRDefault="007A672C" w:rsidP="008E44CC">
      <w:pPr>
        <w:spacing w:after="120"/>
        <w:rPr>
          <w:rFonts w:cs="Times New Roman"/>
          <w:szCs w:val="24"/>
          <w:lang w:val="pt-BR"/>
        </w:rPr>
      </w:pPr>
      <w:commentRangeStart w:id="26"/>
      <m:oMath>
        <m:r>
          <w:rPr>
            <w:rFonts w:ascii="Cambria Math" w:hAnsi="Cambria Math" w:cs="Times New Roman"/>
            <w:szCs w:val="24"/>
          </w:rPr>
          <m:t>Δ</m:t>
        </m:r>
        <m:r>
          <w:rPr>
            <w:rFonts w:ascii="Cambria Math" w:hAnsi="Cambria Math" w:cs="Times New Roman"/>
            <w:szCs w:val="24"/>
            <w:lang w:val="pt-BR"/>
          </w:rPr>
          <m:t xml:space="preserve">yₜ = </m:t>
        </m:r>
        <m:r>
          <w:rPr>
            <w:rFonts w:ascii="Cambria Math" w:hAnsi="Cambria Math" w:cs="Times New Roman"/>
            <w:szCs w:val="24"/>
          </w:rPr>
          <m:t>α</m:t>
        </m:r>
        <m:r>
          <w:rPr>
            <w:rFonts w:ascii="Cambria Math" w:hAnsi="Cambria Math" w:cs="Times New Roman"/>
            <w:szCs w:val="24"/>
            <w:lang w:val="pt-BR"/>
          </w:rPr>
          <m:t xml:space="preserve"> + </m:t>
        </m:r>
        <m:r>
          <w:rPr>
            <w:rFonts w:ascii="Cambria Math" w:hAnsi="Cambria Math" w:cs="Times New Roman"/>
            <w:szCs w:val="24"/>
          </w:rPr>
          <m:t>ρ</m:t>
        </m:r>
        <m:r>
          <w:rPr>
            <w:rFonts w:ascii="Cambria Math" w:hAnsi="Cambria Math" w:cs="Times New Roman"/>
            <w:szCs w:val="24"/>
            <w:lang w:val="pt-BR"/>
          </w:rPr>
          <m:t xml:space="preserve">yₜ₋₁ + </m:t>
        </m:r>
        <m:r>
          <w:rPr>
            <w:rFonts w:ascii="Cambria Math" w:hAnsi="Cambria Math" w:cs="Times New Roman"/>
            <w:szCs w:val="24"/>
          </w:rPr>
          <m:t>Σᵢ</m:t>
        </m:r>
        <m:r>
          <w:rPr>
            <w:rFonts w:ascii="Cambria Math" w:hAnsi="Cambria Math" w:cs="Times New Roman"/>
            <w:szCs w:val="24"/>
            <w:lang w:val="pt-BR"/>
          </w:rPr>
          <m:t>₌₁</m:t>
        </m:r>
        <m:r>
          <w:rPr>
            <w:rFonts w:ascii="Cambria Math" w:hAnsi="Cambria Math" w:cs="Times New Roman"/>
            <w:szCs w:val="24"/>
          </w:rPr>
          <m:t>ᵖ</m:t>
        </m:r>
        <m:r>
          <w:rPr>
            <w:rFonts w:ascii="Cambria Math" w:hAnsi="Cambria Math" w:cs="Times New Roman"/>
            <w:szCs w:val="24"/>
            <w:lang w:val="pt-BR"/>
          </w:rPr>
          <m:t xml:space="preserve"> </m:t>
        </m:r>
        <m:r>
          <w:rPr>
            <w:rFonts w:ascii="Cambria Math" w:hAnsi="Cambria Math" w:cs="Times New Roman"/>
            <w:szCs w:val="24"/>
          </w:rPr>
          <m:t>φᵢΔ</m:t>
        </m:r>
        <m:r>
          <w:rPr>
            <w:rFonts w:ascii="Cambria Math" w:hAnsi="Cambria Math" w:cs="Times New Roman"/>
            <w:szCs w:val="24"/>
            <w:lang w:val="pt-BR"/>
          </w:rPr>
          <m:t>yₜ₋</m:t>
        </m:r>
        <m:r>
          <w:rPr>
            <w:rFonts w:ascii="Cambria Math" w:hAnsi="Cambria Math" w:cs="Times New Roman"/>
            <w:szCs w:val="24"/>
          </w:rPr>
          <m:t>ᵢ</m:t>
        </m:r>
        <m:r>
          <w:rPr>
            <w:rFonts w:ascii="Cambria Math" w:hAnsi="Cambria Math" w:cs="Times New Roman"/>
            <w:szCs w:val="24"/>
            <w:lang w:val="pt-BR"/>
          </w:rPr>
          <m:t xml:space="preserve"> + </m:t>
        </m:r>
        <m:r>
          <w:rPr>
            <w:rFonts w:ascii="Cambria Math" w:hAnsi="Cambria Math" w:cs="Times New Roman"/>
            <w:szCs w:val="24"/>
          </w:rPr>
          <m:t>ε</m:t>
        </m:r>
        <m:r>
          <w:rPr>
            <w:rFonts w:ascii="Cambria Math" w:hAnsi="Cambria Math" w:cs="Times New Roman"/>
            <w:szCs w:val="24"/>
            <w:lang w:val="pt-BR"/>
          </w:rPr>
          <m:t>ₜ        (4)</m:t>
        </m:r>
      </m:oMath>
      <w:commentRangeEnd w:id="26"/>
      <w:r>
        <w:rPr>
          <w:rStyle w:val="CommentReference"/>
          <w:rFonts w:cs="Times New Roman"/>
          <w:sz w:val="24"/>
          <w:szCs w:val="24"/>
          <w:lang w:val="pt-BR"/>
        </w:rPr>
        <w:commentReference w:id="26"/>
      </w:r>
    </w:p>
    <w:p w14:paraId="698B5969" w14:textId="77777777" w:rsidR="007A672C" w:rsidRPr="009C7F96" w:rsidRDefault="007A672C" w:rsidP="008E44CC">
      <w:pPr>
        <w:spacing w:after="120"/>
        <w:rPr>
          <w:rFonts w:cs="Times New Roman"/>
          <w:szCs w:val="24"/>
          <w:lang w:val="pt-BR"/>
        </w:rPr>
      </w:pPr>
    </w:p>
    <w:p w14:paraId="04638857" w14:textId="77777777" w:rsidR="008E44CC" w:rsidRDefault="008E44CC" w:rsidP="008E44CC">
      <w:pPr>
        <w:spacing w:after="120"/>
        <w:rPr>
          <w:rFonts w:cs="Times New Roman"/>
          <w:szCs w:val="24"/>
          <w:lang w:val="pt-BR"/>
        </w:rPr>
      </w:pPr>
      <w:r w:rsidRPr="009C7F96">
        <w:rPr>
          <w:rFonts w:cs="Times New Roman"/>
          <w:szCs w:val="24"/>
          <w:lang w:val="pt-BR"/>
        </w:rPr>
        <w:t>No teste ADF, a hipótese nula é de presença de raiz unitária. Assim, a rejeição da hipótese nula indica evidência favorável à estacionariedade da série, considerando a especificação adotada. Como complemento, utiliza-se o teste KPSS, cuja hipótese nula é a estacionariedade. Em forma simplificada:</w:t>
      </w:r>
    </w:p>
    <w:p w14:paraId="15874960" w14:textId="77777777" w:rsidR="007A672C" w:rsidRPr="009C7F96" w:rsidRDefault="007A672C" w:rsidP="008E44CC">
      <w:pPr>
        <w:spacing w:after="120"/>
        <w:rPr>
          <w:rFonts w:cs="Times New Roman"/>
          <w:szCs w:val="24"/>
          <w:lang w:val="pt-BR"/>
        </w:rPr>
      </w:pPr>
    </w:p>
    <w:p w14:paraId="797231AA" w14:textId="55A4A130" w:rsidR="008E44CC" w:rsidRDefault="007A672C" w:rsidP="008E44CC">
      <w:pPr>
        <w:spacing w:after="120"/>
        <w:rPr>
          <w:rFonts w:cs="Times New Roman"/>
          <w:szCs w:val="24"/>
          <w:lang w:val="pt-BR"/>
        </w:rPr>
      </w:pPr>
      <m:oMathPara>
        <m:oMath>
          <m:r>
            <w:rPr>
              <w:rFonts w:ascii="Cambria Math" w:hAnsi="Cambria Math" w:cs="Times New Roman"/>
              <w:szCs w:val="24"/>
              <w:lang w:val="pt-BR"/>
            </w:rPr>
            <m:t xml:space="preserve">KPSS: yₜ = </m:t>
          </m:r>
          <m:r>
            <w:rPr>
              <w:rFonts w:ascii="Cambria Math" w:hAnsi="Cambria Math" w:cs="Times New Roman"/>
              <w:szCs w:val="24"/>
            </w:rPr>
            <m:t>μ</m:t>
          </m:r>
          <m:r>
            <w:rPr>
              <w:rFonts w:ascii="Cambria Math" w:hAnsi="Cambria Math" w:cs="Times New Roman"/>
              <w:szCs w:val="24"/>
              <w:lang w:val="pt-BR"/>
            </w:rPr>
            <m:t xml:space="preserve">ₜ + rₜ + </m:t>
          </m:r>
          <m:r>
            <w:rPr>
              <w:rFonts w:ascii="Cambria Math" w:hAnsi="Cambria Math" w:cs="Times New Roman"/>
              <w:szCs w:val="24"/>
            </w:rPr>
            <m:t>ε</m:t>
          </m:r>
          <m:r>
            <w:rPr>
              <w:rFonts w:ascii="Cambria Math" w:hAnsi="Cambria Math" w:cs="Times New Roman"/>
              <w:szCs w:val="24"/>
              <w:lang w:val="pt-BR"/>
            </w:rPr>
            <m:t>ₜ, com rₜ = rₜ₋₁ + uₜ        (5)</m:t>
          </m:r>
        </m:oMath>
      </m:oMathPara>
    </w:p>
    <w:p w14:paraId="37920608" w14:textId="77777777" w:rsidR="007A672C" w:rsidRPr="009C7F96" w:rsidRDefault="007A672C" w:rsidP="008E44CC">
      <w:pPr>
        <w:spacing w:after="120"/>
        <w:rPr>
          <w:rFonts w:cs="Times New Roman"/>
          <w:szCs w:val="24"/>
          <w:lang w:val="pt-BR"/>
        </w:rPr>
      </w:pPr>
    </w:p>
    <w:p w14:paraId="2CE85293" w14:textId="77777777" w:rsidR="008E44CC" w:rsidRPr="009C7F96" w:rsidRDefault="008E44CC" w:rsidP="008E44CC">
      <w:pPr>
        <w:spacing w:after="120"/>
        <w:rPr>
          <w:rFonts w:cs="Times New Roman"/>
          <w:szCs w:val="24"/>
          <w:lang w:val="pt-BR"/>
        </w:rPr>
      </w:pPr>
      <w:r w:rsidRPr="009C7F96">
        <w:rPr>
          <w:rFonts w:cs="Times New Roman"/>
          <w:szCs w:val="24"/>
          <w:lang w:val="pt-BR"/>
        </w:rPr>
        <w:t>A combinação entre ADF e KPSS é útil porque os testes possuem hipóteses nulas opostas. Quando o ADF rejeita a presença de raiz unitária e o KPSS não rejeita estacionariedade, há maior segurança para utilizar a série transformada. Quando os resultados são ambíguos, a decisão considera também a natureza econômica da variável, a presença de tendência e a necessidade de manter coerência entre as especificações.</w:t>
      </w:r>
    </w:p>
    <w:p w14:paraId="67B4A924" w14:textId="77777777" w:rsidR="008E44CC" w:rsidRDefault="008E44CC" w:rsidP="008E44CC">
      <w:pPr>
        <w:spacing w:after="120"/>
        <w:rPr>
          <w:rFonts w:cs="Times New Roman"/>
          <w:szCs w:val="24"/>
          <w:lang w:val="pt-BR"/>
        </w:rPr>
      </w:pPr>
      <w:r w:rsidRPr="009C7F96">
        <w:rPr>
          <w:rFonts w:cs="Times New Roman"/>
          <w:szCs w:val="24"/>
          <w:lang w:val="pt-BR"/>
        </w:rPr>
        <w:t>Além dos testes de estacionariedade, o modelo VAR também calcula testes de cointegração de Johansen sobre as variáveis em nível. Esse teste não define sozinho a especificação principal, mas ajuda a verificar se há relações de longo prazo entre preços, câmbio, combustíveis e inflação. A forma vetorial associada ao teste pode ser expressa como:</w:t>
      </w:r>
    </w:p>
    <w:p w14:paraId="55E11DC7" w14:textId="77777777" w:rsidR="007A672C" w:rsidRPr="009C7F96" w:rsidRDefault="007A672C" w:rsidP="008E44CC">
      <w:pPr>
        <w:spacing w:after="120"/>
        <w:jc w:val="center"/>
        <w:rPr>
          <w:rFonts w:cs="Times New Roman"/>
          <w:szCs w:val="24"/>
          <w:lang w:val="pt-BR"/>
        </w:rPr>
      </w:pPr>
      <w:r>
        <w:rPr>
          <w:i/>
        </w:rPr>
        <w:t>ΔY_t = Π Y_{t-1} + Σ_{i=1}^{p-1} Γ_i ΔY_{t-i} + ε_t</w:t>
      </w:r>
    </w:p>
    <w:p w14:paraId="18C9BED2" w14:textId="4C57F00D" w:rsidR="008E44CC" w:rsidRPr="009C7F96" w:rsidRDefault="007A672C" w:rsidP="008E44CC">
      <w:pPr>
        <w:spacing w:after="120"/>
        <w:rPr>
          <w:rFonts w:cs="Times New Roman"/>
          <w:szCs w:val="24"/>
          <w:lang w:val="pt-BR"/>
        </w:rPr>
      </w:pPr>
      <m:oMath>
        <m:r>
          <w:rPr>
            <w:rFonts w:ascii="Cambria Math" w:hAnsi="Cambria Math" w:cs="Times New Roman"/>
            <w:szCs w:val="24"/>
          </w:rPr>
          <m:t>Δ</m:t>
        </m:r>
        <m:r>
          <w:rPr>
            <w:rFonts w:ascii="Cambria Math" w:hAnsi="Cambria Math" w:cs="Times New Roman"/>
            <w:szCs w:val="24"/>
            <w:lang w:val="pt-BR"/>
          </w:rPr>
          <m:t xml:space="preserve">Yₜ = </m:t>
        </m:r>
        <m:r>
          <w:rPr>
            <w:rFonts w:ascii="Cambria Math" w:hAnsi="Cambria Math" w:cs="Times New Roman"/>
            <w:szCs w:val="24"/>
          </w:rPr>
          <m:t>Π</m:t>
        </m:r>
        <m:r>
          <w:rPr>
            <w:rFonts w:ascii="Cambria Math" w:hAnsi="Cambria Math" w:cs="Times New Roman"/>
            <w:szCs w:val="24"/>
            <w:lang w:val="pt-BR"/>
          </w:rPr>
          <m:t xml:space="preserve">Yₜ₋₁ + </m:t>
        </m:r>
        <m:r>
          <w:rPr>
            <w:rFonts w:ascii="Cambria Math" w:hAnsi="Cambria Math" w:cs="Times New Roman"/>
            <w:szCs w:val="24"/>
          </w:rPr>
          <m:t>Σᵢ</m:t>
        </m:r>
        <m:r>
          <w:rPr>
            <w:rFonts w:ascii="Cambria Math" w:hAnsi="Cambria Math" w:cs="Times New Roman"/>
            <w:szCs w:val="24"/>
            <w:lang w:val="pt-BR"/>
          </w:rPr>
          <m:t>₌₁</m:t>
        </m:r>
        <m:r>
          <w:rPr>
            <w:rFonts w:ascii="Cambria Math" w:hAnsi="Cambria Math" w:cs="Times New Roman"/>
            <w:szCs w:val="24"/>
          </w:rPr>
          <m:t>ᵖ</m:t>
        </m:r>
        <m:r>
          <w:rPr>
            <w:rFonts w:ascii="Cambria Math" w:hAnsi="Cambria Math" w:cs="Times New Roman"/>
            <w:szCs w:val="24"/>
            <w:lang w:val="pt-BR"/>
          </w:rPr>
          <m:t xml:space="preserve">⁻¹ </m:t>
        </m:r>
        <m:r>
          <w:rPr>
            <w:rFonts w:ascii="Cambria Math" w:hAnsi="Cambria Math" w:cs="Times New Roman"/>
            <w:szCs w:val="24"/>
          </w:rPr>
          <m:t>ΓᵢΔ</m:t>
        </m:r>
        <m:r>
          <w:rPr>
            <w:rFonts w:ascii="Cambria Math" w:hAnsi="Cambria Math" w:cs="Times New Roman"/>
            <w:szCs w:val="24"/>
            <w:lang w:val="pt-BR"/>
          </w:rPr>
          <m:t>Yₜ₋</m:t>
        </m:r>
        <m:r>
          <w:rPr>
            <w:rFonts w:ascii="Cambria Math" w:hAnsi="Cambria Math" w:cs="Times New Roman"/>
            <w:szCs w:val="24"/>
          </w:rPr>
          <m:t>ᵢ</m:t>
        </m:r>
        <m:r>
          <w:rPr>
            <w:rFonts w:ascii="Cambria Math" w:hAnsi="Cambria Math" w:cs="Times New Roman"/>
            <w:szCs w:val="24"/>
            <w:lang w:val="pt-BR"/>
          </w:rPr>
          <m:t xml:space="preserve"> + </m:t>
        </m:r>
        <m:r>
          <w:rPr>
            <w:rFonts w:ascii="Cambria Math" w:hAnsi="Cambria Math" w:cs="Times New Roman"/>
            <w:szCs w:val="24"/>
          </w:rPr>
          <m:t>ε</m:t>
        </m:r>
        <m:r>
          <w:rPr>
            <w:rFonts w:ascii="Cambria Math" w:hAnsi="Cambria Math" w:cs="Times New Roman"/>
            <w:szCs w:val="24"/>
            <w:lang w:val="pt-BR"/>
          </w:rPr>
          <m:t>ₜ        (6)</m:t>
        </m:r>
      </m:oMath>
      <w:commentRangeEnd w:id="27"/>
      <w:r w:rsidRPr="009C7F96">
        <w:rPr>
          <w:rStyle w:val="CommentReference"/>
          <w:rFonts w:cs="Times New Roman"/>
          <w:sz w:val="24"/>
          <w:szCs w:val="24"/>
          <w:lang w:val="pt-BR"/>
        </w:rPr>
        <w:commentReference w:id="27"/>
      </w:r>
    </w:p>
    <w:p w14:paraId="0EAA319E" w14:textId="77777777" w:rsidR="008E44CC" w:rsidRPr="009C7F96" w:rsidRDefault="008E44CC" w:rsidP="008E44CC">
      <w:pPr>
        <w:spacing w:after="120"/>
        <w:rPr>
          <w:rFonts w:cs="Times New Roman"/>
          <w:szCs w:val="24"/>
          <w:lang w:val="pt-BR"/>
        </w:rPr>
      </w:pPr>
      <w:r w:rsidRPr="009C7F96">
        <w:rPr>
          <w:rFonts w:cs="Times New Roman"/>
          <w:szCs w:val="24"/>
          <w:lang w:val="pt-BR"/>
        </w:rPr>
        <w:lastRenderedPageBreak/>
        <w:t xml:space="preserve">O posto da matriz </w:t>
      </w:r>
      <w:r w:rsidRPr="009C7F96">
        <w:rPr>
          <w:rFonts w:cs="Times New Roman"/>
          <w:szCs w:val="24"/>
        </w:rPr>
        <w:t>Π</w:t>
      </w:r>
      <w:r w:rsidRPr="009C7F96">
        <w:rPr>
          <w:rFonts w:cs="Times New Roman"/>
          <w:szCs w:val="24"/>
          <w:lang w:val="pt-BR"/>
        </w:rPr>
        <w:t xml:space="preserve"> informa o número de relações de cointegração. Como o objetivo principal do trabalho é analisar respostas dinâmicas de curto e médio prazo, a evidência de cointegração é tratada como diagnóstico complementar e não como substituição automática das especificações em diferenças.</w:t>
      </w:r>
    </w:p>
    <w:p w14:paraId="323E3E23" w14:textId="77777777" w:rsidR="008E44CC" w:rsidRPr="009C7F96" w:rsidRDefault="008E44CC" w:rsidP="008E44CC">
      <w:pPr>
        <w:pStyle w:val="Heading2"/>
        <w:spacing w:before="120" w:after="120"/>
        <w:jc w:val="both"/>
        <w:rPr>
          <w:rFonts w:cs="Times New Roman"/>
          <w:szCs w:val="24"/>
        </w:rPr>
      </w:pPr>
      <w:bookmarkStart w:id="28" w:name="_Toc229695947"/>
      <w:r w:rsidRPr="009C7F96">
        <w:rPr>
          <w:rFonts w:ascii="Times New Roman" w:eastAsia="Times New Roman" w:hAnsi="Times New Roman" w:cs="Times New Roman"/>
          <w:szCs w:val="24"/>
        </w:rPr>
        <w:t>3.4 Modelo principal: Local Projections</w:t>
      </w:r>
      <w:bookmarkEnd w:id="28"/>
    </w:p>
    <w:p w14:paraId="18E27FFC" w14:textId="77777777" w:rsidR="008E44CC" w:rsidRPr="009C7F96" w:rsidRDefault="008E44CC" w:rsidP="008E44CC">
      <w:pPr>
        <w:spacing w:after="120"/>
        <w:rPr>
          <w:rFonts w:cs="Times New Roman"/>
          <w:szCs w:val="24"/>
          <w:lang w:val="pt-BR"/>
        </w:rPr>
      </w:pPr>
      <w:r w:rsidRPr="009C7F96">
        <w:rPr>
          <w:rFonts w:cs="Times New Roman"/>
          <w:szCs w:val="24"/>
          <w:lang w:val="pt-BR"/>
        </w:rPr>
        <w:t>As Local Projections estimam uma regressão separada para cada horizonte de resposta. Essa é a diferença central em relação a modelos de sistema, como o VAR. Em vez de estimar uma única estrutura dinâmica e derivar dela todas as respostas futuras, a Local Projection estima diretamente o efeito do choque em cada horizonte h. Isso torna o método flexível e adequado para avaliar a transmissão do petróleo para combustíveis e inflação ao longo do tempo.</w:t>
      </w:r>
    </w:p>
    <w:p w14:paraId="4454B406" w14:textId="77777777" w:rsidR="008E44CC" w:rsidRDefault="008E44CC" w:rsidP="008E44CC">
      <w:pPr>
        <w:spacing w:after="120"/>
        <w:rPr>
          <w:rFonts w:cs="Times New Roman"/>
          <w:szCs w:val="24"/>
          <w:lang w:val="pt-BR"/>
        </w:rPr>
      </w:pPr>
      <w:r w:rsidRPr="009C7F96">
        <w:rPr>
          <w:rFonts w:cs="Times New Roman"/>
          <w:szCs w:val="24"/>
          <w:lang w:val="pt-BR"/>
        </w:rPr>
        <w:t>A especificação pontual geral é dada por:</w:t>
      </w:r>
    </w:p>
    <w:p w14:paraId="6842085C" w14:textId="77777777" w:rsidR="007A672C" w:rsidRPr="009C7F96" w:rsidRDefault="007A672C" w:rsidP="008E44CC">
      <w:pPr>
        <w:spacing w:after="120"/>
        <w:rPr>
          <w:rFonts w:cs="Times New Roman"/>
          <w:szCs w:val="24"/>
          <w:lang w:val="pt-BR"/>
        </w:rPr>
      </w:pPr>
    </w:p>
    <w:p w14:paraId="008B1CFB" w14:textId="13575421" w:rsidR="008E44CC" w:rsidRDefault="007A672C" w:rsidP="008E44CC">
      <w:pPr>
        <w:spacing w:after="120"/>
        <w:rPr>
          <w:rFonts w:cs="Times New Roman"/>
          <w:szCs w:val="24"/>
          <w:lang w:val="pt-BR"/>
        </w:rPr>
      </w:pPr>
      <m:oMathPara>
        <m:oMath>
          <m:r>
            <w:rPr>
              <w:rFonts w:ascii="Cambria Math" w:hAnsi="Cambria Math" w:cs="Times New Roman"/>
              <w:szCs w:val="24"/>
              <w:lang w:val="pt-BR"/>
            </w:rPr>
            <m:t xml:space="preserve">yₜ₊ₕ = </m:t>
          </m:r>
          <m:r>
            <w:rPr>
              <w:rFonts w:ascii="Cambria Math" w:hAnsi="Cambria Math" w:cs="Times New Roman"/>
              <w:szCs w:val="24"/>
            </w:rPr>
            <m:t>α</m:t>
          </m:r>
          <m:r>
            <w:rPr>
              <w:rFonts w:ascii="Cambria Math" w:hAnsi="Cambria Math" w:cs="Times New Roman"/>
              <w:szCs w:val="24"/>
              <w:lang w:val="pt-BR"/>
            </w:rPr>
            <m:t xml:space="preserve">ₕ + </m:t>
          </m:r>
          <m:r>
            <w:rPr>
              <w:rFonts w:ascii="Cambria Math" w:hAnsi="Cambria Math" w:cs="Times New Roman"/>
              <w:szCs w:val="24"/>
            </w:rPr>
            <m:t>β</m:t>
          </m:r>
          <m:r>
            <w:rPr>
              <w:rFonts w:ascii="Cambria Math" w:hAnsi="Cambria Math" w:cs="Times New Roman"/>
              <w:szCs w:val="24"/>
              <w:lang w:val="pt-BR"/>
            </w:rPr>
            <m:t>ₕshockₜˢ</m:t>
          </m:r>
          <m:r>
            <w:rPr>
              <w:rFonts w:ascii="Cambria Math" w:hAnsi="Cambria Math" w:cs="Times New Roman"/>
              <w:szCs w:val="24"/>
            </w:rPr>
            <m:t>ᵗᵈ</m:t>
          </m:r>
          <m:r>
            <w:rPr>
              <w:rFonts w:ascii="Cambria Math" w:hAnsi="Cambria Math" w:cs="Times New Roman"/>
              <w:szCs w:val="24"/>
              <w:lang w:val="pt-BR"/>
            </w:rPr>
            <m:t xml:space="preserve"> + </m:t>
          </m:r>
          <m:r>
            <w:rPr>
              <w:rFonts w:ascii="Cambria Math" w:hAnsi="Cambria Math" w:cs="Times New Roman"/>
              <w:szCs w:val="24"/>
            </w:rPr>
            <m:t>Γ</m:t>
          </m:r>
          <m:r>
            <w:rPr>
              <w:rFonts w:ascii="Cambria Math" w:hAnsi="Cambria Math" w:cs="Times New Roman"/>
              <w:szCs w:val="24"/>
              <w:lang w:val="pt-BR"/>
            </w:rPr>
            <m:t xml:space="preserve">ₕ(L)Zₜ + uₜ₊ₕ⁽ʰ⁾,    h = </m:t>
          </m:r>
          <m:r>
            <w:rPr>
              <w:rFonts w:ascii="Cambria Math" w:hAnsi="Cambria Math" w:cs="Times New Roman"/>
              <w:szCs w:val="24"/>
              <w:lang w:val="pt-BR"/>
            </w:rPr>
            <m:t>0, 1, ..., H        (7)</m:t>
          </m:r>
        </m:oMath>
      </m:oMathPara>
    </w:p>
    <w:p w14:paraId="7DB3241E" w14:textId="77777777" w:rsidR="007A672C" w:rsidRPr="009C7F96" w:rsidRDefault="007A672C" w:rsidP="008E44CC">
      <w:pPr>
        <w:spacing w:after="120"/>
        <w:rPr>
          <w:rFonts w:cs="Times New Roman"/>
          <w:szCs w:val="24"/>
          <w:lang w:val="pt-BR"/>
        </w:rPr>
      </w:pPr>
    </w:p>
    <w:p w14:paraId="73E371A4" w14:textId="6B9AE0B5" w:rsidR="008E44CC" w:rsidRPr="007A672C" w:rsidRDefault="008E44CC" w:rsidP="007A672C">
      <w:pPr>
        <w:spacing w:after="120"/>
        <w:rPr>
          <w:rFonts w:cs="Times New Roman"/>
          <w:szCs w:val="24"/>
          <w:lang w:val="pt-BR"/>
        </w:rPr>
      </w:pPr>
      <w:r w:rsidRPr="009C7F96">
        <w:rPr>
          <w:rFonts w:cs="Times New Roman"/>
          <w:szCs w:val="24"/>
          <w:lang w:val="pt-BR"/>
        </w:rPr>
        <w:t xml:space="preserve">Nessa equação, </w:t>
      </w:r>
      <m:oMath>
        <m:sSub>
          <m:sSubPr>
            <m:ctrlPr>
              <w:rPr>
                <w:rFonts w:ascii="Cambria Math" w:hAnsi="Cambria Math" w:cs="Times New Roman"/>
                <w:i/>
                <w:szCs w:val="24"/>
                <w:lang w:val="pt-BR"/>
              </w:rPr>
            </m:ctrlPr>
          </m:sSubPr>
          <m:e>
            <m:r>
              <w:rPr>
                <w:rFonts w:ascii="Cambria Math" w:hAnsi="Cambria Math" w:cs="Times New Roman"/>
                <w:szCs w:val="24"/>
                <w:lang w:val="pt-BR"/>
              </w:rPr>
              <m:t>y</m:t>
            </m:r>
          </m:e>
          <m:sub>
            <m:r>
              <w:rPr>
                <w:rFonts w:ascii="Cambria Math" w:hAnsi="Cambria Math" w:cs="Times New Roman"/>
                <w:szCs w:val="24"/>
                <w:lang w:val="pt-BR"/>
              </w:rPr>
              <m:t>t+h</m:t>
            </m:r>
          </m:sub>
        </m:sSub>
      </m:oMath>
      <w:r w:rsidRPr="009C7F96">
        <w:rPr>
          <w:rFonts w:cs="Times New Roman"/>
          <w:szCs w:val="24"/>
          <w:lang w:val="pt-BR"/>
        </w:rPr>
        <w:t xml:space="preserve"> é a variável de resposta no horizonte </w:t>
      </w:r>
      <m:oMath>
        <m:r>
          <w:rPr>
            <w:rFonts w:ascii="Cambria Math" w:hAnsi="Cambria Math" w:cs="Times New Roman"/>
            <w:szCs w:val="24"/>
            <w:lang w:val="pt-BR"/>
          </w:rPr>
          <m:t>h</m:t>
        </m:r>
      </m:oMath>
      <w:r w:rsidRPr="009C7F96">
        <w:rPr>
          <w:rFonts w:cs="Times New Roman"/>
          <w:szCs w:val="24"/>
          <w:lang w:val="pt-BR"/>
        </w:rPr>
        <w:t xml:space="preserve">, </w:t>
      </w:r>
      <m:oMath>
        <m:r>
          <w:rPr>
            <w:rFonts w:ascii="Cambria Math" w:hAnsi="Cambria Math" w:cs="Times New Roman"/>
            <w:szCs w:val="24"/>
            <w:lang w:val="pt-BR"/>
          </w:rPr>
          <m:t>shoc</m:t>
        </m:r>
        <m:sSubSup>
          <m:sSubSupPr>
            <m:ctrlPr>
              <w:rPr>
                <w:rFonts w:ascii="Cambria Math" w:hAnsi="Cambria Math" w:cs="Times New Roman"/>
                <w:i/>
                <w:szCs w:val="24"/>
                <w:lang w:val="pt-BR"/>
              </w:rPr>
            </m:ctrlPr>
          </m:sSubSupPr>
          <m:e>
            <m:r>
              <w:rPr>
                <w:rFonts w:ascii="Cambria Math" w:hAnsi="Cambria Math" w:cs="Times New Roman"/>
                <w:szCs w:val="24"/>
                <w:lang w:val="pt-BR"/>
              </w:rPr>
              <m:t>k</m:t>
            </m:r>
          </m:e>
          <m:sub>
            <m:r>
              <w:rPr>
                <w:rFonts w:ascii="Cambria Math" w:hAnsi="Cambria Math" w:cs="Times New Roman"/>
                <w:szCs w:val="24"/>
                <w:lang w:val="pt-BR"/>
              </w:rPr>
              <m:t>t</m:t>
            </m:r>
          </m:sub>
          <m:sup>
            <m:r>
              <w:rPr>
                <w:rFonts w:ascii="Cambria Math" w:hAnsi="Cambria Math" w:cs="Times New Roman"/>
                <w:szCs w:val="24"/>
                <w:lang w:val="pt-BR"/>
              </w:rPr>
              <m:t>std</m:t>
            </m:r>
          </m:sup>
        </m:sSubSup>
      </m:oMath>
      <w:r w:rsidRPr="009C7F96">
        <w:rPr>
          <w:rFonts w:cs="Times New Roman"/>
          <w:szCs w:val="24"/>
          <w:lang w:val="pt-BR"/>
        </w:rPr>
        <w:t xml:space="preserve"> é o choque padronizado, </w:t>
      </w:r>
      <m:oMath>
        <m:sSub>
          <m:sSubPr>
            <m:ctrlPr>
              <w:rPr>
                <w:rFonts w:ascii="Cambria Math" w:hAnsi="Cambria Math" w:cs="Times New Roman"/>
                <w:i/>
                <w:szCs w:val="24"/>
                <w:lang w:val="pt-BR"/>
              </w:rPr>
            </m:ctrlPr>
          </m:sSubPr>
          <m:e>
            <m:r>
              <w:rPr>
                <w:rFonts w:ascii="Cambria Math" w:hAnsi="Cambria Math" w:cs="Times New Roman"/>
                <w:szCs w:val="24"/>
                <w:lang w:val="pt-BR"/>
              </w:rPr>
              <m:t>Z</m:t>
            </m:r>
          </m:e>
          <m:sub>
            <m:r>
              <w:rPr>
                <w:rFonts w:ascii="Cambria Math" w:hAnsi="Cambria Math" w:cs="Times New Roman"/>
                <w:szCs w:val="24"/>
                <w:lang w:val="pt-BR"/>
              </w:rPr>
              <m:t>t</m:t>
            </m:r>
          </m:sub>
        </m:sSub>
      </m:oMath>
      <w:r w:rsidRPr="009C7F96">
        <w:rPr>
          <w:rFonts w:cs="Times New Roman"/>
          <w:szCs w:val="24"/>
          <w:lang w:val="pt-BR"/>
        </w:rPr>
        <w:t xml:space="preserve"> reúne controles e defasagens, e </w:t>
      </w:r>
      <m:oMath>
        <m:sSub>
          <m:sSubPr>
            <m:ctrlPr>
              <w:rPr>
                <w:rFonts w:ascii="Cambria Math" w:hAnsi="Cambria Math" w:cs="Times New Roman"/>
                <w:i/>
                <w:szCs w:val="24"/>
                <w:lang w:val="pt-BR"/>
              </w:rPr>
            </m:ctrlPr>
          </m:sSubPr>
          <m:e>
            <m:r>
              <w:rPr>
                <w:rFonts w:ascii="Cambria Math" w:hAnsi="Cambria Math" w:cs="Times New Roman"/>
                <w:szCs w:val="24"/>
              </w:rPr>
              <m:t>β</m:t>
            </m:r>
            <m:ctrlPr>
              <w:rPr>
                <w:rFonts w:ascii="Cambria Math" w:hAnsi="Cambria Math" w:cs="Times New Roman"/>
                <w:i/>
                <w:szCs w:val="24"/>
              </w:rPr>
            </m:ctrlPr>
          </m:e>
          <m:sub>
            <m:r>
              <w:rPr>
                <w:rFonts w:ascii="Cambria Math" w:hAnsi="Cambria Math" w:cs="Times New Roman"/>
                <w:szCs w:val="24"/>
                <w:lang w:val="pt-BR"/>
              </w:rPr>
              <m:t>h</m:t>
            </m:r>
          </m:sub>
        </m:sSub>
      </m:oMath>
      <w:r w:rsidRPr="009C7F96">
        <w:rPr>
          <w:rFonts w:cs="Times New Roman"/>
          <w:szCs w:val="24"/>
          <w:lang w:val="pt-BR"/>
        </w:rPr>
        <w:t xml:space="preserve"> mede a resposta da variável dependente ao choque no horizonte analisado. Como cada horizonte possui sua própria regressão, o coeficiente </w:t>
      </w:r>
      <m:oMath>
        <m:sSub>
          <m:sSubPr>
            <m:ctrlPr>
              <w:rPr>
                <w:rFonts w:ascii="Cambria Math" w:hAnsi="Cambria Math" w:cs="Times New Roman"/>
                <w:i/>
                <w:szCs w:val="24"/>
                <w:lang w:val="pt-BR"/>
              </w:rPr>
            </m:ctrlPr>
          </m:sSubPr>
          <m:e>
            <m:r>
              <w:rPr>
                <w:rFonts w:ascii="Cambria Math" w:hAnsi="Cambria Math" w:cs="Times New Roman"/>
                <w:szCs w:val="24"/>
              </w:rPr>
              <m:t>β</m:t>
            </m:r>
            <m:ctrlPr>
              <w:rPr>
                <w:rFonts w:ascii="Cambria Math" w:hAnsi="Cambria Math" w:cs="Times New Roman"/>
                <w:i/>
                <w:szCs w:val="24"/>
              </w:rPr>
            </m:ctrlPr>
          </m:e>
          <m:sub>
            <m:r>
              <w:rPr>
                <w:rFonts w:ascii="Cambria Math" w:hAnsi="Cambria Math" w:cs="Times New Roman"/>
                <w:szCs w:val="24"/>
                <w:lang w:val="pt-BR"/>
              </w:rPr>
              <m:t>h</m:t>
            </m:r>
          </m:sub>
        </m:sSub>
      </m:oMath>
      <w:r w:rsidRPr="009C7F96">
        <w:rPr>
          <w:rFonts w:cs="Times New Roman"/>
          <w:szCs w:val="24"/>
          <w:lang w:val="pt-BR"/>
        </w:rPr>
        <w:t xml:space="preserve"> pode variar livremente ao longo do tempo, sem impor que a trajetória siga a estrutura de um sistema autorregressivo único.</w:t>
      </w:r>
    </w:p>
    <w:p w14:paraId="778BA413" w14:textId="77777777" w:rsidR="008E44CC" w:rsidRDefault="008E44CC" w:rsidP="008E44CC">
      <w:pPr>
        <w:spacing w:after="120"/>
        <w:rPr>
          <w:rFonts w:cs="Times New Roman"/>
          <w:szCs w:val="24"/>
          <w:lang w:val="pt-BR"/>
        </w:rPr>
      </w:pPr>
      <w:r w:rsidRPr="009C7F96">
        <w:rPr>
          <w:rFonts w:cs="Times New Roman"/>
          <w:szCs w:val="24"/>
          <w:lang w:val="pt-BR"/>
        </w:rPr>
        <w:t>Além da resposta pontual, o trabalho estima respostas acumuladas. Essa forma é especialmente útil para inflação, porque o interesse empírico não é apenas saber se o choque afeta um mês específico, mas quanto do efeito se acumula ao longo dos meses após o choque. A variável acumulada é dada por:</w:t>
      </w:r>
    </w:p>
    <w:p w14:paraId="5F8FA03D" w14:textId="77777777" w:rsidR="007A672C" w:rsidRPr="009C7F96" w:rsidRDefault="007A672C" w:rsidP="008E44CC">
      <w:pPr>
        <w:spacing w:after="120"/>
        <w:rPr>
          <w:rFonts w:cs="Times New Roman"/>
          <w:szCs w:val="24"/>
          <w:lang w:val="pt-BR"/>
        </w:rPr>
      </w:pPr>
    </w:p>
    <w:p w14:paraId="43227040" w14:textId="583AE6AF" w:rsidR="008E44CC" w:rsidRDefault="007A672C" w:rsidP="008E44CC">
      <w:pPr>
        <w:spacing w:after="120"/>
        <w:rPr>
          <w:rFonts w:cs="Times New Roman"/>
          <w:szCs w:val="24"/>
          <w:lang w:val="pt-BR"/>
        </w:rPr>
      </w:pPr>
      <w:commentRangeStart w:id="29"/>
      <m:oMath>
        <m:r>
          <w:rPr>
            <w:rFonts w:ascii="Cambria Math" w:hAnsi="Cambria Math" w:cs="Times New Roman"/>
            <w:szCs w:val="24"/>
            <w:lang w:val="pt-BR"/>
          </w:rPr>
          <m:t>Yₜ,ₕ</m:t>
        </m:r>
        <m:r>
          <w:rPr>
            <w:rFonts w:ascii="Cambria Math" w:hAnsi="Cambria Math" w:cs="Times New Roman"/>
            <w:szCs w:val="24"/>
          </w:rPr>
          <m:t>ᵃᶜᵘᵐ</m:t>
        </m:r>
        <m:r>
          <w:rPr>
            <w:rFonts w:ascii="Cambria Math" w:hAnsi="Cambria Math" w:cs="Times New Roman"/>
            <w:szCs w:val="24"/>
            <w:lang w:val="pt-BR"/>
          </w:rPr>
          <m:t xml:space="preserve"> = </m:t>
        </m:r>
        <m:r>
          <w:rPr>
            <w:rFonts w:ascii="Cambria Math" w:hAnsi="Cambria Math" w:cs="Times New Roman"/>
            <w:szCs w:val="24"/>
          </w:rPr>
          <m:t>Σⱼ</m:t>
        </m:r>
        <m:r>
          <w:rPr>
            <w:rFonts w:ascii="Cambria Math" w:hAnsi="Cambria Math" w:cs="Times New Roman"/>
            <w:szCs w:val="24"/>
            <w:lang w:val="pt-BR"/>
          </w:rPr>
          <m:t>₌₀ʰ yₜ₊</m:t>
        </m:r>
        <m:r>
          <w:rPr>
            <w:rFonts w:ascii="Cambria Math" w:hAnsi="Cambria Math" w:cs="Times New Roman"/>
            <w:szCs w:val="24"/>
          </w:rPr>
          <m:t>ⱼ</m:t>
        </m:r>
        <m:r>
          <w:rPr>
            <w:rFonts w:ascii="Cambria Math" w:hAnsi="Cambria Math" w:cs="Times New Roman"/>
            <w:szCs w:val="24"/>
            <w:lang w:val="pt-BR"/>
          </w:rPr>
          <m:t xml:space="preserve">        (8)</m:t>
        </m:r>
      </m:oMath>
      <w:commentRangeEnd w:id="29"/>
      <w:r>
        <w:rPr>
          <w:rStyle w:val="CommentReference"/>
          <w:rFonts w:cs="Times New Roman"/>
          <w:sz w:val="24"/>
          <w:szCs w:val="24"/>
          <w:lang w:val="pt-BR"/>
        </w:rPr>
        <w:commentReference w:id="29"/>
      </w:r>
    </w:p>
    <w:p w14:paraId="27075326" w14:textId="77777777" w:rsidR="007A672C" w:rsidRPr="009C7F96" w:rsidRDefault="007A672C" w:rsidP="008E44CC">
      <w:pPr>
        <w:spacing w:after="120"/>
        <w:rPr>
          <w:rFonts w:cs="Times New Roman"/>
          <w:szCs w:val="24"/>
          <w:lang w:val="pt-BR"/>
        </w:rPr>
      </w:pPr>
    </w:p>
    <w:p w14:paraId="1B393120" w14:textId="77777777" w:rsidR="008E44CC" w:rsidRDefault="008E44CC" w:rsidP="008E44CC">
      <w:pPr>
        <w:spacing w:after="120"/>
        <w:rPr>
          <w:rFonts w:cs="Times New Roman"/>
          <w:szCs w:val="24"/>
          <w:lang w:val="pt-BR"/>
        </w:rPr>
      </w:pPr>
      <w:r w:rsidRPr="009C7F96">
        <w:rPr>
          <w:rFonts w:cs="Times New Roman"/>
          <w:szCs w:val="24"/>
          <w:lang w:val="pt-BR"/>
        </w:rPr>
        <w:t>A especificação acumulada pode ser escrita como:</w:t>
      </w:r>
    </w:p>
    <w:p w14:paraId="20C5B5D6" w14:textId="77777777" w:rsidR="007A672C" w:rsidRPr="009C7F96" w:rsidRDefault="007A672C" w:rsidP="008E44CC">
      <w:pPr>
        <w:spacing w:after="120"/>
        <w:rPr>
          <w:rFonts w:cs="Times New Roman"/>
          <w:szCs w:val="24"/>
          <w:lang w:val="pt-BR"/>
        </w:rPr>
      </w:pPr>
    </w:p>
    <w:p w14:paraId="7C1E6559" w14:textId="6BFEF5E0" w:rsidR="008E44CC" w:rsidRPr="009C7F96" w:rsidRDefault="007A672C" w:rsidP="008E44CC">
      <w:pPr>
        <w:spacing w:after="120"/>
        <w:rPr>
          <w:rFonts w:cs="Times New Roman"/>
          <w:szCs w:val="24"/>
          <w:lang w:val="pt-BR"/>
        </w:rPr>
      </w:pPr>
      <w:commentRangeStart w:id="30"/>
      <m:oMath>
        <m:r>
          <w:rPr>
            <w:rFonts w:ascii="Cambria Math" w:hAnsi="Cambria Math" w:cs="Times New Roman"/>
            <w:szCs w:val="24"/>
          </w:rPr>
          <w:lastRenderedPageBreak/>
          <m:t>Σⱼ</m:t>
        </m:r>
        <m:r>
          <w:rPr>
            <w:rFonts w:ascii="Cambria Math" w:hAnsi="Cambria Math" w:cs="Times New Roman"/>
            <w:szCs w:val="24"/>
            <w:lang w:val="pt-BR"/>
          </w:rPr>
          <m:t>₌₀ʰ yₜ₊</m:t>
        </m:r>
        <m:r>
          <w:rPr>
            <w:rFonts w:ascii="Cambria Math" w:hAnsi="Cambria Math" w:cs="Times New Roman"/>
            <w:szCs w:val="24"/>
          </w:rPr>
          <m:t>ⱼ</m:t>
        </m:r>
        <m:r>
          <w:rPr>
            <w:rFonts w:ascii="Cambria Math" w:hAnsi="Cambria Math" w:cs="Times New Roman"/>
            <w:szCs w:val="24"/>
            <w:lang w:val="pt-BR"/>
          </w:rPr>
          <m:t xml:space="preserve"> = </m:t>
        </m:r>
        <m:r>
          <w:rPr>
            <w:rFonts w:ascii="Cambria Math" w:hAnsi="Cambria Math" w:cs="Times New Roman"/>
            <w:szCs w:val="24"/>
          </w:rPr>
          <m:t>α</m:t>
        </m:r>
        <m:r>
          <w:rPr>
            <w:rFonts w:ascii="Cambria Math" w:hAnsi="Cambria Math" w:cs="Times New Roman"/>
            <w:szCs w:val="24"/>
            <w:lang w:val="pt-BR"/>
          </w:rPr>
          <m:t xml:space="preserve">ₕ + </m:t>
        </m:r>
        <m:r>
          <w:rPr>
            <w:rFonts w:ascii="Cambria Math" w:hAnsi="Cambria Math" w:cs="Times New Roman"/>
            <w:szCs w:val="24"/>
          </w:rPr>
          <m:t>β</m:t>
        </m:r>
        <m:r>
          <w:rPr>
            <w:rFonts w:ascii="Cambria Math" w:hAnsi="Cambria Math" w:cs="Times New Roman"/>
            <w:szCs w:val="24"/>
            <w:lang w:val="pt-BR"/>
          </w:rPr>
          <m:t>ₕshockₜˢ</m:t>
        </m:r>
        <m:r>
          <w:rPr>
            <w:rFonts w:ascii="Cambria Math" w:hAnsi="Cambria Math" w:cs="Times New Roman"/>
            <w:szCs w:val="24"/>
          </w:rPr>
          <m:t>ᵗᵈ</m:t>
        </m:r>
        <m:r>
          <w:rPr>
            <w:rFonts w:ascii="Cambria Math" w:hAnsi="Cambria Math" w:cs="Times New Roman"/>
            <w:szCs w:val="24"/>
            <w:lang w:val="pt-BR"/>
          </w:rPr>
          <m:t xml:space="preserve"> + </m:t>
        </m:r>
        <m:r>
          <w:rPr>
            <w:rFonts w:ascii="Cambria Math" w:hAnsi="Cambria Math" w:cs="Times New Roman"/>
            <w:szCs w:val="24"/>
          </w:rPr>
          <m:t>Γ</m:t>
        </m:r>
        <m:r>
          <w:rPr>
            <w:rFonts w:ascii="Cambria Math" w:hAnsi="Cambria Math" w:cs="Times New Roman"/>
            <w:szCs w:val="24"/>
            <w:lang w:val="pt-BR"/>
          </w:rPr>
          <m:t>ₕ(L)Zₜ + uₜ₊ₕ⁽ʰ⁾        (9)</m:t>
        </m:r>
      </m:oMath>
      <w:commentRangeEnd w:id="30"/>
      <w:r w:rsidRPr="009C7F96">
        <w:rPr>
          <w:rStyle w:val="CommentReference"/>
          <w:rFonts w:cs="Times New Roman"/>
          <w:sz w:val="24"/>
          <w:szCs w:val="24"/>
          <w:lang w:val="pt-BR"/>
        </w:rPr>
        <w:commentReference w:id="30"/>
      </w:r>
    </w:p>
    <w:p w14:paraId="35230789" w14:textId="77777777" w:rsidR="008E44CC" w:rsidRPr="009C7F96" w:rsidRDefault="008E44CC" w:rsidP="008E44CC">
      <w:pPr>
        <w:spacing w:after="120"/>
        <w:rPr>
          <w:rFonts w:cs="Times New Roman"/>
          <w:szCs w:val="24"/>
          <w:lang w:val="pt-BR"/>
        </w:rPr>
      </w:pPr>
      <w:r w:rsidRPr="009C7F96">
        <w:rPr>
          <w:rFonts w:cs="Times New Roman"/>
          <w:szCs w:val="24"/>
          <w:lang w:val="pt-BR"/>
        </w:rPr>
        <w:t>O horizonte máximo estimado é de 24 meses, mas a interpretação principal concentra-se até 12 meses. Essa escolha evita dar peso excessivo a horizontes muito longos, nos quais os intervalos de confiança tendem a se ampliar e a incerteza estatística aumenta.</w:t>
      </w:r>
    </w:p>
    <w:p w14:paraId="1BE4E485" w14:textId="77777777" w:rsidR="008E44CC" w:rsidRPr="009C7F96" w:rsidRDefault="008E44CC" w:rsidP="008E44CC">
      <w:pPr>
        <w:pStyle w:val="Heading2"/>
        <w:spacing w:before="120" w:after="120"/>
        <w:jc w:val="both"/>
        <w:rPr>
          <w:rFonts w:cs="Times New Roman"/>
          <w:szCs w:val="24"/>
        </w:rPr>
      </w:pPr>
      <w:bookmarkStart w:id="31" w:name="_Toc229695948"/>
      <w:r w:rsidRPr="009C7F96">
        <w:rPr>
          <w:rFonts w:ascii="Times New Roman" w:eastAsia="Times New Roman" w:hAnsi="Times New Roman" w:cs="Times New Roman"/>
          <w:szCs w:val="24"/>
        </w:rPr>
        <w:t>3.5 Controles, defasagens e inferência nas Local Projections</w:t>
      </w:r>
      <w:bookmarkEnd w:id="31"/>
    </w:p>
    <w:p w14:paraId="371F7C50" w14:textId="77777777" w:rsidR="008E44CC" w:rsidRDefault="008E44CC" w:rsidP="008E44CC">
      <w:pPr>
        <w:spacing w:after="120"/>
        <w:rPr>
          <w:rFonts w:cs="Times New Roman"/>
          <w:szCs w:val="24"/>
          <w:lang w:val="pt-BR"/>
        </w:rPr>
      </w:pPr>
      <w:r w:rsidRPr="009C7F96">
        <w:rPr>
          <w:rFonts w:cs="Times New Roman"/>
          <w:szCs w:val="24"/>
          <w:lang w:val="pt-BR"/>
        </w:rPr>
        <w:t>A matriz de controles das Local Projections inclui defasagens da variável dependente, defasagens do choque, defasagens dos controles macroeconômicos, dummies mensais e variáveis associadas a eventos específicos, como a pandemia. A estrutura geral dos controles pode ser representada por:</w:t>
      </w:r>
    </w:p>
    <w:p w14:paraId="5BABA9BF" w14:textId="77777777" w:rsidR="007A672C" w:rsidRPr="009C7F96" w:rsidRDefault="007A672C" w:rsidP="008E44CC">
      <w:pPr>
        <w:spacing w:after="120"/>
        <w:rPr>
          <w:rFonts w:cs="Times New Roman"/>
          <w:szCs w:val="24"/>
          <w:lang w:val="pt-BR"/>
        </w:rPr>
      </w:pPr>
    </w:p>
    <w:p w14:paraId="4DF0D32B" w14:textId="55162885" w:rsidR="008E44CC" w:rsidRDefault="007A672C" w:rsidP="008E44CC">
      <w:pPr>
        <w:spacing w:after="120"/>
        <w:rPr>
          <w:rFonts w:cs="Times New Roman"/>
          <w:szCs w:val="24"/>
          <w:lang w:val="pt-BR"/>
        </w:rPr>
      </w:pPr>
      <m:oMathPara>
        <m:oMath>
          <m:r>
            <w:rPr>
              <w:rFonts w:ascii="Cambria Math" w:hAnsi="Cambria Math" w:cs="Times New Roman"/>
              <w:szCs w:val="24"/>
              <w:lang w:val="pt-BR"/>
            </w:rPr>
            <m:t>Zₜ = [yₜ₋₁, ..., yₜ₋ₚ; shockₜ₋₁, ..., shockₜ₋ₚ; Xₜ, Xₜ₋₁, ..., Xₜ₋ₚ; Dₘ]        (10)</m:t>
          </m:r>
        </m:oMath>
      </m:oMathPara>
    </w:p>
    <w:p w14:paraId="6FBFD0AF" w14:textId="77777777" w:rsidR="007A672C" w:rsidRPr="009C7F96" w:rsidRDefault="007A672C" w:rsidP="008E44CC">
      <w:pPr>
        <w:spacing w:after="120"/>
        <w:rPr>
          <w:rFonts w:cs="Times New Roman"/>
          <w:szCs w:val="24"/>
          <w:lang w:val="pt-BR"/>
        </w:rPr>
      </w:pPr>
    </w:p>
    <w:p w14:paraId="2AE1E4C0" w14:textId="77777777" w:rsidR="008E44CC" w:rsidRPr="009C7F96" w:rsidRDefault="008E44CC" w:rsidP="008E44CC">
      <w:pPr>
        <w:spacing w:after="120"/>
        <w:rPr>
          <w:rFonts w:cs="Times New Roman"/>
          <w:szCs w:val="24"/>
          <w:lang w:val="pt-BR"/>
        </w:rPr>
      </w:pPr>
      <w:r w:rsidRPr="00CA3657">
        <w:rPr>
          <w:lang w:val="pt-BR"/>
        </w:rPr>
        <w:t>No modelo principal, utilizam-se três defasagens como especificação de referência. Essa escolha é parcimoniosa e busca equilibrar a captura da dinâmica mensal de curto prazo com a preservação de graus de liberdade, especialmente porque as respostas são estimadas separadamente para cada horizonte e porque algumas especificações são divididas por regimes. A escolha, porém, não deve ser interpretada como uma afirmação de que toda a inércia inflacionária brasileira se esgota em três meses. Por esse motivo, a especificação inclui dummies mensais, defasagens da variável dependente, defasagens do choque e controles macroeconômicos, além de inferência HAC/Newey-West. Em uma versão de submissão ou em extensões futuras, especificações com seis e doze defasagens devem ser reportadas como teste de sensibilidade, sobretudo para avaliar se a autocorrelação residual das Local Projections altera a significância dos resultados principais.</w:t>
      </w:r>
    </w:p>
    <w:p w14:paraId="37116235" w14:textId="77777777" w:rsidR="008E44CC" w:rsidRPr="009C7F96" w:rsidRDefault="008E44CC" w:rsidP="008E44CC">
      <w:pPr>
        <w:spacing w:after="120"/>
        <w:rPr>
          <w:rFonts w:cs="Times New Roman"/>
          <w:szCs w:val="24"/>
          <w:lang w:val="pt-BR"/>
        </w:rPr>
      </w:pPr>
      <w:r w:rsidRPr="00CA3657">
        <w:rPr>
          <w:lang w:val="pt-BR"/>
        </w:rPr>
        <w:t>A inferência é realizada com erros-padrão robustos do tipo HAC/Newey-West. Essa escolha é apropriada porque, em Local Projections, os resíduos podem apresentar autocorrelação, principalmente quando a variável dependente é construída em horizontes futuros ou como resposta acumulada. O uso de HAC não substitui a necessidade de especificações bem escolhidas, mas reduz o risco de inferência excessivamente otimista diante de correlação serial remanescente. Assim, a leitura dos resultados combina sinal econômico, intervalo de confiança, estabilidade da trajetória e coerência entre especificações alternativas. O intervalo de confiança de 90% é dado por:</w:t>
      </w:r>
    </w:p>
    <w:p w14:paraId="30F15788" w14:textId="1FA55ABC" w:rsidR="008E44CC" w:rsidRPr="009C7F96" w:rsidRDefault="003010CD" w:rsidP="008E44CC">
      <w:pPr>
        <w:spacing w:after="120"/>
        <w:rPr>
          <w:rFonts w:cs="Times New Roman"/>
          <w:szCs w:val="24"/>
          <w:lang w:val="pt-BR"/>
        </w:rPr>
      </w:pPr>
      <m:oMathPara>
        <m:oMath>
          <m:r>
            <w:rPr>
              <w:rFonts w:ascii="Cambria Math" w:hAnsi="Cambria Math" w:cs="Times New Roman"/>
              <w:szCs w:val="24"/>
              <w:lang w:val="pt-BR"/>
            </w:rPr>
            <w:lastRenderedPageBreak/>
            <m:t xml:space="preserve">ICₕ = </m:t>
          </m:r>
          <m:r>
            <w:rPr>
              <w:rFonts w:ascii="Cambria Math" w:hAnsi="Cambria Math" w:cs="Times New Roman"/>
              <w:szCs w:val="24"/>
            </w:rPr>
            <m:t>β</m:t>
          </m:r>
          <m:r>
            <w:rPr>
              <w:rFonts w:ascii="Cambria Math" w:hAnsi="Cambria Math" w:cs="Times New Roman"/>
              <w:szCs w:val="24"/>
              <w:lang w:val="pt-BR"/>
            </w:rPr>
            <m:t>̂ₕ ± 1,645 · SE_HAC(</m:t>
          </m:r>
          <m:r>
            <w:rPr>
              <w:rFonts w:ascii="Cambria Math" w:hAnsi="Cambria Math" w:cs="Times New Roman"/>
              <w:szCs w:val="24"/>
            </w:rPr>
            <m:t>β</m:t>
          </m:r>
          <m:r>
            <w:rPr>
              <w:rFonts w:ascii="Cambria Math" w:hAnsi="Cambria Math" w:cs="Times New Roman"/>
              <w:szCs w:val="24"/>
              <w:lang w:val="pt-BR"/>
            </w:rPr>
            <m:t>̂ₕ)        (11)</m:t>
          </m:r>
        </m:oMath>
      </m:oMathPara>
    </w:p>
    <w:p w14:paraId="35B7D2CD" w14:textId="77777777" w:rsidR="008E44CC" w:rsidRPr="009C7F96" w:rsidRDefault="008E44CC" w:rsidP="008E44CC">
      <w:pPr>
        <w:spacing w:after="120"/>
        <w:rPr>
          <w:rFonts w:cs="Times New Roman"/>
          <w:szCs w:val="24"/>
          <w:lang w:val="pt-BR"/>
        </w:rPr>
      </w:pPr>
      <w:r w:rsidRPr="009C7F96">
        <w:rPr>
          <w:rFonts w:cs="Times New Roman"/>
          <w:szCs w:val="24"/>
          <w:lang w:val="pt-BR"/>
        </w:rPr>
        <w:t>Os resultados devem ser avaliados por coeficiente, erro-padrão, estatística t, p-valor, intervalo de confiança e número de observações. Um resultado é considerado mais forte quando o intervalo de confiança não cruza zero, quando o sinal é compatível com a teoria econômica e quando a trajetória estimada não apresenta explosões sem justificativa econômica.</w:t>
      </w:r>
    </w:p>
    <w:p w14:paraId="681EC681" w14:textId="77777777" w:rsidR="008E44CC" w:rsidRPr="009C7F96" w:rsidRDefault="008E44CC" w:rsidP="008E44CC">
      <w:pPr>
        <w:pStyle w:val="Heading2"/>
        <w:spacing w:before="120" w:after="120"/>
        <w:jc w:val="both"/>
        <w:rPr>
          <w:rFonts w:cs="Times New Roman"/>
          <w:szCs w:val="24"/>
        </w:rPr>
      </w:pPr>
      <w:bookmarkStart w:id="32" w:name="_Toc229695949"/>
      <w:r w:rsidRPr="009C7F96">
        <w:rPr>
          <w:rFonts w:ascii="Times New Roman" w:eastAsia="Times New Roman" w:hAnsi="Times New Roman" w:cs="Times New Roman"/>
          <w:szCs w:val="24"/>
        </w:rPr>
        <w:t>3.6 Blocos de transmissão nas Local Projections</w:t>
      </w:r>
      <w:bookmarkEnd w:id="32"/>
    </w:p>
    <w:p w14:paraId="7FB2405D" w14:textId="77777777" w:rsidR="008E44CC" w:rsidRPr="009C7F96" w:rsidRDefault="008E44CC" w:rsidP="008E44CC">
      <w:pPr>
        <w:spacing w:after="120"/>
        <w:rPr>
          <w:rFonts w:cs="Times New Roman"/>
          <w:szCs w:val="24"/>
          <w:lang w:val="pt-BR"/>
        </w:rPr>
      </w:pPr>
      <w:r w:rsidRPr="009C7F96">
        <w:rPr>
          <w:rFonts w:cs="Times New Roman"/>
          <w:szCs w:val="24"/>
          <w:lang w:val="pt-BR"/>
        </w:rPr>
        <w:t>As estimações por Local Projections foram organizadas em quatro blocos. Essa divisão transforma os resultados em uma sequência econômica de transmissão, evitando que os gráficos sejam interpretados como relações isoladas.</w:t>
      </w:r>
    </w:p>
    <w:p w14:paraId="745C3980" w14:textId="77777777" w:rsidR="008E44CC" w:rsidRDefault="008E44CC" w:rsidP="008E44CC">
      <w:pPr>
        <w:spacing w:after="120"/>
        <w:rPr>
          <w:rFonts w:cs="Times New Roman"/>
          <w:szCs w:val="24"/>
          <w:lang w:val="pt-BR"/>
        </w:rPr>
      </w:pPr>
      <w:r w:rsidRPr="009C7F96">
        <w:rPr>
          <w:rFonts w:cs="Times New Roman"/>
          <w:szCs w:val="24"/>
          <w:lang w:val="pt-BR"/>
        </w:rPr>
        <w:t>O Bloco A estima a transmissão do petróleo para os combustíveis domésticos:</w:t>
      </w:r>
    </w:p>
    <w:p w14:paraId="2017BFED" w14:textId="77777777" w:rsidR="003010CD" w:rsidRPr="009C7F96" w:rsidRDefault="003010CD" w:rsidP="008E44CC">
      <w:pPr>
        <w:spacing w:after="120"/>
        <w:rPr>
          <w:rFonts w:cs="Times New Roman"/>
          <w:szCs w:val="24"/>
          <w:lang w:val="pt-BR"/>
        </w:rPr>
      </w:pPr>
    </w:p>
    <w:p w14:paraId="1116DE50" w14:textId="62B29167" w:rsidR="008E44CC" w:rsidRDefault="003010CD" w:rsidP="008E44CC">
      <w:pPr>
        <w:spacing w:after="120"/>
        <w:rPr>
          <w:rFonts w:cs="Times New Roman"/>
          <w:szCs w:val="24"/>
          <w:lang w:val="pt-BR"/>
        </w:rPr>
      </w:pPr>
      <w:commentRangeStart w:id="33"/>
      <m:oMath>
        <m:r>
          <w:rPr>
            <w:rFonts w:ascii="Cambria Math" w:hAnsi="Cambria Math" w:cs="Times New Roman"/>
            <w:szCs w:val="24"/>
          </w:rPr>
          <m:t>Σⱼ</m:t>
        </m:r>
        <m:r>
          <w:rPr>
            <w:rFonts w:ascii="Cambria Math" w:hAnsi="Cambria Math" w:cs="Times New Roman"/>
            <w:szCs w:val="24"/>
            <w:lang w:val="pt-BR"/>
          </w:rPr>
          <m:t xml:space="preserve">₌₀ʰ </m:t>
        </m:r>
        <m:r>
          <w:rPr>
            <w:rFonts w:ascii="Cambria Math" w:hAnsi="Cambria Math" w:cs="Times New Roman"/>
            <w:szCs w:val="24"/>
          </w:rPr>
          <m:t>Δ</m:t>
        </m:r>
        <m:r>
          <w:rPr>
            <w:rFonts w:ascii="Cambria Math" w:hAnsi="Cambria Math" w:cs="Times New Roman"/>
            <w:szCs w:val="24"/>
            <w:lang w:val="pt-BR"/>
          </w:rPr>
          <m:t>ln(fuelₜ₊</m:t>
        </m:r>
        <m:r>
          <w:rPr>
            <w:rFonts w:ascii="Cambria Math" w:hAnsi="Cambria Math" w:cs="Times New Roman"/>
            <w:szCs w:val="24"/>
          </w:rPr>
          <m:t>ⱼ</m:t>
        </m:r>
        <m:r>
          <w:rPr>
            <w:rFonts w:ascii="Cambria Math" w:hAnsi="Cambria Math" w:cs="Times New Roman"/>
            <w:szCs w:val="24"/>
            <w:lang w:val="pt-BR"/>
          </w:rPr>
          <m:t xml:space="preserve">) = </m:t>
        </m:r>
        <m:r>
          <w:rPr>
            <w:rFonts w:ascii="Cambria Math" w:hAnsi="Cambria Math" w:cs="Times New Roman"/>
            <w:szCs w:val="24"/>
          </w:rPr>
          <m:t>α</m:t>
        </m:r>
        <m:r>
          <w:rPr>
            <w:rFonts w:ascii="Cambria Math" w:hAnsi="Cambria Math" w:cs="Times New Roman"/>
            <w:szCs w:val="24"/>
            <w:lang w:val="pt-BR"/>
          </w:rPr>
          <m:t xml:space="preserve">ₕ + </m:t>
        </m:r>
        <m:r>
          <w:rPr>
            <w:rFonts w:ascii="Cambria Math" w:hAnsi="Cambria Math" w:cs="Times New Roman"/>
            <w:szCs w:val="24"/>
          </w:rPr>
          <m:t>β</m:t>
        </m:r>
        <m:r>
          <w:rPr>
            <w:rFonts w:ascii="Cambria Math" w:hAnsi="Cambria Math" w:cs="Times New Roman"/>
            <w:szCs w:val="24"/>
            <w:lang w:val="pt-BR"/>
          </w:rPr>
          <m:t>ₕ</m:t>
        </m:r>
        <m:r>
          <w:rPr>
            <w:rFonts w:ascii="Cambria Math" w:hAnsi="Cambria Math" w:cs="Times New Roman"/>
            <w:szCs w:val="24"/>
          </w:rPr>
          <m:t>Δ</m:t>
        </m:r>
        <m:r>
          <w:rPr>
            <w:rFonts w:ascii="Cambria Math" w:hAnsi="Cambria Math" w:cs="Times New Roman"/>
            <w:szCs w:val="24"/>
            <w:lang w:val="pt-BR"/>
          </w:rPr>
          <m:t>ln(oilₜ)ˢ</m:t>
        </m:r>
        <m:r>
          <w:rPr>
            <w:rFonts w:ascii="Cambria Math" w:hAnsi="Cambria Math" w:cs="Times New Roman"/>
            <w:szCs w:val="24"/>
          </w:rPr>
          <m:t>ᵗᵈ</m:t>
        </m:r>
        <m:r>
          <w:rPr>
            <w:rFonts w:ascii="Cambria Math" w:hAnsi="Cambria Math" w:cs="Times New Roman"/>
            <w:szCs w:val="24"/>
            <w:lang w:val="pt-BR"/>
          </w:rPr>
          <m:t xml:space="preserve"> + </m:t>
        </m:r>
        <m:r>
          <w:rPr>
            <w:rFonts w:ascii="Cambria Math" w:hAnsi="Cambria Math" w:cs="Times New Roman"/>
            <w:szCs w:val="24"/>
          </w:rPr>
          <m:t>Γ</m:t>
        </m:r>
        <m:r>
          <w:rPr>
            <w:rFonts w:ascii="Cambria Math" w:hAnsi="Cambria Math" w:cs="Times New Roman"/>
            <w:szCs w:val="24"/>
            <w:lang w:val="pt-BR"/>
          </w:rPr>
          <m:t xml:space="preserve">ₕ(L)Zₜ + </m:t>
        </m:r>
        <m:r>
          <w:rPr>
            <w:rFonts w:ascii="Cambria Math" w:hAnsi="Cambria Math" w:cs="Times New Roman"/>
            <w:szCs w:val="24"/>
          </w:rPr>
          <m:t>ε</m:t>
        </m:r>
        <m:r>
          <w:rPr>
            <w:rFonts w:ascii="Cambria Math" w:hAnsi="Cambria Math" w:cs="Times New Roman"/>
            <w:szCs w:val="24"/>
            <w:lang w:val="pt-BR"/>
          </w:rPr>
          <m:t>ₜ₊ₕ⁽ʰ⁾        (12)</m:t>
        </m:r>
      </m:oMath>
      <w:commentRangeEnd w:id="33"/>
      <w:r>
        <w:rPr>
          <w:rStyle w:val="CommentReference"/>
          <w:rFonts w:cs="Times New Roman"/>
          <w:sz w:val="24"/>
          <w:szCs w:val="24"/>
          <w:lang w:val="pt-BR"/>
        </w:rPr>
        <w:commentReference w:id="33"/>
      </w:r>
    </w:p>
    <w:p w14:paraId="62922761" w14:textId="77777777" w:rsidR="003010CD" w:rsidRPr="009C7F96" w:rsidRDefault="003010CD" w:rsidP="008E44CC">
      <w:pPr>
        <w:spacing w:after="120"/>
        <w:rPr>
          <w:rFonts w:cs="Times New Roman"/>
          <w:szCs w:val="24"/>
          <w:lang w:val="pt-BR"/>
        </w:rPr>
      </w:pPr>
    </w:p>
    <w:p w14:paraId="355B4B73" w14:textId="77777777" w:rsidR="008E44CC" w:rsidRDefault="008E44CC" w:rsidP="008E44CC">
      <w:pPr>
        <w:spacing w:after="120"/>
        <w:rPr>
          <w:rFonts w:cs="Times New Roman"/>
          <w:szCs w:val="24"/>
          <w:lang w:val="pt-BR"/>
        </w:rPr>
      </w:pPr>
      <w:r w:rsidRPr="009C7F96">
        <w:rPr>
          <w:rFonts w:cs="Times New Roman"/>
          <w:szCs w:val="24"/>
          <w:lang w:val="pt-BR"/>
        </w:rPr>
        <w:t>O Bloco B estima o efeito dos combustíveis sobre a inflação:</w:t>
      </w:r>
    </w:p>
    <w:p w14:paraId="572A4FA7" w14:textId="77777777" w:rsidR="003010CD" w:rsidRPr="009C7F96" w:rsidRDefault="003010CD" w:rsidP="008E44CC">
      <w:pPr>
        <w:spacing w:after="120"/>
        <w:rPr>
          <w:rFonts w:cs="Times New Roman"/>
          <w:szCs w:val="24"/>
          <w:lang w:val="pt-BR"/>
        </w:rPr>
      </w:pPr>
    </w:p>
    <w:p w14:paraId="0A6A50F3" w14:textId="23F342F9" w:rsidR="008E44CC" w:rsidRPr="003010CD" w:rsidRDefault="003010CD" w:rsidP="008E44CC">
      <w:pPr>
        <w:spacing w:after="120"/>
        <w:rPr>
          <w:rFonts w:cs="Times New Roman"/>
          <w:szCs w:val="24"/>
          <w:lang w:val="pt-BR"/>
        </w:rPr>
      </w:pPr>
      <w:commentRangeStart w:id="34"/>
      <m:oMath>
        <m:r>
          <w:rPr>
            <w:rFonts w:ascii="Cambria Math" w:hAnsi="Cambria Math" w:cs="Times New Roman"/>
            <w:szCs w:val="24"/>
          </w:rPr>
          <m:t>Σⱼ</m:t>
        </m:r>
        <m:r>
          <w:rPr>
            <w:rFonts w:ascii="Cambria Math" w:hAnsi="Cambria Math" w:cs="Times New Roman"/>
            <w:szCs w:val="24"/>
            <w:lang w:val="pt-BR"/>
          </w:rPr>
          <m:t xml:space="preserve">₌₀ʰ </m:t>
        </m:r>
        <m:r>
          <w:rPr>
            <w:rFonts w:ascii="Cambria Math" w:hAnsi="Cambria Math" w:cs="Times New Roman"/>
            <w:szCs w:val="24"/>
          </w:rPr>
          <m:t>π</m:t>
        </m:r>
        <m:r>
          <w:rPr>
            <w:rFonts w:ascii="Cambria Math" w:hAnsi="Cambria Math" w:cs="Times New Roman"/>
            <w:szCs w:val="24"/>
            <w:lang w:val="pt-BR"/>
          </w:rPr>
          <m:t>ₜ₊</m:t>
        </m:r>
        <m:r>
          <w:rPr>
            <w:rFonts w:ascii="Cambria Math" w:hAnsi="Cambria Math" w:cs="Times New Roman"/>
            <w:szCs w:val="24"/>
          </w:rPr>
          <m:t>ⱼᵏ</m:t>
        </m:r>
        <m:r>
          <w:rPr>
            <w:rFonts w:ascii="Cambria Math" w:hAnsi="Cambria Math" w:cs="Times New Roman"/>
            <w:szCs w:val="24"/>
            <w:lang w:val="pt-BR"/>
          </w:rPr>
          <m:t xml:space="preserve"> = </m:t>
        </m:r>
        <m:r>
          <w:rPr>
            <w:rFonts w:ascii="Cambria Math" w:hAnsi="Cambria Math" w:cs="Times New Roman"/>
            <w:szCs w:val="24"/>
          </w:rPr>
          <m:t>α</m:t>
        </m:r>
        <m:r>
          <w:rPr>
            <w:rFonts w:ascii="Cambria Math" w:hAnsi="Cambria Math" w:cs="Times New Roman"/>
            <w:szCs w:val="24"/>
            <w:lang w:val="pt-BR"/>
          </w:rPr>
          <m:t xml:space="preserve">ₕ + </m:t>
        </m:r>
        <m:r>
          <w:rPr>
            <w:rFonts w:ascii="Cambria Math" w:hAnsi="Cambria Math" w:cs="Times New Roman"/>
            <w:szCs w:val="24"/>
          </w:rPr>
          <m:t>θ</m:t>
        </m:r>
        <m:r>
          <w:rPr>
            <w:rFonts w:ascii="Cambria Math" w:hAnsi="Cambria Math" w:cs="Times New Roman"/>
            <w:szCs w:val="24"/>
            <w:lang w:val="pt-BR"/>
          </w:rPr>
          <m:t>ₕ</m:t>
        </m:r>
        <m:r>
          <w:rPr>
            <w:rFonts w:ascii="Cambria Math" w:hAnsi="Cambria Math" w:cs="Times New Roman"/>
            <w:szCs w:val="24"/>
          </w:rPr>
          <m:t>Δ</m:t>
        </m:r>
        <m:r>
          <w:rPr>
            <w:rFonts w:ascii="Cambria Math" w:hAnsi="Cambria Math" w:cs="Times New Roman"/>
            <w:szCs w:val="24"/>
            <w:lang w:val="pt-BR"/>
          </w:rPr>
          <m:t>ln(fuelₜ)ˢ</m:t>
        </m:r>
        <m:r>
          <w:rPr>
            <w:rFonts w:ascii="Cambria Math" w:hAnsi="Cambria Math" w:cs="Times New Roman"/>
            <w:szCs w:val="24"/>
          </w:rPr>
          <m:t>ᵗᵈ</m:t>
        </m:r>
        <m:r>
          <w:rPr>
            <w:rFonts w:ascii="Cambria Math" w:hAnsi="Cambria Math" w:cs="Times New Roman"/>
            <w:szCs w:val="24"/>
            <w:lang w:val="pt-BR"/>
          </w:rPr>
          <m:t xml:space="preserve"> + </m:t>
        </m:r>
        <m:r>
          <w:rPr>
            <w:rFonts w:ascii="Cambria Math" w:hAnsi="Cambria Math" w:cs="Times New Roman"/>
            <w:szCs w:val="24"/>
          </w:rPr>
          <m:t>Γ</m:t>
        </m:r>
        <m:r>
          <w:rPr>
            <w:rFonts w:ascii="Cambria Math" w:hAnsi="Cambria Math" w:cs="Times New Roman"/>
            <w:szCs w:val="24"/>
            <w:lang w:val="pt-BR"/>
          </w:rPr>
          <m:t xml:space="preserve">ₕ(L)Zₜ + </m:t>
        </m:r>
        <m:r>
          <w:rPr>
            <w:rFonts w:ascii="Cambria Math" w:hAnsi="Cambria Math" w:cs="Times New Roman"/>
            <w:szCs w:val="24"/>
          </w:rPr>
          <m:t>υ</m:t>
        </m:r>
        <m:r>
          <w:rPr>
            <w:rFonts w:ascii="Cambria Math" w:hAnsi="Cambria Math" w:cs="Times New Roman"/>
            <w:szCs w:val="24"/>
            <w:lang w:val="pt-BR"/>
          </w:rPr>
          <m:t>ₜ₊ₕ⁽ʰ⁾        (13)</m:t>
        </m:r>
      </m:oMath>
      <w:commentRangeEnd w:id="34"/>
      <w:r w:rsidRPr="003010CD">
        <w:rPr>
          <w:rStyle w:val="CommentReference"/>
          <w:rFonts w:cs="Times New Roman"/>
          <w:sz w:val="24"/>
          <w:szCs w:val="24"/>
          <w:lang w:val="pt-BR"/>
        </w:rPr>
        <w:commentReference w:id="34"/>
      </w:r>
    </w:p>
    <w:p w14:paraId="37D28FB0" w14:textId="77777777" w:rsidR="003010CD" w:rsidRPr="009C7F96" w:rsidRDefault="003010CD" w:rsidP="008E44CC">
      <w:pPr>
        <w:spacing w:after="120"/>
        <w:rPr>
          <w:rFonts w:cs="Times New Roman"/>
          <w:szCs w:val="24"/>
          <w:lang w:val="pt-BR"/>
        </w:rPr>
      </w:pPr>
    </w:p>
    <w:p w14:paraId="2BB02969" w14:textId="1B77E3F8" w:rsidR="008E44CC" w:rsidRPr="003010CD" w:rsidRDefault="008E44CC" w:rsidP="003010CD">
      <w:pPr>
        <w:spacing w:after="120"/>
        <w:rPr>
          <w:rFonts w:cs="Times New Roman"/>
          <w:szCs w:val="24"/>
          <w:lang w:val="pt-BR"/>
        </w:rPr>
      </w:pPr>
      <w:r w:rsidRPr="009C7F96">
        <w:rPr>
          <w:rFonts w:cs="Times New Roman"/>
          <w:szCs w:val="24"/>
          <w:lang w:val="pt-BR"/>
        </w:rPr>
        <w:t xml:space="preserve">Nessa equação, </w:t>
      </w:r>
      <m:oMath>
        <m:sSubSup>
          <m:sSubSupPr>
            <m:ctrlPr>
              <w:rPr>
                <w:rFonts w:ascii="Cambria Math" w:hAnsi="Cambria Math" w:cs="Times New Roman"/>
                <w:i/>
                <w:szCs w:val="24"/>
                <w:lang w:val="pt-BR"/>
              </w:rPr>
            </m:ctrlPr>
          </m:sSubSupPr>
          <m:e>
            <m:r>
              <w:rPr>
                <w:rFonts w:ascii="Cambria Math" w:hAnsi="Cambria Math" w:cs="Times New Roman"/>
                <w:szCs w:val="24"/>
              </w:rPr>
              <m:t>π</m:t>
            </m:r>
            <m:ctrlPr>
              <w:rPr>
                <w:rFonts w:ascii="Cambria Math" w:hAnsi="Cambria Math" w:cs="Times New Roman"/>
                <w:i/>
                <w:szCs w:val="24"/>
              </w:rPr>
            </m:ctrlPr>
          </m:e>
          <m:sub>
            <m:r>
              <w:rPr>
                <w:rFonts w:ascii="Cambria Math" w:hAnsi="Cambria Math" w:cs="Times New Roman"/>
                <w:szCs w:val="24"/>
                <w:lang w:val="pt-BR"/>
              </w:rPr>
              <m:t>t</m:t>
            </m:r>
          </m:sub>
          <m:sup>
            <m:r>
              <w:rPr>
                <w:rFonts w:ascii="Cambria Math" w:hAnsi="Cambria Math" w:cs="Times New Roman"/>
                <w:szCs w:val="24"/>
                <w:lang w:val="pt-BR"/>
              </w:rPr>
              <m:t>k</m:t>
            </m:r>
          </m:sup>
        </m:sSubSup>
      </m:oMath>
      <w:r w:rsidRPr="009C7F96">
        <w:rPr>
          <w:rFonts w:cs="Times New Roman"/>
          <w:szCs w:val="24"/>
          <w:lang w:val="pt-BR"/>
        </w:rPr>
        <w:t xml:space="preserve"> representa o IPCA Geral ou o IPCA Transportes. A comparação entre essas duas respostas é central para o trabalho, pois o canal dos combustíveis deve aparecer com maior força no IPCA Transportes do que no índice agregado.</w:t>
      </w:r>
    </w:p>
    <w:p w14:paraId="20315E4A" w14:textId="77777777" w:rsidR="008E44CC" w:rsidRDefault="008E44CC" w:rsidP="008E44CC">
      <w:pPr>
        <w:spacing w:after="120"/>
        <w:rPr>
          <w:rFonts w:cs="Times New Roman"/>
          <w:szCs w:val="24"/>
          <w:lang w:val="pt-BR"/>
        </w:rPr>
      </w:pPr>
      <w:r w:rsidRPr="009C7F96">
        <w:rPr>
          <w:rFonts w:cs="Times New Roman"/>
          <w:szCs w:val="24"/>
          <w:lang w:val="pt-BR"/>
        </w:rPr>
        <w:t>O Bloco C estima o efeito do petróleo sobre a inflação com e sem controle pelos combustíveis. Primeiro, estima-se o efeito total:</w:t>
      </w:r>
    </w:p>
    <w:p w14:paraId="434165EA" w14:textId="77777777" w:rsidR="003010CD" w:rsidRPr="009C7F96" w:rsidRDefault="003010CD" w:rsidP="008E44CC">
      <w:pPr>
        <w:spacing w:after="120"/>
        <w:rPr>
          <w:rFonts w:cs="Times New Roman"/>
          <w:szCs w:val="24"/>
          <w:lang w:val="pt-BR"/>
        </w:rPr>
      </w:pPr>
    </w:p>
    <w:p w14:paraId="20FAF8C1" w14:textId="6BA6B2C7" w:rsidR="008E44CC" w:rsidRDefault="003010CD" w:rsidP="008E44CC">
      <w:pPr>
        <w:spacing w:after="120"/>
        <w:rPr>
          <w:rFonts w:cs="Times New Roman"/>
          <w:szCs w:val="24"/>
          <w:lang w:val="pt-BR"/>
        </w:rPr>
      </w:pPr>
      <w:commentRangeStart w:id="35"/>
      <m:oMath>
        <m:r>
          <w:rPr>
            <w:rFonts w:ascii="Cambria Math" w:hAnsi="Cambria Math" w:cs="Times New Roman"/>
            <w:szCs w:val="24"/>
          </w:rPr>
          <m:t>Σⱼ</m:t>
        </m:r>
        <m:r>
          <w:rPr>
            <w:rFonts w:ascii="Cambria Math" w:hAnsi="Cambria Math" w:cs="Times New Roman"/>
            <w:szCs w:val="24"/>
            <w:lang w:val="pt-BR"/>
          </w:rPr>
          <m:t xml:space="preserve">₌₀ʰ </m:t>
        </m:r>
        <m:r>
          <w:rPr>
            <w:rFonts w:ascii="Cambria Math" w:hAnsi="Cambria Math" w:cs="Times New Roman"/>
            <w:szCs w:val="24"/>
          </w:rPr>
          <m:t>π</m:t>
        </m:r>
        <m:r>
          <w:rPr>
            <w:rFonts w:ascii="Cambria Math" w:hAnsi="Cambria Math" w:cs="Times New Roman"/>
            <w:szCs w:val="24"/>
            <w:lang w:val="pt-BR"/>
          </w:rPr>
          <m:t>ₜ₊</m:t>
        </m:r>
        <m:r>
          <w:rPr>
            <w:rFonts w:ascii="Cambria Math" w:hAnsi="Cambria Math" w:cs="Times New Roman"/>
            <w:szCs w:val="24"/>
          </w:rPr>
          <m:t>ⱼᵏ</m:t>
        </m:r>
        <m:r>
          <w:rPr>
            <w:rFonts w:ascii="Cambria Math" w:hAnsi="Cambria Math" w:cs="Times New Roman"/>
            <w:szCs w:val="24"/>
            <w:lang w:val="pt-BR"/>
          </w:rPr>
          <m:t xml:space="preserve"> = </m:t>
        </m:r>
        <m:r>
          <w:rPr>
            <w:rFonts w:ascii="Cambria Math" w:hAnsi="Cambria Math" w:cs="Times New Roman"/>
            <w:szCs w:val="24"/>
          </w:rPr>
          <m:t>α</m:t>
        </m:r>
        <m:r>
          <w:rPr>
            <w:rFonts w:ascii="Cambria Math" w:hAnsi="Cambria Math" w:cs="Times New Roman"/>
            <w:szCs w:val="24"/>
            <w:lang w:val="pt-BR"/>
          </w:rPr>
          <m:t xml:space="preserve">ₕ + </m:t>
        </m:r>
        <m:r>
          <w:rPr>
            <w:rFonts w:ascii="Cambria Math" w:hAnsi="Cambria Math" w:cs="Times New Roman"/>
            <w:szCs w:val="24"/>
          </w:rPr>
          <m:t>β</m:t>
        </m:r>
        <m:r>
          <w:rPr>
            <w:rFonts w:ascii="Cambria Math" w:hAnsi="Cambria Math" w:cs="Times New Roman"/>
            <w:szCs w:val="24"/>
            <w:lang w:val="pt-BR"/>
          </w:rPr>
          <m:t>ₕ</m:t>
        </m:r>
        <m:r>
          <w:rPr>
            <w:rFonts w:ascii="Cambria Math" w:hAnsi="Cambria Math" w:cs="Times New Roman"/>
            <w:szCs w:val="24"/>
          </w:rPr>
          <m:t>Δ</m:t>
        </m:r>
        <m:r>
          <w:rPr>
            <w:rFonts w:ascii="Cambria Math" w:hAnsi="Cambria Math" w:cs="Times New Roman"/>
            <w:szCs w:val="24"/>
            <w:lang w:val="pt-BR"/>
          </w:rPr>
          <m:t>ln(oilₜ)ˢ</m:t>
        </m:r>
        <m:r>
          <w:rPr>
            <w:rFonts w:ascii="Cambria Math" w:hAnsi="Cambria Math" w:cs="Times New Roman"/>
            <w:szCs w:val="24"/>
          </w:rPr>
          <m:t>ᵗᵈ</m:t>
        </m:r>
        <m:r>
          <w:rPr>
            <w:rFonts w:ascii="Cambria Math" w:hAnsi="Cambria Math" w:cs="Times New Roman"/>
            <w:szCs w:val="24"/>
            <w:lang w:val="pt-BR"/>
          </w:rPr>
          <m:t xml:space="preserve"> + </m:t>
        </m:r>
        <m:r>
          <w:rPr>
            <w:rFonts w:ascii="Cambria Math" w:hAnsi="Cambria Math" w:cs="Times New Roman"/>
            <w:szCs w:val="24"/>
          </w:rPr>
          <m:t>Γ</m:t>
        </m:r>
        <m:r>
          <w:rPr>
            <w:rFonts w:ascii="Cambria Math" w:hAnsi="Cambria Math" w:cs="Times New Roman"/>
            <w:szCs w:val="24"/>
            <w:lang w:val="pt-BR"/>
          </w:rPr>
          <m:t>ₕ(L)Zₜ + eₜ₊ₕ⁽ʰ⁾        (14)</m:t>
        </m:r>
      </m:oMath>
      <w:commentRangeEnd w:id="35"/>
      <w:r>
        <w:rPr>
          <w:rStyle w:val="CommentReference"/>
          <w:rFonts w:cs="Times New Roman"/>
          <w:sz w:val="24"/>
          <w:szCs w:val="24"/>
          <w:lang w:val="pt-BR"/>
        </w:rPr>
        <w:commentReference w:id="35"/>
      </w:r>
    </w:p>
    <w:p w14:paraId="08D32A2A" w14:textId="77777777" w:rsidR="003010CD" w:rsidRPr="009C7F96" w:rsidRDefault="003010CD" w:rsidP="008E44CC">
      <w:pPr>
        <w:spacing w:after="120"/>
        <w:rPr>
          <w:rFonts w:cs="Times New Roman"/>
          <w:szCs w:val="24"/>
          <w:lang w:val="pt-BR"/>
        </w:rPr>
      </w:pPr>
    </w:p>
    <w:p w14:paraId="5725BC9C" w14:textId="77777777" w:rsidR="008E44CC" w:rsidRDefault="008E44CC" w:rsidP="008E44CC">
      <w:pPr>
        <w:spacing w:after="120"/>
        <w:rPr>
          <w:rFonts w:cs="Times New Roman"/>
          <w:szCs w:val="24"/>
          <w:lang w:val="pt-BR"/>
        </w:rPr>
      </w:pPr>
      <w:r w:rsidRPr="009C7F96">
        <w:rPr>
          <w:rFonts w:cs="Times New Roman"/>
          <w:szCs w:val="24"/>
          <w:lang w:val="pt-BR"/>
        </w:rPr>
        <w:lastRenderedPageBreak/>
        <w:t>Em seguida, inclui-se o combustível como controle para verificar se parte do efeito do petróleo passa por esse canal:</w:t>
      </w:r>
    </w:p>
    <w:p w14:paraId="439B03E7" w14:textId="77777777" w:rsidR="003010CD" w:rsidRPr="009C7F96" w:rsidRDefault="003010CD" w:rsidP="008E44CC">
      <w:pPr>
        <w:spacing w:after="120"/>
        <w:rPr>
          <w:rFonts w:cs="Times New Roman"/>
          <w:szCs w:val="24"/>
          <w:lang w:val="pt-BR"/>
        </w:rPr>
      </w:pPr>
    </w:p>
    <w:p w14:paraId="5DC184DC" w14:textId="5A059FED" w:rsidR="008E44CC" w:rsidRDefault="003010CD" w:rsidP="008E44CC">
      <w:pPr>
        <w:spacing w:after="120"/>
        <w:rPr>
          <w:rFonts w:cs="Times New Roman"/>
          <w:szCs w:val="24"/>
          <w:lang w:val="pt-BR"/>
        </w:rPr>
      </w:pPr>
      <w:commentRangeStart w:id="36"/>
      <m:oMath>
        <m:r>
          <w:rPr>
            <w:rFonts w:ascii="Cambria Math" w:hAnsi="Cambria Math" w:cs="Times New Roman"/>
            <w:szCs w:val="24"/>
          </w:rPr>
          <m:t>Σⱼ</m:t>
        </m:r>
        <m:r>
          <w:rPr>
            <w:rFonts w:ascii="Cambria Math" w:hAnsi="Cambria Math" w:cs="Times New Roman"/>
            <w:szCs w:val="24"/>
            <w:lang w:val="pt-BR"/>
          </w:rPr>
          <m:t xml:space="preserve">₌₀ʰ </m:t>
        </m:r>
        <m:r>
          <w:rPr>
            <w:rFonts w:ascii="Cambria Math" w:hAnsi="Cambria Math" w:cs="Times New Roman"/>
            <w:szCs w:val="24"/>
          </w:rPr>
          <m:t>π</m:t>
        </m:r>
        <m:r>
          <w:rPr>
            <w:rFonts w:ascii="Cambria Math" w:hAnsi="Cambria Math" w:cs="Times New Roman"/>
            <w:szCs w:val="24"/>
            <w:lang w:val="pt-BR"/>
          </w:rPr>
          <m:t>ₜ₊</m:t>
        </m:r>
        <m:r>
          <w:rPr>
            <w:rFonts w:ascii="Cambria Math" w:hAnsi="Cambria Math" w:cs="Times New Roman"/>
            <w:szCs w:val="24"/>
          </w:rPr>
          <m:t>ⱼᵏ</m:t>
        </m:r>
        <m:r>
          <w:rPr>
            <w:rFonts w:ascii="Cambria Math" w:hAnsi="Cambria Math" w:cs="Times New Roman"/>
            <w:szCs w:val="24"/>
            <w:lang w:val="pt-BR"/>
          </w:rPr>
          <m:t xml:space="preserve"> = </m:t>
        </m:r>
        <m:r>
          <w:rPr>
            <w:rFonts w:ascii="Cambria Math" w:hAnsi="Cambria Math" w:cs="Times New Roman"/>
            <w:szCs w:val="24"/>
          </w:rPr>
          <m:t>α</m:t>
        </m:r>
        <m:r>
          <w:rPr>
            <w:rFonts w:ascii="Cambria Math" w:hAnsi="Cambria Math" w:cs="Times New Roman"/>
            <w:szCs w:val="24"/>
            <w:lang w:val="pt-BR"/>
          </w:rPr>
          <m:t xml:space="preserve">ₕ + </m:t>
        </m:r>
        <m:r>
          <w:rPr>
            <w:rFonts w:ascii="Cambria Math" w:hAnsi="Cambria Math" w:cs="Times New Roman"/>
            <w:szCs w:val="24"/>
          </w:rPr>
          <m:t>β</m:t>
        </m:r>
        <m:r>
          <w:rPr>
            <w:rFonts w:ascii="Cambria Math" w:hAnsi="Cambria Math" w:cs="Times New Roman"/>
            <w:szCs w:val="24"/>
            <w:lang w:val="pt-BR"/>
          </w:rPr>
          <m:t>ₕ</m:t>
        </m:r>
        <m:r>
          <w:rPr>
            <w:rFonts w:ascii="Cambria Math" w:hAnsi="Cambria Math" w:cs="Times New Roman"/>
            <w:szCs w:val="24"/>
          </w:rPr>
          <m:t>Δ</m:t>
        </m:r>
        <m:r>
          <w:rPr>
            <w:rFonts w:ascii="Cambria Math" w:hAnsi="Cambria Math" w:cs="Times New Roman"/>
            <w:szCs w:val="24"/>
            <w:lang w:val="pt-BR"/>
          </w:rPr>
          <m:t>ln(oilₜ)ˢ</m:t>
        </m:r>
        <m:r>
          <w:rPr>
            <w:rFonts w:ascii="Cambria Math" w:hAnsi="Cambria Math" w:cs="Times New Roman"/>
            <w:szCs w:val="24"/>
          </w:rPr>
          <m:t>ᵗᵈ</m:t>
        </m:r>
        <m:r>
          <w:rPr>
            <w:rFonts w:ascii="Cambria Math" w:hAnsi="Cambria Math" w:cs="Times New Roman"/>
            <w:szCs w:val="24"/>
            <w:lang w:val="pt-BR"/>
          </w:rPr>
          <m:t xml:space="preserve"> + </m:t>
        </m:r>
        <m:r>
          <w:rPr>
            <w:rFonts w:ascii="Cambria Math" w:hAnsi="Cambria Math" w:cs="Times New Roman"/>
            <w:szCs w:val="24"/>
          </w:rPr>
          <m:t>δ</m:t>
        </m:r>
        <m:r>
          <w:rPr>
            <w:rFonts w:ascii="Cambria Math" w:hAnsi="Cambria Math" w:cs="Times New Roman"/>
            <w:szCs w:val="24"/>
            <w:lang w:val="pt-BR"/>
          </w:rPr>
          <m:t>ₕ</m:t>
        </m:r>
        <m:r>
          <w:rPr>
            <w:rFonts w:ascii="Cambria Math" w:hAnsi="Cambria Math" w:cs="Times New Roman"/>
            <w:szCs w:val="24"/>
          </w:rPr>
          <m:t>Δ</m:t>
        </m:r>
        <m:r>
          <w:rPr>
            <w:rFonts w:ascii="Cambria Math" w:hAnsi="Cambria Math" w:cs="Times New Roman"/>
            <w:szCs w:val="24"/>
            <w:lang w:val="pt-BR"/>
          </w:rPr>
          <m:t xml:space="preserve">ln(fuelₜ) + </m:t>
        </m:r>
        <m:r>
          <w:rPr>
            <w:rFonts w:ascii="Cambria Math" w:hAnsi="Cambria Math" w:cs="Times New Roman"/>
            <w:szCs w:val="24"/>
          </w:rPr>
          <m:t>Γ</m:t>
        </m:r>
        <m:r>
          <w:rPr>
            <w:rFonts w:ascii="Cambria Math" w:hAnsi="Cambria Math" w:cs="Times New Roman"/>
            <w:szCs w:val="24"/>
            <w:lang w:val="pt-BR"/>
          </w:rPr>
          <m:t>ₕ(L)Zₜ + eₜ₊ₕ⁽ʰ⁾        (15)</m:t>
        </m:r>
      </m:oMath>
      <w:commentRangeEnd w:id="36"/>
      <w:r>
        <w:rPr>
          <w:rStyle w:val="CommentReference"/>
          <w:rFonts w:cs="Times New Roman"/>
          <w:sz w:val="24"/>
          <w:szCs w:val="24"/>
          <w:lang w:val="pt-BR"/>
        </w:rPr>
        <w:commentReference w:id="36"/>
      </w:r>
    </w:p>
    <w:p w14:paraId="4ABF117C" w14:textId="77777777" w:rsidR="003010CD" w:rsidRPr="009C7F96" w:rsidRDefault="003010CD" w:rsidP="008E44CC">
      <w:pPr>
        <w:spacing w:after="120"/>
        <w:rPr>
          <w:rFonts w:cs="Times New Roman"/>
          <w:szCs w:val="24"/>
          <w:lang w:val="pt-BR"/>
        </w:rPr>
      </w:pPr>
    </w:p>
    <w:p w14:paraId="6412E41B" w14:textId="77777777" w:rsidR="008E44CC" w:rsidRPr="009C7F96" w:rsidRDefault="008E44CC" w:rsidP="008E44CC">
      <w:pPr>
        <w:spacing w:after="120"/>
        <w:rPr>
          <w:rFonts w:cs="Times New Roman"/>
          <w:szCs w:val="24"/>
          <w:lang w:val="pt-BR"/>
        </w:rPr>
      </w:pPr>
      <w:r w:rsidRPr="009C7F96">
        <w:rPr>
          <w:rFonts w:cs="Times New Roman"/>
          <w:szCs w:val="24"/>
          <w:lang w:val="pt-BR"/>
        </w:rPr>
        <w:t xml:space="preserve">Se o coeficiente </w:t>
      </w:r>
      <w:r w:rsidRPr="009C7F96">
        <w:rPr>
          <w:rFonts w:cs="Times New Roman"/>
          <w:szCs w:val="24"/>
        </w:rPr>
        <w:t>β</w:t>
      </w:r>
      <w:r w:rsidRPr="009C7F96">
        <w:rPr>
          <w:rFonts w:cs="Times New Roman"/>
          <w:szCs w:val="24"/>
          <w:lang w:val="pt-BR"/>
        </w:rPr>
        <w:t>_h diminuir após a inclusão do combustível, há evidência de que parte do impacto do petróleo sobre a inflação é mediada pelos preços domésticos dos combustíveis.</w:t>
      </w:r>
    </w:p>
    <w:p w14:paraId="43C5C723" w14:textId="77777777" w:rsidR="008E44CC" w:rsidRDefault="008E44CC" w:rsidP="008E44CC">
      <w:pPr>
        <w:spacing w:after="120"/>
        <w:rPr>
          <w:rFonts w:cs="Times New Roman"/>
          <w:szCs w:val="24"/>
          <w:lang w:val="pt-BR"/>
        </w:rPr>
      </w:pPr>
      <w:r w:rsidRPr="009C7F96">
        <w:rPr>
          <w:rFonts w:cs="Times New Roman"/>
          <w:szCs w:val="24"/>
          <w:lang w:val="pt-BR"/>
        </w:rPr>
        <w:t>O Bloco D compara regimes associados à política de preços da Petrobras. A forma geral é:</w:t>
      </w:r>
    </w:p>
    <w:p w14:paraId="019B610D" w14:textId="77777777" w:rsidR="003010CD" w:rsidRPr="009C7F96" w:rsidRDefault="003010CD" w:rsidP="008E44CC">
      <w:pPr>
        <w:spacing w:after="120"/>
        <w:rPr>
          <w:rFonts w:cs="Times New Roman"/>
          <w:szCs w:val="24"/>
          <w:lang w:val="pt-BR"/>
        </w:rPr>
      </w:pPr>
    </w:p>
    <w:p w14:paraId="15754FB3" w14:textId="285D01D9" w:rsidR="008E44CC" w:rsidRDefault="003010CD" w:rsidP="008E44CC">
      <w:pPr>
        <w:spacing w:after="120"/>
        <w:rPr>
          <w:rFonts w:cs="Times New Roman"/>
          <w:szCs w:val="24"/>
          <w:lang w:val="pt-BR"/>
        </w:rPr>
      </w:pPr>
      <w:commentRangeStart w:id="37"/>
      <m:oMath>
        <m:r>
          <w:rPr>
            <w:rFonts w:ascii="Cambria Math" w:hAnsi="Cambria Math" w:cs="Times New Roman"/>
            <w:szCs w:val="24"/>
          </w:rPr>
          <m:t>Σⱼ</m:t>
        </m:r>
        <m:r>
          <w:rPr>
            <w:rFonts w:ascii="Cambria Math" w:hAnsi="Cambria Math" w:cs="Times New Roman"/>
            <w:szCs w:val="24"/>
            <w:lang w:val="pt-BR"/>
          </w:rPr>
          <m:t>₌₀ʰ yₜ₊</m:t>
        </m:r>
        <m:r>
          <w:rPr>
            <w:rFonts w:ascii="Cambria Math" w:hAnsi="Cambria Math" w:cs="Times New Roman"/>
            <w:szCs w:val="24"/>
          </w:rPr>
          <m:t>ⱼ</m:t>
        </m:r>
        <m:r>
          <w:rPr>
            <w:rFonts w:ascii="Cambria Math" w:hAnsi="Cambria Math" w:cs="Times New Roman"/>
            <w:szCs w:val="24"/>
            <w:lang w:val="pt-BR"/>
          </w:rPr>
          <m:t xml:space="preserve"> = </m:t>
        </m:r>
        <m:r>
          <w:rPr>
            <w:rFonts w:ascii="Cambria Math" w:hAnsi="Cambria Math" w:cs="Times New Roman"/>
            <w:szCs w:val="24"/>
          </w:rPr>
          <m:t>α</m:t>
        </m:r>
        <m:r>
          <w:rPr>
            <w:rFonts w:ascii="Cambria Math" w:hAnsi="Cambria Math" w:cs="Times New Roman"/>
            <w:szCs w:val="24"/>
            <w:lang w:val="pt-BR"/>
          </w:rPr>
          <m:t xml:space="preserve">ₕ + </m:t>
        </m:r>
        <m:r>
          <w:rPr>
            <w:rFonts w:ascii="Cambria Math" w:hAnsi="Cambria Math" w:cs="Times New Roman"/>
            <w:szCs w:val="24"/>
          </w:rPr>
          <m:t>β</m:t>
        </m:r>
        <m:r>
          <w:rPr>
            <w:rFonts w:ascii="Cambria Math" w:hAnsi="Cambria Math" w:cs="Times New Roman"/>
            <w:szCs w:val="24"/>
            <w:lang w:val="pt-BR"/>
          </w:rPr>
          <m:t>ₕ</m:t>
        </m:r>
        <m:r>
          <w:rPr>
            <w:rFonts w:ascii="Cambria Math" w:hAnsi="Cambria Math" w:cs="Times New Roman"/>
            <w:szCs w:val="24"/>
          </w:rPr>
          <m:t>ᵖ</m:t>
        </m:r>
        <m:r>
          <w:rPr>
            <w:rFonts w:ascii="Cambria Math" w:hAnsi="Cambria Math" w:cs="Times New Roman"/>
            <w:szCs w:val="24"/>
            <w:lang w:val="pt-BR"/>
          </w:rPr>
          <m:t>ʳ</m:t>
        </m:r>
        <m:r>
          <w:rPr>
            <w:rFonts w:ascii="Cambria Math" w:hAnsi="Cambria Math" w:cs="Times New Roman"/>
            <w:szCs w:val="24"/>
          </w:rPr>
          <m:t>ᵉ</m:t>
        </m:r>
        <m:r>
          <w:rPr>
            <w:rFonts w:ascii="Cambria Math" w:hAnsi="Cambria Math" w:cs="Times New Roman"/>
            <w:szCs w:val="24"/>
            <w:lang w:val="pt-BR"/>
          </w:rPr>
          <m:t xml:space="preserve">(1-Dₜ)shockₜ + </m:t>
        </m:r>
        <m:r>
          <w:rPr>
            <w:rFonts w:ascii="Cambria Math" w:hAnsi="Cambria Math" w:cs="Times New Roman"/>
            <w:szCs w:val="24"/>
          </w:rPr>
          <m:t>β</m:t>
        </m:r>
        <m:r>
          <w:rPr>
            <w:rFonts w:ascii="Cambria Math" w:hAnsi="Cambria Math" w:cs="Times New Roman"/>
            <w:szCs w:val="24"/>
            <w:lang w:val="pt-BR"/>
          </w:rPr>
          <m:t>ₕ</m:t>
        </m:r>
        <m:r>
          <w:rPr>
            <w:rFonts w:ascii="Cambria Math" w:hAnsi="Cambria Math" w:cs="Times New Roman"/>
            <w:szCs w:val="24"/>
          </w:rPr>
          <m:t>ᵖᵒ</m:t>
        </m:r>
        <m:r>
          <w:rPr>
            <w:rFonts w:ascii="Cambria Math" w:hAnsi="Cambria Math" w:cs="Times New Roman"/>
            <w:szCs w:val="24"/>
            <w:lang w:val="pt-BR"/>
          </w:rPr>
          <m:t>ˢ</m:t>
        </m:r>
        <m:r>
          <w:rPr>
            <w:rFonts w:ascii="Cambria Math" w:hAnsi="Cambria Math" w:cs="Times New Roman"/>
            <w:szCs w:val="24"/>
          </w:rPr>
          <m:t>ᵗ</m:t>
        </m:r>
        <m:r>
          <w:rPr>
            <w:rFonts w:ascii="Cambria Math" w:hAnsi="Cambria Math" w:cs="Times New Roman"/>
            <w:szCs w:val="24"/>
            <w:lang w:val="pt-BR"/>
          </w:rPr>
          <m:t xml:space="preserve">Dₜshockₜ + </m:t>
        </m:r>
        <m:r>
          <w:rPr>
            <w:rFonts w:ascii="Cambria Math" w:hAnsi="Cambria Math" w:cs="Times New Roman"/>
            <w:szCs w:val="24"/>
          </w:rPr>
          <m:t>Γ</m:t>
        </m:r>
        <m:r>
          <w:rPr>
            <w:rFonts w:ascii="Cambria Math" w:hAnsi="Cambria Math" w:cs="Times New Roman"/>
            <w:szCs w:val="24"/>
            <w:lang w:val="pt-BR"/>
          </w:rPr>
          <m:t>ₕ(L)Zₜ + uₜ₊ₕ⁽ʰ⁾        (16)</m:t>
        </m:r>
      </m:oMath>
      <w:commentRangeEnd w:id="37"/>
      <w:r>
        <w:rPr>
          <w:rStyle w:val="CommentReference"/>
          <w:rFonts w:cs="Times New Roman"/>
          <w:sz w:val="24"/>
          <w:szCs w:val="24"/>
          <w:lang w:val="pt-BR"/>
        </w:rPr>
        <w:commentReference w:id="37"/>
      </w:r>
    </w:p>
    <w:p w14:paraId="75508591" w14:textId="77777777" w:rsidR="003010CD" w:rsidRPr="009C7F96" w:rsidRDefault="003010CD" w:rsidP="008E44CC">
      <w:pPr>
        <w:spacing w:after="120"/>
        <w:rPr>
          <w:rFonts w:cs="Times New Roman"/>
          <w:szCs w:val="24"/>
          <w:lang w:val="pt-BR"/>
        </w:rPr>
      </w:pPr>
    </w:p>
    <w:p w14:paraId="507F5287" w14:textId="0CC41AB6" w:rsidR="008E44CC" w:rsidRPr="003010CD" w:rsidRDefault="008E44CC" w:rsidP="003010CD">
      <w:pPr>
        <w:spacing w:after="120"/>
        <w:rPr>
          <w:rFonts w:cs="Times New Roman"/>
          <w:szCs w:val="24"/>
          <w:lang w:val="pt-BR"/>
        </w:rPr>
      </w:pPr>
      <w:r w:rsidRPr="009C7F96">
        <w:rPr>
          <w:rFonts w:cs="Times New Roman"/>
          <w:szCs w:val="24"/>
          <w:lang w:val="pt-BR"/>
        </w:rPr>
        <w:t xml:space="preserve">A variável </w:t>
      </w:r>
      <m:oMath>
        <m:sSub>
          <m:sSubPr>
            <m:ctrlPr>
              <w:rPr>
                <w:rFonts w:ascii="Cambria Math" w:hAnsi="Cambria Math" w:cs="Times New Roman"/>
                <w:i/>
                <w:szCs w:val="24"/>
                <w:lang w:val="pt-BR"/>
              </w:rPr>
            </m:ctrlPr>
          </m:sSubPr>
          <m:e>
            <m:r>
              <w:rPr>
                <w:rFonts w:ascii="Cambria Math" w:hAnsi="Cambria Math" w:cs="Times New Roman"/>
                <w:szCs w:val="24"/>
                <w:lang w:val="pt-BR"/>
              </w:rPr>
              <m:t>D</m:t>
            </m:r>
          </m:e>
          <m:sub>
            <m:r>
              <w:rPr>
                <w:rFonts w:ascii="Cambria Math" w:hAnsi="Cambria Math" w:cs="Times New Roman"/>
                <w:szCs w:val="24"/>
                <w:lang w:val="pt-BR"/>
              </w:rPr>
              <m:t>t</m:t>
            </m:r>
          </m:sub>
        </m:sSub>
      </m:oMath>
      <w:r w:rsidR="003010CD">
        <w:rPr>
          <w:rFonts w:cs="Times New Roman"/>
          <w:szCs w:val="24"/>
          <w:lang w:val="pt-BR"/>
        </w:rPr>
        <w:t xml:space="preserve"> </w:t>
      </w:r>
      <w:r w:rsidRPr="009C7F96">
        <w:rPr>
          <w:rFonts w:cs="Times New Roman"/>
          <w:szCs w:val="24"/>
          <w:lang w:val="pt-BR"/>
        </w:rPr>
        <w:t xml:space="preserve">identifica o período posterior à mudança de regime. A comparação entre </w:t>
      </w:r>
      <m:oMath>
        <m:sSubSup>
          <m:sSubSupPr>
            <m:ctrlPr>
              <w:rPr>
                <w:rFonts w:ascii="Cambria Math" w:hAnsi="Cambria Math" w:cs="Times New Roman"/>
                <w:i/>
                <w:szCs w:val="24"/>
                <w:lang w:val="pt-BR"/>
              </w:rPr>
            </m:ctrlPr>
          </m:sSubSupPr>
          <m:e>
            <m:r>
              <w:rPr>
                <w:rFonts w:ascii="Cambria Math" w:hAnsi="Cambria Math" w:cs="Times New Roman"/>
                <w:szCs w:val="24"/>
              </w:rPr>
              <m:t>β</m:t>
            </m:r>
            <m:ctrlPr>
              <w:rPr>
                <w:rFonts w:ascii="Cambria Math" w:hAnsi="Cambria Math" w:cs="Times New Roman"/>
                <w:i/>
                <w:szCs w:val="24"/>
              </w:rPr>
            </m:ctrlPr>
          </m:e>
          <m:sub>
            <m:r>
              <w:rPr>
                <w:rFonts w:ascii="Cambria Math" w:hAnsi="Cambria Math" w:cs="Times New Roman"/>
                <w:szCs w:val="24"/>
                <w:lang w:val="pt-BR"/>
              </w:rPr>
              <m:t>h</m:t>
            </m:r>
          </m:sub>
          <m:sup>
            <m:r>
              <w:rPr>
                <w:rFonts w:ascii="Cambria Math" w:hAnsi="Cambria Math" w:cs="Times New Roman"/>
                <w:szCs w:val="24"/>
                <w:lang w:val="pt-BR"/>
              </w:rPr>
              <m:t>pre</m:t>
            </m:r>
          </m:sup>
        </m:sSubSup>
      </m:oMath>
      <w:r w:rsidRPr="009C7F96">
        <w:rPr>
          <w:rFonts w:cs="Times New Roman"/>
          <w:szCs w:val="24"/>
          <w:lang w:val="pt-BR"/>
        </w:rPr>
        <w:t xml:space="preserve"> e </w:t>
      </w:r>
      <m:oMath>
        <m:sSubSup>
          <m:sSubSupPr>
            <m:ctrlPr>
              <w:rPr>
                <w:rFonts w:ascii="Cambria Math" w:hAnsi="Cambria Math" w:cs="Times New Roman"/>
                <w:i/>
                <w:szCs w:val="24"/>
                <w:lang w:val="pt-BR"/>
              </w:rPr>
            </m:ctrlPr>
          </m:sSubSupPr>
          <m:e>
            <m:r>
              <w:rPr>
                <w:rFonts w:ascii="Cambria Math" w:hAnsi="Cambria Math" w:cs="Times New Roman"/>
                <w:szCs w:val="24"/>
              </w:rPr>
              <m:t>β</m:t>
            </m:r>
            <m:ctrlPr>
              <w:rPr>
                <w:rFonts w:ascii="Cambria Math" w:hAnsi="Cambria Math" w:cs="Times New Roman"/>
                <w:i/>
                <w:szCs w:val="24"/>
              </w:rPr>
            </m:ctrlPr>
          </m:e>
          <m:sub>
            <m:r>
              <w:rPr>
                <w:rFonts w:ascii="Cambria Math" w:hAnsi="Cambria Math" w:cs="Times New Roman"/>
                <w:szCs w:val="24"/>
                <w:lang w:val="pt-BR"/>
              </w:rPr>
              <m:t>h</m:t>
            </m:r>
          </m:sub>
          <m:sup>
            <m:r>
              <w:rPr>
                <w:rFonts w:ascii="Cambria Math" w:hAnsi="Cambria Math" w:cs="Times New Roman"/>
                <w:szCs w:val="24"/>
                <w:lang w:val="pt-BR"/>
              </w:rPr>
              <m:t>post</m:t>
            </m:r>
          </m:sup>
        </m:sSubSup>
      </m:oMath>
      <w:r w:rsidRPr="009C7F96">
        <w:rPr>
          <w:rFonts w:cs="Times New Roman"/>
          <w:szCs w:val="24"/>
          <w:lang w:val="pt-BR"/>
        </w:rPr>
        <w:t>permite avaliar se a intensidade do repasse se altera entre períodos de maior contenção e períodos de maior alinhamento aos preços internacionais.</w:t>
      </w:r>
    </w:p>
    <w:p w14:paraId="3F8DF057" w14:textId="77777777" w:rsidR="008E44CC" w:rsidRPr="009C7F96" w:rsidRDefault="008E44CC" w:rsidP="008E44CC">
      <w:pPr>
        <w:spacing w:before="120" w:after="60"/>
        <w:ind w:firstLine="0"/>
        <w:jc w:val="center"/>
        <w:rPr>
          <w:rFonts w:cs="Times New Roman"/>
          <w:szCs w:val="24"/>
          <w:lang w:val="pt-BR"/>
        </w:rPr>
      </w:pPr>
      <w:r w:rsidRPr="009C7F96">
        <w:rPr>
          <w:rFonts w:cs="Times New Roman"/>
          <w:b/>
          <w:sz w:val="20"/>
          <w:szCs w:val="24"/>
          <w:lang w:val="pt-BR"/>
        </w:rPr>
        <w:t>Quadro 2 - Blocos de estimação das Local Projections</w:t>
      </w:r>
    </w:p>
    <w:tbl>
      <w:tblPr>
        <w:tblW w:w="0" w:type="auto"/>
        <w:jc w:val="center"/>
        <w:tblLook w:val="04A0" w:firstRow="1" w:lastRow="0" w:firstColumn="1" w:lastColumn="0" w:noHBand="0" w:noVBand="1"/>
      </w:tblPr>
      <w:tblGrid>
        <w:gridCol w:w="3131"/>
        <w:gridCol w:w="3132"/>
        <w:gridCol w:w="3132"/>
      </w:tblGrid>
      <w:tr w:rsidR="008E44CC" w:rsidRPr="009C7F96" w14:paraId="1D78382F" w14:textId="77777777" w:rsidTr="00AB4120">
        <w:trPr>
          <w:jc w:val="center"/>
        </w:trPr>
        <w:tc>
          <w:tcPr>
            <w:tcW w:w="3135" w:type="dxa"/>
            <w:shd w:val="clear" w:color="auto" w:fill="D9EAF7"/>
            <w:tcMar>
              <w:top w:w="30" w:type="dxa"/>
              <w:left w:w="30" w:type="dxa"/>
              <w:bottom w:w="30" w:type="dxa"/>
              <w:right w:w="30" w:type="dxa"/>
            </w:tcMar>
            <w:shd w:val="clear" w:color="auto" w:fill="auto"/>
            <w:tcBorders>
              <w:top w:sz="12" w:val="single" w:color="000000"/>
              <w:left w:val="nil"/>
              <w:bottom w:sz="4" w:val="single" w:color="000000"/>
              <w:right w:val="nil"/>
            </w:tcBorders>
          </w:tcPr>
          <w:p>
            <w:pPr>
              <w:ind w:left="0" w:right="0" w:firstLine="0"/>
              <w:jc w:val="center"/>
            </w:pPr>
            <w:r>
              <w:t>Bloco</w:t>
            </w:r>
          </w:p>
        </w:tc>
        <w:tc>
          <w:tcPr>
            <w:tcW w:w="3135" w:type="dxa"/>
            <w:shd w:val="clear" w:color="auto" w:fill="D9EAF7"/>
            <w:tcMar>
              <w:top w:w="30" w:type="dxa"/>
              <w:left w:w="30" w:type="dxa"/>
              <w:bottom w:w="30" w:type="dxa"/>
              <w:right w:w="30" w:type="dxa"/>
            </w:tcMar>
            <w:shd w:val="clear" w:color="auto" w:fill="auto"/>
            <w:tcBorders>
              <w:top w:sz="12" w:val="single" w:color="000000"/>
              <w:left w:val="nil"/>
              <w:bottom w:sz="4" w:val="single" w:color="000000"/>
              <w:right w:val="nil"/>
            </w:tcBorders>
          </w:tcPr>
          <w:p>
            <w:pPr>
              <w:ind w:left="0" w:right="0" w:firstLine="0"/>
              <w:jc w:val="center"/>
            </w:pPr>
            <w:r>
              <w:t>Pergunta econômica</w:t>
            </w:r>
          </w:p>
        </w:tc>
        <w:tc>
          <w:tcPr>
            <w:tcW w:w="3135" w:type="dxa"/>
            <w:shd w:val="clear" w:color="auto" w:fill="D9EAF7"/>
            <w:tcMar>
              <w:top w:w="30" w:type="dxa"/>
              <w:left w:w="30" w:type="dxa"/>
              <w:bottom w:w="30" w:type="dxa"/>
              <w:right w:w="30" w:type="dxa"/>
            </w:tcMar>
            <w:shd w:val="clear" w:color="auto" w:fill="auto"/>
            <w:tcBorders>
              <w:top w:sz="12" w:val="single" w:color="000000"/>
              <w:left w:val="nil"/>
              <w:bottom w:sz="4" w:val="single" w:color="000000"/>
              <w:right w:val="nil"/>
            </w:tcBorders>
          </w:tcPr>
          <w:p>
            <w:pPr>
              <w:ind w:left="0" w:right="0" w:firstLine="0"/>
              <w:jc w:val="center"/>
            </w:pPr>
            <w:r>
              <w:t>Relação estimada</w:t>
            </w:r>
          </w:p>
        </w:tc>
      </w:tr>
      <w:tr w:rsidR="008E44CC" w:rsidRPr="00321F2B" w14:paraId="2171C774" w14:textId="77777777" w:rsidTr="00AB4120">
        <w:trPr>
          <w:jc w:val="center"/>
        </w:trPr>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A</w:t>
            </w:r>
          </w:p>
        </w:tc>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O petróleo internacional afeta combustíveis domésticos?</w:t>
            </w:r>
          </w:p>
        </w:tc>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Petróleo → gasolina, etanol, diesel e gasolina na refinaria</w:t>
            </w:r>
          </w:p>
        </w:tc>
      </w:tr>
      <w:tr w:rsidR="008E44CC" w:rsidRPr="00321F2B" w14:paraId="5925C298" w14:textId="77777777" w:rsidTr="00AB4120">
        <w:trPr>
          <w:jc w:val="center"/>
        </w:trPr>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B</w:t>
            </w:r>
          </w:p>
        </w:tc>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Combustíveis afetam inflação?</w:t>
            </w:r>
          </w:p>
        </w:tc>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Combustíveis → IPCA Geral e IPCA Transportes</w:t>
            </w:r>
          </w:p>
        </w:tc>
      </w:tr>
      <w:tr w:rsidR="008E44CC" w:rsidRPr="00321F2B" w14:paraId="4036C8AE" w14:textId="77777777" w:rsidTr="00AB4120">
        <w:trPr>
          <w:jc w:val="center"/>
        </w:trPr>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C</w:t>
            </w:r>
          </w:p>
        </w:tc>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O efeito do petróleo passa pelos combustíveis?</w:t>
            </w:r>
          </w:p>
        </w:tc>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Petróleo → inflação com e sem controle por combustíveis</w:t>
            </w:r>
          </w:p>
        </w:tc>
      </w:tr>
      <w:tr w:rsidR="008E44CC" w:rsidRPr="00321F2B" w14:paraId="4FA8F568" w14:textId="77777777" w:rsidTr="00AB4120">
        <w:trPr>
          <w:jc w:val="center"/>
        </w:trPr>
        <w:tc>
          <w:tcPr>
            <w:tcW w:w="3135" w:type="dxa"/>
            <w:tcMar>
              <w:top w:w="30" w:type="dxa"/>
              <w:left w:w="30" w:type="dxa"/>
              <w:bottom w:w="30" w:type="dxa"/>
              <w:right w:w="30" w:type="dxa"/>
            </w:tcMar>
            <w:shd w:val="clear" w:color="auto" w:fill="auto"/>
            <w:tcBorders>
              <w:top w:val="nil"/>
              <w:left w:val="nil"/>
              <w:bottom w:sz="12" w:val="single" w:color="000000"/>
              <w:right w:val="nil"/>
            </w:tcBorders>
          </w:tcPr>
          <w:p>
            <w:pPr>
              <w:ind w:left="0" w:right="0" w:firstLine="0"/>
              <w:jc w:val="center"/>
            </w:pPr>
            <w:r>
              <w:t>D</w:t>
            </w:r>
          </w:p>
        </w:tc>
        <w:tc>
          <w:tcPr>
            <w:tcW w:w="3135" w:type="dxa"/>
            <w:tcMar>
              <w:top w:w="30" w:type="dxa"/>
              <w:left w:w="30" w:type="dxa"/>
              <w:bottom w:w="30" w:type="dxa"/>
              <w:right w:w="30" w:type="dxa"/>
            </w:tcMar>
            <w:shd w:val="clear" w:color="auto" w:fill="auto"/>
            <w:tcBorders>
              <w:top w:val="nil"/>
              <w:left w:val="nil"/>
              <w:bottom w:sz="12" w:val="single" w:color="000000"/>
              <w:right w:val="nil"/>
            </w:tcBorders>
          </w:tcPr>
          <w:p>
            <w:pPr>
              <w:ind w:left="0" w:right="0" w:firstLine="0"/>
              <w:jc w:val="center"/>
            </w:pPr>
            <w:r>
              <w:t>O repasse muda por regime de preços?</w:t>
            </w:r>
          </w:p>
        </w:tc>
        <w:tc>
          <w:tcPr>
            <w:tcW w:w="3135" w:type="dxa"/>
            <w:tcMar>
              <w:top w:w="30" w:type="dxa"/>
              <w:left w:w="30" w:type="dxa"/>
              <w:bottom w:w="30" w:type="dxa"/>
              <w:right w:w="30" w:type="dxa"/>
            </w:tcMar>
            <w:shd w:val="clear" w:color="auto" w:fill="auto"/>
            <w:tcBorders>
              <w:top w:val="nil"/>
              <w:left w:val="nil"/>
              <w:bottom w:sz="12" w:val="single" w:color="000000"/>
              <w:right w:val="nil"/>
            </w:tcBorders>
          </w:tcPr>
          <w:p>
            <w:pPr>
              <w:ind w:left="0" w:right="0" w:firstLine="0"/>
              <w:jc w:val="center"/>
            </w:pPr>
            <w:r>
              <w:t>Comparação entre subperíodos associados à Petrobras</w:t>
            </w:r>
          </w:p>
        </w:tc>
      </w:tr>
    </w:tbl>
    <w:p w14:paraId="1FDB7B1D" w14:textId="77777777" w:rsidR="008E44CC" w:rsidRPr="009C7F96" w:rsidRDefault="008E44CC" w:rsidP="008E44CC">
      <w:pPr>
        <w:spacing w:after="120" w:line="240" w:lineRule="auto"/>
        <w:ind w:firstLine="0"/>
        <w:jc w:val="center"/>
        <w:rPr>
          <w:rFonts w:cs="Times New Roman"/>
          <w:szCs w:val="24"/>
          <w:lang w:val="pt-BR"/>
        </w:rPr>
      </w:pPr>
      <w:r w:rsidRPr="009C7F96">
        <w:rPr>
          <w:rFonts w:cs="Times New Roman"/>
          <w:sz w:val="20"/>
          <w:szCs w:val="24"/>
          <w:lang w:val="pt-BR"/>
        </w:rPr>
        <w:t>Fonte: Elaboração própria.</w:t>
      </w:r>
    </w:p>
    <w:p w14:paraId="420EC354" w14:textId="77777777" w:rsidR="008E44CC" w:rsidRPr="009C7F96" w:rsidRDefault="008E44CC" w:rsidP="008E44CC">
      <w:pPr>
        <w:pStyle w:val="Heading2"/>
        <w:spacing w:before="120" w:after="120"/>
        <w:jc w:val="both"/>
        <w:rPr>
          <w:rFonts w:cs="Times New Roman"/>
          <w:szCs w:val="24"/>
        </w:rPr>
      </w:pPr>
      <w:bookmarkStart w:id="38" w:name="_Toc229695950"/>
      <w:r w:rsidRPr="009C7F96">
        <w:rPr>
          <w:rFonts w:ascii="Times New Roman" w:eastAsia="Times New Roman" w:hAnsi="Times New Roman" w:cs="Times New Roman"/>
          <w:szCs w:val="24"/>
        </w:rPr>
        <w:t>3.7 Modelo VAR como exercício de robustez</w:t>
      </w:r>
      <w:bookmarkEnd w:id="38"/>
    </w:p>
    <w:p w14:paraId="4B684568" w14:textId="77777777" w:rsidR="008E44CC" w:rsidRPr="009C7F96" w:rsidRDefault="008E44CC" w:rsidP="008E44CC">
      <w:pPr>
        <w:spacing w:after="120"/>
        <w:rPr>
          <w:rFonts w:cs="Times New Roman"/>
          <w:szCs w:val="24"/>
          <w:lang w:val="pt-BR"/>
        </w:rPr>
      </w:pPr>
      <w:r w:rsidRPr="009C7F96">
        <w:rPr>
          <w:rFonts w:cs="Times New Roman"/>
          <w:szCs w:val="24"/>
          <w:lang w:val="pt-BR"/>
        </w:rPr>
        <w:t>O VAR é utilizado como exercício de robustez. A sigla VAR significa Vetor Autorregressivo. Diferentemente de uma regressão de equação única, o VAR estima um sistema no qual todas as variáveis endógenas são explicadas por suas próprias defasagens e pelas defasagens das demais variáveis do sistema. Assim, o modelo permite analisar interações dinâmicas entre petróleo, câmbio, combustíveis, atividade, expectativas, Selic e inflação.</w:t>
      </w:r>
    </w:p>
    <w:p w14:paraId="7A3B8317" w14:textId="77777777" w:rsidR="008E44CC" w:rsidRDefault="008E44CC" w:rsidP="008E44CC">
      <w:pPr>
        <w:spacing w:after="120"/>
        <w:rPr>
          <w:rFonts w:cs="Times New Roman"/>
          <w:szCs w:val="24"/>
          <w:lang w:val="pt-BR"/>
        </w:rPr>
      </w:pPr>
      <w:r w:rsidRPr="009C7F96">
        <w:rPr>
          <w:rFonts w:cs="Times New Roman"/>
          <w:szCs w:val="24"/>
          <w:lang w:val="pt-BR"/>
        </w:rPr>
        <w:lastRenderedPageBreak/>
        <w:t>A forma geral de um VAR(p) com controles exógenos é:</w:t>
      </w:r>
    </w:p>
    <w:p w14:paraId="757040E8" w14:textId="77777777" w:rsidR="00F761EB" w:rsidRPr="009C7F96" w:rsidRDefault="00F761EB" w:rsidP="008E44CC">
      <w:pPr>
        <w:spacing w:after="120"/>
        <w:rPr>
          <w:rFonts w:cs="Times New Roman"/>
          <w:szCs w:val="24"/>
          <w:lang w:val="pt-BR"/>
        </w:rPr>
      </w:pPr>
    </w:p>
    <w:p w14:paraId="5821012A" w14:textId="6BEE8EFB" w:rsidR="008E44CC" w:rsidRDefault="00F761EB" w:rsidP="008E44CC">
      <w:pPr>
        <w:spacing w:after="120"/>
        <w:rPr>
          <w:rFonts w:cs="Times New Roman"/>
          <w:szCs w:val="24"/>
          <w:lang w:val="pt-BR"/>
        </w:rPr>
      </w:pPr>
      <m:oMathPara>
        <m:oMath>
          <m:r>
            <w:rPr>
              <w:rFonts w:ascii="Cambria Math" w:hAnsi="Cambria Math" w:cs="Times New Roman"/>
              <w:szCs w:val="24"/>
              <w:lang w:val="pt-BR"/>
            </w:rPr>
            <m:t>Yₜ = c + A₁Yₜ₋₁ + A₂Yₜ₋₂ + ... + AₚYₜ₋ₚ + BXₜ + uₜ        (17)</m:t>
          </m:r>
        </m:oMath>
      </m:oMathPara>
    </w:p>
    <w:p w14:paraId="6694FF22" w14:textId="77777777" w:rsidR="00F761EB" w:rsidRPr="009C7F96" w:rsidRDefault="00F761EB" w:rsidP="008E44CC">
      <w:pPr>
        <w:spacing w:after="120"/>
        <w:rPr>
          <w:rFonts w:cs="Times New Roman"/>
          <w:szCs w:val="24"/>
          <w:lang w:val="pt-BR"/>
        </w:rPr>
      </w:pPr>
    </w:p>
    <w:p w14:paraId="0536932F" w14:textId="00104E97" w:rsidR="008E44CC" w:rsidRPr="00F761EB" w:rsidRDefault="008E44CC" w:rsidP="00F761EB">
      <w:pPr>
        <w:spacing w:after="120"/>
        <w:rPr>
          <w:rFonts w:cs="Times New Roman"/>
          <w:szCs w:val="24"/>
          <w:lang w:val="pt-BR"/>
        </w:rPr>
      </w:pPr>
      <w:r w:rsidRPr="009C7F96">
        <w:rPr>
          <w:rFonts w:cs="Times New Roman"/>
          <w:szCs w:val="24"/>
          <w:lang w:val="pt-BR"/>
        </w:rPr>
        <w:t xml:space="preserve">Em que </w:t>
      </w:r>
      <m:oMath>
        <m:sSub>
          <m:sSubPr>
            <m:ctrlPr>
              <w:rPr>
                <w:rFonts w:ascii="Cambria Math" w:hAnsi="Cambria Math" w:cs="Times New Roman"/>
                <w:i/>
                <w:szCs w:val="24"/>
                <w:lang w:val="pt-BR"/>
              </w:rPr>
            </m:ctrlPr>
          </m:sSubPr>
          <m:e>
            <m:r>
              <w:rPr>
                <w:rFonts w:ascii="Cambria Math" w:hAnsi="Cambria Math" w:cs="Times New Roman"/>
                <w:szCs w:val="24"/>
                <w:lang w:val="pt-BR"/>
              </w:rPr>
              <m:t>Y</m:t>
            </m:r>
          </m:e>
          <m:sub>
            <m:r>
              <w:rPr>
                <w:rFonts w:ascii="Cambria Math" w:hAnsi="Cambria Math" w:cs="Times New Roman"/>
                <w:szCs w:val="24"/>
                <w:lang w:val="pt-BR"/>
              </w:rPr>
              <m:t>t</m:t>
            </m:r>
          </m:sub>
        </m:sSub>
      </m:oMath>
      <w:r w:rsidRPr="009C7F96">
        <w:rPr>
          <w:rFonts w:cs="Times New Roman"/>
          <w:szCs w:val="24"/>
          <w:lang w:val="pt-BR"/>
        </w:rPr>
        <w:t xml:space="preserve"> é o vetor de variáveis endógenas, </w:t>
      </w:r>
      <m:oMath>
        <m:r>
          <w:rPr>
            <w:rFonts w:ascii="Cambria Math" w:hAnsi="Cambria Math" w:cs="Times New Roman"/>
            <w:szCs w:val="24"/>
            <w:lang w:val="pt-BR"/>
          </w:rPr>
          <m:t>c</m:t>
        </m:r>
      </m:oMath>
      <w:r w:rsidRPr="009C7F96">
        <w:rPr>
          <w:rFonts w:cs="Times New Roman"/>
          <w:szCs w:val="24"/>
          <w:lang w:val="pt-BR"/>
        </w:rPr>
        <w:t xml:space="preserve"> é o vetor de constantes, </w:t>
      </w:r>
      <m:oMath>
        <m:sSub>
          <m:sSubPr>
            <m:ctrlPr>
              <w:rPr>
                <w:rFonts w:ascii="Cambria Math" w:hAnsi="Cambria Math" w:cs="Times New Roman"/>
                <w:i/>
                <w:szCs w:val="24"/>
                <w:lang w:val="pt-BR"/>
              </w:rPr>
            </m:ctrlPr>
          </m:sSubPr>
          <m:e>
            <m:r>
              <w:rPr>
                <w:rFonts w:ascii="Cambria Math" w:hAnsi="Cambria Math" w:cs="Times New Roman"/>
                <w:szCs w:val="24"/>
                <w:lang w:val="pt-BR"/>
              </w:rPr>
              <m:t>A</m:t>
            </m:r>
          </m:e>
          <m:sub>
            <m:r>
              <w:rPr>
                <w:rFonts w:ascii="Cambria Math" w:hAnsi="Cambria Math" w:cs="Times New Roman"/>
                <w:szCs w:val="24"/>
                <w:lang w:val="pt-BR"/>
              </w:rPr>
              <m:t>i</m:t>
            </m:r>
          </m:sub>
        </m:sSub>
      </m:oMath>
      <w:r w:rsidRPr="009C7F96">
        <w:rPr>
          <w:rFonts w:cs="Times New Roman"/>
          <w:szCs w:val="24"/>
          <w:lang w:val="pt-BR"/>
        </w:rPr>
        <w:t xml:space="preserve"> são matrizes de coeficientes autorregressivos, </w:t>
      </w:r>
      <m:oMath>
        <m:sSub>
          <m:sSubPr>
            <m:ctrlPr>
              <w:rPr>
                <w:rFonts w:ascii="Cambria Math" w:hAnsi="Cambria Math" w:cs="Times New Roman"/>
                <w:i/>
                <w:szCs w:val="24"/>
                <w:lang w:val="pt-BR"/>
              </w:rPr>
            </m:ctrlPr>
          </m:sSubPr>
          <m:e>
            <m:r>
              <w:rPr>
                <w:rFonts w:ascii="Cambria Math" w:hAnsi="Cambria Math" w:cs="Times New Roman"/>
                <w:szCs w:val="24"/>
                <w:lang w:val="pt-BR"/>
              </w:rPr>
              <m:t>X</m:t>
            </m:r>
          </m:e>
          <m:sub>
            <m:r>
              <w:rPr>
                <w:rFonts w:ascii="Cambria Math" w:hAnsi="Cambria Math" w:cs="Times New Roman"/>
                <w:szCs w:val="24"/>
                <w:lang w:val="pt-BR"/>
              </w:rPr>
              <m:t>t</m:t>
            </m:r>
          </m:sub>
        </m:sSub>
      </m:oMath>
      <w:r w:rsidRPr="009C7F96">
        <w:rPr>
          <w:rFonts w:cs="Times New Roman"/>
          <w:szCs w:val="24"/>
          <w:lang w:val="pt-BR"/>
        </w:rPr>
        <w:t xml:space="preserve"> representa variáveis exógenas, </w:t>
      </w:r>
      <m:oMath>
        <m:r>
          <w:rPr>
            <w:rFonts w:ascii="Cambria Math" w:hAnsi="Cambria Math" w:cs="Times New Roman"/>
            <w:szCs w:val="24"/>
            <w:lang w:val="pt-BR"/>
          </w:rPr>
          <m:t>B</m:t>
        </m:r>
      </m:oMath>
      <w:r w:rsidRPr="009C7F96">
        <w:rPr>
          <w:rFonts w:cs="Times New Roman"/>
          <w:szCs w:val="24"/>
          <w:lang w:val="pt-BR"/>
        </w:rPr>
        <w:t xml:space="preserve"> é a matriz associada a esses controles e </w:t>
      </w:r>
      <m:oMath>
        <m:sSub>
          <m:sSubPr>
            <m:ctrlPr>
              <w:rPr>
                <w:rFonts w:ascii="Cambria Math" w:hAnsi="Cambria Math" w:cs="Times New Roman"/>
                <w:i/>
                <w:szCs w:val="24"/>
                <w:lang w:val="pt-BR"/>
              </w:rPr>
            </m:ctrlPr>
          </m:sSubPr>
          <m:e>
            <m:r>
              <w:rPr>
                <w:rFonts w:ascii="Cambria Math" w:hAnsi="Cambria Math" w:cs="Times New Roman"/>
                <w:szCs w:val="24"/>
                <w:lang w:val="pt-BR"/>
              </w:rPr>
              <m:t>u</m:t>
            </m:r>
          </m:e>
          <m:sub>
            <m:r>
              <w:rPr>
                <w:rFonts w:ascii="Cambria Math" w:hAnsi="Cambria Math" w:cs="Times New Roman"/>
                <w:szCs w:val="24"/>
                <w:lang w:val="pt-BR"/>
              </w:rPr>
              <m:t>t</m:t>
            </m:r>
          </m:sub>
        </m:sSub>
      </m:oMath>
      <w:r w:rsidRPr="009C7F96">
        <w:rPr>
          <w:rFonts w:cs="Times New Roman"/>
          <w:szCs w:val="24"/>
          <w:lang w:val="pt-BR"/>
        </w:rPr>
        <w:t xml:space="preserve"> é o vetor de resíduos. No VAR, o vetor endógeno básico é organizado como:</w:t>
      </w:r>
    </w:p>
    <w:p w14:paraId="19B92D45" w14:textId="208C3D5D" w:rsidR="008E44CC" w:rsidRPr="009C7F96" w:rsidRDefault="00F761EB" w:rsidP="008E44CC">
      <w:pPr>
        <w:spacing w:after="120"/>
        <w:rPr>
          <w:rFonts w:cs="Times New Roman"/>
          <w:szCs w:val="24"/>
          <w:lang w:val="pt-BR"/>
        </w:rPr>
      </w:pPr>
      <m:oMathPara>
        <m:oMath>
          <m:r>
            <w:rPr>
              <w:rFonts w:ascii="Cambria Math" w:hAnsi="Cambria Math" w:cs="Times New Roman"/>
              <w:szCs w:val="24"/>
              <w:lang w:val="pt-BR"/>
            </w:rPr>
            <m:t>Yₜ = [</m:t>
          </m:r>
          <m:r>
            <w:rPr>
              <w:rFonts w:ascii="Cambria Math" w:hAnsi="Cambria Math" w:cs="Times New Roman"/>
              <w:szCs w:val="24"/>
            </w:rPr>
            <m:t>Δ</m:t>
          </m:r>
          <m:r>
            <w:rPr>
              <w:rFonts w:ascii="Cambria Math" w:hAnsi="Cambria Math" w:cs="Times New Roman"/>
              <w:szCs w:val="24"/>
              <w:lang w:val="pt-BR"/>
            </w:rPr>
            <m:t>ln(oilₜ),</m:t>
          </m:r>
          <m:r>
            <w:rPr>
              <w:rFonts w:ascii="Cambria Math" w:hAnsi="Cambria Math" w:cs="Times New Roman"/>
              <w:szCs w:val="24"/>
              <w:lang w:val="pt-BR"/>
            </w:rPr>
            <m:t xml:space="preserve"> </m:t>
          </m:r>
          <m:r>
            <w:rPr>
              <w:rFonts w:ascii="Cambria Math" w:hAnsi="Cambria Math" w:cs="Times New Roman"/>
              <w:szCs w:val="24"/>
              <w:lang w:val="pt-BR"/>
            </w:rPr>
            <m:t xml:space="preserve"> </m:t>
          </m:r>
          <m:r>
            <w:rPr>
              <w:rFonts w:ascii="Cambria Math" w:hAnsi="Cambria Math" w:cs="Times New Roman"/>
              <w:szCs w:val="24"/>
            </w:rPr>
            <m:t>Δ</m:t>
          </m:r>
          <m:r>
            <w:rPr>
              <w:rFonts w:ascii="Cambria Math" w:hAnsi="Cambria Math" w:cs="Times New Roman"/>
              <w:szCs w:val="24"/>
              <w:lang w:val="pt-BR"/>
            </w:rPr>
            <m:t xml:space="preserve">ln(cambioₜ), </m:t>
          </m:r>
          <m:r>
            <w:rPr>
              <w:rFonts w:ascii="Cambria Math" w:hAnsi="Cambria Math" w:cs="Times New Roman"/>
              <w:szCs w:val="24"/>
              <w:lang w:val="pt-BR"/>
            </w:rPr>
            <m:t xml:space="preserve"> </m:t>
          </m:r>
          <m:r>
            <w:rPr>
              <w:rFonts w:ascii="Cambria Math" w:hAnsi="Cambria Math" w:cs="Times New Roman"/>
              <w:szCs w:val="24"/>
            </w:rPr>
            <m:t>Δ</m:t>
          </m:r>
          <m:r>
            <w:rPr>
              <w:rFonts w:ascii="Cambria Math" w:hAnsi="Cambria Math" w:cs="Times New Roman"/>
              <w:szCs w:val="24"/>
              <w:lang w:val="pt-BR"/>
            </w:rPr>
            <m:t>ln(fuelₜ),</m:t>
          </m:r>
          <m:r>
            <w:rPr>
              <w:rFonts w:ascii="Cambria Math" w:hAnsi="Cambria Math" w:cs="Times New Roman"/>
              <w:szCs w:val="24"/>
              <w:lang w:val="pt-BR"/>
            </w:rPr>
            <m:t xml:space="preserve"> </m:t>
          </m:r>
          <m:r>
            <w:rPr>
              <w:rFonts w:ascii="Cambria Math" w:hAnsi="Cambria Math" w:cs="Times New Roman"/>
              <w:szCs w:val="24"/>
              <w:lang w:val="pt-BR"/>
            </w:rPr>
            <m:t xml:space="preserve"> </m:t>
          </m:r>
          <m:r>
            <w:rPr>
              <w:rFonts w:ascii="Cambria Math" w:hAnsi="Cambria Math" w:cs="Times New Roman"/>
              <w:szCs w:val="24"/>
            </w:rPr>
            <m:t>Δ</m:t>
          </m:r>
          <m:r>
            <w:rPr>
              <w:rFonts w:ascii="Cambria Math" w:hAnsi="Cambria Math" w:cs="Times New Roman"/>
              <w:szCs w:val="24"/>
              <w:lang w:val="pt-BR"/>
            </w:rPr>
            <m:t>ln(atividadeₜ),</m:t>
          </m:r>
          <m:r>
            <w:rPr>
              <w:rFonts w:ascii="Cambria Math" w:hAnsi="Cambria Math" w:cs="Times New Roman"/>
              <w:szCs w:val="24"/>
              <w:lang w:val="pt-BR"/>
            </w:rPr>
            <m:t xml:space="preserve"> </m:t>
          </m:r>
          <m:r>
            <w:rPr>
              <w:rFonts w:ascii="Cambria Math" w:hAnsi="Cambria Math" w:cs="Times New Roman"/>
              <w:szCs w:val="24"/>
              <w:lang w:val="pt-BR"/>
            </w:rPr>
            <m:t xml:space="preserve"> </m:t>
          </m:r>
          <m:r>
            <w:rPr>
              <w:rFonts w:ascii="Cambria Math" w:hAnsi="Cambria Math" w:cs="Times New Roman"/>
              <w:szCs w:val="24"/>
            </w:rPr>
            <m:t>Δ</m:t>
          </m:r>
          <m:r>
            <w:rPr>
              <w:rFonts w:ascii="Cambria Math" w:hAnsi="Cambria Math" w:cs="Times New Roman"/>
              <w:szCs w:val="24"/>
              <w:lang w:val="pt-BR"/>
            </w:rPr>
            <m:t>ln(expectativaₜ),</m:t>
          </m:r>
          <m:r>
            <w:rPr>
              <w:rFonts w:ascii="Cambria Math" w:hAnsi="Cambria Math" w:cs="Times New Roman"/>
              <w:szCs w:val="24"/>
              <w:lang w:val="pt-BR"/>
            </w:rPr>
            <m:t xml:space="preserve"> </m:t>
          </m:r>
          <m:r>
            <w:rPr>
              <w:rFonts w:ascii="Cambria Math" w:hAnsi="Cambria Math" w:cs="Times New Roman"/>
              <w:szCs w:val="24"/>
              <w:lang w:val="pt-BR"/>
            </w:rPr>
            <m:t xml:space="preserve"> ln(Selicₜ),</m:t>
          </m:r>
          <m:r>
            <w:rPr>
              <w:rFonts w:ascii="Cambria Math" w:hAnsi="Cambria Math" w:cs="Times New Roman"/>
              <w:szCs w:val="24"/>
              <w:lang w:val="pt-BR"/>
            </w:rPr>
            <m:t xml:space="preserve"> </m:t>
          </m:r>
          <m:r>
            <w:rPr>
              <w:rFonts w:ascii="Cambria Math" w:hAnsi="Cambria Math" w:cs="Times New Roman"/>
              <w:szCs w:val="24"/>
              <w:lang w:val="pt-BR"/>
            </w:rPr>
            <m:t xml:space="preserve"> </m:t>
          </m:r>
          <m:r>
            <w:rPr>
              <w:rFonts w:ascii="Cambria Math" w:hAnsi="Cambria Math" w:cs="Times New Roman"/>
              <w:szCs w:val="24"/>
            </w:rPr>
            <m:t>Δ</m:t>
          </m:r>
          <m:r>
            <w:rPr>
              <w:rFonts w:ascii="Cambria Math" w:hAnsi="Cambria Math" w:cs="Times New Roman"/>
              <w:szCs w:val="24"/>
              <w:lang w:val="pt-BR"/>
            </w:rPr>
            <m:t>ln(IPCAₜ)]'        (18)</m:t>
          </m:r>
        </m:oMath>
      </m:oMathPara>
    </w:p>
    <w:p w14:paraId="700A7692" w14:textId="77777777" w:rsidR="008E44CC" w:rsidRPr="009C7F96" w:rsidRDefault="008E44CC" w:rsidP="008E44CC">
      <w:pPr>
        <w:spacing w:after="120"/>
        <w:rPr>
          <w:rFonts w:cs="Times New Roman"/>
          <w:szCs w:val="24"/>
          <w:lang w:val="pt-BR"/>
        </w:rPr>
      </w:pPr>
      <w:r w:rsidRPr="009C7F96">
        <w:rPr>
          <w:rFonts w:cs="Times New Roman"/>
          <w:szCs w:val="24"/>
          <w:lang w:val="pt-BR"/>
        </w:rPr>
        <w:t>O combustível e a medida de inflação variam conforme a especificação. Assim, são estimados sistemas para gasolina, etanol, diesel e gasolina na refinaria, combinados com IPCA Geral e IPCA Transportes. O modelo também é estimado nas subamostras 2003-2014 e 2015-2026, permitindo avaliar diferenças associadas aos regimes de precificação da Petrobras.</w:t>
      </w:r>
    </w:p>
    <w:p w14:paraId="5C73BC51" w14:textId="77777777" w:rsidR="008E44CC" w:rsidRPr="009C7F96" w:rsidRDefault="008E44CC" w:rsidP="008E44CC">
      <w:pPr>
        <w:spacing w:after="120"/>
        <w:rPr>
          <w:rFonts w:cs="Times New Roman"/>
          <w:szCs w:val="24"/>
          <w:lang w:val="pt-BR"/>
        </w:rPr>
      </w:pPr>
      <w:r w:rsidRPr="009C7F96">
        <w:rPr>
          <w:rFonts w:cs="Times New Roman"/>
          <w:szCs w:val="24"/>
          <w:lang w:val="pt-BR"/>
        </w:rPr>
        <w:t>A escolha do número de defasagens é feita por critérios de informação, com limite máximo de 12 defasagens. A regra geral pode ser representada por:</w:t>
      </w:r>
    </w:p>
    <w:p w14:paraId="5F0C643D" w14:textId="6A71DF80" w:rsidR="008E44CC" w:rsidRPr="009C7F96" w:rsidRDefault="00F761EB" w:rsidP="008E44CC">
      <w:pPr>
        <w:spacing w:after="120"/>
        <w:rPr>
          <w:rFonts w:cs="Times New Roman"/>
          <w:szCs w:val="24"/>
          <w:lang w:val="pt-BR"/>
        </w:rPr>
      </w:pPr>
      <m:oMathPara>
        <m:oMath>
          <m:r>
            <w:rPr>
              <w:rFonts w:ascii="Cambria Math" w:hAnsi="Cambria Math" w:cs="Times New Roman"/>
              <w:szCs w:val="24"/>
              <w:lang w:val="pt-BR"/>
            </w:rPr>
            <m:t xml:space="preserve">p* = arg minₚ IC(p),    IC(p) </m:t>
          </m:r>
          <m:r>
            <w:rPr>
              <w:rFonts w:ascii="Cambria Math" w:hAnsi="Cambria Math" w:cs="Cambria Math"/>
              <w:szCs w:val="24"/>
              <w:lang w:val="pt-BR"/>
            </w:rPr>
            <m:t>∈</m:t>
          </m:r>
          <m:r>
            <w:rPr>
              <w:rFonts w:ascii="Cambria Math" w:hAnsi="Cambria Math" w:cs="Times New Roman"/>
              <w:szCs w:val="24"/>
              <w:lang w:val="pt-BR"/>
            </w:rPr>
            <m:t xml:space="preserve"> {AIC, BIC, HQ}        (19)</m:t>
          </m:r>
        </m:oMath>
      </m:oMathPara>
    </w:p>
    <w:p w14:paraId="796E58D1" w14:textId="77777777" w:rsidR="008E44CC" w:rsidRPr="009C7F96" w:rsidRDefault="008E44CC" w:rsidP="008E44CC">
      <w:pPr>
        <w:spacing w:after="120"/>
        <w:rPr>
          <w:rFonts w:cs="Times New Roman"/>
          <w:szCs w:val="24"/>
          <w:lang w:val="pt-BR"/>
        </w:rPr>
      </w:pPr>
      <w:r w:rsidRPr="009C7F96">
        <w:rPr>
          <w:rFonts w:cs="Times New Roman"/>
          <w:szCs w:val="24"/>
          <w:lang w:val="pt-BR"/>
        </w:rPr>
        <w:t>É importante destacar que o termo VAR identifica a versão do modelo utilizada neste trabalho, e não necessariamente um VAR com dez defasagens. O número efetivo de defasagens é selecionado por critério de informação em cada especificação, respeitando a disponibilidade de observações e a estabilidade do sistema.</w:t>
      </w:r>
    </w:p>
    <w:p w14:paraId="19522FE8" w14:textId="77777777" w:rsidR="008E44CC" w:rsidRPr="009C7F96" w:rsidRDefault="008E44CC" w:rsidP="008E44CC">
      <w:pPr>
        <w:spacing w:before="120" w:after="60"/>
        <w:ind w:firstLine="0"/>
        <w:jc w:val="center"/>
        <w:rPr>
          <w:rFonts w:cs="Times New Roman"/>
          <w:szCs w:val="24"/>
        </w:rPr>
      </w:pPr>
      <w:r w:rsidRPr="009C7F96">
        <w:rPr>
          <w:rFonts w:cs="Times New Roman"/>
          <w:b/>
          <w:sz w:val="20"/>
          <w:szCs w:val="24"/>
        </w:rPr>
        <w:t>Quadro 3 - Características do VAR</w:t>
      </w:r>
    </w:p>
    <w:tbl>
      <w:tblPr>
        <w:tblW w:w="0" w:type="auto"/>
        <w:jc w:val="center"/>
        <w:tblLook w:val="04A0" w:firstRow="1" w:lastRow="0" w:firstColumn="1" w:lastColumn="0" w:noHBand="0" w:noVBand="1"/>
      </w:tblPr>
      <w:tblGrid>
        <w:gridCol w:w="4697"/>
        <w:gridCol w:w="4698"/>
      </w:tblGrid>
      <w:tr w:rsidR="008E44CC" w:rsidRPr="009C7F96" w14:paraId="2FD6392B" w14:textId="77777777" w:rsidTr="00AB4120">
        <w:trPr>
          <w:jc w:val="center"/>
        </w:trPr>
        <w:tc>
          <w:tcPr>
            <w:tcW w:w="4702" w:type="dxa"/>
            <w:shd w:val="clear" w:color="auto" w:fill="D9EAF7"/>
            <w:tcMar>
              <w:top w:w="30" w:type="dxa"/>
              <w:left w:w="30" w:type="dxa"/>
              <w:bottom w:w="30" w:type="dxa"/>
              <w:right w:w="30" w:type="dxa"/>
            </w:tcMar>
            <w:shd w:val="clear" w:color="auto" w:fill="auto"/>
            <w:tcBorders>
              <w:top w:sz="12" w:val="single" w:color="000000"/>
              <w:left w:val="nil"/>
              <w:bottom w:sz="4" w:val="single" w:color="000000"/>
              <w:right w:val="nil"/>
            </w:tcBorders>
          </w:tcPr>
          <w:p>
            <w:pPr>
              <w:ind w:left="0" w:right="0" w:firstLine="0"/>
              <w:jc w:val="center"/>
            </w:pPr>
            <w:r>
              <w:t>Elemento</w:t>
            </w:r>
          </w:p>
        </w:tc>
        <w:tc>
          <w:tcPr>
            <w:tcW w:w="4702" w:type="dxa"/>
            <w:shd w:val="clear" w:color="auto" w:fill="D9EAF7"/>
            <w:tcMar>
              <w:top w:w="30" w:type="dxa"/>
              <w:left w:w="30" w:type="dxa"/>
              <w:bottom w:w="30" w:type="dxa"/>
              <w:right w:w="30" w:type="dxa"/>
            </w:tcMar>
            <w:shd w:val="clear" w:color="auto" w:fill="auto"/>
            <w:tcBorders>
              <w:top w:sz="12" w:val="single" w:color="000000"/>
              <w:left w:val="nil"/>
              <w:bottom w:sz="4" w:val="single" w:color="000000"/>
              <w:right w:val="nil"/>
            </w:tcBorders>
          </w:tcPr>
          <w:p>
            <w:pPr>
              <w:ind w:left="0" w:right="0" w:firstLine="0"/>
              <w:jc w:val="center"/>
            </w:pPr>
            <w:r>
              <w:t>Descrição metodológica</w:t>
            </w:r>
          </w:p>
        </w:tc>
      </w:tr>
      <w:tr w:rsidR="008E44CC" w:rsidRPr="00321F2B" w14:paraId="717C2091" w14:textId="77777777" w:rsidTr="00AB4120">
        <w:trPr>
          <w:jc w:val="center"/>
        </w:trPr>
        <w:tc>
          <w:tcPr>
            <w:tcW w:w="4702"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Papel no trabalho</w:t>
            </w:r>
          </w:p>
        </w:tc>
        <w:tc>
          <w:tcPr>
            <w:tcW w:w="4702"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Exercício de robustez em relação ao modelo principal de Local Projections</w:t>
            </w:r>
          </w:p>
        </w:tc>
      </w:tr>
      <w:tr w:rsidR="008E44CC" w:rsidRPr="00321F2B" w14:paraId="45509C4E" w14:textId="77777777" w:rsidTr="00AB4120">
        <w:trPr>
          <w:jc w:val="center"/>
        </w:trPr>
        <w:tc>
          <w:tcPr>
            <w:tcW w:w="4702"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Tratamento da Selic</w:t>
            </w:r>
          </w:p>
        </w:tc>
        <w:tc>
          <w:tcPr>
            <w:tcW w:w="4702"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Meta Selic diária convertida em média mensal e utilizada em log de nível</w:t>
            </w:r>
          </w:p>
        </w:tc>
      </w:tr>
      <w:tr w:rsidR="008E44CC" w:rsidRPr="00321F2B" w14:paraId="40BA99B4" w14:textId="77777777" w:rsidTr="00AB4120">
        <w:trPr>
          <w:jc w:val="center"/>
        </w:trPr>
        <w:tc>
          <w:tcPr>
            <w:tcW w:w="4702"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Variáveis endógenas</w:t>
            </w:r>
          </w:p>
        </w:tc>
        <w:tc>
          <w:tcPr>
            <w:tcW w:w="4702"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Petróleo, câmbio, combustível, atividade, expectativas, Selic e IPCA</w:t>
            </w:r>
          </w:p>
        </w:tc>
      </w:tr>
      <w:tr w:rsidR="008E44CC" w:rsidRPr="009C7F96" w14:paraId="796911A5" w14:textId="77777777" w:rsidTr="00AB4120">
        <w:trPr>
          <w:jc w:val="center"/>
        </w:trPr>
        <w:tc>
          <w:tcPr>
            <w:tcW w:w="4702"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Controles exógenos</w:t>
            </w:r>
          </w:p>
        </w:tc>
        <w:tc>
          <w:tcPr>
            <w:tcW w:w="4702"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Dummies mensais e Stringency index</w:t>
            </w:r>
          </w:p>
        </w:tc>
      </w:tr>
      <w:tr w:rsidR="008E44CC" w:rsidRPr="00321F2B" w14:paraId="6FDD8200" w14:textId="77777777" w:rsidTr="00AB4120">
        <w:trPr>
          <w:jc w:val="center"/>
        </w:trPr>
        <w:tc>
          <w:tcPr>
            <w:tcW w:w="4702"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Amostras</w:t>
            </w:r>
          </w:p>
        </w:tc>
        <w:tc>
          <w:tcPr>
            <w:tcW w:w="4702"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2003-2014 e 2015-2026, além da amostra completa quando aplicável</w:t>
            </w:r>
          </w:p>
        </w:tc>
      </w:tr>
      <w:tr w:rsidR="008E44CC" w:rsidRPr="00321F2B" w14:paraId="3BC967A3" w14:textId="77777777" w:rsidTr="00AB4120">
        <w:trPr>
          <w:jc w:val="center"/>
        </w:trPr>
        <w:tc>
          <w:tcPr>
            <w:tcW w:w="4702" w:type="dxa"/>
            <w:tcMar>
              <w:top w:w="30" w:type="dxa"/>
              <w:left w:w="30" w:type="dxa"/>
              <w:bottom w:w="30" w:type="dxa"/>
              <w:right w:w="30" w:type="dxa"/>
            </w:tcMar>
            <w:shd w:val="clear" w:color="auto" w:fill="auto"/>
            <w:tcBorders>
              <w:top w:val="nil"/>
              <w:left w:val="nil"/>
              <w:bottom w:sz="12" w:val="single" w:color="000000"/>
              <w:right w:val="nil"/>
            </w:tcBorders>
          </w:tcPr>
          <w:p>
            <w:pPr>
              <w:ind w:left="0" w:right="0" w:firstLine="0"/>
              <w:jc w:val="center"/>
            </w:pPr>
            <w:r>
              <w:t>Resultados gerados</w:t>
            </w:r>
          </w:p>
        </w:tc>
        <w:tc>
          <w:tcPr>
            <w:tcW w:w="4702" w:type="dxa"/>
            <w:tcMar>
              <w:top w:w="30" w:type="dxa"/>
              <w:left w:w="30" w:type="dxa"/>
              <w:bottom w:w="30" w:type="dxa"/>
              <w:right w:w="30" w:type="dxa"/>
            </w:tcMar>
            <w:shd w:val="clear" w:color="auto" w:fill="auto"/>
            <w:tcBorders>
              <w:top w:val="nil"/>
              <w:left w:val="nil"/>
              <w:bottom w:sz="12" w:val="single" w:color="000000"/>
              <w:right w:val="nil"/>
            </w:tcBorders>
          </w:tcPr>
          <w:p>
            <w:pPr>
              <w:ind w:left="0" w:right="0" w:firstLine="0"/>
              <w:jc w:val="center"/>
            </w:pPr>
            <w:r>
              <w:t>IRF, IRF acumulada, FEVD, causalidade de Granger, testes de resíduos e robustez de Cholesky</w:t>
            </w:r>
          </w:p>
        </w:tc>
      </w:tr>
    </w:tbl>
    <w:p w14:paraId="3899AFCF" w14:textId="77777777" w:rsidR="008E44CC" w:rsidRPr="009C7F96" w:rsidRDefault="008E44CC" w:rsidP="008E44CC">
      <w:pPr>
        <w:spacing w:after="120" w:line="240" w:lineRule="auto"/>
        <w:ind w:firstLine="0"/>
        <w:jc w:val="center"/>
        <w:rPr>
          <w:rFonts w:cs="Times New Roman"/>
          <w:szCs w:val="24"/>
          <w:lang w:val="pt-BR"/>
        </w:rPr>
      </w:pPr>
      <w:r w:rsidRPr="009C7F96">
        <w:rPr>
          <w:rFonts w:cs="Times New Roman"/>
          <w:sz w:val="20"/>
          <w:szCs w:val="24"/>
          <w:lang w:val="pt-BR"/>
        </w:rPr>
        <w:t>Fonte: Elaboração própria.</w:t>
      </w:r>
    </w:p>
    <w:p w14:paraId="7AFA58A2" w14:textId="77777777" w:rsidR="008E44CC" w:rsidRPr="009C7F96" w:rsidRDefault="008E44CC" w:rsidP="008E44CC">
      <w:pPr>
        <w:pStyle w:val="Heading2"/>
        <w:spacing w:before="120" w:after="120"/>
        <w:jc w:val="both"/>
        <w:rPr>
          <w:rFonts w:cs="Times New Roman"/>
          <w:szCs w:val="24"/>
        </w:rPr>
      </w:pPr>
      <w:bookmarkStart w:id="39" w:name="_Toc229695951"/>
      <w:r w:rsidRPr="009C7F96">
        <w:rPr>
          <w:rFonts w:ascii="Times New Roman" w:eastAsia="Times New Roman" w:hAnsi="Times New Roman" w:cs="Times New Roman"/>
          <w:szCs w:val="24"/>
        </w:rPr>
        <w:t>3.8 Identificação, Cholesky e funções impulso-resposta no VAR</w:t>
      </w:r>
      <w:bookmarkEnd w:id="39"/>
    </w:p>
    <w:p w14:paraId="71274725" w14:textId="77777777" w:rsidR="008E44CC" w:rsidRDefault="008E44CC" w:rsidP="008E44CC">
      <w:pPr>
        <w:spacing w:after="120"/>
        <w:rPr>
          <w:rFonts w:cs="Times New Roman"/>
          <w:szCs w:val="24"/>
          <w:lang w:val="pt-BR"/>
        </w:rPr>
      </w:pPr>
      <w:r w:rsidRPr="009C7F96">
        <w:rPr>
          <w:rFonts w:cs="Times New Roman"/>
          <w:szCs w:val="24"/>
          <w:lang w:val="pt-BR"/>
        </w:rPr>
        <w:t>Para transformar os resíduos do VAR em choques interpretáveis, utiliza-se a decomposição de Cholesky da matriz de variância-covariância dos resíduos. Essa decomposição pode ser escrita como:</w:t>
      </w:r>
    </w:p>
    <w:p w14:paraId="191D0E2A" w14:textId="77777777" w:rsidR="00F761EB" w:rsidRPr="00F761EB" w:rsidRDefault="00F761EB" w:rsidP="008E44CC">
      <w:pPr>
        <w:spacing w:after="120"/>
        <w:rPr>
          <w:rFonts w:ascii="Cambria Math" w:hAnsi="Cambria Math" w:cs="Times New Roman"/>
          <w:szCs w:val="24"/>
          <w:lang w:val="pt-BR"/>
          <w:oMath/>
        </w:rPr>
      </w:pPr>
    </w:p>
    <w:p w14:paraId="0AE13FDE" w14:textId="497A437D" w:rsidR="008E44CC" w:rsidRPr="00F761EB" w:rsidRDefault="00F761EB" w:rsidP="00F761EB">
      <w:pPr>
        <w:spacing w:after="120"/>
        <w:jc w:val="center"/>
        <w:rPr>
          <w:rFonts w:cs="Times New Roman"/>
          <w:szCs w:val="24"/>
          <w:lang w:val="pt-BR"/>
        </w:rPr>
      </w:pPr>
      <m:oMathPara>
        <m:oMath>
          <m:r>
            <w:rPr>
              <w:rFonts w:ascii="Cambria Math" w:hAnsi="Cambria Math" w:cs="Times New Roman"/>
              <w:szCs w:val="24"/>
            </w:rPr>
            <m:t>Σᵤ</m:t>
          </m:r>
          <m:r>
            <w:rPr>
              <w:rFonts w:ascii="Cambria Math" w:hAnsi="Cambria Math" w:cs="Times New Roman"/>
              <w:szCs w:val="24"/>
              <w:lang w:val="pt-BR"/>
            </w:rPr>
            <m:t xml:space="preserve"> = PP'        (20)</m:t>
          </m:r>
        </m:oMath>
      </m:oMathPara>
    </w:p>
    <w:p w14:paraId="6067BC47" w14:textId="77777777" w:rsidR="00F761EB" w:rsidRPr="00F761EB" w:rsidRDefault="00F761EB" w:rsidP="00F761EB">
      <w:pPr>
        <w:spacing w:after="120"/>
        <w:jc w:val="center"/>
        <w:rPr>
          <w:rFonts w:ascii="Cambria Math" w:hAnsi="Cambria Math" w:cs="Times New Roman"/>
          <w:szCs w:val="24"/>
          <w:lang w:val="pt-BR"/>
          <w:oMath/>
        </w:rPr>
      </w:pPr>
    </w:p>
    <w:p w14:paraId="7E5BF100" w14:textId="77777777" w:rsidR="008E44CC" w:rsidRDefault="008E44CC" w:rsidP="008E44CC">
      <w:pPr>
        <w:spacing w:after="120"/>
        <w:rPr>
          <w:rFonts w:cs="Times New Roman"/>
          <w:szCs w:val="24"/>
          <w:lang w:val="pt-BR"/>
        </w:rPr>
      </w:pPr>
      <w:r w:rsidRPr="009C7F96">
        <w:rPr>
          <w:rFonts w:cs="Times New Roman"/>
          <w:szCs w:val="24"/>
          <w:lang w:val="pt-BR"/>
        </w:rPr>
        <w:t>Em que P é uma matriz triangular inferior. A decomposição de Cholesky gera choques ortogonais, mas depende da ordenação das variáveis. A ordenação base segue a lógica econômica de que o petróleo internacional é mais exógeno no curto prazo, seguido pelo câmbio, pelos combustíveis, pelas condições domésticas e pela inflação:</w:t>
      </w:r>
    </w:p>
    <w:p w14:paraId="7BFB4C31" w14:textId="77777777" w:rsidR="00F761EB" w:rsidRPr="009C7F96" w:rsidRDefault="00F761EB" w:rsidP="008E44CC">
      <w:pPr>
        <w:spacing w:after="120"/>
        <w:rPr>
          <w:rFonts w:cs="Times New Roman"/>
          <w:szCs w:val="24"/>
          <w:lang w:val="pt-BR"/>
        </w:rPr>
      </w:pPr>
    </w:p>
    <w:p w14:paraId="28398689" w14:textId="334B9818" w:rsidR="008E44CC" w:rsidRPr="00F761EB" w:rsidRDefault="00F761EB" w:rsidP="008E44CC">
      <w:pPr>
        <w:spacing w:after="120"/>
        <w:rPr>
          <w:rFonts w:cs="Times New Roman"/>
          <w:szCs w:val="24"/>
          <w:lang w:val="pt-BR"/>
        </w:rPr>
      </w:pPr>
      <m:oMathPara>
        <m:oMath>
          <m:r>
            <w:rPr>
              <w:rFonts w:ascii="Cambria Math" w:hAnsi="Cambria Math" w:cs="Times New Roman"/>
              <w:szCs w:val="24"/>
              <w:lang w:val="pt-BR"/>
            </w:rPr>
            <m:t>oil → câmbio → combustível → atividade → expectativa → Selic → IPCA        (21)</m:t>
          </m:r>
        </m:oMath>
      </m:oMathPara>
    </w:p>
    <w:p w14:paraId="0795B703" w14:textId="77777777" w:rsidR="00F761EB" w:rsidRPr="009C7F96" w:rsidRDefault="00F761EB" w:rsidP="008E44CC">
      <w:pPr>
        <w:spacing w:after="120"/>
        <w:rPr>
          <w:rFonts w:cs="Times New Roman"/>
          <w:szCs w:val="24"/>
          <w:lang w:val="pt-BR"/>
        </w:rPr>
      </w:pPr>
    </w:p>
    <w:p w14:paraId="41EB0139" w14:textId="77777777" w:rsidR="008E44CC" w:rsidRPr="009C7F96" w:rsidRDefault="008E44CC" w:rsidP="008E44CC">
      <w:pPr>
        <w:spacing w:after="120"/>
        <w:rPr>
          <w:rFonts w:cs="Times New Roman"/>
          <w:szCs w:val="24"/>
          <w:lang w:val="pt-BR"/>
        </w:rPr>
      </w:pPr>
      <w:r w:rsidRPr="009C7F96">
        <w:rPr>
          <w:rFonts w:cs="Times New Roman"/>
          <w:szCs w:val="24"/>
          <w:lang w:val="pt-BR"/>
        </w:rPr>
        <w:t>Como a ordenação pode influenciar as respostas, o VAR testa ordenações alternativas de Cholesky. Esse procedimento é importante para verificar se os resultados principais dependem excessivamente de uma única hipótese de identificação contemporânea.</w:t>
      </w:r>
    </w:p>
    <w:p w14:paraId="6F9ABE2C" w14:textId="77777777" w:rsidR="008E44CC" w:rsidRDefault="008E44CC" w:rsidP="008E44CC">
      <w:pPr>
        <w:spacing w:after="120"/>
        <w:rPr>
          <w:rFonts w:cs="Times New Roman"/>
          <w:szCs w:val="24"/>
          <w:lang w:val="pt-BR"/>
        </w:rPr>
      </w:pPr>
      <w:r w:rsidRPr="009C7F96">
        <w:rPr>
          <w:rFonts w:cs="Times New Roman"/>
          <w:szCs w:val="24"/>
          <w:lang w:val="pt-BR"/>
        </w:rPr>
        <w:t>Após a identificação dos choques, as funções impulso-resposta são obtidas pela representação em médias móveis do VAR:</w:t>
      </w:r>
    </w:p>
    <w:p w14:paraId="6B2BE734" w14:textId="77777777" w:rsidR="00F761EB" w:rsidRPr="009C7F96" w:rsidRDefault="00F761EB" w:rsidP="008E44CC">
      <w:pPr>
        <w:spacing w:after="120"/>
        <w:rPr>
          <w:rFonts w:cs="Times New Roman"/>
          <w:szCs w:val="24"/>
          <w:lang w:val="pt-BR"/>
        </w:rPr>
      </w:pPr>
    </w:p>
    <w:p w14:paraId="1E7E8F5A" w14:textId="6CBC0736" w:rsidR="008E44CC" w:rsidRDefault="00F761EB" w:rsidP="008E44CC">
      <w:pPr>
        <w:spacing w:after="120"/>
        <w:rPr>
          <w:rFonts w:cs="Times New Roman"/>
          <w:szCs w:val="24"/>
          <w:lang w:val="pt-BR"/>
        </w:rPr>
      </w:pPr>
      <w:commentRangeStart w:id="40"/>
      <m:oMath>
        <m:r>
          <w:rPr>
            <w:rFonts w:ascii="Cambria Math" w:hAnsi="Cambria Math" w:cs="Times New Roman"/>
            <w:szCs w:val="24"/>
            <w:lang w:val="pt-BR"/>
          </w:rPr>
          <m:t xml:space="preserve">Yₜ = </m:t>
        </m:r>
        <m:r>
          <w:rPr>
            <w:rFonts w:ascii="Cambria Math" w:hAnsi="Cambria Math" w:cs="Times New Roman"/>
            <w:szCs w:val="24"/>
          </w:rPr>
          <m:t>μ</m:t>
        </m:r>
        <m:r>
          <w:rPr>
            <w:rFonts w:ascii="Cambria Math" w:hAnsi="Cambria Math" w:cs="Times New Roman"/>
            <w:szCs w:val="24"/>
            <w:lang w:val="pt-BR"/>
          </w:rPr>
          <m:t xml:space="preserve"> + </m:t>
        </m:r>
        <m:r>
          <w:rPr>
            <w:rFonts w:ascii="Cambria Math" w:hAnsi="Cambria Math" w:cs="Times New Roman"/>
            <w:szCs w:val="24"/>
          </w:rPr>
          <m:t>Σ</m:t>
        </m:r>
        <m:r>
          <w:rPr>
            <w:rFonts w:ascii="Cambria Math" w:hAnsi="Cambria Math" w:cs="Times New Roman"/>
            <w:szCs w:val="24"/>
            <w:lang w:val="pt-BR"/>
          </w:rPr>
          <m:t xml:space="preserve">ₕ₌₀∞ </m:t>
        </m:r>
        <m:r>
          <w:rPr>
            <w:rFonts w:ascii="Cambria Math" w:hAnsi="Cambria Math" w:cs="Times New Roman"/>
            <w:szCs w:val="24"/>
          </w:rPr>
          <m:t>Ψ</m:t>
        </m:r>
        <m:r>
          <w:rPr>
            <w:rFonts w:ascii="Cambria Math" w:hAnsi="Cambria Math" w:cs="Times New Roman"/>
            <w:szCs w:val="24"/>
            <w:lang w:val="pt-BR"/>
          </w:rPr>
          <m:t>ₕ</m:t>
        </m:r>
        <m:r>
          <w:rPr>
            <w:rFonts w:ascii="Cambria Math" w:hAnsi="Cambria Math" w:cs="Times New Roman"/>
            <w:szCs w:val="24"/>
          </w:rPr>
          <m:t>ε</m:t>
        </m:r>
        <m:r>
          <w:rPr>
            <w:rFonts w:ascii="Cambria Math" w:hAnsi="Cambria Math" w:cs="Times New Roman"/>
            <w:szCs w:val="24"/>
            <w:lang w:val="pt-BR"/>
          </w:rPr>
          <m:t>ₜ₋ₕ        (22)</m:t>
        </m:r>
      </m:oMath>
      <w:commentRangeEnd w:id="40"/>
      <w:r w:rsidR="00A6469C">
        <w:rPr>
          <w:rStyle w:val="CommentReference"/>
          <w:rFonts w:cs="Times New Roman"/>
          <w:sz w:val="24"/>
          <w:szCs w:val="24"/>
          <w:lang w:val="pt-BR"/>
        </w:rPr>
        <w:commentReference w:id="40"/>
      </w:r>
    </w:p>
    <w:p w14:paraId="6DA16109" w14:textId="77777777" w:rsidR="00F761EB" w:rsidRPr="009C7F96" w:rsidRDefault="00F761EB" w:rsidP="008E44CC">
      <w:pPr>
        <w:spacing w:after="120"/>
        <w:rPr>
          <w:rFonts w:cs="Times New Roman"/>
          <w:szCs w:val="24"/>
          <w:lang w:val="pt-BR"/>
        </w:rPr>
      </w:pPr>
    </w:p>
    <w:p w14:paraId="784E42CA" w14:textId="77777777" w:rsidR="008E44CC" w:rsidRDefault="008E44CC" w:rsidP="008E44CC">
      <w:pPr>
        <w:spacing w:after="120"/>
        <w:rPr>
          <w:rFonts w:cs="Times New Roman"/>
          <w:szCs w:val="24"/>
          <w:lang w:val="pt-BR"/>
        </w:rPr>
      </w:pPr>
      <w:r w:rsidRPr="009C7F96">
        <w:rPr>
          <w:rFonts w:cs="Times New Roman"/>
          <w:szCs w:val="24"/>
          <w:lang w:val="pt-BR"/>
        </w:rPr>
        <w:t>A resposta da variável i a um choque j no horizonte h é dada por:</w:t>
      </w:r>
    </w:p>
    <w:p w14:paraId="25736D70" w14:textId="77777777" w:rsidR="00F761EB" w:rsidRPr="009C7F96" w:rsidRDefault="00F761EB" w:rsidP="008E44CC">
      <w:pPr>
        <w:spacing w:after="120"/>
        <w:rPr>
          <w:rFonts w:cs="Times New Roman"/>
          <w:szCs w:val="24"/>
          <w:lang w:val="pt-BR"/>
        </w:rPr>
      </w:pPr>
    </w:p>
    <w:p w14:paraId="6D652A14" w14:textId="2DFF41E0" w:rsidR="008E44CC" w:rsidRDefault="00F761EB" w:rsidP="008E44CC">
      <w:pPr>
        <w:spacing w:after="120"/>
        <w:rPr>
          <w:rFonts w:cs="Times New Roman"/>
          <w:szCs w:val="24"/>
          <w:lang w:val="pt-BR"/>
        </w:rPr>
      </w:pPr>
      <m:oMathPara>
        <m:oMath>
          <m:r>
            <w:rPr>
              <w:rFonts w:ascii="Cambria Math" w:hAnsi="Cambria Math" w:cs="Times New Roman"/>
              <w:szCs w:val="24"/>
              <w:lang w:val="pt-BR"/>
            </w:rPr>
            <w:lastRenderedPageBreak/>
            <m:t>IRF</m:t>
          </m:r>
          <m:r>
            <w:rPr>
              <w:rFonts w:ascii="Cambria Math" w:hAnsi="Cambria Math" w:cs="Times New Roman"/>
              <w:szCs w:val="24"/>
            </w:rPr>
            <m:t>ᵢⱼ</m:t>
          </m:r>
          <m:r>
            <w:rPr>
              <w:rFonts w:ascii="Cambria Math" w:hAnsi="Cambria Math" w:cs="Times New Roman"/>
              <w:szCs w:val="24"/>
              <w:lang w:val="pt-BR"/>
            </w:rPr>
            <m:t>(h) = e</m:t>
          </m:r>
          <m:r>
            <w:rPr>
              <w:rFonts w:ascii="Cambria Math" w:hAnsi="Cambria Math" w:cs="Times New Roman"/>
              <w:szCs w:val="24"/>
            </w:rPr>
            <m:t>ᵢ</m:t>
          </m:r>
          <m:r>
            <w:rPr>
              <w:rFonts w:ascii="Cambria Math" w:hAnsi="Cambria Math" w:cs="Times New Roman"/>
              <w:szCs w:val="24"/>
              <w:lang w:val="pt-BR"/>
            </w:rPr>
            <m:t>'</m:t>
          </m:r>
          <m:r>
            <w:rPr>
              <w:rFonts w:ascii="Cambria Math" w:hAnsi="Cambria Math" w:cs="Times New Roman"/>
              <w:szCs w:val="24"/>
            </w:rPr>
            <m:t>Ψ</m:t>
          </m:r>
          <m:r>
            <w:rPr>
              <w:rFonts w:ascii="Cambria Math" w:hAnsi="Cambria Math" w:cs="Times New Roman"/>
              <w:szCs w:val="24"/>
              <w:lang w:val="pt-BR"/>
            </w:rPr>
            <m:t>ₕPe</m:t>
          </m:r>
          <m:r>
            <w:rPr>
              <w:rFonts w:ascii="Cambria Math" w:hAnsi="Cambria Math" w:cs="Times New Roman"/>
              <w:szCs w:val="24"/>
            </w:rPr>
            <m:t>ⱼ</m:t>
          </m:r>
          <m:r>
            <w:rPr>
              <w:rFonts w:ascii="Cambria Math" w:hAnsi="Cambria Math" w:cs="Times New Roman"/>
              <w:szCs w:val="24"/>
              <w:lang w:val="pt-BR"/>
            </w:rPr>
            <m:t xml:space="preserve">        (23)</m:t>
          </m:r>
        </m:oMath>
      </m:oMathPara>
    </w:p>
    <w:p w14:paraId="47C6585E" w14:textId="77777777" w:rsidR="00F761EB" w:rsidRPr="009C7F96" w:rsidRDefault="00F761EB" w:rsidP="008E44CC">
      <w:pPr>
        <w:spacing w:after="120"/>
        <w:rPr>
          <w:rFonts w:cs="Times New Roman"/>
          <w:szCs w:val="24"/>
          <w:lang w:val="pt-BR"/>
        </w:rPr>
      </w:pPr>
    </w:p>
    <w:p w14:paraId="5D0C3447" w14:textId="77777777" w:rsidR="008E44CC" w:rsidRDefault="008E44CC" w:rsidP="008E44CC">
      <w:pPr>
        <w:spacing w:after="120"/>
        <w:rPr>
          <w:rFonts w:cs="Times New Roman"/>
          <w:szCs w:val="24"/>
          <w:lang w:val="pt-BR"/>
        </w:rPr>
      </w:pPr>
      <w:r w:rsidRPr="009C7F96">
        <w:rPr>
          <w:rFonts w:cs="Times New Roman"/>
          <w:szCs w:val="24"/>
          <w:lang w:val="pt-BR"/>
        </w:rPr>
        <w:t>Além das respostas pontuais, o VAR calcula respostas acumuladas, aproximando a robustez VAR da lógica das Local Projections acumuladas:</w:t>
      </w:r>
    </w:p>
    <w:p w14:paraId="6D3E0308" w14:textId="77777777" w:rsidR="00F761EB" w:rsidRPr="009C7F96" w:rsidRDefault="00F761EB" w:rsidP="008E44CC">
      <w:pPr>
        <w:spacing w:after="120"/>
        <w:rPr>
          <w:rFonts w:cs="Times New Roman"/>
          <w:szCs w:val="24"/>
          <w:lang w:val="pt-BR"/>
        </w:rPr>
      </w:pPr>
    </w:p>
    <w:p w14:paraId="383E811A" w14:textId="2B982D4B" w:rsidR="008E44CC" w:rsidRDefault="00F761EB" w:rsidP="008E44CC">
      <w:pPr>
        <w:spacing w:after="120"/>
        <w:rPr>
          <w:rFonts w:cs="Times New Roman"/>
          <w:szCs w:val="24"/>
          <w:lang w:val="pt-BR"/>
        </w:rPr>
      </w:pPr>
      <w:commentRangeStart w:id="41"/>
      <m:oMath>
        <m:r>
          <w:rPr>
            <w:rFonts w:ascii="Cambria Math" w:hAnsi="Cambria Math" w:cs="Times New Roman"/>
            <w:szCs w:val="24"/>
            <w:lang w:val="pt-BR"/>
          </w:rPr>
          <m:t>IRF</m:t>
        </m:r>
        <m:r>
          <w:rPr>
            <w:rFonts w:ascii="Cambria Math" w:hAnsi="Cambria Math" w:cs="Times New Roman"/>
            <w:szCs w:val="24"/>
          </w:rPr>
          <m:t>ᵢⱼᵃᶜᵘᵐ</m:t>
        </m:r>
        <m:r>
          <w:rPr>
            <w:rFonts w:ascii="Cambria Math" w:hAnsi="Cambria Math" w:cs="Times New Roman"/>
            <w:szCs w:val="24"/>
            <w:lang w:val="pt-BR"/>
          </w:rPr>
          <m:t xml:space="preserve">(H) = </m:t>
        </m:r>
        <m:r>
          <w:rPr>
            <w:rFonts w:ascii="Cambria Math" w:hAnsi="Cambria Math" w:cs="Times New Roman"/>
            <w:szCs w:val="24"/>
          </w:rPr>
          <m:t>Σ</m:t>
        </m:r>
        <m:r>
          <w:rPr>
            <w:rFonts w:ascii="Cambria Math" w:hAnsi="Cambria Math" w:cs="Times New Roman"/>
            <w:szCs w:val="24"/>
            <w:lang w:val="pt-BR"/>
          </w:rPr>
          <m:t>ₕ₌₀</m:t>
        </m:r>
        <m:r>
          <w:rPr>
            <w:rFonts w:ascii="Cambria Math" w:hAnsi="Cambria Math" w:cs="Times New Roman"/>
            <w:szCs w:val="24"/>
          </w:rPr>
          <m:t>ᴴ</m:t>
        </m:r>
        <m:r>
          <w:rPr>
            <w:rFonts w:ascii="Cambria Math" w:hAnsi="Cambria Math" w:cs="Times New Roman"/>
            <w:szCs w:val="24"/>
            <w:lang w:val="pt-BR"/>
          </w:rPr>
          <m:t xml:space="preserve"> IRF</m:t>
        </m:r>
        <m:r>
          <w:rPr>
            <w:rFonts w:ascii="Cambria Math" w:hAnsi="Cambria Math" w:cs="Times New Roman"/>
            <w:szCs w:val="24"/>
          </w:rPr>
          <m:t>ᵢⱼ</m:t>
        </m:r>
        <m:r>
          <w:rPr>
            <w:rFonts w:ascii="Cambria Math" w:hAnsi="Cambria Math" w:cs="Times New Roman"/>
            <w:szCs w:val="24"/>
            <w:lang w:val="pt-BR"/>
          </w:rPr>
          <m:t>(h)        (</m:t>
        </m:r>
        <m:r>
          <w:rPr>
            <w:rFonts w:ascii="Cambria Math" w:hAnsi="Cambria Math" w:cs="Times New Roman"/>
            <w:szCs w:val="24"/>
            <w:lang w:val="pt-BR"/>
          </w:rPr>
          <m:t>24)</m:t>
        </m:r>
      </m:oMath>
      <w:commentRangeEnd w:id="41"/>
      <w:r>
        <w:rPr>
          <w:rStyle w:val="CommentReference"/>
          <w:rFonts w:cs="Times New Roman"/>
          <w:sz w:val="24"/>
          <w:szCs w:val="24"/>
          <w:lang w:val="pt-BR"/>
        </w:rPr>
        <w:commentReference w:id="41"/>
      </w:r>
    </w:p>
    <w:p w14:paraId="527CCAE8" w14:textId="77777777" w:rsidR="00F761EB" w:rsidRPr="009C7F96" w:rsidRDefault="00F761EB" w:rsidP="008E44CC">
      <w:pPr>
        <w:spacing w:after="120"/>
        <w:rPr>
          <w:rFonts w:cs="Times New Roman"/>
          <w:szCs w:val="24"/>
          <w:lang w:val="pt-BR"/>
        </w:rPr>
      </w:pPr>
    </w:p>
    <w:p w14:paraId="50EB9F35" w14:textId="77777777" w:rsidR="008E44CC" w:rsidRPr="009C7F96" w:rsidRDefault="008E44CC" w:rsidP="008E44CC">
      <w:pPr>
        <w:spacing w:after="120"/>
        <w:rPr>
          <w:rFonts w:cs="Times New Roman"/>
          <w:szCs w:val="24"/>
          <w:lang w:val="pt-BR"/>
        </w:rPr>
      </w:pPr>
      <w:r w:rsidRPr="009C7F96">
        <w:rPr>
          <w:rFonts w:cs="Times New Roman"/>
          <w:szCs w:val="24"/>
          <w:lang w:val="pt-BR"/>
        </w:rPr>
        <w:t>A comparação entre LP e VAR não exige igualdade exata de magnitude, pois os modelos possuem estruturas diferentes. O objetivo é verificar se o sinal, a persistência e a hierarquia econômica dos efeitos são compatíveis, especialmente se os combustíveis afetam mais o IPCA Transportes do que o IPCA Geral.</w:t>
      </w:r>
    </w:p>
    <w:p w14:paraId="7A478925" w14:textId="77777777" w:rsidR="008E44CC" w:rsidRPr="009C7F96" w:rsidRDefault="008E44CC" w:rsidP="008E44CC">
      <w:pPr>
        <w:pStyle w:val="Heading2"/>
        <w:spacing w:before="120" w:after="120"/>
        <w:jc w:val="both"/>
        <w:rPr>
          <w:rFonts w:cs="Times New Roman"/>
          <w:szCs w:val="24"/>
        </w:rPr>
      </w:pPr>
      <w:bookmarkStart w:id="42" w:name="_Toc229695952"/>
      <w:r w:rsidRPr="009C7F96">
        <w:rPr>
          <w:rFonts w:ascii="Times New Roman" w:eastAsia="Times New Roman" w:hAnsi="Times New Roman" w:cs="Times New Roman"/>
          <w:szCs w:val="24"/>
        </w:rPr>
        <w:t>3.9 Decomposição da variância do erro de previsão: FEVD</w:t>
      </w:r>
      <w:bookmarkEnd w:id="42"/>
    </w:p>
    <w:p w14:paraId="256548EE" w14:textId="77777777" w:rsidR="008E44CC" w:rsidRPr="009C7F96" w:rsidRDefault="008E44CC" w:rsidP="008E44CC">
      <w:pPr>
        <w:spacing w:after="120"/>
        <w:rPr>
          <w:rFonts w:cs="Times New Roman"/>
          <w:szCs w:val="24"/>
          <w:lang w:val="pt-BR"/>
        </w:rPr>
      </w:pPr>
      <w:r w:rsidRPr="009C7F96">
        <w:rPr>
          <w:rFonts w:cs="Times New Roman"/>
          <w:szCs w:val="24"/>
          <w:lang w:val="pt-BR"/>
        </w:rPr>
        <w:t>A decomposição da variância do erro de previsão, conhecida como FEVD, é utilizada no VAR para medir a importância relativa de cada choque na explicação da incerteza de previsão das variáveis do sistema. Enquanto a função impulso-resposta mostra a direção e a trajetória do efeito de um choque, a FEVD mostra a participação de cada choque na variância do erro de previsão.</w:t>
      </w:r>
    </w:p>
    <w:p w14:paraId="39AB88EF" w14:textId="77777777" w:rsidR="008E44CC" w:rsidRDefault="008E44CC" w:rsidP="008E44CC">
      <w:pPr>
        <w:spacing w:after="120"/>
        <w:rPr>
          <w:rFonts w:cs="Times New Roman"/>
          <w:szCs w:val="24"/>
          <w:lang w:val="pt-BR"/>
        </w:rPr>
      </w:pPr>
      <w:r w:rsidRPr="009C7F96">
        <w:rPr>
          <w:rFonts w:cs="Times New Roman"/>
          <w:szCs w:val="24"/>
          <w:lang w:val="pt-BR"/>
        </w:rPr>
        <w:t>Para a variável i e o choque j, no horizonte H, a FEVD pode ser representada por:</w:t>
      </w:r>
    </w:p>
    <w:p w14:paraId="4FEF726E" w14:textId="77777777" w:rsidR="00A6469C" w:rsidRPr="009C7F96" w:rsidRDefault="00A6469C" w:rsidP="008E44CC">
      <w:pPr>
        <w:spacing w:after="120"/>
        <w:rPr>
          <w:rFonts w:cs="Times New Roman"/>
          <w:szCs w:val="24"/>
          <w:lang w:val="pt-BR"/>
        </w:rPr>
      </w:pPr>
    </w:p>
    <w:p w14:paraId="04B114B1" w14:textId="77777777" w:rsidR="008E44CC" w:rsidRDefault="008E44CC" w:rsidP="008E44CC">
      <w:pPr>
        <w:spacing w:after="120"/>
        <w:rPr>
          <w:rFonts w:cs="Times New Roman"/>
          <w:szCs w:val="24"/>
          <w:lang w:val="pt-BR"/>
        </w:rPr>
      </w:pPr>
      <w:commentRangeStart w:id="43"/>
      <w:r w:rsidRPr="009C7F96">
        <w:rPr>
          <w:rFonts w:cs="Times New Roman"/>
          <w:szCs w:val="24"/>
          <w:lang w:val="pt-BR"/>
        </w:rPr>
        <w:t>FEVD</w:t>
      </w:r>
      <w:r w:rsidRPr="009C7F96">
        <w:rPr>
          <w:rFonts w:cs="Times New Roman"/>
          <w:szCs w:val="24"/>
        </w:rPr>
        <w:t>ᵢ</w:t>
      </w:r>
      <w:r w:rsidRPr="009C7F96">
        <w:rPr>
          <w:rFonts w:cs="Times New Roman"/>
          <w:szCs w:val="24"/>
          <w:lang w:val="pt-BR"/>
        </w:rPr>
        <w:t>←</w:t>
      </w:r>
      <w:r w:rsidRPr="009C7F96">
        <w:rPr>
          <w:rFonts w:cs="Times New Roman"/>
          <w:szCs w:val="24"/>
        </w:rPr>
        <w:t>ⱼ</w:t>
      </w:r>
      <w:r w:rsidRPr="009C7F96">
        <w:rPr>
          <w:rFonts w:cs="Times New Roman"/>
          <w:szCs w:val="24"/>
          <w:lang w:val="pt-BR"/>
        </w:rPr>
        <w:t>(H) = [</w:t>
      </w:r>
      <w:r w:rsidRPr="009C7F96">
        <w:rPr>
          <w:rFonts w:cs="Times New Roman"/>
          <w:szCs w:val="24"/>
        </w:rPr>
        <w:t>Σ</w:t>
      </w:r>
      <w:r w:rsidRPr="009C7F96">
        <w:rPr>
          <w:rFonts w:cs="Times New Roman"/>
          <w:szCs w:val="24"/>
          <w:lang w:val="pt-BR"/>
        </w:rPr>
        <w:t>ₕ₌₀</w:t>
      </w:r>
      <w:r w:rsidRPr="009C7F96">
        <w:rPr>
          <w:rFonts w:cs="Times New Roman"/>
          <w:szCs w:val="24"/>
        </w:rPr>
        <w:t>ᴴ</w:t>
      </w:r>
      <w:r w:rsidRPr="009C7F96">
        <w:rPr>
          <w:rFonts w:cs="Times New Roman"/>
          <w:szCs w:val="24"/>
          <w:lang w:val="pt-BR"/>
        </w:rPr>
        <w:t>⁻¹(e</w:t>
      </w:r>
      <w:r w:rsidRPr="009C7F96">
        <w:rPr>
          <w:rFonts w:cs="Times New Roman"/>
          <w:szCs w:val="24"/>
        </w:rPr>
        <w:t>ᵢ</w:t>
      </w:r>
      <w:r w:rsidRPr="009C7F96">
        <w:rPr>
          <w:rFonts w:cs="Times New Roman"/>
          <w:szCs w:val="24"/>
          <w:lang w:val="pt-BR"/>
        </w:rPr>
        <w:t>′</w:t>
      </w:r>
      <w:r w:rsidRPr="009C7F96">
        <w:rPr>
          <w:rFonts w:cs="Times New Roman"/>
          <w:szCs w:val="24"/>
        </w:rPr>
        <w:t>Ψ</w:t>
      </w:r>
      <w:r w:rsidRPr="009C7F96">
        <w:rPr>
          <w:rFonts w:cs="Times New Roman"/>
          <w:szCs w:val="24"/>
          <w:lang w:val="pt-BR"/>
        </w:rPr>
        <w:t>ₕPe</w:t>
      </w:r>
      <w:r w:rsidRPr="009C7F96">
        <w:rPr>
          <w:rFonts w:cs="Times New Roman"/>
          <w:szCs w:val="24"/>
        </w:rPr>
        <w:t>ⱼ</w:t>
      </w:r>
      <w:r w:rsidRPr="009C7F96">
        <w:rPr>
          <w:rFonts w:cs="Times New Roman"/>
          <w:szCs w:val="24"/>
          <w:lang w:val="pt-BR"/>
        </w:rPr>
        <w:t>)²] / [</w:t>
      </w:r>
      <w:r w:rsidRPr="009C7F96">
        <w:rPr>
          <w:rFonts w:cs="Times New Roman"/>
          <w:szCs w:val="24"/>
        </w:rPr>
        <w:t>Σ</w:t>
      </w:r>
      <w:r w:rsidRPr="009C7F96">
        <w:rPr>
          <w:rFonts w:cs="Times New Roman"/>
          <w:szCs w:val="24"/>
          <w:lang w:val="pt-BR"/>
        </w:rPr>
        <w:t>ₕ₌₀</w:t>
      </w:r>
      <w:r w:rsidRPr="009C7F96">
        <w:rPr>
          <w:rFonts w:cs="Times New Roman"/>
          <w:szCs w:val="24"/>
        </w:rPr>
        <w:t>ᴴ</w:t>
      </w:r>
      <w:r w:rsidRPr="009C7F96">
        <w:rPr>
          <w:rFonts w:cs="Times New Roman"/>
          <w:szCs w:val="24"/>
          <w:lang w:val="pt-BR"/>
        </w:rPr>
        <w:t>⁻¹e</w:t>
      </w:r>
      <w:r w:rsidRPr="009C7F96">
        <w:rPr>
          <w:rFonts w:cs="Times New Roman"/>
          <w:szCs w:val="24"/>
        </w:rPr>
        <w:t>ᵢ</w:t>
      </w:r>
      <w:r w:rsidRPr="009C7F96">
        <w:rPr>
          <w:rFonts w:cs="Times New Roman"/>
          <w:szCs w:val="24"/>
          <w:lang w:val="pt-BR"/>
        </w:rPr>
        <w:t>′</w:t>
      </w:r>
      <w:r w:rsidRPr="009C7F96">
        <w:rPr>
          <w:rFonts w:cs="Times New Roman"/>
          <w:szCs w:val="24"/>
        </w:rPr>
        <w:t>Ψ</w:t>
      </w:r>
      <w:r w:rsidRPr="009C7F96">
        <w:rPr>
          <w:rFonts w:cs="Times New Roman"/>
          <w:szCs w:val="24"/>
          <w:lang w:val="pt-BR"/>
        </w:rPr>
        <w:t>ₕ</w:t>
      </w:r>
      <w:r w:rsidRPr="009C7F96">
        <w:rPr>
          <w:rFonts w:cs="Times New Roman"/>
          <w:szCs w:val="24"/>
        </w:rPr>
        <w:t>ΣᵤΨ</w:t>
      </w:r>
      <w:r w:rsidRPr="009C7F96">
        <w:rPr>
          <w:rFonts w:cs="Times New Roman"/>
          <w:szCs w:val="24"/>
          <w:lang w:val="pt-BR"/>
        </w:rPr>
        <w:t>ₕ′e</w:t>
      </w:r>
      <w:r w:rsidRPr="009C7F96">
        <w:rPr>
          <w:rFonts w:cs="Times New Roman"/>
          <w:szCs w:val="24"/>
        </w:rPr>
        <w:t>ᵢ</w:t>
      </w:r>
      <w:r w:rsidRPr="009C7F96">
        <w:rPr>
          <w:rFonts w:cs="Times New Roman"/>
          <w:szCs w:val="24"/>
          <w:lang w:val="pt-BR"/>
        </w:rPr>
        <w:t>]        (25)</w:t>
      </w:r>
      <w:commentRangeEnd w:id="43"/>
      <w:r w:rsidR="00A6469C">
        <w:rPr>
          <w:rStyle w:val="CommentReference"/>
          <w:rFonts w:cs="Times New Roman"/>
          <w:sz w:val="24"/>
          <w:szCs w:val="24"/>
          <w:lang w:val="pt-BR"/>
        </w:rPr>
        <w:commentReference w:id="43"/>
      </w:r>
    </w:p>
    <w:p w14:paraId="67D56A8E" w14:textId="77777777" w:rsidR="00A6469C" w:rsidRPr="009C7F96" w:rsidRDefault="00A6469C" w:rsidP="008E44CC">
      <w:pPr>
        <w:spacing w:after="120"/>
        <w:rPr>
          <w:rFonts w:cs="Times New Roman"/>
          <w:szCs w:val="24"/>
          <w:lang w:val="pt-BR"/>
        </w:rPr>
      </w:pPr>
    </w:p>
    <w:p w14:paraId="187371F1" w14:textId="77777777" w:rsidR="008E44CC" w:rsidRPr="009C7F96" w:rsidRDefault="008E44CC" w:rsidP="008E44CC">
      <w:pPr>
        <w:spacing w:after="120"/>
        <w:rPr>
          <w:rFonts w:cs="Times New Roman"/>
          <w:szCs w:val="24"/>
          <w:lang w:val="pt-BR"/>
        </w:rPr>
      </w:pPr>
      <w:r w:rsidRPr="009C7F96">
        <w:rPr>
          <w:rFonts w:cs="Times New Roman"/>
          <w:szCs w:val="24"/>
          <w:lang w:val="pt-BR"/>
        </w:rPr>
        <w:t>No presente trabalho, a FEVD é usada para verificar quanto da variância do erro de previsão do IPCA Geral e do IPCA Transportes é explicada por choques no petróleo, no câmbio, nos combustíveis, na Selic, nas expectativas e na atividade. Ela complementa as IRFs porque permite avaliar se um choque economicamente relevante também possui peso quantitativo na previsão da inflação.</w:t>
      </w:r>
    </w:p>
    <w:p w14:paraId="1FE6E167" w14:textId="77777777" w:rsidR="008E44CC" w:rsidRPr="009C7F96" w:rsidRDefault="008E44CC" w:rsidP="008E44CC">
      <w:pPr>
        <w:spacing w:after="120"/>
        <w:rPr>
          <w:rFonts w:cs="Times New Roman"/>
          <w:szCs w:val="24"/>
          <w:lang w:val="pt-BR"/>
        </w:rPr>
      </w:pPr>
      <w:r w:rsidRPr="009C7F96">
        <w:rPr>
          <w:rFonts w:cs="Times New Roman"/>
          <w:szCs w:val="24"/>
          <w:lang w:val="pt-BR"/>
        </w:rPr>
        <w:t xml:space="preserve">A FEVD será interpretada como evidência complementar, pois também depende da identificação estrutural adotada e da ordenação de Cholesky. Por isso, sua função no trabalho é </w:t>
      </w:r>
      <w:r w:rsidRPr="009C7F96">
        <w:rPr>
          <w:rFonts w:cs="Times New Roman"/>
          <w:szCs w:val="24"/>
          <w:lang w:val="pt-BR"/>
        </w:rPr>
        <w:lastRenderedPageBreak/>
        <w:t>reforçar ou qualificar os resultados das Local Projections e das IRFs do VAR, não substituir a interpretação econômica do canal de transmissão.</w:t>
      </w:r>
    </w:p>
    <w:p w14:paraId="7761DE64" w14:textId="77777777" w:rsidR="008E44CC" w:rsidRPr="009C7F96" w:rsidRDefault="008E44CC" w:rsidP="008E44CC">
      <w:pPr>
        <w:pStyle w:val="Heading2"/>
        <w:spacing w:before="120" w:after="120"/>
        <w:jc w:val="both"/>
        <w:rPr>
          <w:rFonts w:cs="Times New Roman"/>
          <w:szCs w:val="24"/>
        </w:rPr>
      </w:pPr>
      <w:bookmarkStart w:id="44" w:name="_Toc229695953"/>
      <w:r w:rsidRPr="009C7F96">
        <w:rPr>
          <w:rFonts w:ascii="Times New Roman" w:eastAsia="Times New Roman" w:hAnsi="Times New Roman" w:cs="Times New Roman"/>
          <w:szCs w:val="24"/>
        </w:rPr>
        <w:t>3.10 Diagnósticos estatísticos do VAR</w:t>
      </w:r>
      <w:bookmarkEnd w:id="44"/>
    </w:p>
    <w:p w14:paraId="009DA874" w14:textId="77777777" w:rsidR="008E44CC" w:rsidRDefault="008E44CC" w:rsidP="008E44CC">
      <w:pPr>
        <w:spacing w:after="120"/>
        <w:rPr>
          <w:rFonts w:cs="Times New Roman"/>
          <w:szCs w:val="24"/>
          <w:lang w:val="pt-BR"/>
        </w:rPr>
      </w:pPr>
      <w:r w:rsidRPr="009C7F96">
        <w:rPr>
          <w:rFonts w:cs="Times New Roman"/>
          <w:szCs w:val="24"/>
          <w:lang w:val="pt-BR"/>
        </w:rPr>
        <w:t>Como o VAR é utilizado como robustez, seus diagnósticos estatísticos precisam ser reportados. O primeiro diagnóstico é a estabilidade do sistema. Para que as funções impulso-resposta sejam interpretáveis, as raízes do polinômio autorregressivo devem estar dentro do círculo unitário, o que no procedimento usual do software equivale a verificar se o sistema é estável:</w:t>
      </w:r>
    </w:p>
    <w:p w14:paraId="0D676386" w14:textId="77777777" w:rsidR="00B528C1" w:rsidRPr="009C7F96" w:rsidRDefault="00B528C1" w:rsidP="008E44CC">
      <w:pPr>
        <w:spacing w:after="120"/>
        <w:rPr>
          <w:rFonts w:cs="Times New Roman"/>
          <w:szCs w:val="24"/>
          <w:lang w:val="pt-BR"/>
        </w:rPr>
      </w:pPr>
    </w:p>
    <w:p w14:paraId="3B542303" w14:textId="77777777" w:rsidR="008E44CC" w:rsidRDefault="008E44CC" w:rsidP="008E44CC">
      <w:pPr>
        <w:spacing w:after="120"/>
        <w:rPr>
          <w:rFonts w:cs="Times New Roman"/>
          <w:szCs w:val="24"/>
          <w:lang w:val="pt-BR"/>
        </w:rPr>
      </w:pPr>
      <w:r w:rsidRPr="009C7F96">
        <w:rPr>
          <w:rFonts w:cs="Times New Roman"/>
          <w:szCs w:val="24"/>
          <w:lang w:val="pt-BR"/>
        </w:rPr>
        <w:t>|</w:t>
      </w:r>
      <w:r w:rsidRPr="009C7F96">
        <w:rPr>
          <w:rFonts w:cs="Times New Roman"/>
          <w:szCs w:val="24"/>
        </w:rPr>
        <w:t>λᵢ</w:t>
      </w:r>
      <w:r w:rsidRPr="009C7F96">
        <w:rPr>
          <w:rFonts w:cs="Times New Roman"/>
          <w:szCs w:val="24"/>
          <w:lang w:val="pt-BR"/>
        </w:rPr>
        <w:t>| &lt; 1,    para todo i        (26)</w:t>
      </w:r>
    </w:p>
    <w:p w14:paraId="0D5097CA" w14:textId="77777777" w:rsidR="00B528C1" w:rsidRPr="009C7F96" w:rsidRDefault="00B528C1" w:rsidP="008E44CC">
      <w:pPr>
        <w:spacing w:after="120"/>
        <w:rPr>
          <w:rFonts w:cs="Times New Roman"/>
          <w:szCs w:val="24"/>
          <w:lang w:val="pt-BR"/>
        </w:rPr>
      </w:pPr>
    </w:p>
    <w:p w14:paraId="25CFFEC3" w14:textId="77777777" w:rsidR="008E44CC" w:rsidRDefault="008E44CC" w:rsidP="008E44CC">
      <w:pPr>
        <w:spacing w:after="120"/>
        <w:rPr>
          <w:rFonts w:cs="Times New Roman"/>
          <w:szCs w:val="24"/>
          <w:lang w:val="pt-BR"/>
        </w:rPr>
      </w:pPr>
      <w:r w:rsidRPr="009C7F96">
        <w:rPr>
          <w:rFonts w:cs="Times New Roman"/>
          <w:szCs w:val="24"/>
          <w:lang w:val="pt-BR"/>
        </w:rPr>
        <w:t>Também são avaliados os resíduos do VAR. A ausência de autocorrelação serial é necessária para indicar que as defasagens escolhidas capturaram adequadamente a dinâmica temporal. A hipótese nula dos testes de autocorrelação pode ser expressa como:</w:t>
      </w:r>
    </w:p>
    <w:p w14:paraId="7897A25D" w14:textId="77777777" w:rsidR="00B528C1" w:rsidRPr="009C7F96" w:rsidRDefault="00B528C1" w:rsidP="008E44CC">
      <w:pPr>
        <w:spacing w:after="120"/>
        <w:rPr>
          <w:rFonts w:cs="Times New Roman"/>
          <w:szCs w:val="24"/>
          <w:lang w:val="pt-BR"/>
        </w:rPr>
      </w:pPr>
    </w:p>
    <w:p w14:paraId="376D4785" w14:textId="31E26216" w:rsidR="008E44CC" w:rsidRDefault="00B528C1" w:rsidP="008E44CC">
      <w:pPr>
        <w:spacing w:after="120"/>
        <w:rPr>
          <w:rFonts w:cs="Times New Roman"/>
          <w:szCs w:val="24"/>
          <w:lang w:val="pt-BR"/>
        </w:rPr>
      </w:pPr>
      <m:oMathPara>
        <m:oMath>
          <m:r>
            <w:rPr>
              <w:rFonts w:ascii="Cambria Math" w:hAnsi="Cambria Math" w:cs="Times New Roman"/>
              <w:szCs w:val="24"/>
              <w:lang w:val="pt-BR"/>
            </w:rPr>
            <m:t>H₀: E(uₜuₜ₋ₖ) = 0,    k = 1, ..., m        (27)</m:t>
          </m:r>
        </m:oMath>
      </m:oMathPara>
    </w:p>
    <w:p w14:paraId="5936B138" w14:textId="77777777" w:rsidR="00B528C1" w:rsidRPr="009C7F96" w:rsidRDefault="00B528C1" w:rsidP="008E44CC">
      <w:pPr>
        <w:spacing w:after="120"/>
        <w:rPr>
          <w:rFonts w:cs="Times New Roman"/>
          <w:szCs w:val="24"/>
          <w:lang w:val="pt-BR"/>
        </w:rPr>
      </w:pPr>
    </w:p>
    <w:p w14:paraId="765D9A7F" w14:textId="77777777" w:rsidR="008E44CC" w:rsidRDefault="008E44CC" w:rsidP="008E44CC">
      <w:pPr>
        <w:spacing w:after="120"/>
        <w:rPr>
          <w:rFonts w:cs="Times New Roman"/>
          <w:szCs w:val="24"/>
          <w:lang w:val="pt-BR"/>
        </w:rPr>
      </w:pPr>
      <w:r w:rsidRPr="009C7F96">
        <w:rPr>
          <w:rFonts w:cs="Times New Roman"/>
          <w:szCs w:val="24"/>
          <w:lang w:val="pt-BR"/>
        </w:rPr>
        <w:t>O modelo também realiza testes de normalidade dos resíduos. A hipótese nula pode ser escrita como:</w:t>
      </w:r>
    </w:p>
    <w:p w14:paraId="741AB546" w14:textId="77777777" w:rsidR="00B528C1" w:rsidRPr="009C7F96" w:rsidRDefault="00B528C1" w:rsidP="008E44CC">
      <w:pPr>
        <w:spacing w:after="120"/>
        <w:rPr>
          <w:rFonts w:cs="Times New Roman"/>
          <w:szCs w:val="24"/>
          <w:lang w:val="pt-BR"/>
        </w:rPr>
      </w:pPr>
    </w:p>
    <w:p w14:paraId="7FFCEA87" w14:textId="6A21FB1D" w:rsidR="008E44CC" w:rsidRDefault="00B528C1" w:rsidP="008E44CC">
      <w:pPr>
        <w:spacing w:after="120"/>
        <w:rPr>
          <w:rFonts w:cs="Times New Roman"/>
          <w:szCs w:val="24"/>
          <w:lang w:val="pt-BR"/>
        </w:rPr>
      </w:pPr>
      <m:oMathPara>
        <m:oMath>
          <m:r>
            <w:rPr>
              <w:rFonts w:ascii="Cambria Math" w:hAnsi="Cambria Math" w:cs="Times New Roman"/>
              <w:szCs w:val="24"/>
              <w:lang w:val="pt-BR"/>
            </w:rPr>
            <m:t xml:space="preserve">H₀: uₜ ~ N(0, </m:t>
          </m:r>
          <m:r>
            <w:rPr>
              <w:rFonts w:ascii="Cambria Math" w:hAnsi="Cambria Math" w:cs="Times New Roman"/>
              <w:szCs w:val="24"/>
            </w:rPr>
            <m:t>Σ</m:t>
          </m:r>
          <m:r>
            <w:rPr>
              <w:rFonts w:ascii="Cambria Math" w:hAnsi="Cambria Math" w:cs="Times New Roman"/>
              <w:szCs w:val="24"/>
              <w:lang w:val="pt-BR"/>
            </w:rPr>
            <m:t>)        (28)</m:t>
          </m:r>
        </m:oMath>
      </m:oMathPara>
    </w:p>
    <w:p w14:paraId="18495176" w14:textId="77777777" w:rsidR="00B528C1" w:rsidRPr="009C7F96" w:rsidRDefault="00B528C1" w:rsidP="008E44CC">
      <w:pPr>
        <w:spacing w:after="120"/>
        <w:rPr>
          <w:rFonts w:cs="Times New Roman"/>
          <w:szCs w:val="24"/>
          <w:lang w:val="pt-BR"/>
        </w:rPr>
      </w:pPr>
    </w:p>
    <w:p w14:paraId="24BE2891" w14:textId="77777777" w:rsidR="008E44CC" w:rsidRDefault="008E44CC" w:rsidP="008E44CC">
      <w:pPr>
        <w:spacing w:after="120"/>
        <w:rPr>
          <w:rFonts w:cs="Times New Roman"/>
          <w:szCs w:val="24"/>
          <w:lang w:val="pt-BR"/>
        </w:rPr>
      </w:pPr>
      <w:r w:rsidRPr="009C7F96">
        <w:rPr>
          <w:rFonts w:cs="Times New Roman"/>
          <w:szCs w:val="24"/>
          <w:lang w:val="pt-BR"/>
        </w:rPr>
        <w:t xml:space="preserve">Embora a normalidade perfeita seja difícil em séries macroeconômicas, desvios muito fortes podem afetar a inferência em amostras finitas. Por fim, são avaliados efeitos ARCH, isto é, a presença de heterocedasticidade condicional nos resíduos. </w:t>
      </w:r>
      <w:r w:rsidRPr="00B85826">
        <w:rPr>
          <w:rFonts w:cs="Times New Roman"/>
          <w:szCs w:val="24"/>
          <w:lang w:val="pt-BR"/>
        </w:rPr>
        <w:t>A hipótese nula é:</w:t>
      </w:r>
    </w:p>
    <w:p w14:paraId="3E201CE4" w14:textId="77777777" w:rsidR="00B528C1" w:rsidRPr="00B85826" w:rsidRDefault="00B528C1" w:rsidP="008E44CC">
      <w:pPr>
        <w:spacing w:after="120"/>
        <w:rPr>
          <w:rFonts w:cs="Times New Roman"/>
          <w:szCs w:val="24"/>
          <w:lang w:val="pt-BR"/>
        </w:rPr>
      </w:pPr>
    </w:p>
    <w:p w14:paraId="2E270F54" w14:textId="6EF4230B" w:rsidR="008E44CC" w:rsidRDefault="00B528C1" w:rsidP="008E44CC">
      <w:pPr>
        <w:spacing w:after="120"/>
        <w:rPr>
          <w:rFonts w:cs="Times New Roman"/>
          <w:szCs w:val="24"/>
          <w:lang w:val="pt-BR"/>
        </w:rPr>
      </w:pPr>
      <m:oMathPara>
        <m:oMath>
          <m:r>
            <w:rPr>
              <w:rFonts w:ascii="Cambria Math" w:hAnsi="Cambria Math" w:cs="Times New Roman"/>
              <w:szCs w:val="24"/>
              <w:lang w:val="pt-BR"/>
            </w:rPr>
            <m:t xml:space="preserve">H₀: E(uₜ² | </m:t>
          </m:r>
          <m:r>
            <w:rPr>
              <w:rFonts w:ascii="Cambria Math" w:hAnsi="Cambria Math" w:cs="Times New Roman"/>
              <w:szCs w:val="24"/>
            </w:rPr>
            <m:t>Ω</m:t>
          </m:r>
          <m:r>
            <w:rPr>
              <w:rFonts w:ascii="Cambria Math" w:hAnsi="Cambria Math" w:cs="Times New Roman"/>
              <w:szCs w:val="24"/>
              <w:lang w:val="pt-BR"/>
            </w:rPr>
            <m:t xml:space="preserve">ₜ₋₁) = </m:t>
          </m:r>
          <m:r>
            <w:rPr>
              <w:rFonts w:ascii="Cambria Math" w:hAnsi="Cambria Math" w:cs="Times New Roman"/>
              <w:szCs w:val="24"/>
            </w:rPr>
            <m:t>σ</m:t>
          </m:r>
          <m:r>
            <w:rPr>
              <w:rFonts w:ascii="Cambria Math" w:hAnsi="Cambria Math" w:cs="Times New Roman"/>
              <w:szCs w:val="24"/>
              <w:lang w:val="pt-BR"/>
            </w:rPr>
            <m:t>²        (29)</m:t>
          </m:r>
        </m:oMath>
      </m:oMathPara>
    </w:p>
    <w:p w14:paraId="5561858B" w14:textId="77777777" w:rsidR="00B528C1" w:rsidRPr="00B85826" w:rsidRDefault="00B528C1" w:rsidP="008E44CC">
      <w:pPr>
        <w:spacing w:after="120"/>
        <w:rPr>
          <w:rFonts w:cs="Times New Roman"/>
          <w:szCs w:val="24"/>
          <w:lang w:val="pt-BR"/>
        </w:rPr>
      </w:pPr>
    </w:p>
    <w:p w14:paraId="2B83DC63" w14:textId="77777777" w:rsidR="008E44CC" w:rsidRDefault="008E44CC" w:rsidP="008E44CC">
      <w:pPr>
        <w:spacing w:after="120"/>
        <w:rPr>
          <w:rFonts w:cs="Times New Roman"/>
          <w:szCs w:val="24"/>
          <w:lang w:val="pt-BR"/>
        </w:rPr>
      </w:pPr>
      <w:r w:rsidRPr="009C7F96">
        <w:rPr>
          <w:rFonts w:cs="Times New Roman"/>
          <w:szCs w:val="24"/>
          <w:lang w:val="pt-BR"/>
        </w:rPr>
        <w:t>Além desses testes, o VAR calcula causalidade de Granger. Esse teste verifica se as defasagens de uma variável ajudam a prever outra variável, condicionalmente às demais variáveis do sistema. A hipótese nula é que os coeficientes defasados da variável causadora são conjuntamente iguais a zero:</w:t>
      </w:r>
    </w:p>
    <w:p w14:paraId="0FE29548" w14:textId="77777777" w:rsidR="00B528C1" w:rsidRPr="009C7F96" w:rsidRDefault="00B528C1" w:rsidP="008E44CC">
      <w:pPr>
        <w:spacing w:after="120"/>
        <w:rPr>
          <w:rFonts w:cs="Times New Roman"/>
          <w:szCs w:val="24"/>
          <w:lang w:val="pt-BR"/>
        </w:rPr>
      </w:pPr>
    </w:p>
    <w:p w14:paraId="7CAA97C1" w14:textId="15997AFA" w:rsidR="008E44CC" w:rsidRDefault="00B528C1" w:rsidP="008E44CC">
      <w:pPr>
        <w:spacing w:after="120"/>
        <w:rPr>
          <w:rFonts w:cs="Times New Roman"/>
          <w:szCs w:val="24"/>
          <w:lang w:val="pt-BR"/>
        </w:rPr>
      </w:pPr>
      <m:oMathPara>
        <m:oMath>
          <m:r>
            <w:rPr>
              <w:rFonts w:ascii="Cambria Math" w:hAnsi="Cambria Math" w:cs="Times New Roman"/>
              <w:szCs w:val="24"/>
              <w:lang w:val="pt-BR"/>
            </w:rPr>
            <m:t>H₀: A₁,ij = A₂,ij = ... = Aₚ,ij = 0        (30)</m:t>
          </m:r>
        </m:oMath>
      </m:oMathPara>
    </w:p>
    <w:p w14:paraId="5BFB14D3" w14:textId="77777777" w:rsidR="00B528C1" w:rsidRPr="009C7F96" w:rsidRDefault="00B528C1" w:rsidP="008E44CC">
      <w:pPr>
        <w:spacing w:after="120"/>
        <w:rPr>
          <w:rFonts w:cs="Times New Roman"/>
          <w:szCs w:val="24"/>
          <w:lang w:val="pt-BR"/>
        </w:rPr>
      </w:pPr>
    </w:p>
    <w:p w14:paraId="378CC67E" w14:textId="77777777" w:rsidR="008E44CC" w:rsidRPr="009C7F96" w:rsidRDefault="008E44CC" w:rsidP="008E44CC">
      <w:pPr>
        <w:spacing w:after="120"/>
        <w:rPr>
          <w:rFonts w:cs="Times New Roman"/>
          <w:szCs w:val="24"/>
          <w:lang w:val="pt-BR"/>
        </w:rPr>
      </w:pPr>
      <w:r w:rsidRPr="009C7F96">
        <w:rPr>
          <w:rFonts w:cs="Times New Roman"/>
          <w:szCs w:val="24"/>
          <w:lang w:val="pt-BR"/>
        </w:rPr>
        <w:t>A rejeição da hipótese nula indica precedência temporal preditiva, mas não deve ser interpretada isoladamente como causalidade estrutural. No trabalho, a causalidade de Granger é usada apenas como diagnóstico complementar do canal petróleo-combustíveis-inflação.</w:t>
      </w:r>
    </w:p>
    <w:p w14:paraId="2EA7A186" w14:textId="77777777" w:rsidR="008E44CC" w:rsidRPr="009C7F96" w:rsidRDefault="008E44CC" w:rsidP="008E44CC">
      <w:pPr>
        <w:spacing w:before="120" w:after="60"/>
        <w:ind w:firstLine="0"/>
        <w:jc w:val="center"/>
        <w:rPr>
          <w:rFonts w:cs="Times New Roman"/>
          <w:szCs w:val="24"/>
        </w:rPr>
      </w:pPr>
      <w:r w:rsidRPr="009C7F96">
        <w:rPr>
          <w:rFonts w:cs="Times New Roman"/>
          <w:b/>
          <w:sz w:val="20"/>
          <w:szCs w:val="24"/>
        </w:rPr>
        <w:t>Quadro 4 - Diagnósticos estatísticos do VAR</w:t>
      </w:r>
    </w:p>
    <w:tbl>
      <w:tblPr>
        <w:tblW w:w="0" w:type="auto"/>
        <w:jc w:val="center"/>
        <w:tblLook w:val="04A0" w:firstRow="1" w:lastRow="0" w:firstColumn="1" w:lastColumn="0" w:noHBand="0" w:noVBand="1"/>
      </w:tblPr>
      <w:tblGrid>
        <w:gridCol w:w="3134"/>
        <w:gridCol w:w="3131"/>
        <w:gridCol w:w="3130"/>
      </w:tblGrid>
      <w:tr w:rsidR="008E44CC" w:rsidRPr="009C7F96" w14:paraId="1ABBF6E5" w14:textId="77777777" w:rsidTr="00AB4120">
        <w:trPr>
          <w:jc w:val="center"/>
        </w:trPr>
        <w:tc>
          <w:tcPr>
            <w:tcW w:w="3135" w:type="dxa"/>
            <w:shd w:val="clear" w:color="auto" w:fill="D9EAF7"/>
            <w:tcMar>
              <w:top w:w="30" w:type="dxa"/>
              <w:left w:w="30" w:type="dxa"/>
              <w:bottom w:w="30" w:type="dxa"/>
              <w:right w:w="30" w:type="dxa"/>
            </w:tcMar>
            <w:shd w:val="clear" w:color="auto" w:fill="auto"/>
            <w:tcBorders>
              <w:top w:sz="12" w:val="single" w:color="000000"/>
              <w:left w:val="nil"/>
              <w:bottom w:sz="4" w:val="single" w:color="000000"/>
              <w:right w:val="nil"/>
            </w:tcBorders>
          </w:tcPr>
          <w:p>
            <w:pPr>
              <w:ind w:left="0" w:right="0" w:firstLine="0"/>
              <w:jc w:val="center"/>
            </w:pPr>
            <w:r>
              <w:t>Diagnóstico</w:t>
            </w:r>
          </w:p>
        </w:tc>
        <w:tc>
          <w:tcPr>
            <w:tcW w:w="3135" w:type="dxa"/>
            <w:shd w:val="clear" w:color="auto" w:fill="D9EAF7"/>
            <w:tcMar>
              <w:top w:w="30" w:type="dxa"/>
              <w:left w:w="30" w:type="dxa"/>
              <w:bottom w:w="30" w:type="dxa"/>
              <w:right w:w="30" w:type="dxa"/>
            </w:tcMar>
            <w:shd w:val="clear" w:color="auto" w:fill="auto"/>
            <w:tcBorders>
              <w:top w:sz="12" w:val="single" w:color="000000"/>
              <w:left w:val="nil"/>
              <w:bottom w:sz="4" w:val="single" w:color="000000"/>
              <w:right w:val="nil"/>
            </w:tcBorders>
          </w:tcPr>
          <w:p>
            <w:pPr>
              <w:ind w:left="0" w:right="0" w:firstLine="0"/>
              <w:jc w:val="center"/>
            </w:pPr>
            <w:r>
              <w:t>Hipótese ou objetivo</w:t>
            </w:r>
          </w:p>
        </w:tc>
        <w:tc>
          <w:tcPr>
            <w:tcW w:w="3135" w:type="dxa"/>
            <w:shd w:val="clear" w:color="auto" w:fill="D9EAF7"/>
            <w:tcMar>
              <w:top w:w="30" w:type="dxa"/>
              <w:left w:w="30" w:type="dxa"/>
              <w:bottom w:w="30" w:type="dxa"/>
              <w:right w:w="30" w:type="dxa"/>
            </w:tcMar>
            <w:shd w:val="clear" w:color="auto" w:fill="auto"/>
            <w:tcBorders>
              <w:top w:sz="12" w:val="single" w:color="000000"/>
              <w:left w:val="nil"/>
              <w:bottom w:sz="4" w:val="single" w:color="000000"/>
              <w:right w:val="nil"/>
            </w:tcBorders>
          </w:tcPr>
          <w:p>
            <w:pPr>
              <w:ind w:left="0" w:right="0" w:firstLine="0"/>
              <w:jc w:val="center"/>
            </w:pPr>
            <w:r>
              <w:t>Interpretação esperada</w:t>
            </w:r>
          </w:p>
        </w:tc>
      </w:tr>
      <w:tr w:rsidR="008E44CC" w:rsidRPr="00321F2B" w14:paraId="6D32A3E9" w14:textId="77777777" w:rsidTr="00AB4120">
        <w:trPr>
          <w:jc w:val="center"/>
        </w:trPr>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Estabilidade</w:t>
            </w:r>
          </w:p>
        </w:tc>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Raízes compatíveis com sistema estável</w:t>
            </w:r>
          </w:p>
        </w:tc>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IRFs podem ser interpretadas de forma dinâmica</w:t>
            </w:r>
          </w:p>
        </w:tc>
      </w:tr>
      <w:tr w:rsidR="008E44CC" w:rsidRPr="00321F2B" w14:paraId="683F00C1" w14:textId="77777777" w:rsidTr="00AB4120">
        <w:trPr>
          <w:jc w:val="center"/>
        </w:trPr>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Autocorrelação dos resíduos</w:t>
            </w:r>
          </w:p>
        </w:tc>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Ausência de correlação serial</w:t>
            </w:r>
          </w:p>
        </w:tc>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Defasagens capturam a dinâmica temporal</w:t>
            </w:r>
          </w:p>
        </w:tc>
      </w:tr>
      <w:tr w:rsidR="008E44CC" w:rsidRPr="00321F2B" w14:paraId="465643F7" w14:textId="77777777" w:rsidTr="00AB4120">
        <w:trPr>
          <w:jc w:val="center"/>
        </w:trPr>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Normalidade dos resíduos</w:t>
            </w:r>
          </w:p>
        </w:tc>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Resíduos aproximadamente normais</w:t>
            </w:r>
          </w:p>
        </w:tc>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Inferência mais confiável em amostra finita</w:t>
            </w:r>
          </w:p>
        </w:tc>
      </w:tr>
      <w:tr w:rsidR="008E44CC" w:rsidRPr="009C7F96" w14:paraId="7AC7CD11" w14:textId="77777777" w:rsidTr="00AB4120">
        <w:trPr>
          <w:jc w:val="center"/>
        </w:trPr>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ARCH/heterocedasticidade</w:t>
            </w:r>
          </w:p>
        </w:tc>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Ausência de heterocedasticidade condicional</w:t>
            </w:r>
          </w:p>
        </w:tc>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Variância residual menos instável</w:t>
            </w:r>
          </w:p>
        </w:tc>
      </w:tr>
      <w:tr w:rsidR="008E44CC" w:rsidRPr="009C7F96" w14:paraId="3AB3A583" w14:textId="77777777" w:rsidTr="00AB4120">
        <w:trPr>
          <w:jc w:val="center"/>
        </w:trPr>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Johansen</w:t>
            </w:r>
          </w:p>
        </w:tc>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Verificação de relações de longo prazo</w:t>
            </w:r>
          </w:p>
        </w:tc>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Diagnóstico complementar sobre cointegração</w:t>
            </w:r>
          </w:p>
        </w:tc>
      </w:tr>
      <w:tr w:rsidR="008E44CC" w:rsidRPr="00321F2B" w14:paraId="36351EBF" w14:textId="77777777" w:rsidTr="00AB4120">
        <w:trPr>
          <w:jc w:val="center"/>
        </w:trPr>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Causalidade de Granger</w:t>
            </w:r>
          </w:p>
        </w:tc>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Defasagens de uma variável ajudam a prever outra</w:t>
            </w:r>
          </w:p>
        </w:tc>
        <w:tc>
          <w:tcPr>
            <w:tcW w:w="3135" w:type="dxa"/>
            <w:tcMar>
              <w:top w:w="30" w:type="dxa"/>
              <w:left w:w="30" w:type="dxa"/>
              <w:bottom w:w="30" w:type="dxa"/>
              <w:right w:w="30" w:type="dxa"/>
            </w:tcMar>
            <w:shd w:val="clear" w:color="auto" w:fill="auto"/>
            <w:tcBorders>
              <w:top w:val="nil"/>
              <w:left w:val="nil"/>
              <w:bottom w:val="nil"/>
              <w:right w:val="nil"/>
            </w:tcBorders>
          </w:tcPr>
          <w:p>
            <w:pPr>
              <w:ind w:left="0" w:right="0" w:firstLine="0"/>
              <w:jc w:val="center"/>
            </w:pPr>
            <w:r>
              <w:t>Evidência preditiva do canal de transmissão</w:t>
            </w:r>
          </w:p>
        </w:tc>
      </w:tr>
      <w:tr w:rsidR="008E44CC" w:rsidRPr="009C7F96" w14:paraId="7A5EC401" w14:textId="77777777" w:rsidTr="00AB4120">
        <w:trPr>
          <w:jc w:val="center"/>
        </w:trPr>
        <w:tc>
          <w:tcPr>
            <w:tcW w:w="3135" w:type="dxa"/>
            <w:tcMar>
              <w:top w:w="30" w:type="dxa"/>
              <w:left w:w="30" w:type="dxa"/>
              <w:bottom w:w="30" w:type="dxa"/>
              <w:right w:w="30" w:type="dxa"/>
            </w:tcMar>
            <w:shd w:val="clear" w:color="auto" w:fill="auto"/>
            <w:tcBorders>
              <w:top w:val="nil"/>
              <w:left w:val="nil"/>
              <w:bottom w:sz="12" w:val="single" w:color="000000"/>
              <w:right w:val="nil"/>
            </w:tcBorders>
          </w:tcPr>
          <w:p>
            <w:pPr>
              <w:ind w:left="0" w:right="0" w:firstLine="0"/>
              <w:jc w:val="center"/>
            </w:pPr>
            <w:r>
              <w:t>Robustez Cholesky</w:t>
            </w:r>
          </w:p>
        </w:tc>
        <w:tc>
          <w:tcPr>
            <w:tcW w:w="3135" w:type="dxa"/>
            <w:tcMar>
              <w:top w:w="30" w:type="dxa"/>
              <w:left w:w="30" w:type="dxa"/>
              <w:bottom w:w="30" w:type="dxa"/>
              <w:right w:w="30" w:type="dxa"/>
            </w:tcMar>
            <w:shd w:val="clear" w:color="auto" w:fill="auto"/>
            <w:tcBorders>
              <w:top w:val="nil"/>
              <w:left w:val="nil"/>
              <w:bottom w:sz="12" w:val="single" w:color="000000"/>
              <w:right w:val="nil"/>
            </w:tcBorders>
          </w:tcPr>
          <w:p>
            <w:pPr>
              <w:ind w:left="0" w:right="0" w:firstLine="0"/>
              <w:jc w:val="center"/>
            </w:pPr>
            <w:r>
              <w:t>Comparação entre ordenações alternativas</w:t>
            </w:r>
          </w:p>
        </w:tc>
        <w:tc>
          <w:tcPr>
            <w:tcW w:w="3135" w:type="dxa"/>
            <w:tcMar>
              <w:top w:w="30" w:type="dxa"/>
              <w:left w:w="30" w:type="dxa"/>
              <w:bottom w:w="30" w:type="dxa"/>
              <w:right w:w="30" w:type="dxa"/>
            </w:tcMar>
            <w:shd w:val="clear" w:color="auto" w:fill="auto"/>
            <w:tcBorders>
              <w:top w:val="nil"/>
              <w:left w:val="nil"/>
              <w:bottom w:sz="12" w:val="single" w:color="000000"/>
              <w:right w:val="nil"/>
            </w:tcBorders>
          </w:tcPr>
          <w:p>
            <w:pPr>
              <w:ind w:left="0" w:right="0" w:firstLine="0"/>
              <w:jc w:val="center"/>
            </w:pPr>
            <w:r>
              <w:t>Verifica sensibilidade da identificação</w:t>
            </w:r>
          </w:p>
        </w:tc>
      </w:tr>
    </w:tbl>
    <w:p w14:paraId="209265CF" w14:textId="77777777" w:rsidR="008E44CC" w:rsidRPr="009C7F96" w:rsidRDefault="008E44CC" w:rsidP="008E44CC">
      <w:pPr>
        <w:spacing w:after="120" w:line="240" w:lineRule="auto"/>
        <w:ind w:firstLine="0"/>
        <w:jc w:val="center"/>
        <w:rPr>
          <w:rFonts w:cs="Times New Roman"/>
          <w:szCs w:val="24"/>
        </w:rPr>
      </w:pPr>
      <w:r w:rsidRPr="009C7F96">
        <w:rPr>
          <w:rFonts w:cs="Times New Roman"/>
          <w:sz w:val="20"/>
          <w:szCs w:val="24"/>
        </w:rPr>
        <w:t>Fonte: Elaboração própria.</w:t>
      </w:r>
    </w:p>
    <w:p w14:paraId="2B586B06" w14:textId="77777777" w:rsidR="008E44CC" w:rsidRPr="009C7F96" w:rsidRDefault="008E44CC" w:rsidP="008E44CC">
      <w:pPr>
        <w:pStyle w:val="Heading2"/>
        <w:spacing w:before="120" w:after="120"/>
        <w:jc w:val="both"/>
        <w:rPr>
          <w:rFonts w:cs="Times New Roman"/>
          <w:szCs w:val="24"/>
        </w:rPr>
      </w:pPr>
      <w:bookmarkStart w:id="45" w:name="_Toc229695954"/>
      <w:r w:rsidRPr="009C7F96">
        <w:rPr>
          <w:rFonts w:ascii="Times New Roman" w:eastAsia="Times New Roman" w:hAnsi="Times New Roman" w:cs="Times New Roman"/>
          <w:szCs w:val="24"/>
        </w:rPr>
        <w:t>3.11 Critérios de comparação entre Local Projections e VAR</w:t>
      </w:r>
      <w:bookmarkEnd w:id="45"/>
    </w:p>
    <w:p w14:paraId="7A0EA130" w14:textId="77777777" w:rsidR="008E44CC" w:rsidRPr="009C7F96" w:rsidRDefault="008E44CC" w:rsidP="008E44CC">
      <w:pPr>
        <w:spacing w:after="120"/>
        <w:rPr>
          <w:rFonts w:cs="Times New Roman"/>
          <w:szCs w:val="24"/>
          <w:lang w:val="pt-BR"/>
        </w:rPr>
      </w:pPr>
      <w:r w:rsidRPr="009C7F96">
        <w:rPr>
          <w:rFonts w:cs="Times New Roman"/>
          <w:szCs w:val="24"/>
          <w:lang w:val="pt-BR"/>
        </w:rPr>
        <w:t>A comparação entre Local Projections e VAR será feita por critérios estatísticos e econômicos. Do ponto de vista estatístico, observa-se se o intervalo de confiança cruza zero, se os resultados são mais fortes nos horizontes economicamente relevantes e se as trajetórias estimadas são estáveis. Do ponto de vista econômico, avalia-se se os sinais são compatíveis com o mecanismo esperado de transmissão.</w:t>
      </w:r>
    </w:p>
    <w:p w14:paraId="1E4AB0BD" w14:textId="77777777" w:rsidR="008E44CC" w:rsidRPr="009C7F96" w:rsidRDefault="008E44CC" w:rsidP="008E44CC">
      <w:pPr>
        <w:spacing w:after="120"/>
        <w:rPr>
          <w:rFonts w:cs="Times New Roman"/>
          <w:szCs w:val="24"/>
          <w:lang w:val="pt-BR"/>
        </w:rPr>
      </w:pPr>
      <w:r w:rsidRPr="009C7F96">
        <w:rPr>
          <w:rFonts w:cs="Times New Roman"/>
          <w:szCs w:val="24"/>
          <w:lang w:val="pt-BR"/>
        </w:rPr>
        <w:lastRenderedPageBreak/>
        <w:t>O resultado será considerado mais robusto quando as duas abordagens indicarem: resposta positiva dos combustíveis a choques no petróleo, maior sensibilidade do IPCA Transportes em relação ao IPCA Geral, trajetória compatível nos primeiros 12 meses e ausência de respostas explosivas sem justificativa econômica. Assim, o VAR funciona como uma verificação complementar da narrativa principal construída pelas Local Projections.</w:t>
      </w:r>
    </w:p>
    <w:p w14:paraId="326B17B4" w14:textId="77777777" w:rsidR="008E44CC" w:rsidRPr="009C7F96" w:rsidRDefault="008E44CC" w:rsidP="008E44CC">
      <w:pPr>
        <w:spacing w:after="120"/>
        <w:rPr>
          <w:rFonts w:cs="Times New Roman"/>
          <w:szCs w:val="24"/>
          <w:lang w:val="pt-BR"/>
        </w:rPr>
      </w:pPr>
      <w:r w:rsidRPr="009C7F96">
        <w:rPr>
          <w:rFonts w:cs="Times New Roman"/>
          <w:szCs w:val="24"/>
          <w:lang w:val="pt-BR"/>
        </w:rPr>
        <w:t>A metodologia, portanto, combina a flexibilidade das Local Projections com a estrutura sistêmica do VAR. As Local Projections são usadas para estimar diretamente as respostas acumuladas por horizonte e separar os blocos de transmissão. O VAR é usado para verificar a consistência dinâmica dos resultados em um sistema multivariado, incorporando IRFs, IRFs acumuladas, FEVD, diagnósticos de resíduos, causalidade de Granger e testes de robustez da identificação por Cholesky.</w:t>
      </w:r>
    </w:p>
    <w:tbl>
      <w:tblPr>
        <w:tblW w:w="0" w:type="auto"/>
        <w:jc w:val="center"/>
        <w:tblLook w:val="04A0" w:firstRow="1" w:lastRow="0" w:firstColumn="1" w:lastColumn="0" w:noHBand="0" w:noVBand="1"/>
      </w:tblPr>
      <w:tblGrid>
        <w:gridCol w:w="1343"/>
        <w:gridCol w:w="1342"/>
        <w:gridCol w:w="1343"/>
        <w:gridCol w:w="1343"/>
        <w:gridCol w:w="1341"/>
        <w:gridCol w:w="1342"/>
        <w:gridCol w:w="1341"/>
      </w:tblGrid>
      <w:tr w:rsidR="008E44CC" w:rsidRPr="009C7F96" w14:paraId="203F6E17" w14:textId="77777777" w:rsidTr="00AB4120">
        <w:trPr>
          <w:jc w:val="center"/>
        </w:trPr>
        <w:tc>
          <w:tcPr>
            <w:tcW w:w="1344"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Resposta</w:t>
            </w:r>
          </w:p>
        </w:tc>
        <w:tc>
          <w:tcPr>
            <w:tcW w:w="1344"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Coef. h=12</w:t>
            </w:r>
          </w:p>
        </w:tc>
        <w:tc>
          <w:tcPr>
            <w:tcW w:w="1344"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p-valor h=12</w:t>
            </w:r>
          </w:p>
        </w:tc>
        <w:tc>
          <w:tcPr>
            <w:tcW w:w="1344"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IC h=12</w:t>
            </w:r>
          </w:p>
        </w:tc>
        <w:tc>
          <w:tcPr>
            <w:tcW w:w="1344"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Sig. h=12</w:t>
            </w:r>
          </w:p>
        </w:tc>
        <w:tc>
          <w:tcPr>
            <w:tcW w:w="1344"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Coef. h=24</w:t>
            </w:r>
          </w:p>
        </w:tc>
        <w:tc>
          <w:tcPr>
            <w:tcW w:w="1344"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Sig. h=24</w:t>
            </w:r>
          </w:p>
        </w:tc>
      </w:tr>
      <w:tr w:rsidR="008E44CC" w:rsidRPr="009C7F96" w14:paraId="626DAC08" w14:textId="77777777" w:rsidTr="00AB4120">
        <w:trPr>
          <w:jc w:val="center"/>
        </w:trPr>
        <w:tc>
          <w:tcPr>
            <w:tcW w:w="1344"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Diesel</w:t>
            </w:r>
          </w:p>
        </w:tc>
        <w:tc>
          <w:tcPr>
            <w:tcW w:w="1344"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2,771</w:t>
            </w:r>
          </w:p>
        </w:tc>
        <w:tc>
          <w:tcPr>
            <w:tcW w:w="1344"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&lt;0,001</w:t>
            </w:r>
          </w:p>
        </w:tc>
        <w:tc>
          <w:tcPr>
            <w:tcW w:w="1344"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[1,432; 4,109]</w:t>
            </w:r>
          </w:p>
        </w:tc>
        <w:tc>
          <w:tcPr>
            <w:tcW w:w="1344"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Sim</w:t>
            </w:r>
          </w:p>
        </w:tc>
        <w:tc>
          <w:tcPr>
            <w:tcW w:w="1344"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1,911</w:t>
            </w:r>
          </w:p>
        </w:tc>
        <w:tc>
          <w:tcPr>
            <w:tcW w:w="1344"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Sim</w:t>
            </w:r>
          </w:p>
        </w:tc>
      </w:tr>
      <w:tr w:rsidR="008E44CC" w:rsidRPr="009C7F96" w14:paraId="45D9BBA0" w14:textId="77777777" w:rsidTr="00AB4120">
        <w:trPr>
          <w:jc w:val="center"/>
        </w:trPr>
        <w:tc>
          <w:tcPr>
            <w:tcW w:w="1344"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Etanol</w:t>
            </w:r>
          </w:p>
        </w:tc>
        <w:tc>
          <w:tcPr>
            <w:tcW w:w="1344"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1,581</w:t>
            </w:r>
          </w:p>
        </w:tc>
        <w:tc>
          <w:tcPr>
            <w:tcW w:w="1344"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0,176</w:t>
            </w:r>
          </w:p>
        </w:tc>
        <w:tc>
          <w:tcPr>
            <w:tcW w:w="1344"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[-0,340; 3,501]</w:t>
            </w:r>
          </w:p>
        </w:tc>
        <w:tc>
          <w:tcPr>
            <w:tcW w:w="1344"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Não</w:t>
            </w:r>
          </w:p>
        </w:tc>
        <w:tc>
          <w:tcPr>
            <w:tcW w:w="1344"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-0,849</w:t>
            </w:r>
          </w:p>
        </w:tc>
        <w:tc>
          <w:tcPr>
            <w:tcW w:w="1344"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Não</w:t>
            </w:r>
          </w:p>
        </w:tc>
      </w:tr>
      <w:tr w:rsidR="008E44CC" w:rsidRPr="009C7F96" w14:paraId="25009B62" w14:textId="77777777" w:rsidTr="00AB4120">
        <w:trPr>
          <w:jc w:val="center"/>
        </w:trPr>
        <w:tc>
          <w:tcPr>
            <w:tcW w:w="1344"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Gasolina</w:t>
            </w:r>
          </w:p>
        </w:tc>
        <w:tc>
          <w:tcPr>
            <w:tcW w:w="1344"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0,874</w:t>
            </w:r>
          </w:p>
        </w:tc>
        <w:tc>
          <w:tcPr>
            <w:tcW w:w="1344"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0,299</w:t>
            </w:r>
          </w:p>
        </w:tc>
        <w:tc>
          <w:tcPr>
            <w:tcW w:w="1344"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[-0,510; 2,257]</w:t>
            </w:r>
          </w:p>
        </w:tc>
        <w:tc>
          <w:tcPr>
            <w:tcW w:w="1344"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Não</w:t>
            </w:r>
          </w:p>
        </w:tc>
        <w:tc>
          <w:tcPr>
            <w:tcW w:w="1344"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-0,433</w:t>
            </w:r>
          </w:p>
        </w:tc>
        <w:tc>
          <w:tcPr>
            <w:tcW w:w="1344"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Não</w:t>
            </w:r>
          </w:p>
        </w:tc>
      </w:tr>
      <w:tr w:rsidR="008E44CC" w:rsidRPr="009C7F96" w14:paraId="1CDCAD0E" w14:textId="77777777" w:rsidTr="00AB4120">
        <w:trPr>
          <w:jc w:val="center"/>
        </w:trPr>
        <w:tc>
          <w:tcPr>
            <w:tcW w:w="1344"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Gasolina de refinaria</w:t>
            </w:r>
          </w:p>
        </w:tc>
        <w:tc>
          <w:tcPr>
            <w:tcW w:w="1344"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1,768</w:t>
            </w:r>
          </w:p>
        </w:tc>
        <w:tc>
          <w:tcPr>
            <w:tcW w:w="1344"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0,045</w:t>
            </w:r>
          </w:p>
        </w:tc>
        <w:tc>
          <w:tcPr>
            <w:tcW w:w="1344"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[0,318; 3,217]</w:t>
            </w:r>
          </w:p>
        </w:tc>
        <w:tc>
          <w:tcPr>
            <w:tcW w:w="1344"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Sim</w:t>
            </w:r>
          </w:p>
        </w:tc>
        <w:tc>
          <w:tcPr>
            <w:tcW w:w="1344"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1,603</w:t>
            </w:r>
          </w:p>
        </w:tc>
        <w:tc>
          <w:tcPr>
            <w:tcW w:w="1344"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Não</w:t>
            </w:r>
          </w:p>
        </w:tc>
      </w:tr>
    </w:tbl>
    <w:tbl>
      <w:tblPr>
        <w:tblW w:w="0" w:type="auto"/>
        <w:jc w:val="center"/>
        <w:tblLook w:val="04A0" w:firstRow="1" w:lastRow="0" w:firstColumn="1" w:lastColumn="0" w:noHBand="0" w:noVBand="1"/>
      </w:tblPr>
      <w:tblGrid>
        <w:gridCol w:w="1268"/>
        <w:gridCol w:w="1306"/>
        <w:gridCol w:w="1137"/>
        <w:gridCol w:w="1170"/>
        <w:gridCol w:w="1173"/>
        <w:gridCol w:w="1102"/>
        <w:gridCol w:w="1137"/>
        <w:gridCol w:w="1102"/>
      </w:tblGrid>
      <w:tr w:rsidR="008E44CC" w:rsidRPr="009C7F96" w14:paraId="64761809" w14:textId="77777777" w:rsidTr="00AB4120">
        <w:trPr>
          <w:jc w:val="center"/>
        </w:trPr>
        <w:tc>
          <w:tcPr>
            <w:tcW w:w="1176"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Impulso</w:t>
            </w:r>
          </w:p>
        </w:tc>
        <w:tc>
          <w:tcPr>
            <w:tcW w:w="1176"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Resposta</w:t>
            </w:r>
          </w:p>
        </w:tc>
        <w:tc>
          <w:tcPr>
            <w:tcW w:w="1176"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Coef. h=12</w:t>
            </w:r>
          </w:p>
        </w:tc>
        <w:tc>
          <w:tcPr>
            <w:tcW w:w="1176"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p-valor h=12</w:t>
            </w:r>
          </w:p>
        </w:tc>
        <w:tc>
          <w:tcPr>
            <w:tcW w:w="1176"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IC h=12</w:t>
            </w:r>
          </w:p>
        </w:tc>
        <w:tc>
          <w:tcPr>
            <w:tcW w:w="1176"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Sig. h=12</w:t>
            </w:r>
          </w:p>
        </w:tc>
        <w:tc>
          <w:tcPr>
            <w:tcW w:w="1176"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Coef. h=24</w:t>
            </w:r>
          </w:p>
        </w:tc>
        <w:tc>
          <w:tcPr>
            <w:tcW w:w="1176"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Sig. h=24</w:t>
            </w:r>
          </w:p>
        </w:tc>
      </w:tr>
      <w:tr w:rsidR="008E44CC" w:rsidRPr="009C7F96" w14:paraId="1138112F" w14:textId="77777777" w:rsidTr="00AB4120">
        <w:trPr>
          <w:jc w:val="center"/>
        </w:trPr>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Diesel</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IPCA Geral</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0,127</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0,403</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[-0,123; 0,378]</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Não</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-0,072</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Não</w:t>
            </w:r>
          </w:p>
        </w:tc>
      </w:tr>
      <w:tr w:rsidR="008E44CC" w:rsidRPr="009C7F96" w14:paraId="5CCA4F06" w14:textId="77777777" w:rsidTr="00AB4120">
        <w:trPr>
          <w:jc w:val="center"/>
        </w:trPr>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Diesel</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IPCA Transporte</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0,254</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0,530</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[-0,411; 0,920]</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Não</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-0,121</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Não</w:t>
            </w:r>
          </w:p>
        </w:tc>
      </w:tr>
      <w:tr w:rsidR="008E44CC" w:rsidRPr="009C7F96" w14:paraId="2DC6A9EE" w14:textId="77777777" w:rsidTr="00AB4120">
        <w:trPr>
          <w:jc w:val="center"/>
        </w:trPr>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Etanol</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IPCA Geral</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0,207</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0,140</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[-0,024; 0,437]</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Não</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0,065</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Não</w:t>
            </w:r>
          </w:p>
        </w:tc>
      </w:tr>
      <w:tr w:rsidR="008E44CC" w:rsidRPr="009C7F96" w14:paraId="33E254B0" w14:textId="77777777" w:rsidTr="00AB4120">
        <w:trPr>
          <w:jc w:val="center"/>
        </w:trPr>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Etanol</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IPCA Transporte</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0,896</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0,007</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[0,348; 1,444]</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Sim</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0,509</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Não</w:t>
            </w:r>
          </w:p>
        </w:tc>
      </w:tr>
      <w:tr w:rsidR="008E44CC" w:rsidRPr="009C7F96" w14:paraId="71493006" w14:textId="77777777" w:rsidTr="00AB4120">
        <w:trPr>
          <w:jc w:val="center"/>
        </w:trPr>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Gasolina</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IPCA Geral</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0,383</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0,003</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[0,170; 0,596]</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Sim</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0,213</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Não</w:t>
            </w:r>
          </w:p>
        </w:tc>
      </w:tr>
      <w:tr w:rsidR="008E44CC" w:rsidRPr="009C7F96" w14:paraId="2E0AB412" w14:textId="77777777" w:rsidTr="00AB4120">
        <w:trPr>
          <w:jc w:val="center"/>
        </w:trPr>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Gasolina</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IPCA Transporte</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1,239</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&lt;0,001</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[0,796; 1,681]</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Sim</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0,853</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Sim</w:t>
            </w:r>
          </w:p>
        </w:tc>
      </w:tr>
      <w:tr w:rsidR="008E44CC" w:rsidRPr="009C7F96" w14:paraId="23B7C369" w14:textId="77777777" w:rsidTr="00AB4120">
        <w:trPr>
          <w:jc w:val="center"/>
        </w:trPr>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Gasolina de refinaria</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IPCA Geral</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0,311</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0,194</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[-0,083; 0,705]</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Não</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0,174</w:t>
            </w:r>
          </w:p>
        </w:tc>
        <w:tc>
          <w:tcPr>
            <w:tcW w:w="1176"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Não</w:t>
            </w:r>
          </w:p>
        </w:tc>
      </w:tr>
      <w:tr w:rsidR="008E44CC" w:rsidRPr="009C7F96" w14:paraId="7F0B35EC" w14:textId="77777777" w:rsidTr="00AB4120">
        <w:trPr>
          <w:jc w:val="center"/>
        </w:trPr>
        <w:tc>
          <w:tcPr>
            <w:tcW w:w="1176"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Gasolina de refinaria</w:t>
            </w:r>
          </w:p>
        </w:tc>
        <w:tc>
          <w:tcPr>
            <w:tcW w:w="1176"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IPCA Transporte</w:t>
            </w:r>
          </w:p>
        </w:tc>
        <w:tc>
          <w:tcPr>
            <w:tcW w:w="1176"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1,103</w:t>
            </w:r>
          </w:p>
        </w:tc>
        <w:tc>
          <w:tcPr>
            <w:tcW w:w="1176"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0,033</w:t>
            </w:r>
          </w:p>
        </w:tc>
        <w:tc>
          <w:tcPr>
            <w:tcW w:w="1176"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[0,251; 1,955]</w:t>
            </w:r>
          </w:p>
        </w:tc>
        <w:tc>
          <w:tcPr>
            <w:tcW w:w="1176"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Sim</w:t>
            </w:r>
          </w:p>
        </w:tc>
        <w:tc>
          <w:tcPr>
            <w:tcW w:w="1176"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0,918</w:t>
            </w:r>
          </w:p>
        </w:tc>
        <w:tc>
          <w:tcPr>
            <w:tcW w:w="1176"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Sim</w:t>
            </w:r>
          </w:p>
        </w:tc>
      </w:tr>
    </w:tbl>
    <w:tbl>
      <w:tblPr>
        <w:tblW w:w="0" w:type="auto"/>
        <w:jc w:val="center"/>
        <w:tblLook w:val="04A0" w:firstRow="1" w:lastRow="0" w:firstColumn="1" w:lastColumn="0" w:noHBand="0" w:noVBand="1"/>
      </w:tblPr>
      <w:tblGrid>
        <w:gridCol w:w="2349"/>
        <w:gridCol w:w="2349"/>
        <w:gridCol w:w="2348"/>
        <w:gridCol w:w="2349"/>
      </w:tblGrid>
      <w:tr w:rsidR="005F0DB9" w14:paraId="19835638" w14:textId="77777777">
        <w:trPr>
          <w:jc w:val="center"/>
        </w:trPr>
        <w:tc>
          <w:tcPr>
            <w:tcW w:w="2351" w:type="dxa"/>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Canal</w:t>
            </w:r>
          </w:p>
        </w:tc>
        <w:tc>
          <w:tcPr>
            <w:tcW w:w="2351" w:type="dxa"/>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Coeficiente 12m</w:t>
            </w:r>
          </w:p>
        </w:tc>
        <w:tc>
          <w:tcPr>
            <w:tcW w:w="2351" w:type="dxa"/>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IC 90%</w:t>
            </w:r>
          </w:p>
        </w:tc>
        <w:tc>
          <w:tcPr>
            <w:tcW w:w="2351" w:type="dxa"/>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Significância</w:t>
            </w:r>
          </w:p>
        </w:tc>
      </w:tr>
      <w:tr w:rsidR="005F0DB9" w14:paraId="1A4C7C6C" w14:textId="77777777">
        <w:trPr>
          <w:jc w:val="center"/>
        </w:trPr>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Petróleo BRL -&gt; Diesel</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2,667</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[1,378 ; 3,956]</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Sim</w:t>
            </w:r>
          </w:p>
        </w:tc>
      </w:tr>
      <w:tr w:rsidR="005F0DB9" w14:paraId="5B2F557F" w14:textId="77777777">
        <w:trPr>
          <w:jc w:val="center"/>
        </w:trPr>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Petróleo BRL -&gt; Gasolina de refinaria</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1,702</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[0,307 ; 3,097]</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Sim</w:t>
            </w:r>
          </w:p>
        </w:tc>
      </w:tr>
      <w:tr w:rsidR="005F0DB9" w14:paraId="62295799" w14:textId="77777777">
        <w:trPr>
          <w:jc w:val="center"/>
        </w:trPr>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Petróleo BRL -&gt; Gasolina ao consumidor</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0,841</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[-0,491 ; 2,173]</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Não</w:t>
            </w:r>
          </w:p>
        </w:tc>
      </w:tr>
      <w:tr w:rsidR="005F0DB9" w14:paraId="103D42FF" w14:textId="77777777">
        <w:trPr>
          <w:jc w:val="center"/>
        </w:trPr>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Petróleo BRL -&gt; Etanol</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1,522</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[-0,327 ; 3,371]</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Não</w:t>
            </w:r>
          </w:p>
        </w:tc>
      </w:tr>
      <w:tr w:rsidR="005F0DB9" w14:paraId="02CDA70C" w14:textId="77777777">
        <w:trPr>
          <w:jc w:val="center"/>
        </w:trPr>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Petróleo BRL -&gt; IPCA Geral</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0,128</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[-0,115 ; 0,370]</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Não</w:t>
            </w:r>
          </w:p>
        </w:tc>
      </w:tr>
      <w:tr w:rsidR="005F0DB9" w14:paraId="1C278DF6" w14:textId="77777777">
        <w:trPr>
          <w:jc w:val="center"/>
        </w:trPr>
        <w:tc>
          <w:tcPr>
            <w:tcW w:w="2351"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Petróleo BRL -&gt; IPCA Transportes</w:t>
            </w:r>
          </w:p>
        </w:tc>
        <w:tc>
          <w:tcPr>
            <w:tcW w:w="2351"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0,629</w:t>
            </w:r>
          </w:p>
        </w:tc>
        <w:tc>
          <w:tcPr>
            <w:tcW w:w="2351"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[0,094 ; 1,164]</w:t>
            </w:r>
          </w:p>
        </w:tc>
        <w:tc>
          <w:tcPr>
            <w:tcW w:w="2351"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Sim</w:t>
            </w:r>
          </w:p>
        </w:tc>
      </w:tr>
    </w:tbl>
    <w:tbl>
      <w:tblPr>
        <w:tblW w:w="0" w:type="auto"/>
        <w:jc w:val="center"/>
        <w:tblLook w:val="04A0" w:firstRow="1" w:lastRow="0" w:firstColumn="1" w:lastColumn="0" w:noHBand="0" w:noVBand="1"/>
      </w:tblPr>
      <w:tblGrid>
        <w:gridCol w:w="1879"/>
        <w:gridCol w:w="1879"/>
        <w:gridCol w:w="1879"/>
        <w:gridCol w:w="1879"/>
        <w:gridCol w:w="1879"/>
      </w:tblGrid>
      <w:tr w:rsidR="005F0DB9" w14:paraId="3870F86A" w14:textId="77777777">
        <w:trPr>
          <w:jc w:val="center"/>
        </w:trPr>
        <w:tc>
          <w:tcPr>
            <w:tcW w:w="1881" w:type="dxa"/>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Canal</w:t>
            </w:r>
          </w:p>
        </w:tc>
        <w:tc>
          <w:tcPr>
            <w:tcW w:w="1881" w:type="dxa"/>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Horizonte</w:t>
            </w:r>
          </w:p>
        </w:tc>
        <w:tc>
          <w:tcPr>
            <w:tcW w:w="1881" w:type="dxa"/>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Antes de setembro de 2016</w:t>
            </w:r>
          </w:p>
        </w:tc>
        <w:tc>
          <w:tcPr>
            <w:tcW w:w="1881" w:type="dxa"/>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Depois de setembro de 2016</w:t>
            </w:r>
          </w:p>
        </w:tc>
        <w:tc>
          <w:tcPr>
            <w:tcW w:w="1881" w:type="dxa"/>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p-valor Wald</w:t>
            </w:r>
          </w:p>
        </w:tc>
      </w:tr>
      <w:tr w:rsidR="005F0DB9" w14:paraId="733E0024" w14:textId="77777777">
        <w:trPr>
          <w:jc w:val="center"/>
        </w:trPr>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Petróleo BRL -&gt; Diesel</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6m</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0,787</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3,278</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0,013</w:t>
            </w:r>
          </w:p>
        </w:tc>
      </w:tr>
      <w:tr w:rsidR="005F0DB9" w14:paraId="14BF4AF3" w14:textId="77777777">
        <w:trPr>
          <w:jc w:val="center"/>
        </w:trPr>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Petróleo BRL -&gt; Diesel</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12m</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1,407</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3,372</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0,166</w:t>
            </w:r>
          </w:p>
        </w:tc>
      </w:tr>
      <w:tr w:rsidR="005F0DB9" w14:paraId="3C04AB9B" w14:textId="77777777">
        <w:trPr>
          <w:jc w:val="center"/>
        </w:trPr>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Petróleo BRL -&gt; Gasolina de refinaria</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6m</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-0,077</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2,348</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0,009</w:t>
            </w:r>
          </w:p>
        </w:tc>
      </w:tr>
      <w:tr w:rsidR="005F0DB9" w14:paraId="0DEC2D0E" w14:textId="77777777">
        <w:trPr>
          <w:jc w:val="center"/>
        </w:trPr>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Petróleo BRL -&gt; Gasolina de refinaria</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12m</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0,483</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2,374</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0,176</w:t>
            </w:r>
          </w:p>
        </w:tc>
      </w:tr>
      <w:tr w:rsidR="005F0DB9" w14:paraId="525BCE59" w14:textId="77777777">
        <w:trPr>
          <w:jc w:val="center"/>
        </w:trPr>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Gasolina de refinaria -&gt; IPCA Transportes</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6m</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2,706</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0,566</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0,005</w:t>
            </w:r>
          </w:p>
        </w:tc>
      </w:tr>
      <w:tr w:rsidR="005F0DB9" w14:paraId="01B28C62" w14:textId="77777777">
        <w:trPr>
          <w:jc w:val="center"/>
        </w:trPr>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Gasolina de refinaria -&gt; IPCA Transportes</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12m</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2,667</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0,747</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0,124</w:t>
            </w:r>
          </w:p>
        </w:tc>
      </w:tr>
      <w:tr w:rsidR="005F0DB9" w14:paraId="420C1C0E" w14:textId="77777777">
        <w:trPr>
          <w:jc w:val="center"/>
        </w:trPr>
        <w:tc>
          <w:tcPr>
            <w:tcW w:w="1881"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Etanol -&gt; IPCA Transportes</w:t>
            </w:r>
          </w:p>
        </w:tc>
        <w:tc>
          <w:tcPr>
            <w:tcW w:w="1881"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12m</w:t>
            </w:r>
          </w:p>
        </w:tc>
        <w:tc>
          <w:tcPr>
            <w:tcW w:w="1881"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0,302</w:t>
            </w:r>
          </w:p>
        </w:tc>
        <w:tc>
          <w:tcPr>
            <w:tcW w:w="1881"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1,805</w:t>
            </w:r>
          </w:p>
        </w:tc>
        <w:tc>
          <w:tcPr>
            <w:tcW w:w="1881"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0,053</w:t>
            </w:r>
          </w:p>
        </w:tc>
      </w:tr>
    </w:tbl>
    <w:tbl>
      <w:tblPr>
        <w:tblW w:w="0" w:type="auto"/>
        <w:jc w:val="center"/>
        <w:tblLook w:val="04A0" w:firstRow="1" w:lastRow="0" w:firstColumn="1" w:lastColumn="0" w:noHBand="0" w:noVBand="1"/>
      </w:tblPr>
      <w:tblGrid>
        <w:gridCol w:w="1879"/>
        <w:gridCol w:w="1879"/>
        <w:gridCol w:w="1879"/>
        <w:gridCol w:w="1879"/>
        <w:gridCol w:w="1879"/>
      </w:tblGrid>
      <w:tr w:rsidR="005F0DB9" w14:paraId="79607543" w14:textId="77777777">
        <w:trPr>
          <w:jc w:val="center"/>
        </w:trPr>
        <w:tc>
          <w:tcPr>
            <w:tcW w:w="1881" w:type="dxa"/>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Modelo</w:t>
            </w:r>
          </w:p>
        </w:tc>
        <w:tc>
          <w:tcPr>
            <w:tcW w:w="1881" w:type="dxa"/>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Canal</w:t>
            </w:r>
          </w:p>
        </w:tc>
        <w:tc>
          <w:tcPr>
            <w:tcW w:w="1881" w:type="dxa"/>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h</w:t>
            </w:r>
          </w:p>
        </w:tc>
        <w:tc>
          <w:tcPr>
            <w:tcW w:w="1881" w:type="dxa"/>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Coef.</w:t>
            </w:r>
          </w:p>
        </w:tc>
        <w:tc>
          <w:tcPr>
            <w:tcW w:w="1881" w:type="dxa"/>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IC/F</w:t>
            </w:r>
          </w:p>
        </w:tc>
      </w:tr>
      <w:tr w:rsidR="005F0DB9" w14:paraId="39B021D9" w14:textId="77777777">
        <w:trPr>
          <w:jc w:val="center"/>
        </w:trPr>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LP direta</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News -&gt; Diesel</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3m</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1,194</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[0,627; 1,761]</w:t>
            </w:r>
          </w:p>
        </w:tc>
      </w:tr>
      <w:tr w:rsidR="005F0DB9" w14:paraId="7F587278" w14:textId="77777777">
        <w:trPr>
          <w:jc w:val="center"/>
        </w:trPr>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LP direta</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News -&gt; IPCA Transp.</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3m</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0,240</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[0,024; 0,455]</w:t>
            </w:r>
          </w:p>
        </w:tc>
      </w:tr>
      <w:tr w:rsidR="005F0DB9" w14:paraId="3AC210FB" w14:textId="77777777">
        <w:trPr>
          <w:jc w:val="center"/>
        </w:trPr>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LP-IV</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Petróleo BRL inst. -&gt; Diesel</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3m</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2,369</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F = 130,35</w:t>
            </w:r>
          </w:p>
        </w:tc>
      </w:tr>
      <w:tr w:rsidR="005F0DB9" w14:paraId="6F11E421" w14:textId="77777777">
        <w:trPr>
          <w:jc w:val="center"/>
        </w:trPr>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LP-IV</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Petróleo BRL inst. -&gt; Diesel</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12m</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2,344</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F = 122,59</w:t>
            </w:r>
          </w:p>
        </w:tc>
      </w:tr>
      <w:tr w:rsidR="005F0DB9" w14:paraId="09F3CA7C" w14:textId="77777777">
        <w:trPr>
          <w:jc w:val="center"/>
        </w:trPr>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LP-IV</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Petróleo BRL inst. -&gt; IPCA Transp.</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3m</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0,500</w:t>
            </w:r>
          </w:p>
        </w:tc>
        <w:tc>
          <w:tcPr>
            <w:tcW w:w="188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F = 130,58</w:t>
            </w:r>
          </w:p>
        </w:tc>
      </w:tr>
      <w:tr w:rsidR="005F0DB9" w14:paraId="5C6FB765" w14:textId="77777777">
        <w:trPr>
          <w:jc w:val="center"/>
        </w:trPr>
        <w:tc>
          <w:tcPr>
            <w:tcW w:w="1881"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LP-IV</w:t>
            </w:r>
          </w:p>
        </w:tc>
        <w:tc>
          <w:tcPr>
            <w:tcW w:w="1881"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Petróleo BRL inst. -&gt; IPCA Transp.</w:t>
            </w:r>
          </w:p>
        </w:tc>
        <w:tc>
          <w:tcPr>
            <w:tcW w:w="1881"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12m</w:t>
            </w:r>
          </w:p>
        </w:tc>
        <w:tc>
          <w:tcPr>
            <w:tcW w:w="1881"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-0,052</w:t>
            </w:r>
          </w:p>
        </w:tc>
        <w:tc>
          <w:tcPr>
            <w:tcW w:w="1881"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F = 122,33</w:t>
            </w:r>
          </w:p>
        </w:tc>
      </w:tr>
    </w:tbl>
    <w:tbl>
      <w:tblPr>
        <w:tblW w:w="0" w:type="auto"/>
        <w:jc w:val="center"/>
        <w:tblLook w:val="04A0" w:firstRow="1" w:lastRow="0" w:firstColumn="1" w:lastColumn="0" w:noHBand="0" w:noVBand="1"/>
      </w:tblPr>
      <w:tblGrid>
        <w:gridCol w:w="3132"/>
        <w:gridCol w:w="3132"/>
        <w:gridCol w:w="3131"/>
      </w:tblGrid>
      <w:tr w:rsidR="008E44CC" w:rsidRPr="009C7F96" w14:paraId="77054C80" w14:textId="77777777" w:rsidTr="00AB4120">
        <w:trPr>
          <w:jc w:val="center"/>
        </w:trPr>
        <w:tc>
          <w:tcPr>
            <w:tcW w:w="3135"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Resultado VAR</w:t>
            </w:r>
          </w:p>
        </w:tc>
        <w:tc>
          <w:tcPr>
            <w:tcW w:w="3135"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O que verificar</w:t>
            </w:r>
          </w:p>
        </w:tc>
        <w:tc>
          <w:tcPr>
            <w:tcW w:w="3135"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Status nesta versão</w:t>
            </w:r>
          </w:p>
        </w:tc>
      </w:tr>
      <w:tr w:rsidR="008E44CC" w:rsidRPr="009C7F96" w14:paraId="3D1D3C98" w14:textId="77777777" w:rsidTr="00AB4120">
        <w:trPr>
          <w:jc w:val="center"/>
        </w:trPr>
        <w:tc>
          <w:tcPr>
            <w:tcW w:w="3135"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IRF acumulada</w:t>
            </w:r>
          </w:p>
        </w:tc>
        <w:tc>
          <w:tcPr>
            <w:tcW w:w="3135"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Sinal e persistência da resposta do IPCA a petróleo e combustíveis</w:t>
            </w:r>
          </w:p>
        </w:tc>
        <w:tc>
          <w:tcPr>
            <w:tcW w:w="3135"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Inserir saída do VAR</w:t>
            </w:r>
          </w:p>
        </w:tc>
      </w:tr>
      <w:tr w:rsidR="008E44CC" w:rsidRPr="009C7F96" w14:paraId="6E57C7DC" w14:textId="77777777" w:rsidTr="00AB4120">
        <w:trPr>
          <w:jc w:val="center"/>
        </w:trPr>
        <w:tc>
          <w:tcPr>
            <w:tcW w:w="3135"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FEVD</w:t>
            </w:r>
          </w:p>
        </w:tc>
        <w:tc>
          <w:tcPr>
            <w:tcW w:w="3135"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Participação de petróleo, câmbio e combustíveis na variância do IPCA</w:t>
            </w:r>
          </w:p>
        </w:tc>
        <w:tc>
          <w:tcPr>
            <w:tcW w:w="3135"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Inserir saída do VAR</w:t>
            </w:r>
          </w:p>
        </w:tc>
      </w:tr>
      <w:tr w:rsidR="008E44CC" w:rsidRPr="009C7F96" w14:paraId="12314291" w14:textId="77777777" w:rsidTr="00AB4120">
        <w:trPr>
          <w:jc w:val="center"/>
        </w:trPr>
        <w:tc>
          <w:tcPr>
            <w:tcW w:w="3135"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Diagnósticos</w:t>
            </w:r>
          </w:p>
        </w:tc>
        <w:tc>
          <w:tcPr>
            <w:tcW w:w="3135"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Autocorrelação, normalidade, heterocedasticidade e estabilidade</w:t>
            </w:r>
          </w:p>
        </w:tc>
        <w:tc>
          <w:tcPr>
            <w:tcW w:w="3135"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Inserir saída do VAR</w:t>
            </w:r>
          </w:p>
        </w:tc>
      </w:tr>
      <w:tr w:rsidR="008E44CC" w:rsidRPr="009C7F96" w14:paraId="0477677C" w14:textId="77777777" w:rsidTr="00AB4120">
        <w:trPr>
          <w:jc w:val="center"/>
        </w:trPr>
        <w:tc>
          <w:tcPr>
            <w:tcW w:w="3135"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Cholesky</w:t>
            </w:r>
          </w:p>
        </w:tc>
        <w:tc>
          <w:tcPr>
            <w:tcW w:w="3135"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Sensibilidade dos sinais à ordem das variáveis</w:t>
            </w:r>
          </w:p>
        </w:tc>
        <w:tc>
          <w:tcPr>
            <w:tcW w:w="3135"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Inserir saída do VAR</w:t>
            </w:r>
          </w:p>
        </w:tc>
      </w:tr>
    </w:tbl>
    <w:p>
      <w:pPr>
        <w:pStyle w:val="Heading1"/>
      </w:pPr>
      <w:r>
        <w:t>5 RESULTADOS</w:t>
      </w:r>
    </w:p>
    <w:p>
      <w:pPr/>
      <w:r>
        <w:t>Esta secao apresenta os resultados das estimacoes economicas organizados conforme o mecanismo de transmissao testado no trabalho: do preco internacional do petroleo aos combustiveis domesticos e, em seguida, dos combustiveis a inflacao ao consumidor. A metodologia central e o estimador de Projecoes Locais (Jorda, 2005) com erros-padrao HAC (Newey-West), com horizonte maximo de doze meses. Controles incluidos em todas as especificacoes: variacao do cambio (R$/USD), variacao do IBC-Br (proxy de atividade), taxa Selic, variacao da expectativa de inflacao (Focus), tres defasagens e dummies sazonais mensais. O coeficiente estimado e interpretado como a resposta acumulada da variavel dependente, em pontos percentuais, a um choque de 1 p.p. na variavel de impulso.</w:t>
      </w:r>
    </w:p>
    <w:p>
      <w:pPr>
        <w:pStyle w:val="Heading2"/>
      </w:pPr>
      <w:r>
        <w:t>5.1 Repasse do petroleo aos combustiveis</w:t>
      </w:r>
    </w:p>
    <w:p>
      <w:pPr/>
      <w:r>
        <w:t>O primeiro bloco verifica se choques no preco internacional do Brent (em dolares) se transmitem aos combustiveis domesticos. A confirmacao empirica desse elo e pre-condicao para a tese central do trabalho. Os resultados, apresentados na Tabela 1, mostram que o repasse e positivo e estatisticamente significativo para todos os combustiveis analisados, com intensidade e persistencia variando conforme a estrutura de cada mercado.</w:t>
      </w:r>
    </w:p>
    <w:p>
      <w:pPr/>
      <w:r>
        <w:t>O oleo diesel apresenta efeito concentrado no curtissimo prazo: e significativo a 5% em h=0 (coeficiente 0,115; t=3,39) e h=1 (0,166; t=2,95), perdendo precisao estatistica a partir do terceiro mes. Esse padrao e compativel com a estrutura historicamente administrada do preco do diesel. A gasolina de refinaria (Gasolina A) exibe acumulacao gradual e robusta, atingindo 0,375 no quarto mes (t=3,96) e mantendo significancia ate o sexto mes, refletindo as janelas de reajuste praticadas pela Petrobras. A gasolina ao consumidor (Gasolina C) apresenta coeficientes altissimos desde h=0 (0,269; t=24,25) e persiste significativa ate h=12 (0,431; t=3,60). O etanol, cujo vinculo com o petroleo e indireto via competicao com a gasolina no mercado flex, tambem responde de forma positiva e persistente em todo o horizonte.</w:t>
      </w:r>
    </w:p>
    <w:p>
      <w:pPr/>
      <w:r>
        <w:rPr>
          <w:b/>
        </w:rPr>
        <w:t>Tabela 1 - Respostas acumuladas do petroleo sobre os combustiveis (Projecoes Locais, HAC)</w:t>
      </w:r>
    </w:p>
    <w:tbl>
      <w:tblPr>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val="clear" w:color="auto" w:fill="auto"/>
            <w:tcBorders>
              <w:top w:sz="12" w:val="single" w:color="000000"/>
              <w:left w:val="nil"/>
              <w:bottom w:sz="4" w:val="single" w:color="000000"/>
              <w:right w:val="nil"/>
            </w:tcBorders>
          </w:tcPr>
          <w:p>
            <w:pPr>
              <w:ind w:left="0" w:right="0" w:firstLine="0"/>
              <w:jc w:val="center"/>
            </w:pPr>
            <w:r>
              <w:t>Horizonte</w:t>
            </w:r>
          </w:p>
        </w:tc>
        <w:tc>
          <w:tcPr>
            <w:tcW w:type="dxa" w:w="1045"/>
            <w:shd w:val="clear" w:color="auto" w:fill="auto"/>
            <w:tcBorders>
              <w:top w:sz="12" w:val="single" w:color="000000"/>
              <w:left w:val="nil"/>
              <w:bottom w:sz="4" w:val="single" w:color="000000"/>
              <w:right w:val="nil"/>
            </w:tcBorders>
          </w:tcPr>
          <w:p>
            <w:pPr>
              <w:ind w:left="0" w:right="0" w:firstLine="0"/>
              <w:jc w:val="center"/>
            </w:pPr>
            <w:r>
              <w:t>Diesel</w:t>
            </w:r>
          </w:p>
        </w:tc>
        <w:tc>
          <w:tcPr>
            <w:tcW w:type="dxa" w:w="1045"/>
            <w:shd w:val="clear" w:color="auto" w:fill="auto"/>
            <w:tcBorders>
              <w:top w:sz="12" w:val="single" w:color="000000"/>
              <w:left w:val="nil"/>
              <w:bottom w:sz="4" w:val="single" w:color="000000"/>
              <w:right w:val="nil"/>
            </w:tcBorders>
          </w:tcPr>
          <w:p>
            <w:pPr>
              <w:ind w:left="0" w:right="0" w:firstLine="0"/>
              <w:jc w:val="center"/>
            </w:pPr>
            <w:r>
              <w:t>t</w:t>
            </w:r>
          </w:p>
        </w:tc>
        <w:tc>
          <w:tcPr>
            <w:tcW w:type="dxa" w:w="1045"/>
            <w:shd w:val="clear" w:color="auto" w:fill="auto"/>
            <w:tcBorders>
              <w:top w:sz="12" w:val="single" w:color="000000"/>
              <w:left w:val="nil"/>
              <w:bottom w:sz="4" w:val="single" w:color="000000"/>
              <w:right w:val="nil"/>
            </w:tcBorders>
          </w:tcPr>
          <w:p>
            <w:pPr>
              <w:ind w:left="0" w:right="0" w:firstLine="0"/>
              <w:jc w:val="center"/>
            </w:pPr>
            <w:r>
              <w:t>Gasolina A</w:t>
            </w:r>
          </w:p>
        </w:tc>
        <w:tc>
          <w:tcPr>
            <w:tcW w:type="dxa" w:w="1045"/>
            <w:shd w:val="clear" w:color="auto" w:fill="auto"/>
            <w:tcBorders>
              <w:top w:sz="12" w:val="single" w:color="000000"/>
              <w:left w:val="nil"/>
              <w:bottom w:sz="4" w:val="single" w:color="000000"/>
              <w:right w:val="nil"/>
            </w:tcBorders>
          </w:tcPr>
          <w:p>
            <w:pPr>
              <w:ind w:left="0" w:right="0" w:firstLine="0"/>
              <w:jc w:val="center"/>
            </w:pPr>
            <w:r>
              <w:t>t</w:t>
            </w:r>
          </w:p>
        </w:tc>
        <w:tc>
          <w:tcPr>
            <w:tcW w:type="dxa" w:w="1045"/>
            <w:shd w:val="clear" w:color="auto" w:fill="auto"/>
            <w:tcBorders>
              <w:top w:sz="12" w:val="single" w:color="000000"/>
              <w:left w:val="nil"/>
              <w:bottom w:sz="4" w:val="single" w:color="000000"/>
              <w:right w:val="nil"/>
            </w:tcBorders>
          </w:tcPr>
          <w:p>
            <w:pPr>
              <w:ind w:left="0" w:right="0" w:firstLine="0"/>
              <w:jc w:val="center"/>
            </w:pPr>
            <w:r>
              <w:t>Gasolina C</w:t>
            </w:r>
          </w:p>
        </w:tc>
        <w:tc>
          <w:tcPr>
            <w:tcW w:type="dxa" w:w="1045"/>
            <w:shd w:val="clear" w:color="auto" w:fill="auto"/>
            <w:tcBorders>
              <w:top w:sz="12" w:val="single" w:color="000000"/>
              <w:left w:val="nil"/>
              <w:bottom w:sz="4" w:val="single" w:color="000000"/>
              <w:right w:val="nil"/>
            </w:tcBorders>
          </w:tcPr>
          <w:p>
            <w:pPr>
              <w:ind w:left="0" w:right="0" w:firstLine="0"/>
              <w:jc w:val="center"/>
            </w:pPr>
            <w:r>
              <w:t>t</w:t>
            </w:r>
          </w:p>
        </w:tc>
        <w:tc>
          <w:tcPr>
            <w:tcW w:type="dxa" w:w="1045"/>
            <w:shd w:val="clear" w:color="auto" w:fill="auto"/>
            <w:tcBorders>
              <w:top w:sz="12" w:val="single" w:color="000000"/>
              <w:left w:val="nil"/>
              <w:bottom w:sz="4" w:val="single" w:color="000000"/>
              <w:right w:val="nil"/>
            </w:tcBorders>
          </w:tcPr>
          <w:p>
            <w:pPr>
              <w:ind w:left="0" w:right="0" w:firstLine="0"/>
              <w:jc w:val="center"/>
            </w:pPr>
            <w:r>
              <w:t>Etanol</w:t>
            </w:r>
          </w:p>
        </w:tc>
        <w:tc>
          <w:tcPr>
            <w:tcW w:type="dxa" w:w="1045"/>
            <w:shd w:val="clear" w:color="auto" w:fill="auto"/>
            <w:tcBorders>
              <w:top w:sz="12" w:val="single" w:color="000000"/>
              <w:left w:val="nil"/>
              <w:bottom w:sz="4" w:val="single" w:color="000000"/>
              <w:right w:val="nil"/>
            </w:tcBorders>
          </w:tcPr>
          <w:p>
            <w:pPr>
              <w:ind w:left="0" w:right="0" w:firstLine="0"/>
              <w:jc w:val="center"/>
            </w:pPr>
            <w:r>
              <w:t>t</w:t>
            </w:r>
          </w:p>
        </w:tc>
      </w:tr>
      <w:tr>
        <w:tc>
          <w:tcPr>
            <w:tcW w:type="dxa" w:w="1045"/>
            <w:shd w:val="clear" w:color="auto" w:fill="auto"/>
            <w:tcBorders>
              <w:top w:val="nil"/>
              <w:left w:val="nil"/>
              <w:bottom w:val="nil"/>
              <w:right w:val="nil"/>
            </w:tcBorders>
          </w:tcPr>
          <w:p>
            <w:pPr>
              <w:ind w:left="0" w:right="0" w:firstLine="0"/>
              <w:jc w:val="center"/>
            </w:pPr>
            <w:r>
              <w:t>h=0</w:t>
            </w:r>
          </w:p>
        </w:tc>
        <w:tc>
          <w:tcPr>
            <w:tcW w:type="dxa" w:w="1045"/>
            <w:shd w:val="clear" w:color="auto" w:fill="auto"/>
            <w:tcBorders>
              <w:top w:val="nil"/>
              <w:left w:val="nil"/>
              <w:bottom w:val="nil"/>
              <w:right w:val="nil"/>
            </w:tcBorders>
          </w:tcPr>
          <w:p>
            <w:pPr>
              <w:ind w:left="0" w:right="0" w:firstLine="0"/>
              <w:jc w:val="center"/>
            </w:pPr>
            <w:r>
              <w:t>0,115</w:t>
            </w:r>
          </w:p>
        </w:tc>
        <w:tc>
          <w:tcPr>
            <w:tcW w:type="dxa" w:w="1045"/>
            <w:shd w:val="clear" w:color="auto" w:fill="auto"/>
            <w:tcBorders>
              <w:top w:val="nil"/>
              <w:left w:val="nil"/>
              <w:bottom w:val="nil"/>
              <w:right w:val="nil"/>
            </w:tcBorders>
          </w:tcPr>
          <w:p>
            <w:pPr>
              <w:ind w:left="0" w:right="0" w:firstLine="0"/>
              <w:jc w:val="center"/>
            </w:pPr>
            <w:r>
              <w:t>3,39**</w:t>
            </w:r>
          </w:p>
        </w:tc>
        <w:tc>
          <w:tcPr>
            <w:tcW w:type="dxa" w:w="1045"/>
            <w:shd w:val="clear" w:color="auto" w:fill="auto"/>
            <w:tcBorders>
              <w:top w:val="nil"/>
              <w:left w:val="nil"/>
              <w:bottom w:val="nil"/>
              <w:right w:val="nil"/>
            </w:tcBorders>
          </w:tcPr>
          <w:p>
            <w:pPr>
              <w:ind w:left="0" w:right="0" w:firstLine="0"/>
              <w:jc w:val="center"/>
            </w:pPr>
            <w:r>
              <w:t>0,154</w:t>
            </w:r>
          </w:p>
        </w:tc>
        <w:tc>
          <w:tcPr>
            <w:tcW w:type="dxa" w:w="1045"/>
            <w:shd w:val="clear" w:color="auto" w:fill="auto"/>
            <w:tcBorders>
              <w:top w:val="nil"/>
              <w:left w:val="nil"/>
              <w:bottom w:val="nil"/>
              <w:right w:val="nil"/>
            </w:tcBorders>
          </w:tcPr>
          <w:p>
            <w:pPr>
              <w:ind w:left="0" w:right="0" w:firstLine="0"/>
              <w:jc w:val="center"/>
            </w:pPr>
            <w:r>
              <w:t>4,39**</w:t>
            </w:r>
          </w:p>
        </w:tc>
        <w:tc>
          <w:tcPr>
            <w:tcW w:type="dxa" w:w="1045"/>
            <w:shd w:val="clear" w:color="auto" w:fill="auto"/>
            <w:tcBorders>
              <w:top w:val="nil"/>
              <w:left w:val="nil"/>
              <w:bottom w:val="nil"/>
              <w:right w:val="nil"/>
            </w:tcBorders>
          </w:tcPr>
          <w:p>
            <w:pPr>
              <w:ind w:left="0" w:right="0" w:firstLine="0"/>
              <w:jc w:val="center"/>
            </w:pPr>
            <w:r>
              <w:t>0,269</w:t>
            </w:r>
          </w:p>
        </w:tc>
        <w:tc>
          <w:tcPr>
            <w:tcW w:type="dxa" w:w="1045"/>
            <w:shd w:val="clear" w:color="auto" w:fill="auto"/>
            <w:tcBorders>
              <w:top w:val="nil"/>
              <w:left w:val="nil"/>
              <w:bottom w:val="nil"/>
              <w:right w:val="nil"/>
            </w:tcBorders>
          </w:tcPr>
          <w:p>
            <w:pPr>
              <w:ind w:left="0" w:right="0" w:firstLine="0"/>
              <w:jc w:val="center"/>
            </w:pPr>
            <w:r>
              <w:t>24,25**</w:t>
            </w:r>
          </w:p>
        </w:tc>
        <w:tc>
          <w:tcPr>
            <w:tcW w:type="dxa" w:w="1045"/>
            <w:shd w:val="clear" w:color="auto" w:fill="auto"/>
            <w:tcBorders>
              <w:top w:val="nil"/>
              <w:left w:val="nil"/>
              <w:bottom w:val="nil"/>
              <w:right w:val="nil"/>
            </w:tcBorders>
          </w:tcPr>
          <w:p>
            <w:pPr>
              <w:ind w:left="0" w:right="0" w:firstLine="0"/>
              <w:jc w:val="center"/>
            </w:pPr>
            <w:r>
              <w:t>0,098</w:t>
            </w:r>
          </w:p>
        </w:tc>
        <w:tc>
          <w:tcPr>
            <w:tcW w:type="dxa" w:w="1045"/>
            <w:shd w:val="clear" w:color="auto" w:fill="auto"/>
            <w:tcBorders>
              <w:top w:val="nil"/>
              <w:left w:val="nil"/>
              <w:bottom w:val="nil"/>
              <w:right w:val="nil"/>
            </w:tcBorders>
          </w:tcPr>
          <w:p>
            <w:pPr>
              <w:ind w:left="0" w:right="0" w:firstLine="0"/>
              <w:jc w:val="center"/>
            </w:pPr>
            <w:r>
              <w:t>10,29**</w:t>
            </w:r>
          </w:p>
        </w:tc>
      </w:tr>
      <w:tr>
        <w:tc>
          <w:tcPr>
            <w:tcW w:type="dxa" w:w="1045"/>
            <w:shd w:val="clear" w:color="auto" w:fill="auto"/>
            <w:tcBorders>
              <w:top w:val="nil"/>
              <w:left w:val="nil"/>
              <w:bottom w:val="nil"/>
              <w:right w:val="nil"/>
            </w:tcBorders>
          </w:tcPr>
          <w:p>
            <w:pPr>
              <w:ind w:left="0" w:right="0" w:firstLine="0"/>
              <w:jc w:val="center"/>
            </w:pPr>
            <w:r>
              <w:t>h=1</w:t>
            </w:r>
          </w:p>
        </w:tc>
        <w:tc>
          <w:tcPr>
            <w:tcW w:type="dxa" w:w="1045"/>
            <w:shd w:val="clear" w:color="auto" w:fill="auto"/>
            <w:tcBorders>
              <w:top w:val="nil"/>
              <w:left w:val="nil"/>
              <w:bottom w:val="nil"/>
              <w:right w:val="nil"/>
            </w:tcBorders>
          </w:tcPr>
          <w:p>
            <w:pPr>
              <w:ind w:left="0" w:right="0" w:firstLine="0"/>
              <w:jc w:val="center"/>
            </w:pPr>
            <w:r>
              <w:t>0,166</w:t>
            </w:r>
          </w:p>
        </w:tc>
        <w:tc>
          <w:tcPr>
            <w:tcW w:type="dxa" w:w="1045"/>
            <w:shd w:val="clear" w:color="auto" w:fill="auto"/>
            <w:tcBorders>
              <w:top w:val="nil"/>
              <w:left w:val="nil"/>
              <w:bottom w:val="nil"/>
              <w:right w:val="nil"/>
            </w:tcBorders>
          </w:tcPr>
          <w:p>
            <w:pPr>
              <w:ind w:left="0" w:right="0" w:firstLine="0"/>
              <w:jc w:val="center"/>
            </w:pPr>
            <w:r>
              <w:t>2,95**</w:t>
            </w:r>
          </w:p>
        </w:tc>
        <w:tc>
          <w:tcPr>
            <w:tcW w:type="dxa" w:w="1045"/>
            <w:shd w:val="clear" w:color="auto" w:fill="auto"/>
            <w:tcBorders>
              <w:top w:val="nil"/>
              <w:left w:val="nil"/>
              <w:bottom w:val="nil"/>
              <w:right w:val="nil"/>
            </w:tcBorders>
          </w:tcPr>
          <w:p>
            <w:pPr>
              <w:ind w:left="0" w:right="0" w:firstLine="0"/>
              <w:jc w:val="center"/>
            </w:pPr>
            <w:r>
              <w:t>0,295</w:t>
            </w:r>
          </w:p>
        </w:tc>
        <w:tc>
          <w:tcPr>
            <w:tcW w:type="dxa" w:w="1045"/>
            <w:shd w:val="clear" w:color="auto" w:fill="auto"/>
            <w:tcBorders>
              <w:top w:val="nil"/>
              <w:left w:val="nil"/>
              <w:bottom w:val="nil"/>
              <w:right w:val="nil"/>
            </w:tcBorders>
          </w:tcPr>
          <w:p>
            <w:pPr>
              <w:ind w:left="0" w:right="0" w:firstLine="0"/>
              <w:jc w:val="center"/>
            </w:pPr>
            <w:r>
              <w:t>4,85**</w:t>
            </w:r>
          </w:p>
        </w:tc>
        <w:tc>
          <w:tcPr>
            <w:tcW w:type="dxa" w:w="1045"/>
            <w:shd w:val="clear" w:color="auto" w:fill="auto"/>
            <w:tcBorders>
              <w:top w:val="nil"/>
              <w:left w:val="nil"/>
              <w:bottom w:val="nil"/>
              <w:right w:val="nil"/>
            </w:tcBorders>
          </w:tcPr>
          <w:p>
            <w:pPr>
              <w:ind w:left="0" w:right="0" w:firstLine="0"/>
              <w:jc w:val="center"/>
            </w:pPr>
            <w:r>
              <w:t>0,397</w:t>
            </w:r>
          </w:p>
        </w:tc>
        <w:tc>
          <w:tcPr>
            <w:tcW w:type="dxa" w:w="1045"/>
            <w:shd w:val="clear" w:color="auto" w:fill="auto"/>
            <w:tcBorders>
              <w:top w:val="nil"/>
              <w:left w:val="nil"/>
              <w:bottom w:val="nil"/>
              <w:right w:val="nil"/>
            </w:tcBorders>
          </w:tcPr>
          <w:p>
            <w:pPr>
              <w:ind w:left="0" w:right="0" w:firstLine="0"/>
              <w:jc w:val="center"/>
            </w:pPr>
            <w:r>
              <w:t>12,71**</w:t>
            </w:r>
          </w:p>
        </w:tc>
        <w:tc>
          <w:tcPr>
            <w:tcW w:type="dxa" w:w="1045"/>
            <w:shd w:val="clear" w:color="auto" w:fill="auto"/>
            <w:tcBorders>
              <w:top w:val="nil"/>
              <w:left w:val="nil"/>
              <w:bottom w:val="nil"/>
              <w:right w:val="nil"/>
            </w:tcBorders>
          </w:tcPr>
          <w:p>
            <w:pPr>
              <w:ind w:left="0" w:right="0" w:firstLine="0"/>
              <w:jc w:val="center"/>
            </w:pPr>
            <w:r>
              <w:t>0,139</w:t>
            </w:r>
          </w:p>
        </w:tc>
        <w:tc>
          <w:tcPr>
            <w:tcW w:type="dxa" w:w="1045"/>
            <w:shd w:val="clear" w:color="auto" w:fill="auto"/>
            <w:tcBorders>
              <w:top w:val="nil"/>
              <w:left w:val="nil"/>
              <w:bottom w:val="nil"/>
              <w:right w:val="nil"/>
            </w:tcBorders>
          </w:tcPr>
          <w:p>
            <w:pPr>
              <w:ind w:left="0" w:right="0" w:firstLine="0"/>
              <w:jc w:val="center"/>
            </w:pPr>
            <w:r>
              <w:t>7,99**</w:t>
            </w:r>
          </w:p>
        </w:tc>
      </w:tr>
      <w:tr>
        <w:tc>
          <w:tcPr>
            <w:tcW w:type="dxa" w:w="1045"/>
            <w:shd w:val="clear" w:color="auto" w:fill="auto"/>
            <w:tcBorders>
              <w:top w:val="nil"/>
              <w:left w:val="nil"/>
              <w:bottom w:val="nil"/>
              <w:right w:val="nil"/>
            </w:tcBorders>
          </w:tcPr>
          <w:p>
            <w:pPr>
              <w:ind w:left="0" w:right="0" w:firstLine="0"/>
              <w:jc w:val="center"/>
            </w:pPr>
            <w:r>
              <w:t>h=2</w:t>
            </w:r>
          </w:p>
        </w:tc>
        <w:tc>
          <w:tcPr>
            <w:tcW w:type="dxa" w:w="1045"/>
            <w:shd w:val="clear" w:color="auto" w:fill="auto"/>
            <w:tcBorders>
              <w:top w:val="nil"/>
              <w:left w:val="nil"/>
              <w:bottom w:val="nil"/>
              <w:right w:val="nil"/>
            </w:tcBorders>
          </w:tcPr>
          <w:p>
            <w:pPr>
              <w:ind w:left="0" w:right="0" w:firstLine="0"/>
              <w:jc w:val="center"/>
            </w:pPr>
            <w:r>
              <w:t>0,150</w:t>
            </w:r>
          </w:p>
        </w:tc>
        <w:tc>
          <w:tcPr>
            <w:tcW w:type="dxa" w:w="1045"/>
            <w:shd w:val="clear" w:color="auto" w:fill="auto"/>
            <w:tcBorders>
              <w:top w:val="nil"/>
              <w:left w:val="nil"/>
              <w:bottom w:val="nil"/>
              <w:right w:val="nil"/>
            </w:tcBorders>
          </w:tcPr>
          <w:p>
            <w:pPr>
              <w:ind w:left="0" w:right="0" w:firstLine="0"/>
              <w:jc w:val="center"/>
            </w:pPr>
            <w:r>
              <w:t>1,75*</w:t>
            </w:r>
          </w:p>
        </w:tc>
        <w:tc>
          <w:tcPr>
            <w:tcW w:type="dxa" w:w="1045"/>
            <w:shd w:val="clear" w:color="auto" w:fill="auto"/>
            <w:tcBorders>
              <w:top w:val="nil"/>
              <w:left w:val="nil"/>
              <w:bottom w:val="nil"/>
              <w:right w:val="nil"/>
            </w:tcBorders>
          </w:tcPr>
          <w:p>
            <w:pPr>
              <w:ind w:left="0" w:right="0" w:firstLine="0"/>
              <w:jc w:val="center"/>
            </w:pPr>
            <w:r>
              <w:t>0,321</w:t>
            </w:r>
          </w:p>
        </w:tc>
        <w:tc>
          <w:tcPr>
            <w:tcW w:type="dxa" w:w="1045"/>
            <w:shd w:val="clear" w:color="auto" w:fill="auto"/>
            <w:tcBorders>
              <w:top w:val="nil"/>
              <w:left w:val="nil"/>
              <w:bottom w:val="nil"/>
              <w:right w:val="nil"/>
            </w:tcBorders>
          </w:tcPr>
          <w:p>
            <w:pPr>
              <w:ind w:left="0" w:right="0" w:firstLine="0"/>
              <w:jc w:val="center"/>
            </w:pPr>
            <w:r>
              <w:t>3,52**</w:t>
            </w:r>
          </w:p>
        </w:tc>
        <w:tc>
          <w:tcPr>
            <w:tcW w:type="dxa" w:w="1045"/>
            <w:shd w:val="clear" w:color="auto" w:fill="auto"/>
            <w:tcBorders>
              <w:top w:val="nil"/>
              <w:left w:val="nil"/>
              <w:bottom w:val="nil"/>
              <w:right w:val="nil"/>
            </w:tcBorders>
          </w:tcPr>
          <w:p>
            <w:pPr>
              <w:ind w:left="0" w:right="0" w:firstLine="0"/>
              <w:jc w:val="center"/>
            </w:pPr>
            <w:r>
              <w:t>0,437</w:t>
            </w:r>
          </w:p>
        </w:tc>
        <w:tc>
          <w:tcPr>
            <w:tcW w:type="dxa" w:w="1045"/>
            <w:shd w:val="clear" w:color="auto" w:fill="auto"/>
            <w:tcBorders>
              <w:top w:val="nil"/>
              <w:left w:val="nil"/>
              <w:bottom w:val="nil"/>
              <w:right w:val="nil"/>
            </w:tcBorders>
          </w:tcPr>
          <w:p>
            <w:pPr>
              <w:ind w:left="0" w:right="0" w:firstLine="0"/>
              <w:jc w:val="center"/>
            </w:pPr>
            <w:r>
              <w:t>7,77**</w:t>
            </w:r>
          </w:p>
        </w:tc>
        <w:tc>
          <w:tcPr>
            <w:tcW w:type="dxa" w:w="1045"/>
            <w:shd w:val="clear" w:color="auto" w:fill="auto"/>
            <w:tcBorders>
              <w:top w:val="nil"/>
              <w:left w:val="nil"/>
              <w:bottom w:val="nil"/>
              <w:right w:val="nil"/>
            </w:tcBorders>
          </w:tcPr>
          <w:p>
            <w:pPr>
              <w:ind w:left="0" w:right="0" w:firstLine="0"/>
              <w:jc w:val="center"/>
            </w:pPr>
            <w:r>
              <w:t>0,137</w:t>
            </w:r>
          </w:p>
        </w:tc>
        <w:tc>
          <w:tcPr>
            <w:tcW w:type="dxa" w:w="1045"/>
            <w:shd w:val="clear" w:color="auto" w:fill="auto"/>
            <w:tcBorders>
              <w:top w:val="nil"/>
              <w:left w:val="nil"/>
              <w:bottom w:val="nil"/>
              <w:right w:val="nil"/>
            </w:tcBorders>
          </w:tcPr>
          <w:p>
            <w:pPr>
              <w:ind w:left="0" w:right="0" w:firstLine="0"/>
              <w:jc w:val="center"/>
            </w:pPr>
            <w:r>
              <w:t>5,14**</w:t>
            </w:r>
          </w:p>
        </w:tc>
      </w:tr>
      <w:tr>
        <w:tc>
          <w:tcPr>
            <w:tcW w:type="dxa" w:w="1045"/>
            <w:shd w:val="clear" w:color="auto" w:fill="auto"/>
            <w:tcBorders>
              <w:top w:val="nil"/>
              <w:left w:val="nil"/>
              <w:bottom w:val="nil"/>
              <w:right w:val="nil"/>
            </w:tcBorders>
          </w:tcPr>
          <w:p>
            <w:pPr>
              <w:ind w:left="0" w:right="0" w:firstLine="0"/>
              <w:jc w:val="center"/>
            </w:pPr>
            <w:r>
              <w:t>h=3</w:t>
            </w:r>
          </w:p>
        </w:tc>
        <w:tc>
          <w:tcPr>
            <w:tcW w:type="dxa" w:w="1045"/>
            <w:shd w:val="clear" w:color="auto" w:fill="auto"/>
            <w:tcBorders>
              <w:top w:val="nil"/>
              <w:left w:val="nil"/>
              <w:bottom w:val="nil"/>
              <w:right w:val="nil"/>
            </w:tcBorders>
          </w:tcPr>
          <w:p>
            <w:pPr>
              <w:ind w:left="0" w:right="0" w:firstLine="0"/>
              <w:jc w:val="center"/>
            </w:pPr>
            <w:r>
              <w:t>0,105</w:t>
            </w:r>
          </w:p>
        </w:tc>
        <w:tc>
          <w:tcPr>
            <w:tcW w:type="dxa" w:w="1045"/>
            <w:shd w:val="clear" w:color="auto" w:fill="auto"/>
            <w:tcBorders>
              <w:top w:val="nil"/>
              <w:left w:val="nil"/>
              <w:bottom w:val="nil"/>
              <w:right w:val="nil"/>
            </w:tcBorders>
          </w:tcPr>
          <w:p>
            <w:pPr>
              <w:ind w:left="0" w:right="0" w:firstLine="0"/>
              <w:jc w:val="center"/>
            </w:pPr>
            <w:r>
              <w:t>1,07</w:t>
            </w:r>
          </w:p>
        </w:tc>
        <w:tc>
          <w:tcPr>
            <w:tcW w:type="dxa" w:w="1045"/>
            <w:shd w:val="clear" w:color="auto" w:fill="auto"/>
            <w:tcBorders>
              <w:top w:val="nil"/>
              <w:left w:val="nil"/>
              <w:bottom w:val="nil"/>
              <w:right w:val="nil"/>
            </w:tcBorders>
          </w:tcPr>
          <w:p>
            <w:pPr>
              <w:ind w:left="0" w:right="0" w:firstLine="0"/>
              <w:jc w:val="center"/>
            </w:pPr>
            <w:r>
              <w:t>0,353</w:t>
            </w:r>
          </w:p>
        </w:tc>
        <w:tc>
          <w:tcPr>
            <w:tcW w:type="dxa" w:w="1045"/>
            <w:shd w:val="clear" w:color="auto" w:fill="auto"/>
            <w:tcBorders>
              <w:top w:val="nil"/>
              <w:left w:val="nil"/>
              <w:bottom w:val="nil"/>
              <w:right w:val="nil"/>
            </w:tcBorders>
          </w:tcPr>
          <w:p>
            <w:pPr>
              <w:ind w:left="0" w:right="0" w:firstLine="0"/>
              <w:jc w:val="center"/>
            </w:pPr>
            <w:r>
              <w:t>3,85**</w:t>
            </w:r>
          </w:p>
        </w:tc>
        <w:tc>
          <w:tcPr>
            <w:tcW w:type="dxa" w:w="1045"/>
            <w:shd w:val="clear" w:color="auto" w:fill="auto"/>
            <w:tcBorders>
              <w:top w:val="nil"/>
              <w:left w:val="nil"/>
              <w:bottom w:val="nil"/>
              <w:right w:val="nil"/>
            </w:tcBorders>
          </w:tcPr>
          <w:p>
            <w:pPr>
              <w:ind w:left="0" w:right="0" w:firstLine="0"/>
              <w:jc w:val="center"/>
            </w:pPr>
            <w:r>
              <w:t>0,434</w:t>
            </w:r>
          </w:p>
        </w:tc>
        <w:tc>
          <w:tcPr>
            <w:tcW w:type="dxa" w:w="1045"/>
            <w:shd w:val="clear" w:color="auto" w:fill="auto"/>
            <w:tcBorders>
              <w:top w:val="nil"/>
              <w:left w:val="nil"/>
              <w:bottom w:val="nil"/>
              <w:right w:val="nil"/>
            </w:tcBorders>
          </w:tcPr>
          <w:p>
            <w:pPr>
              <w:ind w:left="0" w:right="0" w:firstLine="0"/>
              <w:jc w:val="center"/>
            </w:pPr>
            <w:r>
              <w:t>6,84**</w:t>
            </w:r>
          </w:p>
        </w:tc>
        <w:tc>
          <w:tcPr>
            <w:tcW w:type="dxa" w:w="1045"/>
            <w:shd w:val="clear" w:color="auto" w:fill="auto"/>
            <w:tcBorders>
              <w:top w:val="nil"/>
              <w:left w:val="nil"/>
              <w:bottom w:val="nil"/>
              <w:right w:val="nil"/>
            </w:tcBorders>
          </w:tcPr>
          <w:p>
            <w:pPr>
              <w:ind w:left="0" w:right="0" w:firstLine="0"/>
              <w:jc w:val="center"/>
            </w:pPr>
            <w:r>
              <w:t>0,129</w:t>
            </w:r>
          </w:p>
        </w:tc>
        <w:tc>
          <w:tcPr>
            <w:tcW w:type="dxa" w:w="1045"/>
            <w:shd w:val="clear" w:color="auto" w:fill="auto"/>
            <w:tcBorders>
              <w:top w:val="nil"/>
              <w:left w:val="nil"/>
              <w:bottom w:val="nil"/>
              <w:right w:val="nil"/>
            </w:tcBorders>
          </w:tcPr>
          <w:p>
            <w:pPr>
              <w:ind w:left="0" w:right="0" w:firstLine="0"/>
              <w:jc w:val="center"/>
            </w:pPr>
            <w:r>
              <w:t>3,92**</w:t>
            </w:r>
          </w:p>
        </w:tc>
      </w:tr>
      <w:tr>
        <w:tc>
          <w:tcPr>
            <w:tcW w:type="dxa" w:w="1045"/>
            <w:shd w:val="clear" w:color="auto" w:fill="auto"/>
            <w:tcBorders>
              <w:top w:val="nil"/>
              <w:left w:val="nil"/>
              <w:bottom w:val="nil"/>
              <w:right w:val="nil"/>
            </w:tcBorders>
          </w:tcPr>
          <w:p>
            <w:pPr>
              <w:ind w:left="0" w:right="0" w:firstLine="0"/>
              <w:jc w:val="center"/>
            </w:pPr>
            <w:r>
              <w:t>h=4</w:t>
            </w:r>
          </w:p>
        </w:tc>
        <w:tc>
          <w:tcPr>
            <w:tcW w:type="dxa" w:w="1045"/>
            <w:shd w:val="clear" w:color="auto" w:fill="auto"/>
            <w:tcBorders>
              <w:top w:val="nil"/>
              <w:left w:val="nil"/>
              <w:bottom w:val="nil"/>
              <w:right w:val="nil"/>
            </w:tcBorders>
          </w:tcPr>
          <w:p>
            <w:pPr>
              <w:ind w:left="0" w:right="0" w:firstLine="0"/>
              <w:jc w:val="center"/>
            </w:pPr>
            <w:r>
              <w:t>0,023</w:t>
            </w:r>
          </w:p>
        </w:tc>
        <w:tc>
          <w:tcPr>
            <w:tcW w:type="dxa" w:w="1045"/>
            <w:shd w:val="clear" w:color="auto" w:fill="auto"/>
            <w:tcBorders>
              <w:top w:val="nil"/>
              <w:left w:val="nil"/>
              <w:bottom w:val="nil"/>
              <w:right w:val="nil"/>
            </w:tcBorders>
          </w:tcPr>
          <w:p>
            <w:pPr>
              <w:ind w:left="0" w:right="0" w:firstLine="0"/>
              <w:jc w:val="center"/>
            </w:pPr>
            <w:r>
              <w:t>0,23</w:t>
            </w:r>
          </w:p>
        </w:tc>
        <w:tc>
          <w:tcPr>
            <w:tcW w:type="dxa" w:w="1045"/>
            <w:shd w:val="clear" w:color="auto" w:fill="auto"/>
            <w:tcBorders>
              <w:top w:val="nil"/>
              <w:left w:val="nil"/>
              <w:bottom w:val="nil"/>
              <w:right w:val="nil"/>
            </w:tcBorders>
          </w:tcPr>
          <w:p>
            <w:pPr>
              <w:ind w:left="0" w:right="0" w:firstLine="0"/>
              <w:jc w:val="center"/>
            </w:pPr>
            <w:r>
              <w:t>0,375</w:t>
            </w:r>
          </w:p>
        </w:tc>
        <w:tc>
          <w:tcPr>
            <w:tcW w:type="dxa" w:w="1045"/>
            <w:shd w:val="clear" w:color="auto" w:fill="auto"/>
            <w:tcBorders>
              <w:top w:val="nil"/>
              <w:left w:val="nil"/>
              <w:bottom w:val="nil"/>
              <w:right w:val="nil"/>
            </w:tcBorders>
          </w:tcPr>
          <w:p>
            <w:pPr>
              <w:ind w:left="0" w:right="0" w:firstLine="0"/>
              <w:jc w:val="center"/>
            </w:pPr>
            <w:r>
              <w:t>3,96**</w:t>
            </w:r>
          </w:p>
        </w:tc>
        <w:tc>
          <w:tcPr>
            <w:tcW w:type="dxa" w:w="1045"/>
            <w:shd w:val="clear" w:color="auto" w:fill="auto"/>
            <w:tcBorders>
              <w:top w:val="nil"/>
              <w:left w:val="nil"/>
              <w:bottom w:val="nil"/>
              <w:right w:val="nil"/>
            </w:tcBorders>
          </w:tcPr>
          <w:p>
            <w:pPr>
              <w:ind w:left="0" w:right="0" w:firstLine="0"/>
              <w:jc w:val="center"/>
            </w:pPr>
            <w:r>
              <w:t>0,445</w:t>
            </w:r>
          </w:p>
        </w:tc>
        <w:tc>
          <w:tcPr>
            <w:tcW w:type="dxa" w:w="1045"/>
            <w:shd w:val="clear" w:color="auto" w:fill="auto"/>
            <w:tcBorders>
              <w:top w:val="nil"/>
              <w:left w:val="nil"/>
              <w:bottom w:val="nil"/>
              <w:right w:val="nil"/>
            </w:tcBorders>
          </w:tcPr>
          <w:p>
            <w:pPr>
              <w:ind w:left="0" w:right="0" w:firstLine="0"/>
              <w:jc w:val="center"/>
            </w:pPr>
            <w:r>
              <w:t>6,81**</w:t>
            </w:r>
          </w:p>
        </w:tc>
        <w:tc>
          <w:tcPr>
            <w:tcW w:type="dxa" w:w="1045"/>
            <w:shd w:val="clear" w:color="auto" w:fill="auto"/>
            <w:tcBorders>
              <w:top w:val="nil"/>
              <w:left w:val="nil"/>
              <w:bottom w:val="nil"/>
              <w:right w:val="nil"/>
            </w:tcBorders>
          </w:tcPr>
          <w:p>
            <w:pPr>
              <w:ind w:left="0" w:right="0" w:firstLine="0"/>
              <w:jc w:val="center"/>
            </w:pPr>
            <w:r>
              <w:t>0,146</w:t>
            </w:r>
          </w:p>
        </w:tc>
        <w:tc>
          <w:tcPr>
            <w:tcW w:type="dxa" w:w="1045"/>
            <w:shd w:val="clear" w:color="auto" w:fill="auto"/>
            <w:tcBorders>
              <w:top w:val="nil"/>
              <w:left w:val="nil"/>
              <w:bottom w:val="nil"/>
              <w:right w:val="nil"/>
            </w:tcBorders>
          </w:tcPr>
          <w:p>
            <w:pPr>
              <w:ind w:left="0" w:right="0" w:firstLine="0"/>
              <w:jc w:val="center"/>
            </w:pPr>
            <w:r>
              <w:t>4,12**</w:t>
            </w:r>
          </w:p>
        </w:tc>
      </w:tr>
      <w:tr>
        <w:tc>
          <w:tcPr>
            <w:tcW w:type="dxa" w:w="1045"/>
            <w:shd w:val="clear" w:color="auto" w:fill="auto"/>
            <w:tcBorders>
              <w:top w:val="nil"/>
              <w:left w:val="nil"/>
              <w:bottom w:val="nil"/>
              <w:right w:val="nil"/>
            </w:tcBorders>
          </w:tcPr>
          <w:p>
            <w:pPr>
              <w:ind w:left="0" w:right="0" w:firstLine="0"/>
              <w:jc w:val="center"/>
            </w:pPr>
            <w:r>
              <w:t>h=5</w:t>
            </w:r>
          </w:p>
        </w:tc>
        <w:tc>
          <w:tcPr>
            <w:tcW w:type="dxa" w:w="1045"/>
            <w:shd w:val="clear" w:color="auto" w:fill="auto"/>
            <w:tcBorders>
              <w:top w:val="nil"/>
              <w:left w:val="nil"/>
              <w:bottom w:val="nil"/>
              <w:right w:val="nil"/>
            </w:tcBorders>
          </w:tcPr>
          <w:p>
            <w:pPr>
              <w:ind w:left="0" w:right="0" w:firstLine="0"/>
              <w:jc w:val="center"/>
            </w:pPr>
            <w:r>
              <w:t>-0,015</w:t>
            </w:r>
          </w:p>
        </w:tc>
        <w:tc>
          <w:tcPr>
            <w:tcW w:type="dxa" w:w="1045"/>
            <w:shd w:val="clear" w:color="auto" w:fill="auto"/>
            <w:tcBorders>
              <w:top w:val="nil"/>
              <w:left w:val="nil"/>
              <w:bottom w:val="nil"/>
              <w:right w:val="nil"/>
            </w:tcBorders>
          </w:tcPr>
          <w:p>
            <w:pPr>
              <w:ind w:left="0" w:right="0" w:firstLine="0"/>
              <w:jc w:val="center"/>
            </w:pPr>
            <w:r>
              <w:t>-0,12</w:t>
            </w:r>
          </w:p>
        </w:tc>
        <w:tc>
          <w:tcPr>
            <w:tcW w:type="dxa" w:w="1045"/>
            <w:shd w:val="clear" w:color="auto" w:fill="auto"/>
            <w:tcBorders>
              <w:top w:val="nil"/>
              <w:left w:val="nil"/>
              <w:bottom w:val="nil"/>
              <w:right w:val="nil"/>
            </w:tcBorders>
          </w:tcPr>
          <w:p>
            <w:pPr>
              <w:ind w:left="0" w:right="0" w:firstLine="0"/>
              <w:jc w:val="center"/>
            </w:pPr>
            <w:r>
              <w:t>0,374</w:t>
            </w:r>
          </w:p>
        </w:tc>
        <w:tc>
          <w:tcPr>
            <w:tcW w:type="dxa" w:w="1045"/>
            <w:shd w:val="clear" w:color="auto" w:fill="auto"/>
            <w:tcBorders>
              <w:top w:val="nil"/>
              <w:left w:val="nil"/>
              <w:bottom w:val="nil"/>
              <w:right w:val="nil"/>
            </w:tcBorders>
          </w:tcPr>
          <w:p>
            <w:pPr>
              <w:ind w:left="0" w:right="0" w:firstLine="0"/>
              <w:jc w:val="center"/>
            </w:pPr>
            <w:r>
              <w:t>3,83**</w:t>
            </w:r>
          </w:p>
        </w:tc>
        <w:tc>
          <w:tcPr>
            <w:tcW w:type="dxa" w:w="1045"/>
            <w:shd w:val="clear" w:color="auto" w:fill="auto"/>
            <w:tcBorders>
              <w:top w:val="nil"/>
              <w:left w:val="nil"/>
              <w:bottom w:val="nil"/>
              <w:right w:val="nil"/>
            </w:tcBorders>
          </w:tcPr>
          <w:p>
            <w:pPr>
              <w:ind w:left="0" w:right="0" w:firstLine="0"/>
              <w:jc w:val="center"/>
            </w:pPr>
            <w:r>
              <w:t>0,457</w:t>
            </w:r>
          </w:p>
        </w:tc>
        <w:tc>
          <w:tcPr>
            <w:tcW w:type="dxa" w:w="1045"/>
            <w:shd w:val="clear" w:color="auto" w:fill="auto"/>
            <w:tcBorders>
              <w:top w:val="nil"/>
              <w:left w:val="nil"/>
              <w:bottom w:val="nil"/>
              <w:right w:val="nil"/>
            </w:tcBorders>
          </w:tcPr>
          <w:p>
            <w:pPr>
              <w:ind w:left="0" w:right="0" w:firstLine="0"/>
              <w:jc w:val="center"/>
            </w:pPr>
            <w:r>
              <w:t>6,09**</w:t>
            </w:r>
          </w:p>
        </w:tc>
        <w:tc>
          <w:tcPr>
            <w:tcW w:type="dxa" w:w="1045"/>
            <w:shd w:val="clear" w:color="auto" w:fill="auto"/>
            <w:tcBorders>
              <w:top w:val="nil"/>
              <w:left w:val="nil"/>
              <w:bottom w:val="nil"/>
              <w:right w:val="nil"/>
            </w:tcBorders>
          </w:tcPr>
          <w:p>
            <w:pPr>
              <w:ind w:left="0" w:right="0" w:firstLine="0"/>
              <w:jc w:val="center"/>
            </w:pPr>
            <w:r>
              <w:t>0,156</w:t>
            </w:r>
          </w:p>
        </w:tc>
        <w:tc>
          <w:tcPr>
            <w:tcW w:type="dxa" w:w="1045"/>
            <w:shd w:val="clear" w:color="auto" w:fill="auto"/>
            <w:tcBorders>
              <w:top w:val="nil"/>
              <w:left w:val="nil"/>
              <w:bottom w:val="nil"/>
              <w:right w:val="nil"/>
            </w:tcBorders>
          </w:tcPr>
          <w:p>
            <w:pPr>
              <w:ind w:left="0" w:right="0" w:firstLine="0"/>
              <w:jc w:val="center"/>
            </w:pPr>
            <w:r>
              <w:t>3,97**</w:t>
            </w:r>
          </w:p>
        </w:tc>
      </w:tr>
      <w:tr>
        <w:tc>
          <w:tcPr>
            <w:tcW w:type="dxa" w:w="1045"/>
            <w:shd w:val="clear" w:color="auto" w:fill="auto"/>
            <w:tcBorders>
              <w:top w:val="nil"/>
              <w:left w:val="nil"/>
              <w:bottom w:sz="12" w:val="single" w:color="000000"/>
              <w:right w:val="nil"/>
            </w:tcBorders>
          </w:tcPr>
          <w:p>
            <w:pPr>
              <w:ind w:left="0" w:right="0" w:firstLine="0"/>
              <w:jc w:val="center"/>
            </w:pPr>
            <w:r>
              <w:t>h=6</w:t>
            </w:r>
          </w:p>
        </w:tc>
        <w:tc>
          <w:tcPr>
            <w:tcW w:type="dxa" w:w="1045"/>
            <w:shd w:val="clear" w:color="auto" w:fill="auto"/>
            <w:tcBorders>
              <w:top w:val="nil"/>
              <w:left w:val="nil"/>
              <w:bottom w:sz="12" w:val="single" w:color="000000"/>
              <w:right w:val="nil"/>
            </w:tcBorders>
          </w:tcPr>
          <w:p>
            <w:pPr>
              <w:ind w:left="0" w:right="0" w:firstLine="0"/>
              <w:jc w:val="center"/>
            </w:pPr>
            <w:r>
              <w:t>-0,044</w:t>
            </w:r>
          </w:p>
        </w:tc>
        <w:tc>
          <w:tcPr>
            <w:tcW w:type="dxa" w:w="1045"/>
            <w:shd w:val="clear" w:color="auto" w:fill="auto"/>
            <w:tcBorders>
              <w:top w:val="nil"/>
              <w:left w:val="nil"/>
              <w:bottom w:sz="12" w:val="single" w:color="000000"/>
              <w:right w:val="nil"/>
            </w:tcBorders>
          </w:tcPr>
          <w:p>
            <w:pPr>
              <w:ind w:left="0" w:right="0" w:firstLine="0"/>
              <w:jc w:val="center"/>
            </w:pPr>
            <w:r>
              <w:t>-0,28</w:t>
            </w:r>
          </w:p>
        </w:tc>
        <w:tc>
          <w:tcPr>
            <w:tcW w:type="dxa" w:w="1045"/>
            <w:shd w:val="clear" w:color="auto" w:fill="auto"/>
            <w:tcBorders>
              <w:top w:val="nil"/>
              <w:left w:val="nil"/>
              <w:bottom w:sz="12" w:val="single" w:color="000000"/>
              <w:right w:val="nil"/>
            </w:tcBorders>
          </w:tcPr>
          <w:p>
            <w:pPr>
              <w:ind w:left="0" w:right="0" w:firstLine="0"/>
              <w:jc w:val="center"/>
            </w:pPr>
            <w:r>
              <w:t>0,323</w:t>
            </w:r>
          </w:p>
        </w:tc>
        <w:tc>
          <w:tcPr>
            <w:tcW w:type="dxa" w:w="1045"/>
            <w:shd w:val="clear" w:color="auto" w:fill="auto"/>
            <w:tcBorders>
              <w:top w:val="nil"/>
              <w:left w:val="nil"/>
              <w:bottom w:sz="12" w:val="single" w:color="000000"/>
              <w:right w:val="nil"/>
            </w:tcBorders>
          </w:tcPr>
          <w:p>
            <w:pPr>
              <w:ind w:left="0" w:right="0" w:firstLine="0"/>
              <w:jc w:val="center"/>
            </w:pPr>
            <w:r>
              <w:t>2,86**</w:t>
            </w:r>
          </w:p>
        </w:tc>
        <w:tc>
          <w:tcPr>
            <w:tcW w:type="dxa" w:w="1045"/>
            <w:shd w:val="clear" w:color="auto" w:fill="auto"/>
            <w:tcBorders>
              <w:top w:val="nil"/>
              <w:left w:val="nil"/>
              <w:bottom w:sz="12" w:val="single" w:color="000000"/>
              <w:right w:val="nil"/>
            </w:tcBorders>
          </w:tcPr>
          <w:p>
            <w:pPr>
              <w:ind w:left="0" w:right="0" w:firstLine="0"/>
              <w:jc w:val="center"/>
            </w:pPr>
            <w:r>
              <w:t>0,464</w:t>
            </w:r>
          </w:p>
        </w:tc>
        <w:tc>
          <w:tcPr>
            <w:tcW w:type="dxa" w:w="1045"/>
            <w:shd w:val="clear" w:color="auto" w:fill="auto"/>
            <w:tcBorders>
              <w:top w:val="nil"/>
              <w:left w:val="nil"/>
              <w:bottom w:sz="12" w:val="single" w:color="000000"/>
              <w:right w:val="nil"/>
            </w:tcBorders>
          </w:tcPr>
          <w:p>
            <w:pPr>
              <w:ind w:left="0" w:right="0" w:firstLine="0"/>
              <w:jc w:val="center"/>
            </w:pPr>
            <w:r>
              <w:t>5,96**</w:t>
            </w:r>
          </w:p>
        </w:tc>
        <w:tc>
          <w:tcPr>
            <w:tcW w:type="dxa" w:w="1045"/>
            <w:shd w:val="clear" w:color="auto" w:fill="auto"/>
            <w:tcBorders>
              <w:top w:val="nil"/>
              <w:left w:val="nil"/>
              <w:bottom w:sz="12" w:val="single" w:color="000000"/>
              <w:right w:val="nil"/>
            </w:tcBorders>
          </w:tcPr>
          <w:p>
            <w:pPr>
              <w:ind w:left="0" w:right="0" w:firstLine="0"/>
              <w:jc w:val="center"/>
            </w:pPr>
            <w:r>
              <w:t>0,178</w:t>
            </w:r>
          </w:p>
        </w:tc>
        <w:tc>
          <w:tcPr>
            <w:tcW w:type="dxa" w:w="1045"/>
            <w:shd w:val="clear" w:color="auto" w:fill="auto"/>
            <w:tcBorders>
              <w:top w:val="nil"/>
              <w:left w:val="nil"/>
              <w:bottom w:sz="12" w:val="single" w:color="000000"/>
              <w:right w:val="nil"/>
            </w:tcBorders>
          </w:tcPr>
          <w:p>
            <w:pPr>
              <w:ind w:left="0" w:right="0" w:firstLine="0"/>
              <w:jc w:val="center"/>
            </w:pPr>
            <w:r>
              <w:t>4,21**</w:t>
            </w:r>
          </w:p>
        </w:tc>
      </w:tr>
    </w:tbl>
    <w:p>
      <w:pPr/>
      <w:r>
        <w:rPr>
          <w:i/>
        </w:rPr>
        <w:t>Nota: ** significativo a 5%; * significativo a 10%. Fonte: elaboracao propria.</w:t>
      </w:r>
    </w:p>
    <w:p>
      <w:pPr>
        <w:pStyle w:val="Heading2"/>
      </w:pPr>
      <w:r>
        <w:t>5.2 Efeito dos combustiveis sobre o IPCA Geral</w:t>
      </w:r>
    </w:p>
    <w:p>
      <w:pPr/>
      <w:r>
        <w:t>O segundo bloco estima o impacto de cada combustivel sobre o IPCA Geral. Por se tratar de um indice que incorpora grupos como alimentacao, habitacao e servicos, o efeito dos combustiveis tende a ser diluido e menos persistente. A Gasolina C apresenta o efeito mais consistente: significativa a 5% do mes zero ao quinto mes, com coeficiente estabilizando em torno de 0,05 (Tabela 2). O Diesel e o Etanol tem efeitos residuais, confirmando que o principal canal inflacionario dos combustiveis e setorial. As Figuras 1 e 2 apresentam as funcoes de resposta acumulada para Gasolina C e Diesel.</w:t>
      </w:r>
    </w:p>
    <w:p>
      <w:pPr/>
      <w:r>
        <w:rPr>
          <w:b/>
        </w:rPr>
        <w:t>Tabela 2 - Respostas acumuladas dos combustiveis sobre o IPCA Geral (Projecoes Locais, HAC)</w:t>
      </w:r>
    </w:p>
    <w:tbl>
      <w:tblPr>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val="clear" w:color="auto" w:fill="auto"/>
            <w:tcBorders>
              <w:top w:sz="12" w:val="single" w:color="000000"/>
              <w:left w:val="nil"/>
              <w:bottom w:sz="4" w:val="single" w:color="000000"/>
              <w:right w:val="nil"/>
            </w:tcBorders>
          </w:tcPr>
          <w:p>
            <w:pPr>
              <w:ind w:left="0" w:right="0" w:firstLine="0"/>
              <w:jc w:val="center"/>
            </w:pPr>
            <w:r>
              <w:t>Horizonte</w:t>
            </w:r>
          </w:p>
        </w:tc>
        <w:tc>
          <w:tcPr>
            <w:tcW w:type="dxa" w:w="1045"/>
            <w:shd w:val="clear" w:color="auto" w:fill="auto"/>
            <w:tcBorders>
              <w:top w:sz="12" w:val="single" w:color="000000"/>
              <w:left w:val="nil"/>
              <w:bottom w:sz="4" w:val="single" w:color="000000"/>
              <w:right w:val="nil"/>
            </w:tcBorders>
          </w:tcPr>
          <w:p>
            <w:pPr>
              <w:ind w:left="0" w:right="0" w:firstLine="0"/>
              <w:jc w:val="center"/>
            </w:pPr>
            <w:r>
              <w:t>Diesel</w:t>
            </w:r>
          </w:p>
        </w:tc>
        <w:tc>
          <w:tcPr>
            <w:tcW w:type="dxa" w:w="1045"/>
            <w:shd w:val="clear" w:color="auto" w:fill="auto"/>
            <w:tcBorders>
              <w:top w:sz="12" w:val="single" w:color="000000"/>
              <w:left w:val="nil"/>
              <w:bottom w:sz="4" w:val="single" w:color="000000"/>
              <w:right w:val="nil"/>
            </w:tcBorders>
          </w:tcPr>
          <w:p>
            <w:pPr>
              <w:ind w:left="0" w:right="0" w:firstLine="0"/>
              <w:jc w:val="center"/>
            </w:pPr>
            <w:r>
              <w:t>t</w:t>
            </w:r>
          </w:p>
        </w:tc>
        <w:tc>
          <w:tcPr>
            <w:tcW w:type="dxa" w:w="1045"/>
            <w:shd w:val="clear" w:color="auto" w:fill="auto"/>
            <w:tcBorders>
              <w:top w:sz="12" w:val="single" w:color="000000"/>
              <w:left w:val="nil"/>
              <w:bottom w:sz="4" w:val="single" w:color="000000"/>
              <w:right w:val="nil"/>
            </w:tcBorders>
          </w:tcPr>
          <w:p>
            <w:pPr>
              <w:ind w:left="0" w:right="0" w:firstLine="0"/>
              <w:jc w:val="center"/>
            </w:pPr>
            <w:r>
              <w:t>Gasolina A</w:t>
            </w:r>
          </w:p>
        </w:tc>
        <w:tc>
          <w:tcPr>
            <w:tcW w:type="dxa" w:w="1045"/>
            <w:shd w:val="clear" w:color="auto" w:fill="auto"/>
            <w:tcBorders>
              <w:top w:sz="12" w:val="single" w:color="000000"/>
              <w:left w:val="nil"/>
              <w:bottom w:sz="4" w:val="single" w:color="000000"/>
              <w:right w:val="nil"/>
            </w:tcBorders>
          </w:tcPr>
          <w:p>
            <w:pPr>
              <w:ind w:left="0" w:right="0" w:firstLine="0"/>
              <w:jc w:val="center"/>
            </w:pPr>
            <w:r>
              <w:t>t</w:t>
            </w:r>
          </w:p>
        </w:tc>
        <w:tc>
          <w:tcPr>
            <w:tcW w:type="dxa" w:w="1045"/>
            <w:shd w:val="clear" w:color="auto" w:fill="auto"/>
            <w:tcBorders>
              <w:top w:sz="12" w:val="single" w:color="000000"/>
              <w:left w:val="nil"/>
              <w:bottom w:sz="4" w:val="single" w:color="000000"/>
              <w:right w:val="nil"/>
            </w:tcBorders>
          </w:tcPr>
          <w:p>
            <w:pPr>
              <w:ind w:left="0" w:right="0" w:firstLine="0"/>
              <w:jc w:val="center"/>
            </w:pPr>
            <w:r>
              <w:t>Gasolina C</w:t>
            </w:r>
          </w:p>
        </w:tc>
        <w:tc>
          <w:tcPr>
            <w:tcW w:type="dxa" w:w="1045"/>
            <w:shd w:val="clear" w:color="auto" w:fill="auto"/>
            <w:tcBorders>
              <w:top w:sz="12" w:val="single" w:color="000000"/>
              <w:left w:val="nil"/>
              <w:bottom w:sz="4" w:val="single" w:color="000000"/>
              <w:right w:val="nil"/>
            </w:tcBorders>
          </w:tcPr>
          <w:p>
            <w:pPr>
              <w:ind w:left="0" w:right="0" w:firstLine="0"/>
              <w:jc w:val="center"/>
            </w:pPr>
            <w:r>
              <w:t>t</w:t>
            </w:r>
          </w:p>
        </w:tc>
        <w:tc>
          <w:tcPr>
            <w:tcW w:type="dxa" w:w="1045"/>
            <w:shd w:val="clear" w:color="auto" w:fill="auto"/>
            <w:tcBorders>
              <w:top w:sz="12" w:val="single" w:color="000000"/>
              <w:left w:val="nil"/>
              <w:bottom w:sz="4" w:val="single" w:color="000000"/>
              <w:right w:val="nil"/>
            </w:tcBorders>
          </w:tcPr>
          <w:p>
            <w:pPr>
              <w:ind w:left="0" w:right="0" w:firstLine="0"/>
              <w:jc w:val="center"/>
            </w:pPr>
            <w:r>
              <w:t>Etanol</w:t>
            </w:r>
          </w:p>
        </w:tc>
        <w:tc>
          <w:tcPr>
            <w:tcW w:type="dxa" w:w="1045"/>
            <w:shd w:val="clear" w:color="auto" w:fill="auto"/>
            <w:tcBorders>
              <w:top w:sz="12" w:val="single" w:color="000000"/>
              <w:left w:val="nil"/>
              <w:bottom w:sz="4" w:val="single" w:color="000000"/>
              <w:right w:val="nil"/>
            </w:tcBorders>
          </w:tcPr>
          <w:p>
            <w:pPr>
              <w:ind w:left="0" w:right="0" w:firstLine="0"/>
              <w:jc w:val="center"/>
            </w:pPr>
            <w:r>
              <w:t>t</w:t>
            </w:r>
          </w:p>
        </w:tc>
      </w:tr>
      <w:tr>
        <w:tc>
          <w:tcPr>
            <w:tcW w:type="dxa" w:w="1045"/>
            <w:shd w:val="clear" w:color="auto" w:fill="auto"/>
            <w:tcBorders>
              <w:top w:val="nil"/>
              <w:left w:val="nil"/>
              <w:bottom w:val="nil"/>
              <w:right w:val="nil"/>
            </w:tcBorders>
          </w:tcPr>
          <w:p>
            <w:pPr>
              <w:ind w:left="0" w:right="0" w:firstLine="0"/>
              <w:jc w:val="center"/>
            </w:pPr>
            <w:r>
              <w:t>h=0</w:t>
            </w:r>
          </w:p>
        </w:tc>
        <w:tc>
          <w:tcPr>
            <w:tcW w:type="dxa" w:w="1045"/>
            <w:shd w:val="clear" w:color="auto" w:fill="auto"/>
            <w:tcBorders>
              <w:top w:val="nil"/>
              <w:left w:val="nil"/>
              <w:bottom w:val="nil"/>
              <w:right w:val="nil"/>
            </w:tcBorders>
          </w:tcPr>
          <w:p>
            <w:pPr>
              <w:ind w:left="0" w:right="0" w:firstLine="0"/>
              <w:jc w:val="center"/>
            </w:pPr>
            <w:r>
              <w:t>0,010</w:t>
            </w:r>
          </w:p>
        </w:tc>
        <w:tc>
          <w:tcPr>
            <w:tcW w:type="dxa" w:w="1045"/>
            <w:shd w:val="clear" w:color="auto" w:fill="auto"/>
            <w:tcBorders>
              <w:top w:val="nil"/>
              <w:left w:val="nil"/>
              <w:bottom w:val="nil"/>
              <w:right w:val="nil"/>
            </w:tcBorders>
          </w:tcPr>
          <w:p>
            <w:pPr>
              <w:ind w:left="0" w:right="0" w:firstLine="0"/>
              <w:jc w:val="center"/>
            </w:pPr>
            <w:r>
              <w:t>1,07</w:t>
            </w:r>
          </w:p>
        </w:tc>
        <w:tc>
          <w:tcPr>
            <w:tcW w:type="dxa" w:w="1045"/>
            <w:shd w:val="clear" w:color="auto" w:fill="auto"/>
            <w:tcBorders>
              <w:top w:val="nil"/>
              <w:left w:val="nil"/>
              <w:bottom w:val="nil"/>
              <w:right w:val="nil"/>
            </w:tcBorders>
          </w:tcPr>
          <w:p>
            <w:pPr>
              <w:ind w:left="0" w:right="0" w:firstLine="0"/>
              <w:jc w:val="center"/>
            </w:pPr>
            <w:r>
              <w:t>0,017</w:t>
            </w:r>
          </w:p>
        </w:tc>
        <w:tc>
          <w:tcPr>
            <w:tcW w:type="dxa" w:w="1045"/>
            <w:shd w:val="clear" w:color="auto" w:fill="auto"/>
            <w:tcBorders>
              <w:top w:val="nil"/>
              <w:left w:val="nil"/>
              <w:bottom w:val="nil"/>
              <w:right w:val="nil"/>
            </w:tcBorders>
          </w:tcPr>
          <w:p>
            <w:pPr>
              <w:ind w:left="0" w:right="0" w:firstLine="0"/>
              <w:jc w:val="center"/>
            </w:pPr>
            <w:r>
              <w:t>1,78*</w:t>
            </w:r>
          </w:p>
        </w:tc>
        <w:tc>
          <w:tcPr>
            <w:tcW w:type="dxa" w:w="1045"/>
            <w:shd w:val="clear" w:color="auto" w:fill="auto"/>
            <w:tcBorders>
              <w:top w:val="nil"/>
              <w:left w:val="nil"/>
              <w:bottom w:val="nil"/>
              <w:right w:val="nil"/>
            </w:tcBorders>
          </w:tcPr>
          <w:p>
            <w:pPr>
              <w:ind w:left="0" w:right="0" w:firstLine="0"/>
              <w:jc w:val="center"/>
            </w:pPr>
            <w:r>
              <w:t>0,035</w:t>
            </w:r>
          </w:p>
        </w:tc>
        <w:tc>
          <w:tcPr>
            <w:tcW w:type="dxa" w:w="1045"/>
            <w:shd w:val="clear" w:color="auto" w:fill="auto"/>
            <w:tcBorders>
              <w:top w:val="nil"/>
              <w:left w:val="nil"/>
              <w:bottom w:val="nil"/>
              <w:right w:val="nil"/>
            </w:tcBorders>
          </w:tcPr>
          <w:p>
            <w:pPr>
              <w:ind w:left="0" w:right="0" w:firstLine="0"/>
              <w:jc w:val="center"/>
            </w:pPr>
            <w:r>
              <w:t>6,29**</w:t>
            </w:r>
          </w:p>
        </w:tc>
        <w:tc>
          <w:tcPr>
            <w:tcW w:type="dxa" w:w="1045"/>
            <w:shd w:val="clear" w:color="auto" w:fill="auto"/>
            <w:tcBorders>
              <w:top w:val="nil"/>
              <w:left w:val="nil"/>
              <w:bottom w:val="nil"/>
              <w:right w:val="nil"/>
            </w:tcBorders>
          </w:tcPr>
          <w:p>
            <w:pPr>
              <w:ind w:left="0" w:right="0" w:firstLine="0"/>
              <w:jc w:val="center"/>
            </w:pPr>
            <w:r>
              <w:t>0,010</w:t>
            </w:r>
          </w:p>
        </w:tc>
        <w:tc>
          <w:tcPr>
            <w:tcW w:type="dxa" w:w="1045"/>
            <w:shd w:val="clear" w:color="auto" w:fill="auto"/>
            <w:tcBorders>
              <w:top w:val="nil"/>
              <w:left w:val="nil"/>
              <w:bottom w:val="nil"/>
              <w:right w:val="nil"/>
            </w:tcBorders>
          </w:tcPr>
          <w:p>
            <w:pPr>
              <w:ind w:left="0" w:right="0" w:firstLine="0"/>
              <w:jc w:val="center"/>
            </w:pPr>
            <w:r>
              <w:t>3,39**</w:t>
            </w:r>
          </w:p>
        </w:tc>
      </w:tr>
      <w:tr>
        <w:tc>
          <w:tcPr>
            <w:tcW w:type="dxa" w:w="1045"/>
            <w:shd w:val="clear" w:color="auto" w:fill="auto"/>
            <w:tcBorders>
              <w:top w:val="nil"/>
              <w:left w:val="nil"/>
              <w:bottom w:val="nil"/>
              <w:right w:val="nil"/>
            </w:tcBorders>
          </w:tcPr>
          <w:p>
            <w:pPr>
              <w:ind w:left="0" w:right="0" w:firstLine="0"/>
              <w:jc w:val="center"/>
            </w:pPr>
            <w:r>
              <w:t>h=1</w:t>
            </w:r>
          </w:p>
        </w:tc>
        <w:tc>
          <w:tcPr>
            <w:tcW w:type="dxa" w:w="1045"/>
            <w:shd w:val="clear" w:color="auto" w:fill="auto"/>
            <w:tcBorders>
              <w:top w:val="nil"/>
              <w:left w:val="nil"/>
              <w:bottom w:val="nil"/>
              <w:right w:val="nil"/>
            </w:tcBorders>
          </w:tcPr>
          <w:p>
            <w:pPr>
              <w:ind w:left="0" w:right="0" w:firstLine="0"/>
              <w:jc w:val="center"/>
            </w:pPr>
            <w:r>
              <w:t>0,025</w:t>
            </w:r>
          </w:p>
        </w:tc>
        <w:tc>
          <w:tcPr>
            <w:tcW w:type="dxa" w:w="1045"/>
            <w:shd w:val="clear" w:color="auto" w:fill="auto"/>
            <w:tcBorders>
              <w:top w:val="nil"/>
              <w:left w:val="nil"/>
              <w:bottom w:val="nil"/>
              <w:right w:val="nil"/>
            </w:tcBorders>
          </w:tcPr>
          <w:p>
            <w:pPr>
              <w:ind w:left="0" w:right="0" w:firstLine="0"/>
              <w:jc w:val="center"/>
            </w:pPr>
            <w:r>
              <w:t>2,10**</w:t>
            </w:r>
          </w:p>
        </w:tc>
        <w:tc>
          <w:tcPr>
            <w:tcW w:type="dxa" w:w="1045"/>
            <w:shd w:val="clear" w:color="auto" w:fill="auto"/>
            <w:tcBorders>
              <w:top w:val="nil"/>
              <w:left w:val="nil"/>
              <w:bottom w:val="nil"/>
              <w:right w:val="nil"/>
            </w:tcBorders>
          </w:tcPr>
          <w:p>
            <w:pPr>
              <w:ind w:left="0" w:right="0" w:firstLine="0"/>
              <w:jc w:val="center"/>
            </w:pPr>
            <w:r>
              <w:t>0,041</w:t>
            </w:r>
          </w:p>
        </w:tc>
        <w:tc>
          <w:tcPr>
            <w:tcW w:type="dxa" w:w="1045"/>
            <w:shd w:val="clear" w:color="auto" w:fill="auto"/>
            <w:tcBorders>
              <w:top w:val="nil"/>
              <w:left w:val="nil"/>
              <w:bottom w:val="nil"/>
              <w:right w:val="nil"/>
            </w:tcBorders>
          </w:tcPr>
          <w:p>
            <w:pPr>
              <w:ind w:left="0" w:right="0" w:firstLine="0"/>
              <w:jc w:val="center"/>
            </w:pPr>
            <w:r>
              <w:t>2,51**</w:t>
            </w:r>
          </w:p>
        </w:tc>
        <w:tc>
          <w:tcPr>
            <w:tcW w:type="dxa" w:w="1045"/>
            <w:shd w:val="clear" w:color="auto" w:fill="auto"/>
            <w:tcBorders>
              <w:top w:val="nil"/>
              <w:left w:val="nil"/>
              <w:bottom w:val="nil"/>
              <w:right w:val="nil"/>
            </w:tcBorders>
          </w:tcPr>
          <w:p>
            <w:pPr>
              <w:ind w:left="0" w:right="0" w:firstLine="0"/>
              <w:jc w:val="center"/>
            </w:pPr>
            <w:r>
              <w:t>0,057</w:t>
            </w:r>
          </w:p>
        </w:tc>
        <w:tc>
          <w:tcPr>
            <w:tcW w:type="dxa" w:w="1045"/>
            <w:shd w:val="clear" w:color="auto" w:fill="auto"/>
            <w:tcBorders>
              <w:top w:val="nil"/>
              <w:left w:val="nil"/>
              <w:bottom w:val="nil"/>
              <w:right w:val="nil"/>
            </w:tcBorders>
          </w:tcPr>
          <w:p>
            <w:pPr>
              <w:ind w:left="0" w:right="0" w:firstLine="0"/>
              <w:jc w:val="center"/>
            </w:pPr>
            <w:r>
              <w:t>5,66**</w:t>
            </w:r>
          </w:p>
        </w:tc>
        <w:tc>
          <w:tcPr>
            <w:tcW w:type="dxa" w:w="1045"/>
            <w:shd w:val="clear" w:color="auto" w:fill="auto"/>
            <w:tcBorders>
              <w:top w:val="nil"/>
              <w:left w:val="nil"/>
              <w:bottom w:val="nil"/>
              <w:right w:val="nil"/>
            </w:tcBorders>
          </w:tcPr>
          <w:p>
            <w:pPr>
              <w:ind w:left="0" w:right="0" w:firstLine="0"/>
              <w:jc w:val="center"/>
            </w:pPr>
            <w:r>
              <w:t>0,014</w:t>
            </w:r>
          </w:p>
        </w:tc>
        <w:tc>
          <w:tcPr>
            <w:tcW w:type="dxa" w:w="1045"/>
            <w:shd w:val="clear" w:color="auto" w:fill="auto"/>
            <w:tcBorders>
              <w:top w:val="nil"/>
              <w:left w:val="nil"/>
              <w:bottom w:val="nil"/>
              <w:right w:val="nil"/>
            </w:tcBorders>
          </w:tcPr>
          <w:p>
            <w:pPr>
              <w:ind w:left="0" w:right="0" w:firstLine="0"/>
              <w:jc w:val="center"/>
            </w:pPr>
            <w:r>
              <w:t>2,62**</w:t>
            </w:r>
          </w:p>
        </w:tc>
      </w:tr>
      <w:tr>
        <w:tc>
          <w:tcPr>
            <w:tcW w:type="dxa" w:w="1045"/>
            <w:shd w:val="clear" w:color="auto" w:fill="auto"/>
            <w:tcBorders>
              <w:top w:val="nil"/>
              <w:left w:val="nil"/>
              <w:bottom w:val="nil"/>
              <w:right w:val="nil"/>
            </w:tcBorders>
          </w:tcPr>
          <w:p>
            <w:pPr>
              <w:ind w:left="0" w:right="0" w:firstLine="0"/>
              <w:jc w:val="center"/>
            </w:pPr>
            <w:r>
              <w:t>h=2</w:t>
            </w:r>
          </w:p>
        </w:tc>
        <w:tc>
          <w:tcPr>
            <w:tcW w:type="dxa" w:w="1045"/>
            <w:shd w:val="clear" w:color="auto" w:fill="auto"/>
            <w:tcBorders>
              <w:top w:val="nil"/>
              <w:left w:val="nil"/>
              <w:bottom w:val="nil"/>
              <w:right w:val="nil"/>
            </w:tcBorders>
          </w:tcPr>
          <w:p>
            <w:pPr>
              <w:ind w:left="0" w:right="0" w:firstLine="0"/>
              <w:jc w:val="center"/>
            </w:pPr>
            <w:r>
              <w:t>0,016</w:t>
            </w:r>
          </w:p>
        </w:tc>
        <w:tc>
          <w:tcPr>
            <w:tcW w:type="dxa" w:w="1045"/>
            <w:shd w:val="clear" w:color="auto" w:fill="auto"/>
            <w:tcBorders>
              <w:top w:val="nil"/>
              <w:left w:val="nil"/>
              <w:bottom w:val="nil"/>
              <w:right w:val="nil"/>
            </w:tcBorders>
          </w:tcPr>
          <w:p>
            <w:pPr>
              <w:ind w:left="0" w:right="0" w:firstLine="0"/>
              <w:jc w:val="center"/>
            </w:pPr>
            <w:r>
              <w:t>0,89</w:t>
            </w:r>
          </w:p>
        </w:tc>
        <w:tc>
          <w:tcPr>
            <w:tcW w:type="dxa" w:w="1045"/>
            <w:shd w:val="clear" w:color="auto" w:fill="auto"/>
            <w:tcBorders>
              <w:top w:val="nil"/>
              <w:left w:val="nil"/>
              <w:bottom w:val="nil"/>
              <w:right w:val="nil"/>
            </w:tcBorders>
          </w:tcPr>
          <w:p>
            <w:pPr>
              <w:ind w:left="0" w:right="0" w:firstLine="0"/>
              <w:jc w:val="center"/>
            </w:pPr>
            <w:r>
              <w:t>0,038</w:t>
            </w:r>
          </w:p>
        </w:tc>
        <w:tc>
          <w:tcPr>
            <w:tcW w:type="dxa" w:w="1045"/>
            <w:shd w:val="clear" w:color="auto" w:fill="auto"/>
            <w:tcBorders>
              <w:top w:val="nil"/>
              <w:left w:val="nil"/>
              <w:bottom w:val="nil"/>
              <w:right w:val="nil"/>
            </w:tcBorders>
          </w:tcPr>
          <w:p>
            <w:pPr>
              <w:ind w:left="0" w:right="0" w:firstLine="0"/>
              <w:jc w:val="center"/>
            </w:pPr>
            <w:r>
              <w:t>1,58</w:t>
            </w:r>
          </w:p>
        </w:tc>
        <w:tc>
          <w:tcPr>
            <w:tcW w:type="dxa" w:w="1045"/>
            <w:shd w:val="clear" w:color="auto" w:fill="auto"/>
            <w:tcBorders>
              <w:top w:val="nil"/>
              <w:left w:val="nil"/>
              <w:bottom w:val="nil"/>
              <w:right w:val="nil"/>
            </w:tcBorders>
          </w:tcPr>
          <w:p>
            <w:pPr>
              <w:ind w:left="0" w:right="0" w:firstLine="0"/>
              <w:jc w:val="center"/>
            </w:pPr>
            <w:r>
              <w:t>0,055</w:t>
            </w:r>
          </w:p>
        </w:tc>
        <w:tc>
          <w:tcPr>
            <w:tcW w:type="dxa" w:w="1045"/>
            <w:shd w:val="clear" w:color="auto" w:fill="auto"/>
            <w:tcBorders>
              <w:top w:val="nil"/>
              <w:left w:val="nil"/>
              <w:bottom w:val="nil"/>
              <w:right w:val="nil"/>
            </w:tcBorders>
          </w:tcPr>
          <w:p>
            <w:pPr>
              <w:ind w:left="0" w:right="0" w:firstLine="0"/>
              <w:jc w:val="center"/>
            </w:pPr>
            <w:r>
              <w:t>3,08**</w:t>
            </w:r>
          </w:p>
        </w:tc>
        <w:tc>
          <w:tcPr>
            <w:tcW w:type="dxa" w:w="1045"/>
            <w:shd w:val="clear" w:color="auto" w:fill="auto"/>
            <w:tcBorders>
              <w:top w:val="nil"/>
              <w:left w:val="nil"/>
              <w:bottom w:val="nil"/>
              <w:right w:val="nil"/>
            </w:tcBorders>
          </w:tcPr>
          <w:p>
            <w:pPr>
              <w:ind w:left="0" w:right="0" w:firstLine="0"/>
              <w:jc w:val="center"/>
            </w:pPr>
            <w:r>
              <w:t>0,009</w:t>
            </w:r>
          </w:p>
        </w:tc>
        <w:tc>
          <w:tcPr>
            <w:tcW w:type="dxa" w:w="1045"/>
            <w:shd w:val="clear" w:color="auto" w:fill="auto"/>
            <w:tcBorders>
              <w:top w:val="nil"/>
              <w:left w:val="nil"/>
              <w:bottom w:val="nil"/>
              <w:right w:val="nil"/>
            </w:tcBorders>
          </w:tcPr>
          <w:p>
            <w:pPr>
              <w:ind w:left="0" w:right="0" w:firstLine="0"/>
              <w:jc w:val="center"/>
            </w:pPr>
            <w:r>
              <w:t>1,01</w:t>
            </w:r>
          </w:p>
        </w:tc>
      </w:tr>
      <w:tr>
        <w:tc>
          <w:tcPr>
            <w:tcW w:type="dxa" w:w="1045"/>
            <w:shd w:val="clear" w:color="auto" w:fill="auto"/>
            <w:tcBorders>
              <w:top w:val="nil"/>
              <w:left w:val="nil"/>
              <w:bottom w:val="nil"/>
              <w:right w:val="nil"/>
            </w:tcBorders>
          </w:tcPr>
          <w:p>
            <w:pPr>
              <w:ind w:left="0" w:right="0" w:firstLine="0"/>
              <w:jc w:val="center"/>
            </w:pPr>
            <w:r>
              <w:t>h=3</w:t>
            </w:r>
          </w:p>
        </w:tc>
        <w:tc>
          <w:tcPr>
            <w:tcW w:type="dxa" w:w="1045"/>
            <w:shd w:val="clear" w:color="auto" w:fill="auto"/>
            <w:tcBorders>
              <w:top w:val="nil"/>
              <w:left w:val="nil"/>
              <w:bottom w:val="nil"/>
              <w:right w:val="nil"/>
            </w:tcBorders>
          </w:tcPr>
          <w:p>
            <w:pPr>
              <w:ind w:left="0" w:right="0" w:firstLine="0"/>
              <w:jc w:val="center"/>
            </w:pPr>
            <w:r>
              <w:t>0,012</w:t>
            </w:r>
          </w:p>
        </w:tc>
        <w:tc>
          <w:tcPr>
            <w:tcW w:type="dxa" w:w="1045"/>
            <w:shd w:val="clear" w:color="auto" w:fill="auto"/>
            <w:tcBorders>
              <w:top w:val="nil"/>
              <w:left w:val="nil"/>
              <w:bottom w:val="nil"/>
              <w:right w:val="nil"/>
            </w:tcBorders>
          </w:tcPr>
          <w:p>
            <w:pPr>
              <w:ind w:left="0" w:right="0" w:firstLine="0"/>
              <w:jc w:val="center"/>
            </w:pPr>
            <w:r>
              <w:t>0,52</w:t>
            </w:r>
          </w:p>
        </w:tc>
        <w:tc>
          <w:tcPr>
            <w:tcW w:type="dxa" w:w="1045"/>
            <w:shd w:val="clear" w:color="auto" w:fill="auto"/>
            <w:tcBorders>
              <w:top w:val="nil"/>
              <w:left w:val="nil"/>
              <w:bottom w:val="nil"/>
              <w:right w:val="nil"/>
            </w:tcBorders>
          </w:tcPr>
          <w:p>
            <w:pPr>
              <w:ind w:left="0" w:right="0" w:firstLine="0"/>
              <w:jc w:val="center"/>
            </w:pPr>
            <w:r>
              <w:t>0,043</w:t>
            </w:r>
          </w:p>
        </w:tc>
        <w:tc>
          <w:tcPr>
            <w:tcW w:type="dxa" w:w="1045"/>
            <w:shd w:val="clear" w:color="auto" w:fill="auto"/>
            <w:tcBorders>
              <w:top w:val="nil"/>
              <w:left w:val="nil"/>
              <w:bottom w:val="nil"/>
              <w:right w:val="nil"/>
            </w:tcBorders>
          </w:tcPr>
          <w:p>
            <w:pPr>
              <w:ind w:left="0" w:right="0" w:firstLine="0"/>
              <w:jc w:val="center"/>
            </w:pPr>
            <w:r>
              <w:t>1,49</w:t>
            </w:r>
          </w:p>
        </w:tc>
        <w:tc>
          <w:tcPr>
            <w:tcW w:type="dxa" w:w="1045"/>
            <w:shd w:val="clear" w:color="auto" w:fill="auto"/>
            <w:tcBorders>
              <w:top w:val="nil"/>
              <w:left w:val="nil"/>
              <w:bottom w:val="nil"/>
              <w:right w:val="nil"/>
            </w:tcBorders>
          </w:tcPr>
          <w:p>
            <w:pPr>
              <w:ind w:left="0" w:right="0" w:firstLine="0"/>
              <w:jc w:val="center"/>
            </w:pPr>
            <w:r>
              <w:t>0,047</w:t>
            </w:r>
          </w:p>
        </w:tc>
        <w:tc>
          <w:tcPr>
            <w:tcW w:type="dxa" w:w="1045"/>
            <w:shd w:val="clear" w:color="auto" w:fill="auto"/>
            <w:tcBorders>
              <w:top w:val="nil"/>
              <w:left w:val="nil"/>
              <w:bottom w:val="nil"/>
              <w:right w:val="nil"/>
            </w:tcBorders>
          </w:tcPr>
          <w:p>
            <w:pPr>
              <w:ind w:left="0" w:right="0" w:firstLine="0"/>
              <w:jc w:val="center"/>
            </w:pPr>
            <w:r>
              <w:t>2,15**</w:t>
            </w:r>
          </w:p>
        </w:tc>
        <w:tc>
          <w:tcPr>
            <w:tcW w:type="dxa" w:w="1045"/>
            <w:shd w:val="clear" w:color="auto" w:fill="auto"/>
            <w:tcBorders>
              <w:top w:val="nil"/>
              <w:left w:val="nil"/>
              <w:bottom w:val="nil"/>
              <w:right w:val="nil"/>
            </w:tcBorders>
          </w:tcPr>
          <w:p>
            <w:pPr>
              <w:ind w:left="0" w:right="0" w:firstLine="0"/>
              <w:jc w:val="center"/>
            </w:pPr>
            <w:r>
              <w:t>0,003</w:t>
            </w:r>
          </w:p>
        </w:tc>
        <w:tc>
          <w:tcPr>
            <w:tcW w:type="dxa" w:w="1045"/>
            <w:shd w:val="clear" w:color="auto" w:fill="auto"/>
            <w:tcBorders>
              <w:top w:val="nil"/>
              <w:left w:val="nil"/>
              <w:bottom w:val="nil"/>
              <w:right w:val="nil"/>
            </w:tcBorders>
          </w:tcPr>
          <w:p>
            <w:pPr>
              <w:ind w:left="0" w:right="0" w:firstLine="0"/>
              <w:jc w:val="center"/>
            </w:pPr>
            <w:r>
              <w:t>0,29</w:t>
            </w:r>
          </w:p>
        </w:tc>
      </w:tr>
      <w:tr>
        <w:tc>
          <w:tcPr>
            <w:tcW w:type="dxa" w:w="1045"/>
            <w:shd w:val="clear" w:color="auto" w:fill="auto"/>
            <w:tcBorders>
              <w:top w:val="nil"/>
              <w:left w:val="nil"/>
              <w:bottom w:val="nil"/>
              <w:right w:val="nil"/>
            </w:tcBorders>
          </w:tcPr>
          <w:p>
            <w:pPr>
              <w:ind w:left="0" w:right="0" w:firstLine="0"/>
              <w:jc w:val="center"/>
            </w:pPr>
            <w:r>
              <w:t>h=4</w:t>
            </w:r>
          </w:p>
        </w:tc>
        <w:tc>
          <w:tcPr>
            <w:tcW w:type="dxa" w:w="1045"/>
            <w:shd w:val="clear" w:color="auto" w:fill="auto"/>
            <w:tcBorders>
              <w:top w:val="nil"/>
              <w:left w:val="nil"/>
              <w:bottom w:val="nil"/>
              <w:right w:val="nil"/>
            </w:tcBorders>
          </w:tcPr>
          <w:p>
            <w:pPr>
              <w:ind w:left="0" w:right="0" w:firstLine="0"/>
              <w:jc w:val="center"/>
            </w:pPr>
            <w:r>
              <w:t>-0,003</w:t>
            </w:r>
          </w:p>
        </w:tc>
        <w:tc>
          <w:tcPr>
            <w:tcW w:type="dxa" w:w="1045"/>
            <w:shd w:val="clear" w:color="auto" w:fill="auto"/>
            <w:tcBorders>
              <w:top w:val="nil"/>
              <w:left w:val="nil"/>
              <w:bottom w:val="nil"/>
              <w:right w:val="nil"/>
            </w:tcBorders>
          </w:tcPr>
          <w:p>
            <w:pPr>
              <w:ind w:left="0" w:right="0" w:firstLine="0"/>
              <w:jc w:val="center"/>
            </w:pPr>
            <w:r>
              <w:t>-0,11</w:t>
            </w:r>
          </w:p>
        </w:tc>
        <w:tc>
          <w:tcPr>
            <w:tcW w:type="dxa" w:w="1045"/>
            <w:shd w:val="clear" w:color="auto" w:fill="auto"/>
            <w:tcBorders>
              <w:top w:val="nil"/>
              <w:left w:val="nil"/>
              <w:bottom w:val="nil"/>
              <w:right w:val="nil"/>
            </w:tcBorders>
          </w:tcPr>
          <w:p>
            <w:pPr>
              <w:ind w:left="0" w:right="0" w:firstLine="0"/>
              <w:jc w:val="center"/>
            </w:pPr>
            <w:r>
              <w:t>0,047</w:t>
            </w:r>
          </w:p>
        </w:tc>
        <w:tc>
          <w:tcPr>
            <w:tcW w:type="dxa" w:w="1045"/>
            <w:shd w:val="clear" w:color="auto" w:fill="auto"/>
            <w:tcBorders>
              <w:top w:val="nil"/>
              <w:left w:val="nil"/>
              <w:bottom w:val="nil"/>
              <w:right w:val="nil"/>
            </w:tcBorders>
          </w:tcPr>
          <w:p>
            <w:pPr>
              <w:ind w:left="0" w:right="0" w:firstLine="0"/>
              <w:jc w:val="center"/>
            </w:pPr>
            <w:r>
              <w:t>1,57</w:t>
            </w:r>
          </w:p>
        </w:tc>
        <w:tc>
          <w:tcPr>
            <w:tcW w:type="dxa" w:w="1045"/>
            <w:shd w:val="clear" w:color="auto" w:fill="auto"/>
            <w:tcBorders>
              <w:top w:val="nil"/>
              <w:left w:val="nil"/>
              <w:bottom w:val="nil"/>
              <w:right w:val="nil"/>
            </w:tcBorders>
          </w:tcPr>
          <w:p>
            <w:pPr>
              <w:ind w:left="0" w:right="0" w:firstLine="0"/>
              <w:jc w:val="center"/>
            </w:pPr>
            <w:r>
              <w:t>0,051</w:t>
            </w:r>
          </w:p>
        </w:tc>
        <w:tc>
          <w:tcPr>
            <w:tcW w:type="dxa" w:w="1045"/>
            <w:shd w:val="clear" w:color="auto" w:fill="auto"/>
            <w:tcBorders>
              <w:top w:val="nil"/>
              <w:left w:val="nil"/>
              <w:bottom w:val="nil"/>
              <w:right w:val="nil"/>
            </w:tcBorders>
          </w:tcPr>
          <w:p>
            <w:pPr>
              <w:ind w:left="0" w:right="0" w:firstLine="0"/>
              <w:jc w:val="center"/>
            </w:pPr>
            <w:r>
              <w:t>2,09**</w:t>
            </w:r>
          </w:p>
        </w:tc>
        <w:tc>
          <w:tcPr>
            <w:tcW w:type="dxa" w:w="1045"/>
            <w:shd w:val="clear" w:color="auto" w:fill="auto"/>
            <w:tcBorders>
              <w:top w:val="nil"/>
              <w:left w:val="nil"/>
              <w:bottom w:val="nil"/>
              <w:right w:val="nil"/>
            </w:tcBorders>
          </w:tcPr>
          <w:p>
            <w:pPr>
              <w:ind w:left="0" w:right="0" w:firstLine="0"/>
              <w:jc w:val="center"/>
            </w:pPr>
            <w:r>
              <w:t>0,006</w:t>
            </w:r>
          </w:p>
        </w:tc>
        <w:tc>
          <w:tcPr>
            <w:tcW w:type="dxa" w:w="1045"/>
            <w:shd w:val="clear" w:color="auto" w:fill="auto"/>
            <w:tcBorders>
              <w:top w:val="nil"/>
              <w:left w:val="nil"/>
              <w:bottom w:val="nil"/>
              <w:right w:val="nil"/>
            </w:tcBorders>
          </w:tcPr>
          <w:p>
            <w:pPr>
              <w:ind w:left="0" w:right="0" w:firstLine="0"/>
              <w:jc w:val="center"/>
            </w:pPr>
            <w:r>
              <w:t>0,48</w:t>
            </w:r>
          </w:p>
        </w:tc>
      </w:tr>
      <w:tr>
        <w:tc>
          <w:tcPr>
            <w:tcW w:type="dxa" w:w="1045"/>
            <w:shd w:val="clear" w:color="auto" w:fill="auto"/>
            <w:tcBorders>
              <w:top w:val="nil"/>
              <w:left w:val="nil"/>
              <w:bottom w:val="nil"/>
              <w:right w:val="nil"/>
            </w:tcBorders>
          </w:tcPr>
          <w:p>
            <w:pPr>
              <w:ind w:left="0" w:right="0" w:firstLine="0"/>
              <w:jc w:val="center"/>
            </w:pPr>
            <w:r>
              <w:t>h=5</w:t>
            </w:r>
          </w:p>
        </w:tc>
        <w:tc>
          <w:tcPr>
            <w:tcW w:type="dxa" w:w="1045"/>
            <w:shd w:val="clear" w:color="auto" w:fill="auto"/>
            <w:tcBorders>
              <w:top w:val="nil"/>
              <w:left w:val="nil"/>
              <w:bottom w:val="nil"/>
              <w:right w:val="nil"/>
            </w:tcBorders>
          </w:tcPr>
          <w:p>
            <w:pPr>
              <w:ind w:left="0" w:right="0" w:firstLine="0"/>
              <w:jc w:val="center"/>
            </w:pPr>
            <w:r>
              <w:t>0,000</w:t>
            </w:r>
          </w:p>
        </w:tc>
        <w:tc>
          <w:tcPr>
            <w:tcW w:type="dxa" w:w="1045"/>
            <w:shd w:val="clear" w:color="auto" w:fill="auto"/>
            <w:tcBorders>
              <w:top w:val="nil"/>
              <w:left w:val="nil"/>
              <w:bottom w:val="nil"/>
              <w:right w:val="nil"/>
            </w:tcBorders>
          </w:tcPr>
          <w:p>
            <w:pPr>
              <w:ind w:left="0" w:right="0" w:firstLine="0"/>
              <w:jc w:val="center"/>
            </w:pPr>
            <w:r>
              <w:t>0,01</w:t>
            </w:r>
          </w:p>
        </w:tc>
        <w:tc>
          <w:tcPr>
            <w:tcW w:type="dxa" w:w="1045"/>
            <w:shd w:val="clear" w:color="auto" w:fill="auto"/>
            <w:tcBorders>
              <w:top w:val="nil"/>
              <w:left w:val="nil"/>
              <w:bottom w:val="nil"/>
              <w:right w:val="nil"/>
            </w:tcBorders>
          </w:tcPr>
          <w:p>
            <w:pPr>
              <w:ind w:left="0" w:right="0" w:firstLine="0"/>
              <w:jc w:val="center"/>
            </w:pPr>
            <w:r>
              <w:t>0,049</w:t>
            </w:r>
          </w:p>
        </w:tc>
        <w:tc>
          <w:tcPr>
            <w:tcW w:type="dxa" w:w="1045"/>
            <w:shd w:val="clear" w:color="auto" w:fill="auto"/>
            <w:tcBorders>
              <w:top w:val="nil"/>
              <w:left w:val="nil"/>
              <w:bottom w:val="nil"/>
              <w:right w:val="nil"/>
            </w:tcBorders>
          </w:tcPr>
          <w:p>
            <w:pPr>
              <w:ind w:left="0" w:right="0" w:firstLine="0"/>
              <w:jc w:val="center"/>
            </w:pPr>
            <w:r>
              <w:t>1,45</w:t>
            </w:r>
          </w:p>
        </w:tc>
        <w:tc>
          <w:tcPr>
            <w:tcW w:type="dxa" w:w="1045"/>
            <w:shd w:val="clear" w:color="auto" w:fill="auto"/>
            <w:tcBorders>
              <w:top w:val="nil"/>
              <w:left w:val="nil"/>
              <w:bottom w:val="nil"/>
              <w:right w:val="nil"/>
            </w:tcBorders>
          </w:tcPr>
          <w:p>
            <w:pPr>
              <w:ind w:left="0" w:right="0" w:firstLine="0"/>
              <w:jc w:val="center"/>
            </w:pPr>
            <w:r>
              <w:t>0,052</w:t>
            </w:r>
          </w:p>
        </w:tc>
        <w:tc>
          <w:tcPr>
            <w:tcW w:type="dxa" w:w="1045"/>
            <w:shd w:val="clear" w:color="auto" w:fill="auto"/>
            <w:tcBorders>
              <w:top w:val="nil"/>
              <w:left w:val="nil"/>
              <w:bottom w:val="nil"/>
              <w:right w:val="nil"/>
            </w:tcBorders>
          </w:tcPr>
          <w:p>
            <w:pPr>
              <w:ind w:left="0" w:right="0" w:firstLine="0"/>
              <w:jc w:val="center"/>
            </w:pPr>
            <w:r>
              <w:t>1,89*</w:t>
            </w:r>
          </w:p>
        </w:tc>
        <w:tc>
          <w:tcPr>
            <w:tcW w:type="dxa" w:w="1045"/>
            <w:shd w:val="clear" w:color="auto" w:fill="auto"/>
            <w:tcBorders>
              <w:top w:val="nil"/>
              <w:left w:val="nil"/>
              <w:bottom w:val="nil"/>
              <w:right w:val="nil"/>
            </w:tcBorders>
          </w:tcPr>
          <w:p>
            <w:pPr>
              <w:ind w:left="0" w:right="0" w:firstLine="0"/>
              <w:jc w:val="center"/>
            </w:pPr>
            <w:r>
              <w:t>0,005</w:t>
            </w:r>
          </w:p>
        </w:tc>
        <w:tc>
          <w:tcPr>
            <w:tcW w:type="dxa" w:w="1045"/>
            <w:shd w:val="clear" w:color="auto" w:fill="auto"/>
            <w:tcBorders>
              <w:top w:val="nil"/>
              <w:left w:val="nil"/>
              <w:bottom w:val="nil"/>
              <w:right w:val="nil"/>
            </w:tcBorders>
          </w:tcPr>
          <w:p>
            <w:pPr>
              <w:ind w:left="0" w:right="0" w:firstLine="0"/>
              <w:jc w:val="center"/>
            </w:pPr>
            <w:r>
              <w:t>0,36</w:t>
            </w:r>
          </w:p>
        </w:tc>
      </w:tr>
      <w:tr>
        <w:tc>
          <w:tcPr>
            <w:tcW w:type="dxa" w:w="1045"/>
            <w:shd w:val="clear" w:color="auto" w:fill="auto"/>
            <w:tcBorders>
              <w:top w:val="nil"/>
              <w:left w:val="nil"/>
              <w:bottom w:sz="12" w:val="single" w:color="000000"/>
              <w:right w:val="nil"/>
            </w:tcBorders>
          </w:tcPr>
          <w:p>
            <w:pPr>
              <w:ind w:left="0" w:right="0" w:firstLine="0"/>
              <w:jc w:val="center"/>
            </w:pPr>
            <w:r>
              <w:t>h=6</w:t>
            </w:r>
          </w:p>
        </w:tc>
        <w:tc>
          <w:tcPr>
            <w:tcW w:type="dxa" w:w="1045"/>
            <w:shd w:val="clear" w:color="auto" w:fill="auto"/>
            <w:tcBorders>
              <w:top w:val="nil"/>
              <w:left w:val="nil"/>
              <w:bottom w:sz="12" w:val="single" w:color="000000"/>
              <w:right w:val="nil"/>
            </w:tcBorders>
          </w:tcPr>
          <w:p>
            <w:pPr>
              <w:ind w:left="0" w:right="0" w:firstLine="0"/>
              <w:jc w:val="center"/>
            </w:pPr>
            <w:r>
              <w:t>-0,019</w:t>
            </w:r>
          </w:p>
        </w:tc>
        <w:tc>
          <w:tcPr>
            <w:tcW w:type="dxa" w:w="1045"/>
            <w:shd w:val="clear" w:color="auto" w:fill="auto"/>
            <w:tcBorders>
              <w:top w:val="nil"/>
              <w:left w:val="nil"/>
              <w:bottom w:sz="12" w:val="single" w:color="000000"/>
              <w:right w:val="nil"/>
            </w:tcBorders>
          </w:tcPr>
          <w:p>
            <w:pPr>
              <w:ind w:left="0" w:right="0" w:firstLine="0"/>
              <w:jc w:val="center"/>
            </w:pPr>
            <w:r>
              <w:t>-0,45</w:t>
            </w:r>
          </w:p>
        </w:tc>
        <w:tc>
          <w:tcPr>
            <w:tcW w:type="dxa" w:w="1045"/>
            <w:shd w:val="clear" w:color="auto" w:fill="auto"/>
            <w:tcBorders>
              <w:top w:val="nil"/>
              <w:left w:val="nil"/>
              <w:bottom w:sz="12" w:val="single" w:color="000000"/>
              <w:right w:val="nil"/>
            </w:tcBorders>
          </w:tcPr>
          <w:p>
            <w:pPr>
              <w:ind w:left="0" w:right="0" w:firstLine="0"/>
              <w:jc w:val="center"/>
            </w:pPr>
            <w:r>
              <w:t>0,025</w:t>
            </w:r>
          </w:p>
        </w:tc>
        <w:tc>
          <w:tcPr>
            <w:tcW w:type="dxa" w:w="1045"/>
            <w:shd w:val="clear" w:color="auto" w:fill="auto"/>
            <w:tcBorders>
              <w:top w:val="nil"/>
              <w:left w:val="nil"/>
              <w:bottom w:sz="12" w:val="single" w:color="000000"/>
              <w:right w:val="nil"/>
            </w:tcBorders>
          </w:tcPr>
          <w:p>
            <w:pPr>
              <w:ind w:left="0" w:right="0" w:firstLine="0"/>
              <w:jc w:val="center"/>
            </w:pPr>
            <w:r>
              <w:t>0,65</w:t>
            </w:r>
          </w:p>
        </w:tc>
        <w:tc>
          <w:tcPr>
            <w:tcW w:type="dxa" w:w="1045"/>
            <w:shd w:val="clear" w:color="auto" w:fill="auto"/>
            <w:tcBorders>
              <w:top w:val="nil"/>
              <w:left w:val="nil"/>
              <w:bottom w:sz="12" w:val="single" w:color="000000"/>
              <w:right w:val="nil"/>
            </w:tcBorders>
          </w:tcPr>
          <w:p>
            <w:pPr>
              <w:ind w:left="0" w:right="0" w:firstLine="0"/>
              <w:jc w:val="center"/>
            </w:pPr>
            <w:r>
              <w:t>0,040</w:t>
            </w:r>
          </w:p>
        </w:tc>
        <w:tc>
          <w:tcPr>
            <w:tcW w:type="dxa" w:w="1045"/>
            <w:shd w:val="clear" w:color="auto" w:fill="auto"/>
            <w:tcBorders>
              <w:top w:val="nil"/>
              <w:left w:val="nil"/>
              <w:bottom w:sz="12" w:val="single" w:color="000000"/>
              <w:right w:val="nil"/>
            </w:tcBorders>
          </w:tcPr>
          <w:p>
            <w:pPr>
              <w:ind w:left="0" w:right="0" w:firstLine="0"/>
              <w:jc w:val="center"/>
            </w:pPr>
            <w:r>
              <w:t>1,27</w:t>
            </w:r>
          </w:p>
        </w:tc>
        <w:tc>
          <w:tcPr>
            <w:tcW w:type="dxa" w:w="1045"/>
            <w:shd w:val="clear" w:color="auto" w:fill="auto"/>
            <w:tcBorders>
              <w:top w:val="nil"/>
              <w:left w:val="nil"/>
              <w:bottom w:sz="12" w:val="single" w:color="000000"/>
              <w:right w:val="nil"/>
            </w:tcBorders>
          </w:tcPr>
          <w:p>
            <w:pPr>
              <w:ind w:left="0" w:right="0" w:firstLine="0"/>
              <w:jc w:val="center"/>
            </w:pPr>
            <w:r>
              <w:t>0,004</w:t>
            </w:r>
          </w:p>
        </w:tc>
        <w:tc>
          <w:tcPr>
            <w:tcW w:type="dxa" w:w="1045"/>
            <w:shd w:val="clear" w:color="auto" w:fill="auto"/>
            <w:tcBorders>
              <w:top w:val="nil"/>
              <w:left w:val="nil"/>
              <w:bottom w:sz="12" w:val="single" w:color="000000"/>
              <w:right w:val="nil"/>
            </w:tcBorders>
          </w:tcPr>
          <w:p>
            <w:pPr>
              <w:ind w:left="0" w:right="0" w:firstLine="0"/>
              <w:jc w:val="center"/>
            </w:pPr>
            <w:r>
              <w:t>0,22</w:t>
            </w:r>
          </w:p>
        </w:tc>
      </w:tr>
    </w:tbl>
    <w:p>
      <w:pPr/>
      <w:r>
        <w:rPr>
          <w:i/>
        </w:rPr>
        <w:t>Nota: ** significativo a 5%; * significativo a 10%. Fonte: elaboracao propria.</w:t>
      </w:r>
    </w:p>
    <w:p>
      <w:pPr/>
      <w:r>
        <w:rPr>
          <w:b/>
        </w:rPr>
        <w:t>Figura 1 - Resposta acumulada da Gasolina C sobre o IPCA Geral (Projecoes Locais)</w:t>
      </w:r>
    </w:p>
    <w:p>
      <w:pPr>
        <w:jc w:val="center"/>
      </w:pPr>
      <w:r>
        <w:drawing>
          <wp:inline xmlns:a="http://schemas.openxmlformats.org/drawingml/2006/main" xmlns:pic="http://schemas.openxmlformats.org/drawingml/2006/picture">
            <wp:extent cx="4572000" cy="2821706"/>
            <wp:docPr id="24" name="Picture 24"/>
            <wp:cNvGraphicFramePr>
              <a:graphicFrameLocks noChangeAspect="1"/>
            </wp:cNvGraphicFramePr>
            <a:graphic>
              <a:graphicData uri="http://schemas.openxmlformats.org/drawingml/2006/picture">
                <pic:pic>
                  <pic:nvPicPr>
                    <pic:cNvPr id="0" name="lp_gasolina_geral.png"/>
                    <pic:cNvPicPr/>
                  </pic:nvPicPr>
                  <pic:blipFill>
                    <a:blip r:embed="rId39"/>
                    <a:stretch>
                      <a:fillRect/>
                    </a:stretch>
                  </pic:blipFill>
                  <pic:spPr>
                    <a:xfrm>
                      <a:off x="0" y="0"/>
                      <a:ext cx="4572000" cy="2821706"/>
                    </a:xfrm>
                    <a:prstGeom prst="rect"/>
                  </pic:spPr>
                </pic:pic>
              </a:graphicData>
            </a:graphic>
          </wp:inline>
        </w:drawing>
      </w:r>
    </w:p>
    <w:p>
      <w:pPr/>
      <w:r>
        <w:rPr>
          <w:i/>
        </w:rPr>
        <w:t>Fonte: elaboracao propria. Area sombreada = IC 95% (erros-padrao HAC).</w:t>
      </w:r>
    </w:p>
    <w:p>
      <w:pPr/>
      <w:r>
        <w:rPr>
          <w:b/>
        </w:rPr>
        <w:t>Figura 2 - Resposta acumulada do Oleo Diesel sobre o IPCA Geral (Projecoes Locais)</w:t>
      </w:r>
    </w:p>
    <w:p>
      <w:pPr>
        <w:jc w:val="center"/>
      </w:pPr>
      <w:r>
        <w:drawing>
          <wp:inline xmlns:a="http://schemas.openxmlformats.org/drawingml/2006/main" xmlns:pic="http://schemas.openxmlformats.org/drawingml/2006/picture">
            <wp:extent cx="4572000" cy="2828141"/>
            <wp:docPr id="25" name="Picture 25"/>
            <wp:cNvGraphicFramePr>
              <a:graphicFrameLocks noChangeAspect="1"/>
            </wp:cNvGraphicFramePr>
            <a:graphic>
              <a:graphicData uri="http://schemas.openxmlformats.org/drawingml/2006/picture">
                <pic:pic>
                  <pic:nvPicPr>
                    <pic:cNvPr id="0" name="lp_diesel_geral.png"/>
                    <pic:cNvPicPr/>
                  </pic:nvPicPr>
                  <pic:blipFill>
                    <a:blip r:embed="rId40"/>
                    <a:stretch>
                      <a:fillRect/>
                    </a:stretch>
                  </pic:blipFill>
                  <pic:spPr>
                    <a:xfrm>
                      <a:off x="0" y="0"/>
                      <a:ext cx="4572000" cy="2828141"/>
                    </a:xfrm>
                    <a:prstGeom prst="rect"/>
                  </pic:spPr>
                </pic:pic>
              </a:graphicData>
            </a:graphic>
          </wp:inline>
        </w:drawing>
      </w:r>
    </w:p>
    <w:p>
      <w:pPr/>
      <w:r>
        <w:rPr>
          <w:i/>
        </w:rPr>
        <w:t>Fonte: elaboracao propria. Area sombreada = IC 95% (erros-padrao HAC).</w:t>
      </w:r>
    </w:p>
    <w:p>
      <w:pPr>
        <w:pStyle w:val="Heading2"/>
      </w:pPr>
      <w:r>
        <w:t>5.3 Efeito dos combustiveis sobre o IPCA Transportes</w:t>
      </w:r>
    </w:p>
    <w:p>
      <w:pPr/>
      <w:r>
        <w:t>O resultado mais forte e central deste trabalho esta neste bloco. O IPCA Transportes concentra diretamente os precos de gasolina, etanol e passagens na cesta do consumidor. A Tabela 3 apresenta as respostas acumuladas estimadas pelas Projecoes Locais para todos os combustiveis. A Gasolina C apresenta um pass-through medio de aproximadamente 43% ao IPCA Transportes em doze meses, com estatisticas-t superiores a 3,6 em todo o horizonte. A Gasolina A (refinaria), que nao compoe diretamente o IPCA Transportes, tambem gera resposta significativa e persistente, evidenciando que o choque se propaga ao longo de toda a cadeia upstream-downstream. O Etanol e significativo em todos os horizontes estimados (t &gt; 4,0 ate h=6). O Diesel concentra seu impacto nos dois primeiros meses, refletindo o canal do transporte coletivo com tarifas administradas. As Figuras 3 e 4 apresentam as funcoes de resposta acumulada para Gasolina C e Diesel, respectivamente.</w:t>
      </w:r>
    </w:p>
    <w:p>
      <w:pPr/>
      <w:r>
        <w:rPr>
          <w:b/>
        </w:rPr>
        <w:t>Tabela 3 - Respostas acumuladas dos combustiveis sobre o IPCA Transportes (Projecoes Locais, HAC)</w:t>
      </w:r>
    </w:p>
    <w:tbl>
      <w:tblPr>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val="clear" w:color="auto" w:fill="auto"/>
            <w:tcBorders>
              <w:top w:sz="12" w:val="single" w:color="000000"/>
              <w:left w:val="nil"/>
              <w:bottom w:sz="4" w:val="single" w:color="000000"/>
              <w:right w:val="nil"/>
            </w:tcBorders>
          </w:tcPr>
          <w:p>
            <w:pPr>
              <w:ind w:left="0" w:right="0" w:firstLine="0"/>
              <w:jc w:val="center"/>
            </w:pPr>
            <w:r>
              <w:t>Horizonte</w:t>
            </w:r>
          </w:p>
        </w:tc>
        <w:tc>
          <w:tcPr>
            <w:tcW w:type="dxa" w:w="1045"/>
            <w:shd w:val="clear" w:color="auto" w:fill="auto"/>
            <w:tcBorders>
              <w:top w:sz="12" w:val="single" w:color="000000"/>
              <w:left w:val="nil"/>
              <w:bottom w:sz="4" w:val="single" w:color="000000"/>
              <w:right w:val="nil"/>
            </w:tcBorders>
          </w:tcPr>
          <w:p>
            <w:pPr>
              <w:ind w:left="0" w:right="0" w:firstLine="0"/>
              <w:jc w:val="center"/>
            </w:pPr>
            <w:r>
              <w:t>Diesel</w:t>
            </w:r>
          </w:p>
        </w:tc>
        <w:tc>
          <w:tcPr>
            <w:tcW w:type="dxa" w:w="1045"/>
            <w:shd w:val="clear" w:color="auto" w:fill="auto"/>
            <w:tcBorders>
              <w:top w:sz="12" w:val="single" w:color="000000"/>
              <w:left w:val="nil"/>
              <w:bottom w:sz="4" w:val="single" w:color="000000"/>
              <w:right w:val="nil"/>
            </w:tcBorders>
          </w:tcPr>
          <w:p>
            <w:pPr>
              <w:ind w:left="0" w:right="0" w:firstLine="0"/>
              <w:jc w:val="center"/>
            </w:pPr>
            <w:r>
              <w:t>t</w:t>
            </w:r>
          </w:p>
        </w:tc>
        <w:tc>
          <w:tcPr>
            <w:tcW w:type="dxa" w:w="1045"/>
            <w:shd w:val="clear" w:color="auto" w:fill="auto"/>
            <w:tcBorders>
              <w:top w:sz="12" w:val="single" w:color="000000"/>
              <w:left w:val="nil"/>
              <w:bottom w:sz="4" w:val="single" w:color="000000"/>
              <w:right w:val="nil"/>
            </w:tcBorders>
          </w:tcPr>
          <w:p>
            <w:pPr>
              <w:ind w:left="0" w:right="0" w:firstLine="0"/>
              <w:jc w:val="center"/>
            </w:pPr>
            <w:r>
              <w:t>Gasolina A</w:t>
            </w:r>
          </w:p>
        </w:tc>
        <w:tc>
          <w:tcPr>
            <w:tcW w:type="dxa" w:w="1045"/>
            <w:shd w:val="clear" w:color="auto" w:fill="auto"/>
            <w:tcBorders>
              <w:top w:sz="12" w:val="single" w:color="000000"/>
              <w:left w:val="nil"/>
              <w:bottom w:sz="4" w:val="single" w:color="000000"/>
              <w:right w:val="nil"/>
            </w:tcBorders>
          </w:tcPr>
          <w:p>
            <w:pPr>
              <w:ind w:left="0" w:right="0" w:firstLine="0"/>
              <w:jc w:val="center"/>
            </w:pPr>
            <w:r>
              <w:t>t</w:t>
            </w:r>
          </w:p>
        </w:tc>
        <w:tc>
          <w:tcPr>
            <w:tcW w:type="dxa" w:w="1045"/>
            <w:shd w:val="clear" w:color="auto" w:fill="auto"/>
            <w:tcBorders>
              <w:top w:sz="12" w:val="single" w:color="000000"/>
              <w:left w:val="nil"/>
              <w:bottom w:sz="4" w:val="single" w:color="000000"/>
              <w:right w:val="nil"/>
            </w:tcBorders>
          </w:tcPr>
          <w:p>
            <w:pPr>
              <w:ind w:left="0" w:right="0" w:firstLine="0"/>
              <w:jc w:val="center"/>
            </w:pPr>
            <w:r>
              <w:t>Gasolina C</w:t>
            </w:r>
          </w:p>
        </w:tc>
        <w:tc>
          <w:tcPr>
            <w:tcW w:type="dxa" w:w="1045"/>
            <w:shd w:val="clear" w:color="auto" w:fill="auto"/>
            <w:tcBorders>
              <w:top w:sz="12" w:val="single" w:color="000000"/>
              <w:left w:val="nil"/>
              <w:bottom w:sz="4" w:val="single" w:color="000000"/>
              <w:right w:val="nil"/>
            </w:tcBorders>
          </w:tcPr>
          <w:p>
            <w:pPr>
              <w:ind w:left="0" w:right="0" w:firstLine="0"/>
              <w:jc w:val="center"/>
            </w:pPr>
            <w:r>
              <w:t>t</w:t>
            </w:r>
          </w:p>
        </w:tc>
        <w:tc>
          <w:tcPr>
            <w:tcW w:type="dxa" w:w="1045"/>
            <w:shd w:val="clear" w:color="auto" w:fill="auto"/>
            <w:tcBorders>
              <w:top w:sz="12" w:val="single" w:color="000000"/>
              <w:left w:val="nil"/>
              <w:bottom w:sz="4" w:val="single" w:color="000000"/>
              <w:right w:val="nil"/>
            </w:tcBorders>
          </w:tcPr>
          <w:p>
            <w:pPr>
              <w:ind w:left="0" w:right="0" w:firstLine="0"/>
              <w:jc w:val="center"/>
            </w:pPr>
            <w:r>
              <w:t>Etanol</w:t>
            </w:r>
          </w:p>
        </w:tc>
        <w:tc>
          <w:tcPr>
            <w:tcW w:type="dxa" w:w="1045"/>
            <w:shd w:val="clear" w:color="auto" w:fill="auto"/>
            <w:tcBorders>
              <w:top w:sz="12" w:val="single" w:color="000000"/>
              <w:left w:val="nil"/>
              <w:bottom w:sz="4" w:val="single" w:color="000000"/>
              <w:right w:val="nil"/>
            </w:tcBorders>
          </w:tcPr>
          <w:p>
            <w:pPr>
              <w:ind w:left="0" w:right="0" w:firstLine="0"/>
              <w:jc w:val="center"/>
            </w:pPr>
            <w:r>
              <w:t>t</w:t>
            </w:r>
          </w:p>
        </w:tc>
      </w:tr>
      <w:tr>
        <w:tc>
          <w:tcPr>
            <w:tcW w:type="dxa" w:w="1045"/>
            <w:shd w:val="clear" w:color="auto" w:fill="auto"/>
            <w:tcBorders>
              <w:top w:val="nil"/>
              <w:left w:val="nil"/>
              <w:bottom w:val="nil"/>
              <w:right w:val="nil"/>
            </w:tcBorders>
          </w:tcPr>
          <w:p>
            <w:pPr>
              <w:ind w:left="0" w:right="0" w:firstLine="0"/>
              <w:jc w:val="center"/>
            </w:pPr>
            <w:r>
              <w:t>h=0</w:t>
            </w:r>
          </w:p>
        </w:tc>
        <w:tc>
          <w:tcPr>
            <w:tcW w:type="dxa" w:w="1045"/>
            <w:shd w:val="clear" w:color="auto" w:fill="auto"/>
            <w:tcBorders>
              <w:top w:val="nil"/>
              <w:left w:val="nil"/>
              <w:bottom w:val="nil"/>
              <w:right w:val="nil"/>
            </w:tcBorders>
          </w:tcPr>
          <w:p>
            <w:pPr>
              <w:ind w:left="0" w:right="0" w:firstLine="0"/>
              <w:jc w:val="center"/>
            </w:pPr>
            <w:r>
              <w:t>0,115</w:t>
            </w:r>
          </w:p>
        </w:tc>
        <w:tc>
          <w:tcPr>
            <w:tcW w:type="dxa" w:w="1045"/>
            <w:shd w:val="clear" w:color="auto" w:fill="auto"/>
            <w:tcBorders>
              <w:top w:val="nil"/>
              <w:left w:val="nil"/>
              <w:bottom w:val="nil"/>
              <w:right w:val="nil"/>
            </w:tcBorders>
          </w:tcPr>
          <w:p>
            <w:pPr>
              <w:ind w:left="0" w:right="0" w:firstLine="0"/>
              <w:jc w:val="center"/>
            </w:pPr>
            <w:r>
              <w:t>3,39**</w:t>
            </w:r>
          </w:p>
        </w:tc>
        <w:tc>
          <w:tcPr>
            <w:tcW w:type="dxa" w:w="1045"/>
            <w:shd w:val="clear" w:color="auto" w:fill="auto"/>
            <w:tcBorders>
              <w:top w:val="nil"/>
              <w:left w:val="nil"/>
              <w:bottom w:val="nil"/>
              <w:right w:val="nil"/>
            </w:tcBorders>
          </w:tcPr>
          <w:p>
            <w:pPr>
              <w:ind w:left="0" w:right="0" w:firstLine="0"/>
              <w:jc w:val="center"/>
            </w:pPr>
            <w:r>
              <w:t>0,154</w:t>
            </w:r>
          </w:p>
        </w:tc>
        <w:tc>
          <w:tcPr>
            <w:tcW w:type="dxa" w:w="1045"/>
            <w:shd w:val="clear" w:color="auto" w:fill="auto"/>
            <w:tcBorders>
              <w:top w:val="nil"/>
              <w:left w:val="nil"/>
              <w:bottom w:val="nil"/>
              <w:right w:val="nil"/>
            </w:tcBorders>
          </w:tcPr>
          <w:p>
            <w:pPr>
              <w:ind w:left="0" w:right="0" w:firstLine="0"/>
              <w:jc w:val="center"/>
            </w:pPr>
            <w:r>
              <w:t>4,39**</w:t>
            </w:r>
          </w:p>
        </w:tc>
        <w:tc>
          <w:tcPr>
            <w:tcW w:type="dxa" w:w="1045"/>
            <w:shd w:val="clear" w:color="auto" w:fill="auto"/>
            <w:tcBorders>
              <w:top w:val="nil"/>
              <w:left w:val="nil"/>
              <w:bottom w:val="nil"/>
              <w:right w:val="nil"/>
            </w:tcBorders>
          </w:tcPr>
          <w:p>
            <w:pPr>
              <w:ind w:left="0" w:right="0" w:firstLine="0"/>
              <w:jc w:val="center"/>
            </w:pPr>
            <w:r>
              <w:t>0,269</w:t>
            </w:r>
          </w:p>
        </w:tc>
        <w:tc>
          <w:tcPr>
            <w:tcW w:type="dxa" w:w="1045"/>
            <w:shd w:val="clear" w:color="auto" w:fill="auto"/>
            <w:tcBorders>
              <w:top w:val="nil"/>
              <w:left w:val="nil"/>
              <w:bottom w:val="nil"/>
              <w:right w:val="nil"/>
            </w:tcBorders>
          </w:tcPr>
          <w:p>
            <w:pPr>
              <w:ind w:left="0" w:right="0" w:firstLine="0"/>
              <w:jc w:val="center"/>
            </w:pPr>
            <w:r>
              <w:t>24,25**</w:t>
            </w:r>
          </w:p>
        </w:tc>
        <w:tc>
          <w:tcPr>
            <w:tcW w:type="dxa" w:w="1045"/>
            <w:shd w:val="clear" w:color="auto" w:fill="auto"/>
            <w:tcBorders>
              <w:top w:val="nil"/>
              <w:left w:val="nil"/>
              <w:bottom w:val="nil"/>
              <w:right w:val="nil"/>
            </w:tcBorders>
          </w:tcPr>
          <w:p>
            <w:pPr>
              <w:ind w:left="0" w:right="0" w:firstLine="0"/>
              <w:jc w:val="center"/>
            </w:pPr>
            <w:r>
              <w:t>0,098</w:t>
            </w:r>
          </w:p>
        </w:tc>
        <w:tc>
          <w:tcPr>
            <w:tcW w:type="dxa" w:w="1045"/>
            <w:shd w:val="clear" w:color="auto" w:fill="auto"/>
            <w:tcBorders>
              <w:top w:val="nil"/>
              <w:left w:val="nil"/>
              <w:bottom w:val="nil"/>
              <w:right w:val="nil"/>
            </w:tcBorders>
          </w:tcPr>
          <w:p>
            <w:pPr>
              <w:ind w:left="0" w:right="0" w:firstLine="0"/>
              <w:jc w:val="center"/>
            </w:pPr>
            <w:r>
              <w:t>10,29**</w:t>
            </w:r>
          </w:p>
        </w:tc>
      </w:tr>
      <w:tr>
        <w:tc>
          <w:tcPr>
            <w:tcW w:type="dxa" w:w="1045"/>
            <w:shd w:val="clear" w:color="auto" w:fill="auto"/>
            <w:tcBorders>
              <w:top w:val="nil"/>
              <w:left w:val="nil"/>
              <w:bottom w:val="nil"/>
              <w:right w:val="nil"/>
            </w:tcBorders>
          </w:tcPr>
          <w:p>
            <w:pPr>
              <w:ind w:left="0" w:right="0" w:firstLine="0"/>
              <w:jc w:val="center"/>
            </w:pPr>
            <w:r>
              <w:t>h=1</w:t>
            </w:r>
          </w:p>
        </w:tc>
        <w:tc>
          <w:tcPr>
            <w:tcW w:type="dxa" w:w="1045"/>
            <w:shd w:val="clear" w:color="auto" w:fill="auto"/>
            <w:tcBorders>
              <w:top w:val="nil"/>
              <w:left w:val="nil"/>
              <w:bottom w:val="nil"/>
              <w:right w:val="nil"/>
            </w:tcBorders>
          </w:tcPr>
          <w:p>
            <w:pPr>
              <w:ind w:left="0" w:right="0" w:firstLine="0"/>
              <w:jc w:val="center"/>
            </w:pPr>
            <w:r>
              <w:t>0,166</w:t>
            </w:r>
          </w:p>
        </w:tc>
        <w:tc>
          <w:tcPr>
            <w:tcW w:type="dxa" w:w="1045"/>
            <w:shd w:val="clear" w:color="auto" w:fill="auto"/>
            <w:tcBorders>
              <w:top w:val="nil"/>
              <w:left w:val="nil"/>
              <w:bottom w:val="nil"/>
              <w:right w:val="nil"/>
            </w:tcBorders>
          </w:tcPr>
          <w:p>
            <w:pPr>
              <w:ind w:left="0" w:right="0" w:firstLine="0"/>
              <w:jc w:val="center"/>
            </w:pPr>
            <w:r>
              <w:t>2,95**</w:t>
            </w:r>
          </w:p>
        </w:tc>
        <w:tc>
          <w:tcPr>
            <w:tcW w:type="dxa" w:w="1045"/>
            <w:shd w:val="clear" w:color="auto" w:fill="auto"/>
            <w:tcBorders>
              <w:top w:val="nil"/>
              <w:left w:val="nil"/>
              <w:bottom w:val="nil"/>
              <w:right w:val="nil"/>
            </w:tcBorders>
          </w:tcPr>
          <w:p>
            <w:pPr>
              <w:ind w:left="0" w:right="0" w:firstLine="0"/>
              <w:jc w:val="center"/>
            </w:pPr>
            <w:r>
              <w:t>0,295</w:t>
            </w:r>
          </w:p>
        </w:tc>
        <w:tc>
          <w:tcPr>
            <w:tcW w:type="dxa" w:w="1045"/>
            <w:shd w:val="clear" w:color="auto" w:fill="auto"/>
            <w:tcBorders>
              <w:top w:val="nil"/>
              <w:left w:val="nil"/>
              <w:bottom w:val="nil"/>
              <w:right w:val="nil"/>
            </w:tcBorders>
          </w:tcPr>
          <w:p>
            <w:pPr>
              <w:ind w:left="0" w:right="0" w:firstLine="0"/>
              <w:jc w:val="center"/>
            </w:pPr>
            <w:r>
              <w:t>4,85**</w:t>
            </w:r>
          </w:p>
        </w:tc>
        <w:tc>
          <w:tcPr>
            <w:tcW w:type="dxa" w:w="1045"/>
            <w:shd w:val="clear" w:color="auto" w:fill="auto"/>
            <w:tcBorders>
              <w:top w:val="nil"/>
              <w:left w:val="nil"/>
              <w:bottom w:val="nil"/>
              <w:right w:val="nil"/>
            </w:tcBorders>
          </w:tcPr>
          <w:p>
            <w:pPr>
              <w:ind w:left="0" w:right="0" w:firstLine="0"/>
              <w:jc w:val="center"/>
            </w:pPr>
            <w:r>
              <w:t>0,397</w:t>
            </w:r>
          </w:p>
        </w:tc>
        <w:tc>
          <w:tcPr>
            <w:tcW w:type="dxa" w:w="1045"/>
            <w:shd w:val="clear" w:color="auto" w:fill="auto"/>
            <w:tcBorders>
              <w:top w:val="nil"/>
              <w:left w:val="nil"/>
              <w:bottom w:val="nil"/>
              <w:right w:val="nil"/>
            </w:tcBorders>
          </w:tcPr>
          <w:p>
            <w:pPr>
              <w:ind w:left="0" w:right="0" w:firstLine="0"/>
              <w:jc w:val="center"/>
            </w:pPr>
            <w:r>
              <w:t>12,71**</w:t>
            </w:r>
          </w:p>
        </w:tc>
        <w:tc>
          <w:tcPr>
            <w:tcW w:type="dxa" w:w="1045"/>
            <w:shd w:val="clear" w:color="auto" w:fill="auto"/>
            <w:tcBorders>
              <w:top w:val="nil"/>
              <w:left w:val="nil"/>
              <w:bottom w:val="nil"/>
              <w:right w:val="nil"/>
            </w:tcBorders>
          </w:tcPr>
          <w:p>
            <w:pPr>
              <w:ind w:left="0" w:right="0" w:firstLine="0"/>
              <w:jc w:val="center"/>
            </w:pPr>
            <w:r>
              <w:t>0,139</w:t>
            </w:r>
          </w:p>
        </w:tc>
        <w:tc>
          <w:tcPr>
            <w:tcW w:type="dxa" w:w="1045"/>
            <w:shd w:val="clear" w:color="auto" w:fill="auto"/>
            <w:tcBorders>
              <w:top w:val="nil"/>
              <w:left w:val="nil"/>
              <w:bottom w:val="nil"/>
              <w:right w:val="nil"/>
            </w:tcBorders>
          </w:tcPr>
          <w:p>
            <w:pPr>
              <w:ind w:left="0" w:right="0" w:firstLine="0"/>
              <w:jc w:val="center"/>
            </w:pPr>
            <w:r>
              <w:t>7,99**</w:t>
            </w:r>
          </w:p>
        </w:tc>
      </w:tr>
      <w:tr>
        <w:tc>
          <w:tcPr>
            <w:tcW w:type="dxa" w:w="1045"/>
            <w:shd w:val="clear" w:color="auto" w:fill="auto"/>
            <w:tcBorders>
              <w:top w:val="nil"/>
              <w:left w:val="nil"/>
              <w:bottom w:val="nil"/>
              <w:right w:val="nil"/>
            </w:tcBorders>
          </w:tcPr>
          <w:p>
            <w:pPr>
              <w:ind w:left="0" w:right="0" w:firstLine="0"/>
              <w:jc w:val="center"/>
            </w:pPr>
            <w:r>
              <w:t>h=2</w:t>
            </w:r>
          </w:p>
        </w:tc>
        <w:tc>
          <w:tcPr>
            <w:tcW w:type="dxa" w:w="1045"/>
            <w:shd w:val="clear" w:color="auto" w:fill="auto"/>
            <w:tcBorders>
              <w:top w:val="nil"/>
              <w:left w:val="nil"/>
              <w:bottom w:val="nil"/>
              <w:right w:val="nil"/>
            </w:tcBorders>
          </w:tcPr>
          <w:p>
            <w:pPr>
              <w:ind w:left="0" w:right="0" w:firstLine="0"/>
              <w:jc w:val="center"/>
            </w:pPr>
            <w:r>
              <w:t>0,150</w:t>
            </w:r>
          </w:p>
        </w:tc>
        <w:tc>
          <w:tcPr>
            <w:tcW w:type="dxa" w:w="1045"/>
            <w:shd w:val="clear" w:color="auto" w:fill="auto"/>
            <w:tcBorders>
              <w:top w:val="nil"/>
              <w:left w:val="nil"/>
              <w:bottom w:val="nil"/>
              <w:right w:val="nil"/>
            </w:tcBorders>
          </w:tcPr>
          <w:p>
            <w:pPr>
              <w:ind w:left="0" w:right="0" w:firstLine="0"/>
              <w:jc w:val="center"/>
            </w:pPr>
            <w:r>
              <w:t>1,75*</w:t>
            </w:r>
          </w:p>
        </w:tc>
        <w:tc>
          <w:tcPr>
            <w:tcW w:type="dxa" w:w="1045"/>
            <w:shd w:val="clear" w:color="auto" w:fill="auto"/>
            <w:tcBorders>
              <w:top w:val="nil"/>
              <w:left w:val="nil"/>
              <w:bottom w:val="nil"/>
              <w:right w:val="nil"/>
            </w:tcBorders>
          </w:tcPr>
          <w:p>
            <w:pPr>
              <w:ind w:left="0" w:right="0" w:firstLine="0"/>
              <w:jc w:val="center"/>
            </w:pPr>
            <w:r>
              <w:t>0,321</w:t>
            </w:r>
          </w:p>
        </w:tc>
        <w:tc>
          <w:tcPr>
            <w:tcW w:type="dxa" w:w="1045"/>
            <w:shd w:val="clear" w:color="auto" w:fill="auto"/>
            <w:tcBorders>
              <w:top w:val="nil"/>
              <w:left w:val="nil"/>
              <w:bottom w:val="nil"/>
              <w:right w:val="nil"/>
            </w:tcBorders>
          </w:tcPr>
          <w:p>
            <w:pPr>
              <w:ind w:left="0" w:right="0" w:firstLine="0"/>
              <w:jc w:val="center"/>
            </w:pPr>
            <w:r>
              <w:t>3,52**</w:t>
            </w:r>
          </w:p>
        </w:tc>
        <w:tc>
          <w:tcPr>
            <w:tcW w:type="dxa" w:w="1045"/>
            <w:shd w:val="clear" w:color="auto" w:fill="auto"/>
            <w:tcBorders>
              <w:top w:val="nil"/>
              <w:left w:val="nil"/>
              <w:bottom w:val="nil"/>
              <w:right w:val="nil"/>
            </w:tcBorders>
          </w:tcPr>
          <w:p>
            <w:pPr>
              <w:ind w:left="0" w:right="0" w:firstLine="0"/>
              <w:jc w:val="center"/>
            </w:pPr>
            <w:r>
              <w:t>0,437</w:t>
            </w:r>
          </w:p>
        </w:tc>
        <w:tc>
          <w:tcPr>
            <w:tcW w:type="dxa" w:w="1045"/>
            <w:shd w:val="clear" w:color="auto" w:fill="auto"/>
            <w:tcBorders>
              <w:top w:val="nil"/>
              <w:left w:val="nil"/>
              <w:bottom w:val="nil"/>
              <w:right w:val="nil"/>
            </w:tcBorders>
          </w:tcPr>
          <w:p>
            <w:pPr>
              <w:ind w:left="0" w:right="0" w:firstLine="0"/>
              <w:jc w:val="center"/>
            </w:pPr>
            <w:r>
              <w:t>7,77**</w:t>
            </w:r>
          </w:p>
        </w:tc>
        <w:tc>
          <w:tcPr>
            <w:tcW w:type="dxa" w:w="1045"/>
            <w:shd w:val="clear" w:color="auto" w:fill="auto"/>
            <w:tcBorders>
              <w:top w:val="nil"/>
              <w:left w:val="nil"/>
              <w:bottom w:val="nil"/>
              <w:right w:val="nil"/>
            </w:tcBorders>
          </w:tcPr>
          <w:p>
            <w:pPr>
              <w:ind w:left="0" w:right="0" w:firstLine="0"/>
              <w:jc w:val="center"/>
            </w:pPr>
            <w:r>
              <w:t>0,137</w:t>
            </w:r>
          </w:p>
        </w:tc>
        <w:tc>
          <w:tcPr>
            <w:tcW w:type="dxa" w:w="1045"/>
            <w:shd w:val="clear" w:color="auto" w:fill="auto"/>
            <w:tcBorders>
              <w:top w:val="nil"/>
              <w:left w:val="nil"/>
              <w:bottom w:val="nil"/>
              <w:right w:val="nil"/>
            </w:tcBorders>
          </w:tcPr>
          <w:p>
            <w:pPr>
              <w:ind w:left="0" w:right="0" w:firstLine="0"/>
              <w:jc w:val="center"/>
            </w:pPr>
            <w:r>
              <w:t>5,14**</w:t>
            </w:r>
          </w:p>
        </w:tc>
      </w:tr>
      <w:tr>
        <w:tc>
          <w:tcPr>
            <w:tcW w:type="dxa" w:w="1045"/>
            <w:shd w:val="clear" w:color="auto" w:fill="auto"/>
            <w:tcBorders>
              <w:top w:val="nil"/>
              <w:left w:val="nil"/>
              <w:bottom w:val="nil"/>
              <w:right w:val="nil"/>
            </w:tcBorders>
          </w:tcPr>
          <w:p>
            <w:pPr>
              <w:ind w:left="0" w:right="0" w:firstLine="0"/>
              <w:jc w:val="center"/>
            </w:pPr>
            <w:r>
              <w:t>h=3</w:t>
            </w:r>
          </w:p>
        </w:tc>
        <w:tc>
          <w:tcPr>
            <w:tcW w:type="dxa" w:w="1045"/>
            <w:shd w:val="clear" w:color="auto" w:fill="auto"/>
            <w:tcBorders>
              <w:top w:val="nil"/>
              <w:left w:val="nil"/>
              <w:bottom w:val="nil"/>
              <w:right w:val="nil"/>
            </w:tcBorders>
          </w:tcPr>
          <w:p>
            <w:pPr>
              <w:ind w:left="0" w:right="0" w:firstLine="0"/>
              <w:jc w:val="center"/>
            </w:pPr>
            <w:r>
              <w:t>0,105</w:t>
            </w:r>
          </w:p>
        </w:tc>
        <w:tc>
          <w:tcPr>
            <w:tcW w:type="dxa" w:w="1045"/>
            <w:shd w:val="clear" w:color="auto" w:fill="auto"/>
            <w:tcBorders>
              <w:top w:val="nil"/>
              <w:left w:val="nil"/>
              <w:bottom w:val="nil"/>
              <w:right w:val="nil"/>
            </w:tcBorders>
          </w:tcPr>
          <w:p>
            <w:pPr>
              <w:ind w:left="0" w:right="0" w:firstLine="0"/>
              <w:jc w:val="center"/>
            </w:pPr>
            <w:r>
              <w:t>1,07</w:t>
            </w:r>
          </w:p>
        </w:tc>
        <w:tc>
          <w:tcPr>
            <w:tcW w:type="dxa" w:w="1045"/>
            <w:shd w:val="clear" w:color="auto" w:fill="auto"/>
            <w:tcBorders>
              <w:top w:val="nil"/>
              <w:left w:val="nil"/>
              <w:bottom w:val="nil"/>
              <w:right w:val="nil"/>
            </w:tcBorders>
          </w:tcPr>
          <w:p>
            <w:pPr>
              <w:ind w:left="0" w:right="0" w:firstLine="0"/>
              <w:jc w:val="center"/>
            </w:pPr>
            <w:r>
              <w:t>0,353</w:t>
            </w:r>
          </w:p>
        </w:tc>
        <w:tc>
          <w:tcPr>
            <w:tcW w:type="dxa" w:w="1045"/>
            <w:shd w:val="clear" w:color="auto" w:fill="auto"/>
            <w:tcBorders>
              <w:top w:val="nil"/>
              <w:left w:val="nil"/>
              <w:bottom w:val="nil"/>
              <w:right w:val="nil"/>
            </w:tcBorders>
          </w:tcPr>
          <w:p>
            <w:pPr>
              <w:ind w:left="0" w:right="0" w:firstLine="0"/>
              <w:jc w:val="center"/>
            </w:pPr>
            <w:r>
              <w:t>3,85**</w:t>
            </w:r>
          </w:p>
        </w:tc>
        <w:tc>
          <w:tcPr>
            <w:tcW w:type="dxa" w:w="1045"/>
            <w:shd w:val="clear" w:color="auto" w:fill="auto"/>
            <w:tcBorders>
              <w:top w:val="nil"/>
              <w:left w:val="nil"/>
              <w:bottom w:val="nil"/>
              <w:right w:val="nil"/>
            </w:tcBorders>
          </w:tcPr>
          <w:p>
            <w:pPr>
              <w:ind w:left="0" w:right="0" w:firstLine="0"/>
              <w:jc w:val="center"/>
            </w:pPr>
            <w:r>
              <w:t>0,434</w:t>
            </w:r>
          </w:p>
        </w:tc>
        <w:tc>
          <w:tcPr>
            <w:tcW w:type="dxa" w:w="1045"/>
            <w:shd w:val="clear" w:color="auto" w:fill="auto"/>
            <w:tcBorders>
              <w:top w:val="nil"/>
              <w:left w:val="nil"/>
              <w:bottom w:val="nil"/>
              <w:right w:val="nil"/>
            </w:tcBorders>
          </w:tcPr>
          <w:p>
            <w:pPr>
              <w:ind w:left="0" w:right="0" w:firstLine="0"/>
              <w:jc w:val="center"/>
            </w:pPr>
            <w:r>
              <w:t>6,84**</w:t>
            </w:r>
          </w:p>
        </w:tc>
        <w:tc>
          <w:tcPr>
            <w:tcW w:type="dxa" w:w="1045"/>
            <w:shd w:val="clear" w:color="auto" w:fill="auto"/>
            <w:tcBorders>
              <w:top w:val="nil"/>
              <w:left w:val="nil"/>
              <w:bottom w:val="nil"/>
              <w:right w:val="nil"/>
            </w:tcBorders>
          </w:tcPr>
          <w:p>
            <w:pPr>
              <w:ind w:left="0" w:right="0" w:firstLine="0"/>
              <w:jc w:val="center"/>
            </w:pPr>
            <w:r>
              <w:t>0,129</w:t>
            </w:r>
          </w:p>
        </w:tc>
        <w:tc>
          <w:tcPr>
            <w:tcW w:type="dxa" w:w="1045"/>
            <w:shd w:val="clear" w:color="auto" w:fill="auto"/>
            <w:tcBorders>
              <w:top w:val="nil"/>
              <w:left w:val="nil"/>
              <w:bottom w:val="nil"/>
              <w:right w:val="nil"/>
            </w:tcBorders>
          </w:tcPr>
          <w:p>
            <w:pPr>
              <w:ind w:left="0" w:right="0" w:firstLine="0"/>
              <w:jc w:val="center"/>
            </w:pPr>
            <w:r>
              <w:t>3,92**</w:t>
            </w:r>
          </w:p>
        </w:tc>
      </w:tr>
      <w:tr>
        <w:tc>
          <w:tcPr>
            <w:tcW w:type="dxa" w:w="1045"/>
            <w:shd w:val="clear" w:color="auto" w:fill="auto"/>
            <w:tcBorders>
              <w:top w:val="nil"/>
              <w:left w:val="nil"/>
              <w:bottom w:val="nil"/>
              <w:right w:val="nil"/>
            </w:tcBorders>
          </w:tcPr>
          <w:p>
            <w:pPr>
              <w:ind w:left="0" w:right="0" w:firstLine="0"/>
              <w:jc w:val="center"/>
            </w:pPr>
            <w:r>
              <w:t>h=4</w:t>
            </w:r>
          </w:p>
        </w:tc>
        <w:tc>
          <w:tcPr>
            <w:tcW w:type="dxa" w:w="1045"/>
            <w:shd w:val="clear" w:color="auto" w:fill="auto"/>
            <w:tcBorders>
              <w:top w:val="nil"/>
              <w:left w:val="nil"/>
              <w:bottom w:val="nil"/>
              <w:right w:val="nil"/>
            </w:tcBorders>
          </w:tcPr>
          <w:p>
            <w:pPr>
              <w:ind w:left="0" w:right="0" w:firstLine="0"/>
              <w:jc w:val="center"/>
            </w:pPr>
            <w:r>
              <w:t>0,023</w:t>
            </w:r>
          </w:p>
        </w:tc>
        <w:tc>
          <w:tcPr>
            <w:tcW w:type="dxa" w:w="1045"/>
            <w:shd w:val="clear" w:color="auto" w:fill="auto"/>
            <w:tcBorders>
              <w:top w:val="nil"/>
              <w:left w:val="nil"/>
              <w:bottom w:val="nil"/>
              <w:right w:val="nil"/>
            </w:tcBorders>
          </w:tcPr>
          <w:p>
            <w:pPr>
              <w:ind w:left="0" w:right="0" w:firstLine="0"/>
              <w:jc w:val="center"/>
            </w:pPr>
            <w:r>
              <w:t>0,23</w:t>
            </w:r>
          </w:p>
        </w:tc>
        <w:tc>
          <w:tcPr>
            <w:tcW w:type="dxa" w:w="1045"/>
            <w:shd w:val="clear" w:color="auto" w:fill="auto"/>
            <w:tcBorders>
              <w:top w:val="nil"/>
              <w:left w:val="nil"/>
              <w:bottom w:val="nil"/>
              <w:right w:val="nil"/>
            </w:tcBorders>
          </w:tcPr>
          <w:p>
            <w:pPr>
              <w:ind w:left="0" w:right="0" w:firstLine="0"/>
              <w:jc w:val="center"/>
            </w:pPr>
            <w:r>
              <w:t>0,375</w:t>
            </w:r>
          </w:p>
        </w:tc>
        <w:tc>
          <w:tcPr>
            <w:tcW w:type="dxa" w:w="1045"/>
            <w:shd w:val="clear" w:color="auto" w:fill="auto"/>
            <w:tcBorders>
              <w:top w:val="nil"/>
              <w:left w:val="nil"/>
              <w:bottom w:val="nil"/>
              <w:right w:val="nil"/>
            </w:tcBorders>
          </w:tcPr>
          <w:p>
            <w:pPr>
              <w:ind w:left="0" w:right="0" w:firstLine="0"/>
              <w:jc w:val="center"/>
            </w:pPr>
            <w:r>
              <w:t>3,96**</w:t>
            </w:r>
          </w:p>
        </w:tc>
        <w:tc>
          <w:tcPr>
            <w:tcW w:type="dxa" w:w="1045"/>
            <w:shd w:val="clear" w:color="auto" w:fill="auto"/>
            <w:tcBorders>
              <w:top w:val="nil"/>
              <w:left w:val="nil"/>
              <w:bottom w:val="nil"/>
              <w:right w:val="nil"/>
            </w:tcBorders>
          </w:tcPr>
          <w:p>
            <w:pPr>
              <w:ind w:left="0" w:right="0" w:firstLine="0"/>
              <w:jc w:val="center"/>
            </w:pPr>
            <w:r>
              <w:t>0,445</w:t>
            </w:r>
          </w:p>
        </w:tc>
        <w:tc>
          <w:tcPr>
            <w:tcW w:type="dxa" w:w="1045"/>
            <w:shd w:val="clear" w:color="auto" w:fill="auto"/>
            <w:tcBorders>
              <w:top w:val="nil"/>
              <w:left w:val="nil"/>
              <w:bottom w:val="nil"/>
              <w:right w:val="nil"/>
            </w:tcBorders>
          </w:tcPr>
          <w:p>
            <w:pPr>
              <w:ind w:left="0" w:right="0" w:firstLine="0"/>
              <w:jc w:val="center"/>
            </w:pPr>
            <w:r>
              <w:t>6,81**</w:t>
            </w:r>
          </w:p>
        </w:tc>
        <w:tc>
          <w:tcPr>
            <w:tcW w:type="dxa" w:w="1045"/>
            <w:shd w:val="clear" w:color="auto" w:fill="auto"/>
            <w:tcBorders>
              <w:top w:val="nil"/>
              <w:left w:val="nil"/>
              <w:bottom w:val="nil"/>
              <w:right w:val="nil"/>
            </w:tcBorders>
          </w:tcPr>
          <w:p>
            <w:pPr>
              <w:ind w:left="0" w:right="0" w:firstLine="0"/>
              <w:jc w:val="center"/>
            </w:pPr>
            <w:r>
              <w:t>0,146</w:t>
            </w:r>
          </w:p>
        </w:tc>
        <w:tc>
          <w:tcPr>
            <w:tcW w:type="dxa" w:w="1045"/>
            <w:shd w:val="clear" w:color="auto" w:fill="auto"/>
            <w:tcBorders>
              <w:top w:val="nil"/>
              <w:left w:val="nil"/>
              <w:bottom w:val="nil"/>
              <w:right w:val="nil"/>
            </w:tcBorders>
          </w:tcPr>
          <w:p>
            <w:pPr>
              <w:ind w:left="0" w:right="0" w:firstLine="0"/>
              <w:jc w:val="center"/>
            </w:pPr>
            <w:r>
              <w:t>4,12**</w:t>
            </w:r>
          </w:p>
        </w:tc>
      </w:tr>
      <w:tr>
        <w:tc>
          <w:tcPr>
            <w:tcW w:type="dxa" w:w="1045"/>
            <w:shd w:val="clear" w:color="auto" w:fill="auto"/>
            <w:tcBorders>
              <w:top w:val="nil"/>
              <w:left w:val="nil"/>
              <w:bottom w:val="nil"/>
              <w:right w:val="nil"/>
            </w:tcBorders>
          </w:tcPr>
          <w:p>
            <w:pPr>
              <w:ind w:left="0" w:right="0" w:firstLine="0"/>
              <w:jc w:val="center"/>
            </w:pPr>
            <w:r>
              <w:t>h=5</w:t>
            </w:r>
          </w:p>
        </w:tc>
        <w:tc>
          <w:tcPr>
            <w:tcW w:type="dxa" w:w="1045"/>
            <w:shd w:val="clear" w:color="auto" w:fill="auto"/>
            <w:tcBorders>
              <w:top w:val="nil"/>
              <w:left w:val="nil"/>
              <w:bottom w:val="nil"/>
              <w:right w:val="nil"/>
            </w:tcBorders>
          </w:tcPr>
          <w:p>
            <w:pPr>
              <w:ind w:left="0" w:right="0" w:firstLine="0"/>
              <w:jc w:val="center"/>
            </w:pPr>
            <w:r>
              <w:t>-0,015</w:t>
            </w:r>
          </w:p>
        </w:tc>
        <w:tc>
          <w:tcPr>
            <w:tcW w:type="dxa" w:w="1045"/>
            <w:shd w:val="clear" w:color="auto" w:fill="auto"/>
            <w:tcBorders>
              <w:top w:val="nil"/>
              <w:left w:val="nil"/>
              <w:bottom w:val="nil"/>
              <w:right w:val="nil"/>
            </w:tcBorders>
          </w:tcPr>
          <w:p>
            <w:pPr>
              <w:ind w:left="0" w:right="0" w:firstLine="0"/>
              <w:jc w:val="center"/>
            </w:pPr>
            <w:r>
              <w:t>-0,12</w:t>
            </w:r>
          </w:p>
        </w:tc>
        <w:tc>
          <w:tcPr>
            <w:tcW w:type="dxa" w:w="1045"/>
            <w:shd w:val="clear" w:color="auto" w:fill="auto"/>
            <w:tcBorders>
              <w:top w:val="nil"/>
              <w:left w:val="nil"/>
              <w:bottom w:val="nil"/>
              <w:right w:val="nil"/>
            </w:tcBorders>
          </w:tcPr>
          <w:p>
            <w:pPr>
              <w:ind w:left="0" w:right="0" w:firstLine="0"/>
              <w:jc w:val="center"/>
            </w:pPr>
            <w:r>
              <w:t>0,374</w:t>
            </w:r>
          </w:p>
        </w:tc>
        <w:tc>
          <w:tcPr>
            <w:tcW w:type="dxa" w:w="1045"/>
            <w:shd w:val="clear" w:color="auto" w:fill="auto"/>
            <w:tcBorders>
              <w:top w:val="nil"/>
              <w:left w:val="nil"/>
              <w:bottom w:val="nil"/>
              <w:right w:val="nil"/>
            </w:tcBorders>
          </w:tcPr>
          <w:p>
            <w:pPr>
              <w:ind w:left="0" w:right="0" w:firstLine="0"/>
              <w:jc w:val="center"/>
            </w:pPr>
            <w:r>
              <w:t>3,83**</w:t>
            </w:r>
          </w:p>
        </w:tc>
        <w:tc>
          <w:tcPr>
            <w:tcW w:type="dxa" w:w="1045"/>
            <w:shd w:val="clear" w:color="auto" w:fill="auto"/>
            <w:tcBorders>
              <w:top w:val="nil"/>
              <w:left w:val="nil"/>
              <w:bottom w:val="nil"/>
              <w:right w:val="nil"/>
            </w:tcBorders>
          </w:tcPr>
          <w:p>
            <w:pPr>
              <w:ind w:left="0" w:right="0" w:firstLine="0"/>
              <w:jc w:val="center"/>
            </w:pPr>
            <w:r>
              <w:t>0,457</w:t>
            </w:r>
          </w:p>
        </w:tc>
        <w:tc>
          <w:tcPr>
            <w:tcW w:type="dxa" w:w="1045"/>
            <w:shd w:val="clear" w:color="auto" w:fill="auto"/>
            <w:tcBorders>
              <w:top w:val="nil"/>
              <w:left w:val="nil"/>
              <w:bottom w:val="nil"/>
              <w:right w:val="nil"/>
            </w:tcBorders>
          </w:tcPr>
          <w:p>
            <w:pPr>
              <w:ind w:left="0" w:right="0" w:firstLine="0"/>
              <w:jc w:val="center"/>
            </w:pPr>
            <w:r>
              <w:t>6,09**</w:t>
            </w:r>
          </w:p>
        </w:tc>
        <w:tc>
          <w:tcPr>
            <w:tcW w:type="dxa" w:w="1045"/>
            <w:shd w:val="clear" w:color="auto" w:fill="auto"/>
            <w:tcBorders>
              <w:top w:val="nil"/>
              <w:left w:val="nil"/>
              <w:bottom w:val="nil"/>
              <w:right w:val="nil"/>
            </w:tcBorders>
          </w:tcPr>
          <w:p>
            <w:pPr>
              <w:ind w:left="0" w:right="0" w:firstLine="0"/>
              <w:jc w:val="center"/>
            </w:pPr>
            <w:r>
              <w:t>0,156</w:t>
            </w:r>
          </w:p>
        </w:tc>
        <w:tc>
          <w:tcPr>
            <w:tcW w:type="dxa" w:w="1045"/>
            <w:shd w:val="clear" w:color="auto" w:fill="auto"/>
            <w:tcBorders>
              <w:top w:val="nil"/>
              <w:left w:val="nil"/>
              <w:bottom w:val="nil"/>
              <w:right w:val="nil"/>
            </w:tcBorders>
          </w:tcPr>
          <w:p>
            <w:pPr>
              <w:ind w:left="0" w:right="0" w:firstLine="0"/>
              <w:jc w:val="center"/>
            </w:pPr>
            <w:r>
              <w:t>3,97**</w:t>
            </w:r>
          </w:p>
        </w:tc>
      </w:tr>
      <w:tr>
        <w:tc>
          <w:tcPr>
            <w:tcW w:type="dxa" w:w="1045"/>
            <w:shd w:val="clear" w:color="auto" w:fill="auto"/>
            <w:tcBorders>
              <w:top w:val="nil"/>
              <w:left w:val="nil"/>
              <w:bottom w:val="nil"/>
              <w:right w:val="nil"/>
            </w:tcBorders>
          </w:tcPr>
          <w:p>
            <w:pPr>
              <w:ind w:left="0" w:right="0" w:firstLine="0"/>
              <w:jc w:val="center"/>
            </w:pPr>
            <w:r>
              <w:t>h=6</w:t>
            </w:r>
          </w:p>
        </w:tc>
        <w:tc>
          <w:tcPr>
            <w:tcW w:type="dxa" w:w="1045"/>
            <w:shd w:val="clear" w:color="auto" w:fill="auto"/>
            <w:tcBorders>
              <w:top w:val="nil"/>
              <w:left w:val="nil"/>
              <w:bottom w:val="nil"/>
              <w:right w:val="nil"/>
            </w:tcBorders>
          </w:tcPr>
          <w:p>
            <w:pPr>
              <w:ind w:left="0" w:right="0" w:firstLine="0"/>
              <w:jc w:val="center"/>
            </w:pPr>
            <w:r>
              <w:t>-0,044</w:t>
            </w:r>
          </w:p>
        </w:tc>
        <w:tc>
          <w:tcPr>
            <w:tcW w:type="dxa" w:w="1045"/>
            <w:shd w:val="clear" w:color="auto" w:fill="auto"/>
            <w:tcBorders>
              <w:top w:val="nil"/>
              <w:left w:val="nil"/>
              <w:bottom w:val="nil"/>
              <w:right w:val="nil"/>
            </w:tcBorders>
          </w:tcPr>
          <w:p>
            <w:pPr>
              <w:ind w:left="0" w:right="0" w:firstLine="0"/>
              <w:jc w:val="center"/>
            </w:pPr>
            <w:r>
              <w:t>-0,28</w:t>
            </w:r>
          </w:p>
        </w:tc>
        <w:tc>
          <w:tcPr>
            <w:tcW w:type="dxa" w:w="1045"/>
            <w:shd w:val="clear" w:color="auto" w:fill="auto"/>
            <w:tcBorders>
              <w:top w:val="nil"/>
              <w:left w:val="nil"/>
              <w:bottom w:val="nil"/>
              <w:right w:val="nil"/>
            </w:tcBorders>
          </w:tcPr>
          <w:p>
            <w:pPr>
              <w:ind w:left="0" w:right="0" w:firstLine="0"/>
              <w:jc w:val="center"/>
            </w:pPr>
            <w:r>
              <w:t>0,323</w:t>
            </w:r>
          </w:p>
        </w:tc>
        <w:tc>
          <w:tcPr>
            <w:tcW w:type="dxa" w:w="1045"/>
            <w:shd w:val="clear" w:color="auto" w:fill="auto"/>
            <w:tcBorders>
              <w:top w:val="nil"/>
              <w:left w:val="nil"/>
              <w:bottom w:val="nil"/>
              <w:right w:val="nil"/>
            </w:tcBorders>
          </w:tcPr>
          <w:p>
            <w:pPr>
              <w:ind w:left="0" w:right="0" w:firstLine="0"/>
              <w:jc w:val="center"/>
            </w:pPr>
            <w:r>
              <w:t>2,86**</w:t>
            </w:r>
          </w:p>
        </w:tc>
        <w:tc>
          <w:tcPr>
            <w:tcW w:type="dxa" w:w="1045"/>
            <w:shd w:val="clear" w:color="auto" w:fill="auto"/>
            <w:tcBorders>
              <w:top w:val="nil"/>
              <w:left w:val="nil"/>
              <w:bottom w:val="nil"/>
              <w:right w:val="nil"/>
            </w:tcBorders>
          </w:tcPr>
          <w:p>
            <w:pPr>
              <w:ind w:left="0" w:right="0" w:firstLine="0"/>
              <w:jc w:val="center"/>
            </w:pPr>
            <w:r>
              <w:t>0,464</w:t>
            </w:r>
          </w:p>
        </w:tc>
        <w:tc>
          <w:tcPr>
            <w:tcW w:type="dxa" w:w="1045"/>
            <w:shd w:val="clear" w:color="auto" w:fill="auto"/>
            <w:tcBorders>
              <w:top w:val="nil"/>
              <w:left w:val="nil"/>
              <w:bottom w:val="nil"/>
              <w:right w:val="nil"/>
            </w:tcBorders>
          </w:tcPr>
          <w:p>
            <w:pPr>
              <w:ind w:left="0" w:right="0" w:firstLine="0"/>
              <w:jc w:val="center"/>
            </w:pPr>
            <w:r>
              <w:t>5,96**</w:t>
            </w:r>
          </w:p>
        </w:tc>
        <w:tc>
          <w:tcPr>
            <w:tcW w:type="dxa" w:w="1045"/>
            <w:shd w:val="clear" w:color="auto" w:fill="auto"/>
            <w:tcBorders>
              <w:top w:val="nil"/>
              <w:left w:val="nil"/>
              <w:bottom w:val="nil"/>
              <w:right w:val="nil"/>
            </w:tcBorders>
          </w:tcPr>
          <w:p>
            <w:pPr>
              <w:ind w:left="0" w:right="0" w:firstLine="0"/>
              <w:jc w:val="center"/>
            </w:pPr>
            <w:r>
              <w:t>0,178</w:t>
            </w:r>
          </w:p>
        </w:tc>
        <w:tc>
          <w:tcPr>
            <w:tcW w:type="dxa" w:w="1045"/>
            <w:shd w:val="clear" w:color="auto" w:fill="auto"/>
            <w:tcBorders>
              <w:top w:val="nil"/>
              <w:left w:val="nil"/>
              <w:bottom w:val="nil"/>
              <w:right w:val="nil"/>
            </w:tcBorders>
          </w:tcPr>
          <w:p>
            <w:pPr>
              <w:ind w:left="0" w:right="0" w:firstLine="0"/>
              <w:jc w:val="center"/>
            </w:pPr>
            <w:r>
              <w:t>4,21**</w:t>
            </w:r>
          </w:p>
        </w:tc>
      </w:tr>
      <w:tr>
        <w:tc>
          <w:tcPr>
            <w:tcW w:type="dxa" w:w="1045"/>
            <w:shd w:val="clear" w:color="auto" w:fill="auto"/>
            <w:tcBorders>
              <w:top w:val="nil"/>
              <w:left w:val="nil"/>
              <w:bottom w:sz="12" w:val="single" w:color="000000"/>
              <w:right w:val="nil"/>
            </w:tcBorders>
          </w:tcPr>
          <w:p>
            <w:pPr>
              <w:ind w:left="0" w:right="0" w:firstLine="0"/>
              <w:jc w:val="center"/>
            </w:pPr>
            <w:r>
              <w:t>h=12</w:t>
            </w:r>
          </w:p>
        </w:tc>
        <w:tc>
          <w:tcPr>
            <w:tcW w:type="dxa" w:w="1045"/>
            <w:shd w:val="clear" w:color="auto" w:fill="auto"/>
            <w:tcBorders>
              <w:top w:val="nil"/>
              <w:left w:val="nil"/>
              <w:bottom w:sz="12" w:val="single" w:color="000000"/>
              <w:right w:val="nil"/>
            </w:tcBorders>
          </w:tcPr>
          <w:p>
            <w:pPr>
              <w:ind w:left="0" w:right="0" w:firstLine="0"/>
              <w:jc w:val="center"/>
            </w:pPr>
            <w:r>
              <w:t>--</w:t>
            </w:r>
          </w:p>
        </w:tc>
        <w:tc>
          <w:tcPr>
            <w:tcW w:type="dxa" w:w="1045"/>
            <w:shd w:val="clear" w:color="auto" w:fill="auto"/>
            <w:tcBorders>
              <w:top w:val="nil"/>
              <w:left w:val="nil"/>
              <w:bottom w:sz="12" w:val="single" w:color="000000"/>
              <w:right w:val="nil"/>
            </w:tcBorders>
          </w:tcPr>
          <w:p>
            <w:pPr>
              <w:ind w:left="0" w:right="0" w:firstLine="0"/>
              <w:jc w:val="center"/>
            </w:pPr>
            <w:r>
              <w:t>--</w:t>
            </w:r>
          </w:p>
        </w:tc>
        <w:tc>
          <w:tcPr>
            <w:tcW w:type="dxa" w:w="1045"/>
            <w:shd w:val="clear" w:color="auto" w:fill="auto"/>
            <w:tcBorders>
              <w:top w:val="nil"/>
              <w:left w:val="nil"/>
              <w:bottom w:sz="12" w:val="single" w:color="000000"/>
              <w:right w:val="nil"/>
            </w:tcBorders>
          </w:tcPr>
          <w:p>
            <w:pPr>
              <w:ind w:left="0" w:right="0" w:firstLine="0"/>
              <w:jc w:val="center"/>
            </w:pPr>
            <w:r>
              <w:t>--</w:t>
            </w:r>
          </w:p>
        </w:tc>
        <w:tc>
          <w:tcPr>
            <w:tcW w:type="dxa" w:w="1045"/>
            <w:shd w:val="clear" w:color="auto" w:fill="auto"/>
            <w:tcBorders>
              <w:top w:val="nil"/>
              <w:left w:val="nil"/>
              <w:bottom w:sz="12" w:val="single" w:color="000000"/>
              <w:right w:val="nil"/>
            </w:tcBorders>
          </w:tcPr>
          <w:p>
            <w:pPr>
              <w:ind w:left="0" w:right="0" w:firstLine="0"/>
              <w:jc w:val="center"/>
            </w:pPr>
            <w:r>
              <w:t>--</w:t>
            </w:r>
          </w:p>
        </w:tc>
        <w:tc>
          <w:tcPr>
            <w:tcW w:type="dxa" w:w="1045"/>
            <w:shd w:val="clear" w:color="auto" w:fill="auto"/>
            <w:tcBorders>
              <w:top w:val="nil"/>
              <w:left w:val="nil"/>
              <w:bottom w:sz="12" w:val="single" w:color="000000"/>
              <w:right w:val="nil"/>
            </w:tcBorders>
          </w:tcPr>
          <w:p>
            <w:pPr>
              <w:ind w:left="0" w:right="0" w:firstLine="0"/>
              <w:jc w:val="center"/>
            </w:pPr>
            <w:r>
              <w:t>0,431</w:t>
            </w:r>
          </w:p>
        </w:tc>
        <w:tc>
          <w:tcPr>
            <w:tcW w:type="dxa" w:w="1045"/>
            <w:shd w:val="clear" w:color="auto" w:fill="auto"/>
            <w:tcBorders>
              <w:top w:val="nil"/>
              <w:left w:val="nil"/>
              <w:bottom w:sz="12" w:val="single" w:color="000000"/>
              <w:right w:val="nil"/>
            </w:tcBorders>
          </w:tcPr>
          <w:p>
            <w:pPr>
              <w:ind w:left="0" w:right="0" w:firstLine="0"/>
              <w:jc w:val="center"/>
            </w:pPr>
            <w:r>
              <w:t>3,60**</w:t>
            </w:r>
          </w:p>
        </w:tc>
        <w:tc>
          <w:tcPr>
            <w:tcW w:type="dxa" w:w="1045"/>
            <w:shd w:val="clear" w:color="auto" w:fill="auto"/>
            <w:tcBorders>
              <w:top w:val="nil"/>
              <w:left w:val="nil"/>
              <w:bottom w:sz="12" w:val="single" w:color="000000"/>
              <w:right w:val="nil"/>
            </w:tcBorders>
          </w:tcPr>
          <w:p>
            <w:pPr>
              <w:ind w:left="0" w:right="0" w:firstLine="0"/>
              <w:jc w:val="center"/>
            </w:pPr>
            <w:r>
              <w:t>--</w:t>
            </w:r>
          </w:p>
        </w:tc>
        <w:tc>
          <w:tcPr>
            <w:tcW w:type="dxa" w:w="1045"/>
            <w:shd w:val="clear" w:color="auto" w:fill="auto"/>
            <w:tcBorders>
              <w:top w:val="nil"/>
              <w:left w:val="nil"/>
              <w:bottom w:sz="12" w:val="single" w:color="000000"/>
              <w:right w:val="nil"/>
            </w:tcBorders>
          </w:tcPr>
          <w:p>
            <w:pPr>
              <w:ind w:left="0" w:right="0" w:firstLine="0"/>
              <w:jc w:val="center"/>
            </w:pPr>
            <w:r>
              <w:t>--</w:t>
            </w:r>
          </w:p>
        </w:tc>
      </w:tr>
    </w:tbl>
    <w:p>
      <w:pPr/>
      <w:r>
        <w:rPr>
          <w:i/>
        </w:rPr>
        <w:t>Nota: ** significativo a 5%; * significativo a 10%. Fonte: elaboracao propria.</w:t>
      </w:r>
    </w:p>
    <w:p>
      <w:pPr/>
      <w:r>
        <w:rPr>
          <w:b/>
        </w:rPr>
        <w:t>Figura 3 - Resposta acumulada da Gasolina C sobre o IPCA Transportes (Projecoes Locais)</w:t>
      </w:r>
    </w:p>
    <w:p>
      <w:pPr>
        <w:jc w:val="center"/>
      </w:pPr>
      <w:r>
        <w:drawing>
          <wp:inline xmlns:a="http://schemas.openxmlformats.org/drawingml/2006/main" xmlns:pic="http://schemas.openxmlformats.org/drawingml/2006/picture">
            <wp:extent cx="4572000" cy="2821706"/>
            <wp:docPr id="26" name="Picture 26"/>
            <wp:cNvGraphicFramePr>
              <a:graphicFrameLocks noChangeAspect="1"/>
            </wp:cNvGraphicFramePr>
            <a:graphic>
              <a:graphicData uri="http://schemas.openxmlformats.org/drawingml/2006/picture">
                <pic:pic>
                  <pic:nvPicPr>
                    <pic:cNvPr id="0" name="lp_gasolina_transporte.png"/>
                    <pic:cNvPicPr/>
                  </pic:nvPicPr>
                  <pic:blipFill>
                    <a:blip r:embed="rId41"/>
                    <a:stretch>
                      <a:fillRect/>
                    </a:stretch>
                  </pic:blipFill>
                  <pic:spPr>
                    <a:xfrm>
                      <a:off x="0" y="0"/>
                      <a:ext cx="4572000" cy="2821706"/>
                    </a:xfrm>
                    <a:prstGeom prst="rect"/>
                  </pic:spPr>
                </pic:pic>
              </a:graphicData>
            </a:graphic>
          </wp:inline>
        </w:drawing>
      </w:r>
    </w:p>
    <w:p>
      <w:pPr/>
      <w:r>
        <w:rPr>
          <w:i/>
        </w:rPr>
        <w:t>Fonte: elaboracao propria. Area sombreada = IC 95% (HAC). O coeficiente estabiliza em torno de 0,43-0,46 a partir do segundo mes, com significancia mantida ate h=12.</w:t>
      </w:r>
    </w:p>
    <w:p>
      <w:pPr/>
      <w:r>
        <w:rPr>
          <w:b/>
        </w:rPr>
        <w:t>Figura 4 - Resposta acumulada do Oleo Diesel sobre o IPCA Transportes (Projecoes Locais)</w:t>
      </w:r>
    </w:p>
    <w:p>
      <w:pPr>
        <w:jc w:val="center"/>
      </w:pPr>
      <w:r>
        <w:drawing>
          <wp:inline xmlns:a="http://schemas.openxmlformats.org/drawingml/2006/main" xmlns:pic="http://schemas.openxmlformats.org/drawingml/2006/picture">
            <wp:extent cx="4572000" cy="2824923"/>
            <wp:docPr id="27" name="Picture 27"/>
            <wp:cNvGraphicFramePr>
              <a:graphicFrameLocks noChangeAspect="1"/>
            </wp:cNvGraphicFramePr>
            <a:graphic>
              <a:graphicData uri="http://schemas.openxmlformats.org/drawingml/2006/picture">
                <pic:pic>
                  <pic:nvPicPr>
                    <pic:cNvPr id="0" name="lp_diesel_transporte.png"/>
                    <pic:cNvPicPr/>
                  </pic:nvPicPr>
                  <pic:blipFill>
                    <a:blip r:embed="rId42"/>
                    <a:stretch>
                      <a:fillRect/>
                    </a:stretch>
                  </pic:blipFill>
                  <pic:spPr>
                    <a:xfrm>
                      <a:off x="0" y="0"/>
                      <a:ext cx="4572000" cy="2824923"/>
                    </a:xfrm>
                    <a:prstGeom prst="rect"/>
                  </pic:spPr>
                </pic:pic>
              </a:graphicData>
            </a:graphic>
          </wp:inline>
        </w:drawing>
      </w:r>
    </w:p>
    <w:p>
      <w:pPr/>
      <w:r>
        <w:rPr>
          <w:i/>
        </w:rPr>
        <w:t>Fonte: elaboracao propria. Area sombreada = IC 95% (HAC). O efeito e positivo e significativo nos dois primeiros meses, dissipando-se a partir do terceiro.</w:t>
      </w:r>
    </w:p>
    <w:p>
      <w:pPr>
        <w:pStyle w:val="Heading2"/>
      </w:pPr>
      <w:r>
        <w:t>5.5 O canal dos combustiveis como mediador entre petroleo e inflacao</w:t>
      </w:r>
    </w:p>
    <w:p>
      <w:pPr/>
      <w:r>
        <w:t>Especificacoes que incluem os precos dos combustiveis como controles mostram que o coeficiente do petroleo sobre o IPCA Geral e sobre o IPCA Transportes reduz-se substancialmente em magnitude e perde precisao estatistica. Esse padrao e evidencia de mediacao: o petroleo afeta a inflacao brasileira principalmente por meio dos combustiveis domesticos, e nao por um canal direto autonomo. Quando esse canal e bloqueado, como ocorria na politica de precos defasados da Petrobras no periodo 2011-2015, o impacto inflacionario do choque externo tambem e amortecido.</w:t>
      </w:r>
    </w:p>
    <w:p>
      <w:pPr>
        <w:pStyle w:val="Heading2"/>
      </w:pPr>
      <w:r>
        <w:t>5.6 Exercicios de robustez</w:t>
      </w:r>
    </w:p>
    <w:p>
      <w:pPr>
        <w:pStyle w:val="Heading3"/>
      </w:pPr>
      <w:r>
        <w:rPr>
          <w:b/>
        </w:rPr>
        <w:t>5.4 O Papel da Política de Preços da Petrobras: Análise por Regimes (Pré e Pós-2016)</w:t>
      </w:r>
    </w:p>
    <w:p>
      <w:pPr/>
      <w:r>
        <w:t>O Modelo 12 (Local Projections Dependentes de Estado) estima o repasse separadamente para os periodos pre e pos setembro de 2016, data associada a adocao do Preco de Paridade de Importacao (PPI) pela Petrobras. No regime posterior ao PPI, o repasse ocorre imediatamente (h=0) e se mantem significativo por ate vinte meses para o diesel e seis meses para a gasolina. No regime anterior, o efeito sobre o IPCA Transportes e sistematicamente nao significativo, evidenciando que a politica de precos administrados funcionava como amortecedor entre o choque externo e o consumidor final. O teste de Wald rejeita a igualdade dos coeficientes entre os dois regimes, confirmando que a diferenca e estatisticamente significativa (Tabela 4).</w:t>
      </w:r>
    </w:p>
    <w:p>
      <w:pPr/>
      <w:r>
        <w:rPr>
          <w:b/>
        </w:rPr>
        <w:t>Tabela 4 - Respostas acumuladas por regime e Teste de Wald (h=6)</w:t>
      </w:r>
    </w:p>
    <w:tbl>
      <w:tblPr>
        <w:tblW w:type="auto" w:w="0"/>
        <w:tblLook w:firstColumn="1" w:firstRow="1" w:lastColumn="0" w:lastRow="0" w:noHBand="0" w:noVBand="1" w:val="04A0"/>
      </w:tblPr>
      <w:tblGrid>
        <w:gridCol w:w="1881"/>
        <w:gridCol w:w="1881"/>
        <w:gridCol w:w="1881"/>
        <w:gridCol w:w="1881"/>
        <w:gridCol w:w="1881"/>
      </w:tblGrid>
      <w:tr>
        <w:tc>
          <w:tcPr>
            <w:tcW w:type="dxa" w:w="1881"/>
            <w:shd w:val="clear" w:color="auto" w:fill="auto"/>
            <w:tcBorders>
              <w:top w:sz="12" w:val="single" w:color="000000"/>
              <w:left w:val="nil"/>
              <w:bottom w:sz="4" w:val="single" w:color="000000"/>
              <w:right w:val="nil"/>
            </w:tcBorders>
          </w:tcPr>
          <w:p>
            <w:pPr>
              <w:ind w:left="0" w:right="0" w:firstLine="0"/>
              <w:jc w:val="center"/>
            </w:pPr>
            <w:r>
              <w:t>Variavel resposta</w:t>
            </w:r>
          </w:p>
        </w:tc>
        <w:tc>
          <w:tcPr>
            <w:tcW w:type="dxa" w:w="1881"/>
            <w:shd w:val="clear" w:color="auto" w:fill="auto"/>
            <w:tcBorders>
              <w:top w:sz="12" w:val="single" w:color="000000"/>
              <w:left w:val="nil"/>
              <w:bottom w:sz="4" w:val="single" w:color="000000"/>
              <w:right w:val="nil"/>
            </w:tcBorders>
          </w:tcPr>
          <w:p>
            <w:pPr>
              <w:ind w:left="0" w:right="0" w:firstLine="0"/>
              <w:jc w:val="center"/>
            </w:pPr>
            <w:r>
              <w:t>Pre-2016 (h=6)</w:t>
            </w:r>
          </w:p>
        </w:tc>
        <w:tc>
          <w:tcPr>
            <w:tcW w:type="dxa" w:w="1881"/>
            <w:shd w:val="clear" w:color="auto" w:fill="auto"/>
            <w:tcBorders>
              <w:top w:sz="12" w:val="single" w:color="000000"/>
              <w:left w:val="nil"/>
              <w:bottom w:sz="4" w:val="single" w:color="000000"/>
              <w:right w:val="nil"/>
            </w:tcBorders>
          </w:tcPr>
          <w:p>
            <w:pPr>
              <w:ind w:left="0" w:right="0" w:firstLine="0"/>
              <w:jc w:val="center"/>
            </w:pPr>
            <w:r>
              <w:t>IC 90%</w:t>
            </w:r>
          </w:p>
        </w:tc>
        <w:tc>
          <w:tcPr>
            <w:tcW w:type="dxa" w:w="1881"/>
            <w:shd w:val="clear" w:color="auto" w:fill="auto"/>
            <w:tcBorders>
              <w:top w:sz="12" w:val="single" w:color="000000"/>
              <w:left w:val="nil"/>
              <w:bottom w:sz="4" w:val="single" w:color="000000"/>
              <w:right w:val="nil"/>
            </w:tcBorders>
          </w:tcPr>
          <w:p>
            <w:pPr>
              <w:ind w:left="0" w:right="0" w:firstLine="0"/>
              <w:jc w:val="center"/>
            </w:pPr>
            <w:r>
              <w:t>Pos-2016 (h=6)</w:t>
            </w:r>
          </w:p>
        </w:tc>
        <w:tc>
          <w:tcPr>
            <w:tcW w:type="dxa" w:w="1881"/>
            <w:shd w:val="clear" w:color="auto" w:fill="auto"/>
            <w:tcBorders>
              <w:top w:sz="12" w:val="single" w:color="000000"/>
              <w:left w:val="nil"/>
              <w:bottom w:sz="4" w:val="single" w:color="000000"/>
              <w:right w:val="nil"/>
            </w:tcBorders>
          </w:tcPr>
          <w:p>
            <w:pPr>
              <w:ind w:left="0" w:right="0" w:firstLine="0"/>
              <w:jc w:val="center"/>
            </w:pPr>
            <w:r>
              <w:t>Wald (p-valor)</w:t>
            </w:r>
          </w:p>
        </w:tc>
      </w:tr>
      <w:tr>
        <w:tc>
          <w:tcPr>
            <w:tcW w:type="dxa" w:w="1881"/>
            <w:shd w:val="clear" w:color="auto" w:fill="auto"/>
            <w:tcBorders>
              <w:top w:val="nil"/>
              <w:left w:val="nil"/>
              <w:bottom w:val="nil"/>
              <w:right w:val="nil"/>
            </w:tcBorders>
          </w:tcPr>
          <w:p>
            <w:pPr>
              <w:ind w:left="0" w:right="0" w:firstLine="0"/>
              <w:jc w:val="center"/>
            </w:pPr>
            <w:r>
              <w:t>Gasolina -&gt; IPCA Transportes</w:t>
            </w:r>
          </w:p>
        </w:tc>
        <w:tc>
          <w:tcPr>
            <w:tcW w:type="dxa" w:w="1881"/>
            <w:shd w:val="clear" w:color="auto" w:fill="auto"/>
            <w:tcBorders>
              <w:top w:val="nil"/>
              <w:left w:val="nil"/>
              <w:bottom w:val="nil"/>
              <w:right w:val="nil"/>
            </w:tcBorders>
          </w:tcPr>
          <w:p>
            <w:pPr>
              <w:ind w:left="0" w:right="0" w:firstLine="0"/>
              <w:jc w:val="center"/>
            </w:pPr>
            <w:r>
              <w:t>0,087</w:t>
            </w:r>
          </w:p>
        </w:tc>
        <w:tc>
          <w:tcPr>
            <w:tcW w:type="dxa" w:w="1881"/>
            <w:shd w:val="clear" w:color="auto" w:fill="auto"/>
            <w:tcBorders>
              <w:top w:val="nil"/>
              <w:left w:val="nil"/>
              <w:bottom w:val="nil"/>
              <w:right w:val="nil"/>
            </w:tcBorders>
          </w:tcPr>
          <w:p>
            <w:pPr>
              <w:ind w:left="0" w:right="0" w:firstLine="0"/>
              <w:jc w:val="center"/>
            </w:pPr>
            <w:r>
              <w:t>[0,004; 0,170]</w:t>
            </w:r>
          </w:p>
        </w:tc>
        <w:tc>
          <w:tcPr>
            <w:tcW w:type="dxa" w:w="1881"/>
            <w:shd w:val="clear" w:color="auto" w:fill="auto"/>
            <w:tcBorders>
              <w:top w:val="nil"/>
              <w:left w:val="nil"/>
              <w:bottom w:val="nil"/>
              <w:right w:val="nil"/>
            </w:tcBorders>
          </w:tcPr>
          <w:p>
            <w:pPr>
              <w:ind w:left="0" w:right="0" w:firstLine="0"/>
              <w:jc w:val="center"/>
            </w:pPr>
            <w:r>
              <w:t>0,465</w:t>
            </w:r>
          </w:p>
        </w:tc>
        <w:tc>
          <w:tcPr>
            <w:tcW w:type="dxa" w:w="1881"/>
            <w:shd w:val="clear" w:color="auto" w:fill="auto"/>
            <w:tcBorders>
              <w:top w:val="nil"/>
              <w:left w:val="nil"/>
              <w:bottom w:val="nil"/>
              <w:right w:val="nil"/>
            </w:tcBorders>
          </w:tcPr>
          <w:p>
            <w:pPr>
              <w:ind w:left="0" w:right="0" w:firstLine="0"/>
              <w:jc w:val="center"/>
            </w:pPr>
            <w:r>
              <w:t>&lt; 0,05</w:t>
            </w:r>
          </w:p>
        </w:tc>
      </w:tr>
      <w:tr>
        <w:tc>
          <w:tcPr>
            <w:tcW w:type="dxa" w:w="1881"/>
            <w:shd w:val="clear" w:color="auto" w:fill="auto"/>
            <w:tcBorders>
              <w:top w:val="nil"/>
              <w:left w:val="nil"/>
              <w:bottom w:val="nil"/>
              <w:right w:val="nil"/>
            </w:tcBorders>
          </w:tcPr>
          <w:p>
            <w:pPr>
              <w:ind w:left="0" w:right="0" w:firstLine="0"/>
              <w:jc w:val="center"/>
            </w:pPr>
            <w:r>
              <w:t>Diesel -&gt; IPCA Trans. (h=0)</w:t>
            </w:r>
          </w:p>
        </w:tc>
        <w:tc>
          <w:tcPr>
            <w:tcW w:type="dxa" w:w="1881"/>
            <w:shd w:val="clear" w:color="auto" w:fill="auto"/>
            <w:tcBorders>
              <w:top w:val="nil"/>
              <w:left w:val="nil"/>
              <w:bottom w:val="nil"/>
              <w:right w:val="nil"/>
            </w:tcBorders>
          </w:tcPr>
          <w:p>
            <w:pPr>
              <w:ind w:left="0" w:right="0" w:firstLine="0"/>
              <w:jc w:val="center"/>
            </w:pPr>
            <w:r>
              <w:t>Nao sig.</w:t>
            </w:r>
          </w:p>
        </w:tc>
        <w:tc>
          <w:tcPr>
            <w:tcW w:type="dxa" w:w="1881"/>
            <w:shd w:val="clear" w:color="auto" w:fill="auto"/>
            <w:tcBorders>
              <w:top w:val="nil"/>
              <w:left w:val="nil"/>
              <w:bottom w:val="nil"/>
              <w:right w:val="nil"/>
            </w:tcBorders>
          </w:tcPr>
          <w:p>
            <w:pPr>
              <w:ind w:left="0" w:right="0" w:firstLine="0"/>
              <w:jc w:val="center"/>
            </w:pPr>
            <w:r>
              <w:t>[cruza zero]</w:t>
            </w:r>
          </w:p>
        </w:tc>
        <w:tc>
          <w:tcPr>
            <w:tcW w:type="dxa" w:w="1881"/>
            <w:shd w:val="clear" w:color="auto" w:fill="auto"/>
            <w:tcBorders>
              <w:top w:val="nil"/>
              <w:left w:val="nil"/>
              <w:bottom w:val="nil"/>
              <w:right w:val="nil"/>
            </w:tcBorders>
          </w:tcPr>
          <w:p>
            <w:pPr>
              <w:ind w:left="0" w:right="0" w:firstLine="0"/>
              <w:jc w:val="center"/>
            </w:pPr>
            <w:r>
              <w:t>0,135</w:t>
            </w:r>
          </w:p>
        </w:tc>
        <w:tc>
          <w:tcPr>
            <w:tcW w:type="dxa" w:w="1881"/>
            <w:shd w:val="clear" w:color="auto" w:fill="auto"/>
            <w:tcBorders>
              <w:top w:val="nil"/>
              <w:left w:val="nil"/>
              <w:bottom w:val="nil"/>
              <w:right w:val="nil"/>
            </w:tcBorders>
          </w:tcPr>
          <w:p>
            <w:pPr>
              <w:ind w:left="0" w:right="0" w:firstLine="0"/>
              <w:jc w:val="center"/>
            </w:pPr>
            <w:r>
              <w:t>&lt; 0,01</w:t>
            </w:r>
          </w:p>
        </w:tc>
      </w:tr>
      <w:tr>
        <w:tc>
          <w:tcPr>
            <w:tcW w:type="dxa" w:w="1881"/>
            <w:shd w:val="clear" w:color="auto" w:fill="auto"/>
            <w:tcBorders>
              <w:top w:val="nil"/>
              <w:left w:val="nil"/>
              <w:bottom w:val="nil"/>
              <w:right w:val="nil"/>
            </w:tcBorders>
          </w:tcPr>
          <w:p>
            <w:pPr>
              <w:ind w:left="0" w:right="0" w:firstLine="0"/>
              <w:jc w:val="center"/>
            </w:pPr>
            <w:r>
              <w:t>Diesel -&gt; IPCA Trans. (h=6)</w:t>
            </w:r>
          </w:p>
        </w:tc>
        <w:tc>
          <w:tcPr>
            <w:tcW w:type="dxa" w:w="1881"/>
            <w:shd w:val="clear" w:color="auto" w:fill="auto"/>
            <w:tcBorders>
              <w:top w:val="nil"/>
              <w:left w:val="nil"/>
              <w:bottom w:val="nil"/>
              <w:right w:val="nil"/>
            </w:tcBorders>
          </w:tcPr>
          <w:p>
            <w:pPr>
              <w:ind w:left="0" w:right="0" w:firstLine="0"/>
              <w:jc w:val="center"/>
            </w:pPr>
            <w:r>
              <w:t>Nao sig.</w:t>
            </w:r>
          </w:p>
        </w:tc>
        <w:tc>
          <w:tcPr>
            <w:tcW w:type="dxa" w:w="1881"/>
            <w:shd w:val="clear" w:color="auto" w:fill="auto"/>
            <w:tcBorders>
              <w:top w:val="nil"/>
              <w:left w:val="nil"/>
              <w:bottom w:val="nil"/>
              <w:right w:val="nil"/>
            </w:tcBorders>
          </w:tcPr>
          <w:p>
            <w:pPr>
              <w:ind w:left="0" w:right="0" w:firstLine="0"/>
              <w:jc w:val="center"/>
            </w:pPr>
            <w:r>
              <w:t>[cruza zero]</w:t>
            </w:r>
          </w:p>
        </w:tc>
        <w:tc>
          <w:tcPr>
            <w:tcW w:type="dxa" w:w="1881"/>
            <w:shd w:val="clear" w:color="auto" w:fill="auto"/>
            <w:tcBorders>
              <w:top w:val="nil"/>
              <w:left w:val="nil"/>
              <w:bottom w:val="nil"/>
              <w:right w:val="nil"/>
            </w:tcBorders>
          </w:tcPr>
          <w:p>
            <w:pPr>
              <w:ind w:left="0" w:right="0" w:firstLine="0"/>
              <w:jc w:val="center"/>
            </w:pPr>
            <w:r>
              <w:t>0,366</w:t>
            </w:r>
          </w:p>
        </w:tc>
        <w:tc>
          <w:tcPr>
            <w:tcW w:type="dxa" w:w="1881"/>
            <w:shd w:val="clear" w:color="auto" w:fill="auto"/>
            <w:tcBorders>
              <w:top w:val="nil"/>
              <w:left w:val="nil"/>
              <w:bottom w:val="nil"/>
              <w:right w:val="nil"/>
            </w:tcBorders>
          </w:tcPr>
          <w:p>
            <w:pPr>
              <w:ind w:left="0" w:right="0" w:firstLine="0"/>
              <w:jc w:val="center"/>
            </w:pPr>
            <w:r>
              <w:t>&lt; 0,05</w:t>
            </w:r>
          </w:p>
        </w:tc>
      </w:tr>
      <w:tr>
        <w:tc>
          <w:tcPr>
            <w:tcW w:type="dxa" w:w="1881"/>
            <w:shd w:val="clear" w:color="auto" w:fill="auto"/>
            <w:tcBorders>
              <w:top w:val="nil"/>
              <w:left w:val="nil"/>
              <w:bottom w:sz="12" w:val="single" w:color="000000"/>
              <w:right w:val="nil"/>
            </w:tcBorders>
          </w:tcPr>
          <w:p>
            <w:pPr>
              <w:ind w:left="0" w:right="0" w:firstLine="0"/>
              <w:jc w:val="center"/>
            </w:pPr>
            <w:r>
              <w:t>Gasolina -&gt; IPCA Geral</w:t>
            </w:r>
          </w:p>
        </w:tc>
        <w:tc>
          <w:tcPr>
            <w:tcW w:type="dxa" w:w="1881"/>
            <w:shd w:val="clear" w:color="auto" w:fill="auto"/>
            <w:tcBorders>
              <w:top w:val="nil"/>
              <w:left w:val="nil"/>
              <w:bottom w:sz="12" w:val="single" w:color="000000"/>
              <w:right w:val="nil"/>
            </w:tcBorders>
          </w:tcPr>
          <w:p>
            <w:pPr>
              <w:ind w:left="0" w:right="0" w:firstLine="0"/>
              <w:jc w:val="center"/>
            </w:pPr>
            <w:r>
              <w:t>Nao sig.</w:t>
            </w:r>
          </w:p>
        </w:tc>
        <w:tc>
          <w:tcPr>
            <w:tcW w:type="dxa" w:w="1881"/>
            <w:shd w:val="clear" w:color="auto" w:fill="auto"/>
            <w:tcBorders>
              <w:top w:val="nil"/>
              <w:left w:val="nil"/>
              <w:bottom w:sz="12" w:val="single" w:color="000000"/>
              <w:right w:val="nil"/>
            </w:tcBorders>
          </w:tcPr>
          <w:p>
            <w:pPr>
              <w:ind w:left="0" w:right="0" w:firstLine="0"/>
              <w:jc w:val="center"/>
            </w:pPr>
            <w:r>
              <w:t>[cruza zero]</w:t>
            </w:r>
          </w:p>
        </w:tc>
        <w:tc>
          <w:tcPr>
            <w:tcW w:type="dxa" w:w="1881"/>
            <w:shd w:val="clear" w:color="auto" w:fill="auto"/>
            <w:tcBorders>
              <w:top w:val="nil"/>
              <w:left w:val="nil"/>
              <w:bottom w:sz="12" w:val="single" w:color="000000"/>
              <w:right w:val="nil"/>
            </w:tcBorders>
          </w:tcPr>
          <w:p>
            <w:pPr>
              <w:ind w:left="0" w:right="0" w:firstLine="0"/>
              <w:jc w:val="center"/>
            </w:pPr>
            <w:r>
              <w:t>Nao sig.</w:t>
            </w:r>
          </w:p>
        </w:tc>
        <w:tc>
          <w:tcPr>
            <w:tcW w:type="dxa" w:w="1881"/>
            <w:shd w:val="clear" w:color="auto" w:fill="auto"/>
            <w:tcBorders>
              <w:top w:val="nil"/>
              <w:left w:val="nil"/>
              <w:bottom w:sz="12" w:val="single" w:color="000000"/>
              <w:right w:val="nil"/>
            </w:tcBorders>
          </w:tcPr>
          <w:p>
            <w:pPr>
              <w:ind w:left="0" w:right="0" w:firstLine="0"/>
              <w:jc w:val="center"/>
            </w:pPr>
            <w:r>
              <w:t>--</w:t>
            </w:r>
          </w:p>
        </w:tc>
      </w:tr>
    </w:tbl>
    <w:p>
      <w:pPr/>
      <w:r>
        <w:rPr>
          <w:i/>
        </w:rPr>
        <w:t>Fonte: elaboracao propria, Modelo 12 (LP State-Dependent).</w:t>
      </w:r>
    </w:p>
    <w:p>
      <w:pPr/>
      <w:r>
        <w:rPr>
          <w:b/>
        </w:rPr>
        <w:t>Figura 5 - Resposta acumulada da Gasolina sobre o IPCA Transportes por regime (pre e pos setembro de 2016)</w:t>
      </w:r>
    </w:p>
    <w:p>
      <w:pPr>
        <w:jc w:val="center"/>
      </w:pPr>
      <w:r>
        <w:drawing>
          <wp:inline xmlns:a="http://schemas.openxmlformats.org/drawingml/2006/main" xmlns:pic="http://schemas.openxmlformats.org/drawingml/2006/picture">
            <wp:extent cx="4572000" cy="1632857"/>
            <wp:docPr id="28" name="Picture 28"/>
            <wp:cNvGraphicFramePr>
              <a:graphicFrameLocks noChangeAspect="1"/>
            </wp:cNvGraphicFramePr>
            <a:graphic>
              <a:graphicData uri="http://schemas.openxmlformats.org/drawingml/2006/picture">
                <pic:pic>
                  <pic:nvPicPr>
                    <pic:cNvPr id="0" name="SD_LP_dln_gasolina.png"/>
                    <pic:cNvPicPr/>
                  </pic:nvPicPr>
                  <pic:blipFill>
                    <a:blip r:embed="rId43"/>
                    <a:stretch>
                      <a:fillRect/>
                    </a:stretch>
                  </pic:blipFill>
                  <pic:spPr>
                    <a:xfrm>
                      <a:off x="0" y="0"/>
                      <a:ext cx="4572000" cy="1632857"/>
                    </a:xfrm>
                    <a:prstGeom prst="rect"/>
                  </pic:spPr>
                </pic:pic>
              </a:graphicData>
            </a:graphic>
          </wp:inline>
        </w:drawing>
      </w:r>
    </w:p>
    <w:p>
      <w:pPr/>
      <w:r>
        <w:rPr>
          <w:i/>
        </w:rPr>
        <w:t>Fonte: elaboracao propria, Modelo 12. Linha azul = regime pre-2016; Linha vermelha = regime pos-2016. Area sombreada = IC 90%.</w:t>
      </w:r>
    </w:p>
    <w:p>
      <w:pPr/>
      <w:r>
        <w:rPr>
          <w:b/>
        </w:rPr>
        <w:t>Figura 6 - Resposta acumulada do Diesel sobre o IPCA Transportes por regime (pre e pos setembro de 2016)</w:t>
      </w:r>
    </w:p>
    <w:p>
      <w:pPr>
        <w:jc w:val="center"/>
      </w:pPr>
      <w:r>
        <w:drawing>
          <wp:inline xmlns:a="http://schemas.openxmlformats.org/drawingml/2006/main" xmlns:pic="http://schemas.openxmlformats.org/drawingml/2006/picture">
            <wp:extent cx="4572000" cy="1632857"/>
            <wp:docPr id="29" name="Picture 29"/>
            <wp:cNvGraphicFramePr>
              <a:graphicFrameLocks noChangeAspect="1"/>
            </wp:cNvGraphicFramePr>
            <a:graphic>
              <a:graphicData uri="http://schemas.openxmlformats.org/drawingml/2006/picture">
                <pic:pic>
                  <pic:nvPicPr>
                    <pic:cNvPr id="0" name="SD_LP_dln_diesel.png"/>
                    <pic:cNvPicPr/>
                  </pic:nvPicPr>
                  <pic:blipFill>
                    <a:blip r:embed="rId44"/>
                    <a:stretch>
                      <a:fillRect/>
                    </a:stretch>
                  </pic:blipFill>
                  <pic:spPr>
                    <a:xfrm>
                      <a:off x="0" y="0"/>
                      <a:ext cx="4572000" cy="1632857"/>
                    </a:xfrm>
                    <a:prstGeom prst="rect"/>
                  </pic:spPr>
                </pic:pic>
              </a:graphicData>
            </a:graphic>
          </wp:inline>
        </w:drawing>
      </w:r>
    </w:p>
    <w:p>
      <w:pPr/>
      <w:r>
        <w:rPr>
          <w:i/>
        </w:rPr>
        <w:t>Fonte: elaboracao propria, Modelo 12.</w:t>
      </w:r>
    </w:p>
    <w:p>
      <w:pPr/>
      <w:r>
        <w:rPr>
          <w:b/>
        </w:rPr>
        <w:t>Figura 7 - Resposta acumulada dos combustiveis sobre o IPCA Transportes por regime</w:t>
      </w:r>
    </w:p>
    <w:p>
      <w:pPr>
        <w:jc w:val="center"/>
      </w:pPr>
      <w:r>
        <w:drawing>
          <wp:inline xmlns:a="http://schemas.openxmlformats.org/drawingml/2006/main" xmlns:pic="http://schemas.openxmlformats.org/drawingml/2006/picture">
            <wp:extent cx="4572000" cy="1632857"/>
            <wp:docPr id="30" name="Picture 30"/>
            <wp:cNvGraphicFramePr>
              <a:graphicFrameLocks noChangeAspect="1"/>
            </wp:cNvGraphicFramePr>
            <a:graphic>
              <a:graphicData uri="http://schemas.openxmlformats.org/drawingml/2006/picture">
                <pic:pic>
                  <pic:nvPicPr>
                    <pic:cNvPr id="0" name="SD_LP_ipca_transporte_mensal.png"/>
                    <pic:cNvPicPr/>
                  </pic:nvPicPr>
                  <pic:blipFill>
                    <a:blip r:embed="rId45"/>
                    <a:stretch>
                      <a:fillRect/>
                    </a:stretch>
                  </pic:blipFill>
                  <pic:spPr>
                    <a:xfrm>
                      <a:off x="0" y="0"/>
                      <a:ext cx="4572000" cy="1632857"/>
                    </a:xfrm>
                    <a:prstGeom prst="rect"/>
                  </pic:spPr>
                </pic:pic>
              </a:graphicData>
            </a:graphic>
          </wp:inline>
        </w:drawing>
      </w:r>
    </w:p>
    <w:p>
      <w:pPr/>
      <w:r>
        <w:rPr>
          <w:i/>
        </w:rPr>
        <w:t>Fonte: elaboracao propria, Modelo 12. A ausencia de significancia no regime pre-2016 (linha azul) contrasta com a resposta imediata e positiva no regime pos-2016 (linha vermelha), confirmando o papel da politica de precos da Petrobras como determinante da velocidade e da intensidade do repasse.</w:t>
      </w:r>
    </w:p>
    <w:p>
      <w:pPr>
        <w:pStyle w:val="Heading3"/>
      </w:pPr>
      <w:r>
        <w:t>5.6.1 LP-IV com Oil Supply News Shock</w:t>
      </w:r>
    </w:p>
    <w:p>
      <w:pPr/>
      <w:r>
        <w:t>O Modelo 9 (LP-IV) usa a serie Oil Supply News Shock como instrumento externo para o preco do petroleo, capturando variacoes exogenas do lado da oferta global (cortes da OPEP, conflitos geopoliticos, revisoes de expectativas de producao). A estatistica F do primeiro estagio (~120) supera amplamente o limiar convencional de 10, descartando instrumentos fracos. Os coeficientes LP-IV sao quantitativamente muito proximos dos coeficientes OLS em todos os horizontes (Tabela 5), indicando que o vies de endogeneidade e limitado neste contexto e validando retrospectivamente as estimacoes principais.</w:t>
      </w:r>
    </w:p>
    <w:p>
      <w:pPr/>
      <w:r>
        <w:rPr>
          <w:b/>
        </w:rPr>
        <w:t>Tabela 5 - LP direta e LP-IV com Oil Supply News Shock</w:t>
      </w:r>
    </w:p>
    <w:tbl>
      <w:tblPr>
        <w:tblW w:type="auto" w:w="0"/>
        <w:tblLook w:firstColumn="1" w:firstRow="1" w:lastColumn="0" w:lastRow="0" w:noHBand="0" w:noVBand="1" w:val="04A0"/>
      </w:tblPr>
      <w:tblGrid>
        <w:gridCol w:w="1567"/>
        <w:gridCol w:w="1567"/>
        <w:gridCol w:w="1567"/>
        <w:gridCol w:w="1567"/>
        <w:gridCol w:w="1567"/>
        <w:gridCol w:w="1567"/>
      </w:tblGrid>
      <w:tr>
        <w:tc>
          <w:tcPr>
            <w:tcW w:type="dxa" w:w="1567"/>
            <w:shd w:val="clear" w:color="auto" w:fill="auto"/>
            <w:tcBorders>
              <w:top w:sz="12" w:val="single" w:color="000000"/>
              <w:left w:val="nil"/>
              <w:bottom w:sz="4" w:val="single" w:color="000000"/>
              <w:right w:val="nil"/>
            </w:tcBorders>
          </w:tcPr>
          <w:p>
            <w:pPr>
              <w:ind w:left="0" w:right="0" w:firstLine="0"/>
              <w:jc w:val="center"/>
            </w:pPr>
            <w:r>
              <w:t>Horizonte</w:t>
            </w:r>
          </w:p>
        </w:tc>
        <w:tc>
          <w:tcPr>
            <w:tcW w:type="dxa" w:w="1567"/>
            <w:shd w:val="clear" w:color="auto" w:fill="auto"/>
            <w:tcBorders>
              <w:top w:sz="12" w:val="single" w:color="000000"/>
              <w:left w:val="nil"/>
              <w:bottom w:sz="4" w:val="single" w:color="000000"/>
              <w:right w:val="nil"/>
            </w:tcBorders>
          </w:tcPr>
          <w:p>
            <w:pPr>
              <w:ind w:left="0" w:right="0" w:firstLine="0"/>
              <w:jc w:val="center"/>
            </w:pPr>
            <w:r>
              <w:t>LP-OLS Diesel</w:t>
            </w:r>
          </w:p>
        </w:tc>
        <w:tc>
          <w:tcPr>
            <w:tcW w:type="dxa" w:w="1567"/>
            <w:shd w:val="clear" w:color="auto" w:fill="auto"/>
            <w:tcBorders>
              <w:top w:sz="12" w:val="single" w:color="000000"/>
              <w:left w:val="nil"/>
              <w:bottom w:sz="4" w:val="single" w:color="000000"/>
              <w:right w:val="nil"/>
            </w:tcBorders>
          </w:tcPr>
          <w:p>
            <w:pPr>
              <w:ind w:left="0" w:right="0" w:firstLine="0"/>
              <w:jc w:val="center"/>
            </w:pPr>
            <w:r>
              <w:t>LP-IV Diesel</w:t>
            </w:r>
          </w:p>
        </w:tc>
        <w:tc>
          <w:tcPr>
            <w:tcW w:type="dxa" w:w="1567"/>
            <w:shd w:val="clear" w:color="auto" w:fill="auto"/>
            <w:tcBorders>
              <w:top w:sz="12" w:val="single" w:color="000000"/>
              <w:left w:val="nil"/>
              <w:bottom w:sz="4" w:val="single" w:color="000000"/>
              <w:right w:val="nil"/>
            </w:tcBorders>
          </w:tcPr>
          <w:p>
            <w:pPr>
              <w:ind w:left="0" w:right="0" w:firstLine="0"/>
              <w:jc w:val="center"/>
            </w:pPr>
            <w:r>
              <w:t>LP-OLS IPCA Trans.</w:t>
            </w:r>
          </w:p>
        </w:tc>
        <w:tc>
          <w:tcPr>
            <w:tcW w:type="dxa" w:w="1567"/>
            <w:shd w:val="clear" w:color="auto" w:fill="auto"/>
            <w:tcBorders>
              <w:top w:sz="12" w:val="single" w:color="000000"/>
              <w:left w:val="nil"/>
              <w:bottom w:sz="4" w:val="single" w:color="000000"/>
              <w:right w:val="nil"/>
            </w:tcBorders>
          </w:tcPr>
          <w:p>
            <w:pPr>
              <w:ind w:left="0" w:right="0" w:firstLine="0"/>
              <w:jc w:val="center"/>
            </w:pPr>
            <w:r>
              <w:t>LP-IV IPCA Trans.</w:t>
            </w:r>
          </w:p>
        </w:tc>
        <w:tc>
          <w:tcPr>
            <w:tcW w:type="dxa" w:w="1567"/>
            <w:shd w:val="clear" w:color="auto" w:fill="auto"/>
            <w:tcBorders>
              <w:top w:sz="12" w:val="single" w:color="000000"/>
              <w:left w:val="nil"/>
              <w:bottom w:sz="4" w:val="single" w:color="000000"/>
              <w:right w:val="nil"/>
            </w:tcBorders>
          </w:tcPr>
          <w:p>
            <w:pPr>
              <w:ind w:left="0" w:right="0" w:firstLine="0"/>
              <w:jc w:val="center"/>
            </w:pPr>
            <w:r>
              <w:t>F 1o estagio</w:t>
            </w:r>
          </w:p>
        </w:tc>
      </w:tr>
      <w:tr>
        <w:tc>
          <w:tcPr>
            <w:tcW w:type="dxa" w:w="1567"/>
            <w:shd w:val="clear" w:color="auto" w:fill="auto"/>
            <w:tcBorders>
              <w:top w:val="nil"/>
              <w:left w:val="nil"/>
              <w:bottom w:val="nil"/>
              <w:right w:val="nil"/>
            </w:tcBorders>
          </w:tcPr>
          <w:p>
            <w:pPr>
              <w:ind w:left="0" w:right="0" w:firstLine="0"/>
              <w:jc w:val="center"/>
            </w:pPr>
            <w:r>
              <w:t>h=0</w:t>
            </w:r>
          </w:p>
        </w:tc>
        <w:tc>
          <w:tcPr>
            <w:tcW w:type="dxa" w:w="1567"/>
            <w:shd w:val="clear" w:color="auto" w:fill="auto"/>
            <w:tcBorders>
              <w:top w:val="nil"/>
              <w:left w:val="nil"/>
              <w:bottom w:val="nil"/>
              <w:right w:val="nil"/>
            </w:tcBorders>
          </w:tcPr>
          <w:p>
            <w:pPr>
              <w:ind w:left="0" w:right="0" w:firstLine="0"/>
              <w:jc w:val="center"/>
            </w:pPr>
            <w:r>
              <w:t>0,115**</w:t>
            </w:r>
          </w:p>
        </w:tc>
        <w:tc>
          <w:tcPr>
            <w:tcW w:type="dxa" w:w="1567"/>
            <w:shd w:val="clear" w:color="auto" w:fill="auto"/>
            <w:tcBorders>
              <w:top w:val="nil"/>
              <w:left w:val="nil"/>
              <w:bottom w:val="nil"/>
              <w:right w:val="nil"/>
            </w:tcBorders>
          </w:tcPr>
          <w:p>
            <w:pPr>
              <w:ind w:left="0" w:right="0" w:firstLine="0"/>
              <w:jc w:val="center"/>
            </w:pPr>
            <w:r>
              <w:t>0,108**</w:t>
            </w:r>
          </w:p>
        </w:tc>
        <w:tc>
          <w:tcPr>
            <w:tcW w:type="dxa" w:w="1567"/>
            <w:shd w:val="clear" w:color="auto" w:fill="auto"/>
            <w:tcBorders>
              <w:top w:val="nil"/>
              <w:left w:val="nil"/>
              <w:bottom w:val="nil"/>
              <w:right w:val="nil"/>
            </w:tcBorders>
          </w:tcPr>
          <w:p>
            <w:pPr>
              <w:ind w:left="0" w:right="0" w:firstLine="0"/>
              <w:jc w:val="center"/>
            </w:pPr>
            <w:r>
              <w:t>0,028**</w:t>
            </w:r>
          </w:p>
        </w:tc>
        <w:tc>
          <w:tcPr>
            <w:tcW w:type="dxa" w:w="1567"/>
            <w:shd w:val="clear" w:color="auto" w:fill="auto"/>
            <w:tcBorders>
              <w:top w:val="nil"/>
              <w:left w:val="nil"/>
              <w:bottom w:val="nil"/>
              <w:right w:val="nil"/>
            </w:tcBorders>
          </w:tcPr>
          <w:p>
            <w:pPr>
              <w:ind w:left="0" w:right="0" w:firstLine="0"/>
              <w:jc w:val="center"/>
            </w:pPr>
            <w:r>
              <w:t>0,031**</w:t>
            </w:r>
          </w:p>
        </w:tc>
        <w:tc>
          <w:tcPr>
            <w:tcW w:type="dxa" w:w="1567"/>
            <w:shd w:val="clear" w:color="auto" w:fill="auto"/>
            <w:tcBorders>
              <w:top w:val="nil"/>
              <w:left w:val="nil"/>
              <w:bottom w:val="nil"/>
              <w:right w:val="nil"/>
            </w:tcBorders>
          </w:tcPr>
          <w:p>
            <w:pPr>
              <w:ind w:left="0" w:right="0" w:firstLine="0"/>
              <w:jc w:val="center"/>
            </w:pPr>
            <w:r>
              <w:t>~120</w:t>
            </w:r>
          </w:p>
        </w:tc>
      </w:tr>
      <w:tr>
        <w:tc>
          <w:tcPr>
            <w:tcW w:type="dxa" w:w="1567"/>
            <w:shd w:val="clear" w:color="auto" w:fill="auto"/>
            <w:tcBorders>
              <w:top w:val="nil"/>
              <w:left w:val="nil"/>
              <w:bottom w:val="nil"/>
              <w:right w:val="nil"/>
            </w:tcBorders>
          </w:tcPr>
          <w:p>
            <w:pPr>
              <w:ind w:left="0" w:right="0" w:firstLine="0"/>
              <w:jc w:val="center"/>
            </w:pPr>
            <w:r>
              <w:t>h=1</w:t>
            </w:r>
          </w:p>
        </w:tc>
        <w:tc>
          <w:tcPr>
            <w:tcW w:type="dxa" w:w="1567"/>
            <w:shd w:val="clear" w:color="auto" w:fill="auto"/>
            <w:tcBorders>
              <w:top w:val="nil"/>
              <w:left w:val="nil"/>
              <w:bottom w:val="nil"/>
              <w:right w:val="nil"/>
            </w:tcBorders>
          </w:tcPr>
          <w:p>
            <w:pPr>
              <w:ind w:left="0" w:right="0" w:firstLine="0"/>
              <w:jc w:val="center"/>
            </w:pPr>
            <w:r>
              <w:t>0,166**</w:t>
            </w:r>
          </w:p>
        </w:tc>
        <w:tc>
          <w:tcPr>
            <w:tcW w:type="dxa" w:w="1567"/>
            <w:shd w:val="clear" w:color="auto" w:fill="auto"/>
            <w:tcBorders>
              <w:top w:val="nil"/>
              <w:left w:val="nil"/>
              <w:bottom w:val="nil"/>
              <w:right w:val="nil"/>
            </w:tcBorders>
          </w:tcPr>
          <w:p>
            <w:pPr>
              <w:ind w:left="0" w:right="0" w:firstLine="0"/>
              <w:jc w:val="center"/>
            </w:pPr>
            <w:r>
              <w:t>0,161**</w:t>
            </w:r>
          </w:p>
        </w:tc>
        <w:tc>
          <w:tcPr>
            <w:tcW w:type="dxa" w:w="1567"/>
            <w:shd w:val="clear" w:color="auto" w:fill="auto"/>
            <w:tcBorders>
              <w:top w:val="nil"/>
              <w:left w:val="nil"/>
              <w:bottom w:val="nil"/>
              <w:right w:val="nil"/>
            </w:tcBorders>
          </w:tcPr>
          <w:p>
            <w:pPr>
              <w:ind w:left="0" w:right="0" w:firstLine="0"/>
              <w:jc w:val="center"/>
            </w:pPr>
            <w:r>
              <w:t>0,056**</w:t>
            </w:r>
          </w:p>
        </w:tc>
        <w:tc>
          <w:tcPr>
            <w:tcW w:type="dxa" w:w="1567"/>
            <w:shd w:val="clear" w:color="auto" w:fill="auto"/>
            <w:tcBorders>
              <w:top w:val="nil"/>
              <w:left w:val="nil"/>
              <w:bottom w:val="nil"/>
              <w:right w:val="nil"/>
            </w:tcBorders>
          </w:tcPr>
          <w:p>
            <w:pPr>
              <w:ind w:left="0" w:right="0" w:firstLine="0"/>
              <w:jc w:val="center"/>
            </w:pPr>
            <w:r>
              <w:t>0,058**</w:t>
            </w:r>
          </w:p>
        </w:tc>
        <w:tc>
          <w:tcPr>
            <w:tcW w:type="dxa" w:w="1567"/>
            <w:shd w:val="clear" w:color="auto" w:fill="auto"/>
            <w:tcBorders>
              <w:top w:val="nil"/>
              <w:left w:val="nil"/>
              <w:bottom w:val="nil"/>
              <w:right w:val="nil"/>
            </w:tcBorders>
          </w:tcPr>
          <w:p>
            <w:pPr>
              <w:ind w:left="0" w:right="0" w:firstLine="0"/>
              <w:jc w:val="center"/>
            </w:pPr>
            <w:r>
              <w:t>~120</w:t>
            </w:r>
          </w:p>
        </w:tc>
      </w:tr>
      <w:tr>
        <w:tc>
          <w:tcPr>
            <w:tcW w:type="dxa" w:w="1567"/>
            <w:shd w:val="clear" w:color="auto" w:fill="auto"/>
            <w:tcBorders>
              <w:top w:val="nil"/>
              <w:left w:val="nil"/>
              <w:bottom w:val="nil"/>
              <w:right w:val="nil"/>
            </w:tcBorders>
          </w:tcPr>
          <w:p>
            <w:pPr>
              <w:ind w:left="0" w:right="0" w:firstLine="0"/>
              <w:jc w:val="center"/>
            </w:pPr>
            <w:r>
              <w:t>h=2</w:t>
            </w:r>
          </w:p>
        </w:tc>
        <w:tc>
          <w:tcPr>
            <w:tcW w:type="dxa" w:w="1567"/>
            <w:shd w:val="clear" w:color="auto" w:fill="auto"/>
            <w:tcBorders>
              <w:top w:val="nil"/>
              <w:left w:val="nil"/>
              <w:bottom w:val="nil"/>
              <w:right w:val="nil"/>
            </w:tcBorders>
          </w:tcPr>
          <w:p>
            <w:pPr>
              <w:ind w:left="0" w:right="0" w:firstLine="0"/>
              <w:jc w:val="center"/>
            </w:pPr>
            <w:r>
              <w:t>0,150*</w:t>
            </w:r>
          </w:p>
        </w:tc>
        <w:tc>
          <w:tcPr>
            <w:tcW w:type="dxa" w:w="1567"/>
            <w:shd w:val="clear" w:color="auto" w:fill="auto"/>
            <w:tcBorders>
              <w:top w:val="nil"/>
              <w:left w:val="nil"/>
              <w:bottom w:val="nil"/>
              <w:right w:val="nil"/>
            </w:tcBorders>
          </w:tcPr>
          <w:p>
            <w:pPr>
              <w:ind w:left="0" w:right="0" w:firstLine="0"/>
              <w:jc w:val="center"/>
            </w:pPr>
            <w:r>
              <w:t>0,142*</w:t>
            </w:r>
          </w:p>
        </w:tc>
        <w:tc>
          <w:tcPr>
            <w:tcW w:type="dxa" w:w="1567"/>
            <w:shd w:val="clear" w:color="auto" w:fill="auto"/>
            <w:tcBorders>
              <w:top w:val="nil"/>
              <w:left w:val="nil"/>
              <w:bottom w:val="nil"/>
              <w:right w:val="nil"/>
            </w:tcBorders>
          </w:tcPr>
          <w:p>
            <w:pPr>
              <w:ind w:left="0" w:right="0" w:firstLine="0"/>
              <w:jc w:val="center"/>
            </w:pPr>
            <w:r>
              <w:t>0,075**</w:t>
            </w:r>
          </w:p>
        </w:tc>
        <w:tc>
          <w:tcPr>
            <w:tcW w:type="dxa" w:w="1567"/>
            <w:shd w:val="clear" w:color="auto" w:fill="auto"/>
            <w:tcBorders>
              <w:top w:val="nil"/>
              <w:left w:val="nil"/>
              <w:bottom w:val="nil"/>
              <w:right w:val="nil"/>
            </w:tcBorders>
          </w:tcPr>
          <w:p>
            <w:pPr>
              <w:ind w:left="0" w:right="0" w:firstLine="0"/>
              <w:jc w:val="center"/>
            </w:pPr>
            <w:r>
              <w:t>0,071**</w:t>
            </w:r>
          </w:p>
        </w:tc>
        <w:tc>
          <w:tcPr>
            <w:tcW w:type="dxa" w:w="1567"/>
            <w:shd w:val="clear" w:color="auto" w:fill="auto"/>
            <w:tcBorders>
              <w:top w:val="nil"/>
              <w:left w:val="nil"/>
              <w:bottom w:val="nil"/>
              <w:right w:val="nil"/>
            </w:tcBorders>
          </w:tcPr>
          <w:p>
            <w:pPr>
              <w:ind w:left="0" w:right="0" w:firstLine="0"/>
              <w:jc w:val="center"/>
            </w:pPr>
            <w:r>
              <w:t>~120</w:t>
            </w:r>
          </w:p>
        </w:tc>
      </w:tr>
      <w:tr>
        <w:tc>
          <w:tcPr>
            <w:tcW w:type="dxa" w:w="1567"/>
            <w:shd w:val="clear" w:color="auto" w:fill="auto"/>
            <w:tcBorders>
              <w:top w:val="nil"/>
              <w:left w:val="nil"/>
              <w:bottom w:sz="12" w:val="single" w:color="000000"/>
              <w:right w:val="nil"/>
            </w:tcBorders>
          </w:tcPr>
          <w:p>
            <w:pPr>
              <w:ind w:left="0" w:right="0" w:firstLine="0"/>
              <w:jc w:val="center"/>
            </w:pPr>
            <w:r>
              <w:t>h=6</w:t>
            </w:r>
          </w:p>
        </w:tc>
        <w:tc>
          <w:tcPr>
            <w:tcW w:type="dxa" w:w="1567"/>
            <w:shd w:val="clear" w:color="auto" w:fill="auto"/>
            <w:tcBorders>
              <w:top w:val="nil"/>
              <w:left w:val="nil"/>
              <w:bottom w:sz="12" w:val="single" w:color="000000"/>
              <w:right w:val="nil"/>
            </w:tcBorders>
          </w:tcPr>
          <w:p>
            <w:pPr>
              <w:ind w:left="0" w:right="0" w:firstLine="0"/>
              <w:jc w:val="center"/>
            </w:pPr>
            <w:r>
              <w:t>-0,044</w:t>
            </w:r>
          </w:p>
        </w:tc>
        <w:tc>
          <w:tcPr>
            <w:tcW w:type="dxa" w:w="1567"/>
            <w:shd w:val="clear" w:color="auto" w:fill="auto"/>
            <w:tcBorders>
              <w:top w:val="nil"/>
              <w:left w:val="nil"/>
              <w:bottom w:sz="12" w:val="single" w:color="000000"/>
              <w:right w:val="nil"/>
            </w:tcBorders>
          </w:tcPr>
          <w:p>
            <w:pPr>
              <w:ind w:left="0" w:right="0" w:firstLine="0"/>
              <w:jc w:val="center"/>
            </w:pPr>
            <w:r>
              <w:t>-0,039</w:t>
            </w:r>
          </w:p>
        </w:tc>
        <w:tc>
          <w:tcPr>
            <w:tcW w:type="dxa" w:w="1567"/>
            <w:shd w:val="clear" w:color="auto" w:fill="auto"/>
            <w:tcBorders>
              <w:top w:val="nil"/>
              <w:left w:val="nil"/>
              <w:bottom w:sz="12" w:val="single" w:color="000000"/>
              <w:right w:val="nil"/>
            </w:tcBorders>
          </w:tcPr>
          <w:p>
            <w:pPr>
              <w:ind w:left="0" w:right="0" w:firstLine="0"/>
              <w:jc w:val="center"/>
            </w:pPr>
            <w:r>
              <w:t>0,055</w:t>
            </w:r>
          </w:p>
        </w:tc>
        <w:tc>
          <w:tcPr>
            <w:tcW w:type="dxa" w:w="1567"/>
            <w:shd w:val="clear" w:color="auto" w:fill="auto"/>
            <w:tcBorders>
              <w:top w:val="nil"/>
              <w:left w:val="nil"/>
              <w:bottom w:sz="12" w:val="single" w:color="000000"/>
              <w:right w:val="nil"/>
            </w:tcBorders>
          </w:tcPr>
          <w:p>
            <w:pPr>
              <w:ind w:left="0" w:right="0" w:firstLine="0"/>
              <w:jc w:val="center"/>
            </w:pPr>
            <w:r>
              <w:t>0,049</w:t>
            </w:r>
          </w:p>
        </w:tc>
        <w:tc>
          <w:tcPr>
            <w:tcW w:type="dxa" w:w="1567"/>
            <w:shd w:val="clear" w:color="auto" w:fill="auto"/>
            <w:tcBorders>
              <w:top w:val="nil"/>
              <w:left w:val="nil"/>
              <w:bottom w:sz="12" w:val="single" w:color="000000"/>
              <w:right w:val="nil"/>
            </w:tcBorders>
          </w:tcPr>
          <w:p>
            <w:pPr>
              <w:ind w:left="0" w:right="0" w:firstLine="0"/>
              <w:jc w:val="center"/>
            </w:pPr>
            <w:r>
              <w:t>~120</w:t>
            </w:r>
          </w:p>
        </w:tc>
      </w:tr>
    </w:tbl>
    <w:p>
      <w:pPr/>
      <w:r>
        <w:rPr>
          <w:i/>
        </w:rPr>
        <w:t>Nota: ** sig. a 5%; * sig. a 10%. Fonte: elaboracao propria, Modelo 9.</w:t>
      </w:r>
    </w:p>
    <w:p>
      <w:pPr>
        <w:pStyle w:val="Heading2"/>
      </w:pPr>
      <w:r>
        <w:t>5.7 Sintese dos resultados</w:t>
      </w:r>
    </w:p>
    <w:p>
      <w:pPr/>
      <w:r>
        <w:t>O conjunto de evidencias desta secao sustenta tres conclusoes centrais, todas coerentes entre si e com a teoria economica.</w:t>
      </w:r>
    </w:p>
    <w:p>
      <w:pPr/>
      <w:r>
        <w:t>1. O canal petroleo -&gt; combustiveis esta ativo. Diesel e Gasolina A respondem de forma positiva e robusta ao preco do barril. O repasse ao diesel concentra-se no curtissimo prazo; o da gasolina de refinaria acumula-se gradualmente por quatro a cinco meses, refletindo a janela de reajuste da Petrobras.</w:t>
      </w:r>
    </w:p>
    <w:p>
      <w:pPr/>
      <w:r>
        <w:t>2. O impacto inflacionario e setorialmente concentrado no IPCA Transportes. O pass-through da gasolina ao consumidor e de aproximadamente 43% em doze meses, altamente persistente e estatisticamente inequivoco (t &gt; 3,6 em todo o horizonte). O IPCA Geral responde a gasolina de forma menor e mais transitoria, perdendo significancia apos o quinto mes.</w:t>
      </w:r>
    </w:p>
    <w:p>
      <w:pPr/>
      <w:r>
        <w:t>3. A politica de precos da Petrobras e o principal moderador da intensidade do repasse. No regime posterior a adocao do PPI (pos setembro de 2016), o repasse e imediato, forte e persistente. No regime anterior, o canal de transmissao petroleo -&gt; IPCA Transportes estava essencialmente bloqueado. Essa heterogeneidade e rejeitada estatisticamente pelo teste de Wald.</w:t>
      </w:r>
    </w:p>
    <w:p w14:paraId="69C36375" w14:textId="77777777" w:rsidR="008E44CC" w:rsidRPr="009C7F96" w:rsidRDefault="008E44CC" w:rsidP="008E44CC">
      <w:pPr>
        <w:pStyle w:val="Heading1"/>
        <w:rPr>
          <w:rFonts w:cs="Times New Roman"/>
          <w:szCs w:val="24"/>
        </w:rPr>
      </w:pPr>
      <w:bookmarkStart w:id="58" w:name="_Toc229695967"/>
      <w:r w:rsidRPr="009C7F96">
        <w:rPr>
          <w:rFonts w:ascii="Times New Roman" w:eastAsia="Times New Roman" w:hAnsi="Times New Roman" w:cs="Times New Roman"/>
          <w:szCs w:val="24"/>
        </w:rPr>
        <w:t>6 CONCLUSÃO</w:t>
      </w:r>
      <w:bookmarkEnd w:id="58"/>
    </w:p>
    <w:p>
      <w:pPr/>
      <w:r>
        <w:t>Este trabalho analisou em que medida choques no preco internacional do petroleo sao transmitidos aos precos domesticos dos combustiveis e a inflacao brasileira entre 2003 e 2026. A hipotese central era que o repasse ocorre principalmente por meio dos combustiveis, com efeito mais evidente no IPCA Transportes do que no IPCA Geral, e que a politica de precos da Petrobras altera a intensidade e o timing desse processo.</w:t>
      </w:r>
    </w:p>
    <w:p>
      <w:pPr/>
      <w:r>
        <w:t>Os resultados sustentam essa hipotese. As Projecoes Locais, estimadas com erros-padrao robustos do tipo HAC/Newey-West, mostram que choques no preco do petroleo elevam os precos dos combustiveis domesticos de forma positiva e estatisticamente significativa. O oleo diesel apresenta repasse concentrado nos dois primeiros meses apos o choque (coeficientes de 0,115 e 0,166 em h=0 e h=1, respectivamente, significativos a 5%). A gasolina de refinaria acumula repasse gradual e robusto ate o quarto mes, com coeficiente de 0,375 (t=3,96). A gasolina ao consumidor e altamente significativa em todos os horizontes, com pass-through acumulado de aproximadamente 43% em doze meses (coeficiente de 0,431; t=3,60 em h=12). O etanol responde de forma indireta, via canal de substituicao com a gasolina, e e significativo em todos os horizontes estimados.</w:t>
      </w:r>
    </w:p>
    <w:p>
      <w:pPr/>
      <w:r>
        <w:t>No que se refere ao impacto sobre a inflacao, o resultado mais forte aparece no IPCA Transportes. A gasolina ao consumidor eleva o IPCA Transportes de forma imediata e persistente, com coeficiente de 0,269 no proprio mes do choque (t=24,25) e de 0,464 em seis meses (t=5,96). Esse nivel de precisao estatistica e incomum em series temporais macroeconomicas de amostras finitas. A gasolina de refinaria tambem gera resposta significativa sobre o IPCA Transportes, confirmando que o choque se propaga por toda a cadeia upstream-downstream, da refinaria ao consumidor final. O IPCA Geral responde de forma menor e menos persistente: a gasolina ao consumidor e significativa sobre o indice agregado nos primeiros cinco meses (coeficiente medio de 0,05), mas perde precisao estatistica nos horizontes mais longos. O diesel e o etanol nao apresentam efeito robusto sobre o IPCA Geral em nenhum horizonte.</w:t>
      </w:r>
    </w:p>
    <w:p>
      <w:pPr/>
      <w:r>
        <w:t>A analise por regimes e um dos achados mais relevantes do trabalho. O Modelo 12 (Local Projections Dependentes de Estado), com corte em setembro de 2016, mostra que no regime posterior a adocao do Preco de Paridade de Importacao (PPI), o repasse ocorre de forma imediata e estatisticamente significativa desde o mes do choque. No regime anterior, os coeficientes sobre o IPCA Transportes sao sistematicamente nao significativos em todos os horizontes. O teste de Wald rejeita a hipotese de igualdade entre os coeficientes dos dois regimes, confirmando que a mudanca institucional alterou a velocidade e a intensidade do repasse. Esses resultados sao coerentes com a teoria: politicas de precos administrados funcionam como amortecedores que bloqueiam a transmissao de choques externos. Sua remocao, como ocorreu em 2016, restaura e amplifica o canal de transmissao.</w:t>
      </w:r>
    </w:p>
    <w:p>
      <w:pPr/>
      <w:r>
        <w:t>O exercicio LP-IV com Oil Supply News Shock confirma que os resultados nao refletem vies de endogeneidade. A estatistica F do primeiro estagio (~120) e muito superior ao limiar convencional de 10, e os coeficientes LP-IV sao quantitativamente proximos dos coeficientes OLS em todos os horizontes. Essa evidencia reforca a interpretacao causal dos resultados principais: e o choque externo de oferta de petroleo que causa o repasse nos combustiveis e na inflacao de transportes, e nao uma correlacao espuria com outras variaveis macroeconomicas.</w:t>
      </w:r>
    </w:p>
    <w:p>
      <w:pPr/>
      <w:r>
        <w:t>A principal limitacao do trabalho e que o periodo amostral (2003-2026) inclui episodios de grande heterogeneidade macroeconomica: a crise financeira global, a fase de precos administrados da Petrobras (2011-2015), a pandemia de Covid-19, o ciclo de alta do petroleo e do cambio (2021-2022) e a nova estrategia comercial da Petrobras (2023). A analise por regime capta parte dessa heterogeneidade, mas nao esgota todos os subperiodos relevantes. Alem disso, a amostra mensal, embora relativamente longa, torna-se curta quando dividida em regimes, o que pode reduzir a precisao das estimativas nas subamostras. Pesquisas futuras poderiam explorar dados regionais do IPCA, tecnicas de Local Projections com parametros variando no tempo (TVP-LP) ou suavizacao bayesiana para lidar com a ruido das estimativas em horizontes longos.</w:t>
      </w:r>
    </w:p>
    <w:p>
      <w:pPr/>
      <w:r>
        <w:t>Em termos de contribuicao, este trabalho organiza de forma sistematica o canal de transmissao petroleo-combustiveis-inflacao para o Brasil, utilizando a metodologia de Projecoes Locais como estrategia principal, confirmando que o repasse existe, e setorialmente concentrado no IPCA Transportes, e condicionado pelo regime de precificacao da Petrobras. Esses resultados sao robustos a diferentes especificacoes de controles, a identificacao via instrumento externo e a analise por regime institucional, fornecendo uma base empirica solida para a analise das politicas de combustiveis e seus efeitos sobre a inflacao brasileira.</w:t>
      </w:r>
    </w:p>
    <w:p w14:paraId="1FEDFEB3" w14:textId="77777777" w:rsidR="008E44CC" w:rsidRPr="009C7F96" w:rsidRDefault="008E44CC" w:rsidP="008E44CC">
      <w:pPr>
        <w:pStyle w:val="Heading1"/>
        <w:spacing w:before="240" w:after="120" w:line="240" w:lineRule="auto"/>
        <w:jc w:val="center"/>
        <w:rPr>
          <w:rFonts w:cs="Times New Roman"/>
          <w:szCs w:val="24"/>
        </w:rPr>
      </w:pPr>
      <w:bookmarkStart w:id="59" w:name="_Toc229695968"/>
      <w:r w:rsidRPr="009C7F96">
        <w:rPr>
          <w:rFonts w:ascii="Times New Roman" w:eastAsia="Times New Roman" w:hAnsi="Times New Roman" w:cs="Times New Roman"/>
          <w:szCs w:val="24"/>
        </w:rPr>
        <w:lastRenderedPageBreak/>
        <w:t>REFERÊNCIAS</w:t>
      </w:r>
      <w:bookmarkEnd w:id="59"/>
    </w:p>
    <w:p w14:paraId="0850CD55" w14:textId="77777777" w:rsidR="008E44CC" w:rsidRPr="009C7F96" w:rsidRDefault="008E44CC" w:rsidP="008E44CC">
      <w:pPr>
        <w:spacing w:after="120"/>
        <w:rPr>
          <w:rFonts w:cs="Times New Roman"/>
          <w:szCs w:val="24"/>
        </w:rPr>
      </w:pPr>
      <w:r w:rsidRPr="009C7F96">
        <w:rPr>
          <w:rFonts w:cs="Times New Roman"/>
          <w:szCs w:val="24"/>
          <w:lang w:val="pt-BR"/>
        </w:rPr>
        <w:t xml:space="preserve">ALMEIDA, Edmar; OLIVEIRA, Patricia; LOSEKANN, Luciano. Impactos da contenção dos preços de combustíveis no Brasil e opções de mecanismos de precificação. </w:t>
      </w:r>
      <w:r w:rsidRPr="009C7F96">
        <w:rPr>
          <w:rFonts w:cs="Times New Roman"/>
          <w:szCs w:val="24"/>
        </w:rPr>
        <w:t>Revista de Economia Política, São Paulo, 2015.</w:t>
      </w:r>
    </w:p>
    <w:p w14:paraId="1EE1E11D" w14:textId="77777777" w:rsidR="008E44CC" w:rsidRPr="009C7F96" w:rsidRDefault="008E44CC" w:rsidP="008E44CC">
      <w:pPr>
        <w:spacing w:after="120"/>
        <w:rPr>
          <w:rFonts w:cs="Times New Roman"/>
          <w:szCs w:val="24"/>
        </w:rPr>
      </w:pPr>
      <w:r w:rsidRPr="009C7F96">
        <w:rPr>
          <w:rFonts w:cs="Times New Roman"/>
          <w:szCs w:val="24"/>
        </w:rPr>
        <w:t>ALLON-PINEDA, Joan Christine S.; OCAMPO, Jan Christopher G.; SANTOS, Eduard Renzo D. Second-round effects and asymmetry in oil and food price shocks to inflation. Latin American Journal of Central Banking, 2025.</w:t>
      </w:r>
    </w:p>
    <w:p w14:paraId="5A85E7F4" w14:textId="77777777" w:rsidR="008E44CC" w:rsidRPr="009C7F96" w:rsidRDefault="008E44CC" w:rsidP="008E44CC">
      <w:pPr>
        <w:spacing w:after="120"/>
        <w:rPr>
          <w:rFonts w:cs="Times New Roman"/>
          <w:szCs w:val="24"/>
        </w:rPr>
      </w:pPr>
      <w:r w:rsidRPr="009C7F96">
        <w:rPr>
          <w:rFonts w:cs="Times New Roman"/>
          <w:szCs w:val="24"/>
        </w:rPr>
        <w:t>ALVAREZ, Jorge A.; KROEN, Thomas. The energy origins of the global inflation surge. IMF Working Paper, Washington, D.C., 2025.</w:t>
      </w:r>
    </w:p>
    <w:p w14:paraId="5E207459" w14:textId="77777777" w:rsidR="008E44CC" w:rsidRPr="009C7F96" w:rsidRDefault="008E44CC" w:rsidP="008E44CC">
      <w:pPr>
        <w:spacing w:after="120"/>
        <w:rPr>
          <w:rFonts w:cs="Times New Roman"/>
          <w:szCs w:val="24"/>
        </w:rPr>
      </w:pPr>
      <w:r w:rsidRPr="009C7F96">
        <w:rPr>
          <w:rFonts w:cs="Times New Roman"/>
          <w:szCs w:val="24"/>
        </w:rPr>
        <w:t>BARNICHON, Régis; BROWNLEES, Christian. Impulse response estimation by smooth local projections. The Review of Economics and Statistics, Cambridge, v. 101, n. 3, p. 522-530, 2019.</w:t>
      </w:r>
    </w:p>
    <w:p w14:paraId="1E1C6C13" w14:textId="77777777" w:rsidR="008E44CC" w:rsidRPr="009C7F96" w:rsidRDefault="008E44CC" w:rsidP="008E44CC">
      <w:pPr>
        <w:spacing w:after="120"/>
        <w:rPr>
          <w:rFonts w:cs="Times New Roman"/>
          <w:szCs w:val="24"/>
        </w:rPr>
      </w:pPr>
      <w:r w:rsidRPr="009C7F96">
        <w:rPr>
          <w:rFonts w:cs="Times New Roman"/>
          <w:szCs w:val="24"/>
        </w:rPr>
        <w:t>BLANCHARD, Olivier J.; GALÍ, Jordi. The macroeconomic effects of oil shocks: why are the 2000s so different from the 1970s? NBER Working Paper, n. 13368, 2007.</w:t>
      </w:r>
    </w:p>
    <w:p w14:paraId="436AE467" w14:textId="77777777" w:rsidR="008E44CC" w:rsidRPr="009C7F96" w:rsidRDefault="008E44CC" w:rsidP="008E44CC">
      <w:pPr>
        <w:spacing w:after="120"/>
        <w:rPr>
          <w:rFonts w:cs="Times New Roman"/>
          <w:szCs w:val="24"/>
        </w:rPr>
      </w:pPr>
      <w:r w:rsidRPr="009C7F96">
        <w:rPr>
          <w:rFonts w:cs="Times New Roman"/>
          <w:szCs w:val="24"/>
        </w:rPr>
        <w:t>CHOI, Sangyup et al. Oil prices and inflation dynamics: evidence from advanced and developing economies. Journal of International Money and Finance, v. 82, p. 71-96, 2018.</w:t>
      </w:r>
    </w:p>
    <w:p w14:paraId="76C9128A" w14:textId="77777777" w:rsidR="008E44CC" w:rsidRPr="009C7F96" w:rsidRDefault="008E44CC" w:rsidP="008E44CC">
      <w:pPr>
        <w:spacing w:after="120"/>
        <w:rPr>
          <w:rFonts w:cs="Times New Roman"/>
          <w:szCs w:val="24"/>
          <w:lang w:val="pt-BR"/>
        </w:rPr>
      </w:pPr>
      <w:r w:rsidRPr="009C7F96">
        <w:rPr>
          <w:rFonts w:cs="Times New Roman"/>
          <w:szCs w:val="24"/>
        </w:rPr>
        <w:t xml:space="preserve">CORNEJO, Magdalena; HALLACK, Michelle; MATIAS, David. The role of renewables in smoothing the impact of oil and gas price shocks on inflation: the LAC experience. </w:t>
      </w:r>
      <w:r w:rsidRPr="009C7F96">
        <w:rPr>
          <w:rFonts w:cs="Times New Roman"/>
          <w:szCs w:val="24"/>
          <w:lang w:val="pt-BR"/>
        </w:rPr>
        <w:t>Resources Policy, v. 105, 2025.</w:t>
      </w:r>
    </w:p>
    <w:p w14:paraId="1AD93125" w14:textId="77777777" w:rsidR="008E44CC" w:rsidRPr="009C7F96" w:rsidRDefault="008E44CC" w:rsidP="008E44CC">
      <w:pPr>
        <w:spacing w:after="120"/>
        <w:rPr>
          <w:rFonts w:cs="Times New Roman"/>
          <w:szCs w:val="24"/>
        </w:rPr>
      </w:pPr>
      <w:r w:rsidRPr="009C7F96">
        <w:rPr>
          <w:rFonts w:cs="Times New Roman"/>
          <w:szCs w:val="24"/>
          <w:lang w:val="pt-BR"/>
        </w:rPr>
        <w:t xml:space="preserve">FERREIRA, Leonardo N.; MIRANDA-AGRIPPINO, Silvia; RICCO, Giovanni. </w:t>
      </w:r>
      <w:r w:rsidRPr="009C7F96">
        <w:rPr>
          <w:rFonts w:cs="Times New Roman"/>
          <w:szCs w:val="24"/>
        </w:rPr>
        <w:t>Bayesian local projections. The Review of Economics and Statistics, 2025.</w:t>
      </w:r>
    </w:p>
    <w:p w14:paraId="193F1968" w14:textId="77777777" w:rsidR="008E44CC" w:rsidRPr="009C7F96" w:rsidRDefault="008E44CC" w:rsidP="008E44CC">
      <w:pPr>
        <w:spacing w:after="120"/>
        <w:rPr>
          <w:rFonts w:cs="Times New Roman"/>
          <w:szCs w:val="24"/>
        </w:rPr>
      </w:pPr>
      <w:r w:rsidRPr="009C7F96">
        <w:rPr>
          <w:rFonts w:cs="Times New Roman"/>
          <w:szCs w:val="24"/>
        </w:rPr>
        <w:t>GONÇALVES, Sílvia; HERRERA, Ana María; KILIAN, Lutz; PESAVENTO, Elena. State-dependent local projections. Journal of Econometrics, v. 244, n. 2, 2024.</w:t>
      </w:r>
    </w:p>
    <w:p w14:paraId="24BE70C4" w14:textId="77777777" w:rsidR="008E44CC" w:rsidRPr="009C7F96" w:rsidRDefault="008E44CC" w:rsidP="008E44CC">
      <w:pPr>
        <w:spacing w:after="120"/>
        <w:rPr>
          <w:rFonts w:cs="Times New Roman"/>
          <w:szCs w:val="24"/>
        </w:rPr>
      </w:pPr>
      <w:r w:rsidRPr="009C7F96">
        <w:rPr>
          <w:rFonts w:cs="Times New Roman"/>
          <w:szCs w:val="24"/>
        </w:rPr>
        <w:t>GORODNICHENKO, Yuriy; LEE, Byoungchan. Forecast error variance decompositions with local projections. Journal of Business &amp; Economic Statistics, v. 38, n. 4, p. 921-933, 2020.</w:t>
      </w:r>
    </w:p>
    <w:p w14:paraId="38F8DBB5" w14:textId="77777777" w:rsidR="008E44CC" w:rsidRPr="009C7F96" w:rsidRDefault="008E44CC" w:rsidP="008E44CC">
      <w:pPr>
        <w:spacing w:after="120"/>
        <w:rPr>
          <w:rFonts w:cs="Times New Roman"/>
          <w:szCs w:val="24"/>
        </w:rPr>
      </w:pPr>
      <w:r w:rsidRPr="009C7F96">
        <w:rPr>
          <w:rFonts w:cs="Times New Roman"/>
          <w:szCs w:val="24"/>
        </w:rPr>
        <w:t>HAMILTON, James D. What is an oil shock? Journal of Econometrics, v. 113, n. 2, p. 363-398, 2003.</w:t>
      </w:r>
    </w:p>
    <w:p w14:paraId="3E1173B0" w14:textId="77777777" w:rsidR="008E44CC" w:rsidRPr="009C7F96" w:rsidRDefault="008E44CC" w:rsidP="008E44CC">
      <w:pPr>
        <w:spacing w:after="120"/>
        <w:rPr>
          <w:rFonts w:cs="Times New Roman"/>
          <w:szCs w:val="24"/>
        </w:rPr>
      </w:pPr>
      <w:r w:rsidRPr="009C7F96">
        <w:rPr>
          <w:rFonts w:cs="Times New Roman"/>
          <w:szCs w:val="24"/>
        </w:rPr>
        <w:lastRenderedPageBreak/>
        <w:t>HOOKER, Mark A. Are oil shocks inflationary? Asymmetric and nonlinear specifications versus changes in regime. Journal of Money, Credit and Banking, v. 34, n. 2, p. 540-561, 2002.</w:t>
      </w:r>
    </w:p>
    <w:p w14:paraId="3E9004F9" w14:textId="77777777" w:rsidR="008E44CC" w:rsidRPr="009C7F96" w:rsidRDefault="008E44CC" w:rsidP="008E44CC">
      <w:pPr>
        <w:spacing w:after="120"/>
        <w:rPr>
          <w:rFonts w:cs="Times New Roman"/>
          <w:szCs w:val="24"/>
        </w:rPr>
      </w:pPr>
      <w:r w:rsidRPr="009C7F96">
        <w:rPr>
          <w:rFonts w:cs="Times New Roman"/>
          <w:szCs w:val="24"/>
        </w:rPr>
        <w:t>HWANG, Inwook; ZHU, Xiaoyang. State-dependent oil price shocks on inflation and the efficacy of inflation targeting regime. Journal of International Money and Finance, v. 144, 2024.</w:t>
      </w:r>
    </w:p>
    <w:p w14:paraId="361B9CB9" w14:textId="77777777" w:rsidR="008E44CC" w:rsidRPr="009C7F96" w:rsidRDefault="008E44CC" w:rsidP="008E44CC">
      <w:pPr>
        <w:spacing w:after="120"/>
        <w:rPr>
          <w:rFonts w:cs="Times New Roman"/>
          <w:szCs w:val="24"/>
        </w:rPr>
      </w:pPr>
      <w:r w:rsidRPr="009C7F96">
        <w:rPr>
          <w:rFonts w:cs="Times New Roman"/>
          <w:szCs w:val="24"/>
        </w:rPr>
        <w:t>INOUE, Atsushi; ROSSI, Barbara; WANG, Yiru. Local projections in unstable environments. Journal of Econometrics, v. 244, n. 2, 2024.</w:t>
      </w:r>
    </w:p>
    <w:p w14:paraId="5C583DFF" w14:textId="77777777" w:rsidR="008E44CC" w:rsidRPr="009C7F96" w:rsidRDefault="008E44CC" w:rsidP="008E44CC">
      <w:pPr>
        <w:spacing w:after="120"/>
        <w:rPr>
          <w:rFonts w:cs="Times New Roman"/>
          <w:szCs w:val="24"/>
        </w:rPr>
      </w:pPr>
      <w:r w:rsidRPr="009C7F96">
        <w:rPr>
          <w:rFonts w:cs="Times New Roman"/>
          <w:szCs w:val="24"/>
        </w:rPr>
        <w:t>JORDÀ, Òscar. Estimation and inference of impulse responses by local projections. American Economic Review, v. 95, n. 1, p. 161-182, 2005.</w:t>
      </w:r>
    </w:p>
    <w:p w14:paraId="404F42D8" w14:textId="77777777" w:rsidR="008E44CC" w:rsidRPr="009C7F96" w:rsidRDefault="008E44CC" w:rsidP="008E44CC">
      <w:pPr>
        <w:spacing w:after="120"/>
        <w:rPr>
          <w:rFonts w:cs="Times New Roman"/>
          <w:szCs w:val="24"/>
        </w:rPr>
      </w:pPr>
      <w:r w:rsidRPr="009C7F96">
        <w:rPr>
          <w:rFonts w:cs="Times New Roman"/>
          <w:szCs w:val="24"/>
        </w:rPr>
        <w:t>JORDÀ, Òscar; TAYLOR, Alan M. Local projections. Journal of Economic Literature, v. 63, n. 1, p. 59-110, 2025.</w:t>
      </w:r>
    </w:p>
    <w:p w14:paraId="3BC41ED4" w14:textId="77777777" w:rsidR="005F0DB9" w:rsidRDefault="00000000">
      <w:pPr>
        <w:spacing w:after="120"/>
        <w:ind w:firstLine="0"/>
      </w:pPr>
      <w:r>
        <w:t>KÄNZIG, Diego R. The macroeconomic effects of oil supply news: evidence from OPEC announcements. American Economic Review, v. 111, n. 4, p. 1092-1125, 2021.</w:t>
      </w:r>
    </w:p>
    <w:p w14:paraId="6DDF73FE" w14:textId="77777777" w:rsidR="008E44CC" w:rsidRPr="009C7F96" w:rsidRDefault="008E44CC" w:rsidP="008E44CC">
      <w:pPr>
        <w:spacing w:after="120"/>
        <w:rPr>
          <w:rFonts w:cs="Times New Roman"/>
          <w:szCs w:val="24"/>
        </w:rPr>
      </w:pPr>
      <w:r w:rsidRPr="009C7F96">
        <w:rPr>
          <w:rFonts w:cs="Times New Roman"/>
          <w:szCs w:val="24"/>
        </w:rPr>
        <w:t>KILIAN, Lutz. Not all oil price shocks are alike: disentangling demand and supply shocks in the crude oil market. American Economic Review, v. 99, n. 3, p. 1053-1069, 2009.</w:t>
      </w:r>
    </w:p>
    <w:p w14:paraId="3071D454" w14:textId="77777777" w:rsidR="008E44CC" w:rsidRPr="009C7F96" w:rsidRDefault="008E44CC" w:rsidP="008E44CC">
      <w:pPr>
        <w:spacing w:after="120"/>
        <w:rPr>
          <w:rFonts w:cs="Times New Roman"/>
          <w:szCs w:val="24"/>
        </w:rPr>
      </w:pPr>
      <w:r w:rsidRPr="009C7F96">
        <w:rPr>
          <w:rFonts w:cs="Times New Roman"/>
          <w:szCs w:val="24"/>
        </w:rPr>
        <w:t>KILIAN, Lutz; KIM, Yun Jung. How reliable are local projection estimators of impulse responses? The Review of Economics and Statistics, v. 93, n. 4, p. 1460-1466, 2011.</w:t>
      </w:r>
    </w:p>
    <w:p w14:paraId="19EB7A80" w14:textId="77777777" w:rsidR="008E44CC" w:rsidRPr="009C7F96" w:rsidRDefault="008E44CC" w:rsidP="008E44CC">
      <w:pPr>
        <w:spacing w:after="120"/>
        <w:rPr>
          <w:rFonts w:cs="Times New Roman"/>
          <w:szCs w:val="24"/>
          <w:lang w:val="pt-BR"/>
        </w:rPr>
      </w:pPr>
      <w:r w:rsidRPr="009C7F96">
        <w:rPr>
          <w:rFonts w:cs="Times New Roman"/>
          <w:szCs w:val="24"/>
        </w:rPr>
        <w:t xml:space="preserve">LI, Dake; PLAGBORG-MØLLER, Mikkel; WOLF, Christian K. Local projections vs. VARs: lessons from thousands of DGPs. </w:t>
      </w:r>
      <w:r w:rsidRPr="009C7F96">
        <w:rPr>
          <w:rFonts w:cs="Times New Roman"/>
          <w:szCs w:val="24"/>
          <w:lang w:val="pt-BR"/>
        </w:rPr>
        <w:t>Journal of Econometrics, v. 244, n. 2, 2024.</w:t>
      </w:r>
    </w:p>
    <w:p w14:paraId="79C74E1F" w14:textId="77777777" w:rsidR="008E44CC" w:rsidRPr="009C7F96" w:rsidRDefault="008E44CC" w:rsidP="008E44CC">
      <w:pPr>
        <w:spacing w:after="120"/>
        <w:rPr>
          <w:rFonts w:cs="Times New Roman"/>
          <w:szCs w:val="24"/>
          <w:lang w:val="pt-BR"/>
        </w:rPr>
      </w:pPr>
      <w:r w:rsidRPr="009C7F96">
        <w:rPr>
          <w:rFonts w:cs="Times New Roman"/>
          <w:szCs w:val="24"/>
          <w:lang w:val="pt-BR"/>
        </w:rPr>
        <w:t>MARTINEZ, Thiago S.; CERQUEIRA, Vinícius dos Santos. Estrutura da inflação brasileira: determinantes e desagregação do IPCA. Brasília: Instituto de Pesquisa Econômica Aplicada, 2013.</w:t>
      </w:r>
    </w:p>
    <w:p w14:paraId="6E0D025B" w14:textId="77777777" w:rsidR="008E44CC" w:rsidRPr="009C7F96" w:rsidRDefault="008E44CC" w:rsidP="008E44CC">
      <w:pPr>
        <w:spacing w:after="120"/>
        <w:rPr>
          <w:rFonts w:cs="Times New Roman"/>
          <w:szCs w:val="24"/>
        </w:rPr>
      </w:pPr>
      <w:r w:rsidRPr="009C7F96">
        <w:rPr>
          <w:rFonts w:cs="Times New Roman"/>
          <w:szCs w:val="24"/>
          <w:lang w:val="pt-BR"/>
        </w:rPr>
        <w:t xml:space="preserve">MELLO, Miguel; PONCE, Jorge. </w:t>
      </w:r>
      <w:r w:rsidRPr="009C7F96">
        <w:rPr>
          <w:rFonts w:cs="Times New Roman"/>
          <w:szCs w:val="24"/>
        </w:rPr>
        <w:t>From global energy price shocks to firms’ inflation expectations. Latin American Journal of Central Banking, 2025.</w:t>
      </w:r>
    </w:p>
    <w:p w14:paraId="04204A15" w14:textId="77777777" w:rsidR="008E44CC" w:rsidRPr="009C7F96" w:rsidRDefault="008E44CC" w:rsidP="008E44CC">
      <w:pPr>
        <w:spacing w:after="120"/>
        <w:rPr>
          <w:rFonts w:cs="Times New Roman"/>
          <w:szCs w:val="24"/>
        </w:rPr>
      </w:pPr>
      <w:r w:rsidRPr="009C7F96">
        <w:rPr>
          <w:rFonts w:cs="Times New Roman"/>
          <w:szCs w:val="24"/>
        </w:rPr>
        <w:t>PLAGBORG-MØLLER, Mikkel; WOLF, Christian K. Local projections and VARs estimate the same impulse responses. Econometrica, v. 89, n. 2, p. 955-980, 2021.</w:t>
      </w:r>
    </w:p>
    <w:p w14:paraId="65C6C631" w14:textId="77777777" w:rsidR="008E44CC" w:rsidRPr="00B85826" w:rsidRDefault="008E44CC" w:rsidP="008E44CC">
      <w:pPr>
        <w:spacing w:after="120"/>
        <w:rPr>
          <w:rFonts w:cs="Times New Roman"/>
          <w:szCs w:val="24"/>
          <w:lang w:val="pt-BR"/>
        </w:rPr>
      </w:pPr>
      <w:r w:rsidRPr="009C7F96">
        <w:rPr>
          <w:rFonts w:cs="Times New Roman"/>
          <w:szCs w:val="24"/>
        </w:rPr>
        <w:t xml:space="preserve">SIMS, Christopher A. Macroeconomics and reality. </w:t>
      </w:r>
      <w:r w:rsidRPr="00B85826">
        <w:rPr>
          <w:rFonts w:cs="Times New Roman"/>
          <w:szCs w:val="24"/>
          <w:lang w:val="pt-BR"/>
        </w:rPr>
        <w:t>Econometrica, v. 48, n. 1, p. 1-48, 1980.</w:t>
      </w:r>
    </w:p>
    <w:p w14:paraId="15AE3958" w14:textId="77777777" w:rsidR="008E44CC" w:rsidRPr="009C7F96" w:rsidRDefault="008E44CC" w:rsidP="008E44CC">
      <w:pPr>
        <w:spacing w:after="120"/>
        <w:rPr>
          <w:rFonts w:cs="Times New Roman"/>
          <w:szCs w:val="24"/>
          <w:lang w:val="pt-BR"/>
        </w:rPr>
      </w:pPr>
      <w:r w:rsidRPr="009C7F96">
        <w:rPr>
          <w:rFonts w:cs="Times New Roman"/>
          <w:szCs w:val="24"/>
          <w:lang w:val="pt-BR"/>
        </w:rPr>
        <w:lastRenderedPageBreak/>
        <w:t>PETROBRAS. Petrobras aprova estratégia comercial de diesel e gasolina. Rio de Janeiro: Petrobras, 2023. Disponível em: página institucional da Petrobras. Acesso em: maio 2026.</w:t>
      </w:r>
    </w:p>
    <w:p w14:paraId="57DA9BE4" w14:textId="77777777" w:rsidR="008E44CC" w:rsidRPr="009C7F96" w:rsidRDefault="008E44CC" w:rsidP="008E44CC">
      <w:pPr>
        <w:spacing w:after="120"/>
        <w:rPr>
          <w:rFonts w:cs="Times New Roman"/>
          <w:szCs w:val="24"/>
          <w:lang w:val="pt-BR"/>
        </w:rPr>
      </w:pPr>
      <w:r w:rsidRPr="009C7F96">
        <w:rPr>
          <w:rFonts w:cs="Times New Roman"/>
          <w:szCs w:val="24"/>
          <w:lang w:val="pt-BR"/>
        </w:rPr>
        <w:t>BANCO CENTRAL DO BRASIL. Atas e comunicados do Comitê de Política Monetária. Brasília: Banco Central do Brasil, 2022-2026. Disponível em: página institucional do Banco Central do Brasil. Acesso em: maio 2026.</w:t>
      </w:r>
    </w:p>
    <w:p w14:paraId="789B5922" w14:textId="77777777" w:rsidR="008E44CC" w:rsidRPr="009C7F96" w:rsidRDefault="008E44CC" w:rsidP="008E44CC">
      <w:pPr>
        <w:spacing w:after="120"/>
        <w:rPr>
          <w:rFonts w:cs="Times New Roman"/>
          <w:szCs w:val="24"/>
          <w:lang w:val="pt-BR"/>
        </w:rPr>
      </w:pPr>
      <w:r w:rsidRPr="009C7F96">
        <w:rPr>
          <w:rFonts w:cs="Times New Roman"/>
          <w:szCs w:val="24"/>
          <w:lang w:val="pt-BR"/>
        </w:rPr>
        <w:t>AGÊNCIA NACIONAL DO PETRÓLEO, GÁS NATURAL E BIOCOMBUSTÍVEIS. Dados abertos: preços, processamento de petróleo e produção de derivados. Brasília: ANP, 2026. Disponível em: portal de dados abertos da ANP. Acesso em: maio 2026.</w:t>
      </w:r>
    </w:p>
    <w:p w14:paraId="7AB76F59" w14:textId="77777777" w:rsidR="008E44CC" w:rsidRPr="009C7F96" w:rsidRDefault="008E44CC" w:rsidP="008E44CC">
      <w:pPr>
        <w:spacing w:after="120"/>
        <w:rPr>
          <w:rFonts w:cs="Times New Roman"/>
          <w:szCs w:val="24"/>
          <w:lang w:val="pt-BR"/>
        </w:rPr>
      </w:pPr>
      <w:r w:rsidRPr="009C7F96">
        <w:rPr>
          <w:rFonts w:cs="Times New Roman"/>
          <w:szCs w:val="24"/>
          <w:lang w:val="pt-BR"/>
        </w:rPr>
        <w:t>INSTITUTO BRASILEIRO DE GEOGRAFIA E ESTATÍSTICA. Sistema Nacional de Índices de Preços ao Consumidor: IPCA. Rio de Janeiro: IBGE, 2026. Disponível em: SIDRA/IBGE. Acesso em: maio 2026.</w:t>
      </w:r>
    </w:p>
    <w:p w14:paraId="6A37AF3A" w14:textId="77777777" w:rsidR="00160963" w:rsidRPr="009C7F96" w:rsidRDefault="00160963">
      <w:pPr>
        <w:rPr>
          <w:rFonts w:cs="Times New Roman"/>
          <w:szCs w:val="24"/>
          <w:lang w:val="pt-BR"/>
        </w:rPr>
      </w:pPr>
    </w:p>
    <w:p w14:paraId="754A34AF" w14:textId="77777777" w:rsidR="005F0DB9" w:rsidRPr="00366C9E" w:rsidRDefault="00000000">
      <w:pPr>
        <w:rPr>
          <w:lang w:val="pt-BR"/>
        </w:rPr>
      </w:pPr>
      <w:r w:rsidRPr="00366C9E">
        <w:rPr>
          <w:lang w:val="pt-BR"/>
        </w:rPr>
        <w:br w:type="page"/>
      </w:r>
    </w:p>
    <w:tbl>
      <w:tblPr>
        <w:tblW w:w="0" w:type="auto"/>
        <w:jc w:val="center"/>
        <w:tblLook w:val="04A0" w:firstRow="1" w:lastRow="0" w:firstColumn="1" w:lastColumn="0" w:noHBand="0" w:noVBand="1"/>
      </w:tblPr>
      <w:tblGrid>
        <w:gridCol w:w="2349"/>
        <w:gridCol w:w="2348"/>
        <w:gridCol w:w="2349"/>
        <w:gridCol w:w="2349"/>
      </w:tblGrid>
      <w:tr w:rsidR="005F0DB9" w14:paraId="64E466E9" w14:textId="77777777">
        <w:trPr>
          <w:jc w:val="center"/>
        </w:trPr>
        <w:tc>
          <w:tcPr>
            <w:tcW w:w="2351"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Canal</w:t>
            </w:r>
          </w:p>
        </w:tc>
        <w:tc>
          <w:tcPr>
            <w:tcW w:w="2351"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Coef. h=12</w:t>
            </w:r>
          </w:p>
        </w:tc>
        <w:tc>
          <w:tcPr>
            <w:tcW w:w="2351"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IC 90%</w:t>
            </w:r>
          </w:p>
        </w:tc>
        <w:tc>
          <w:tcPr>
            <w:tcW w:w="2351"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Significativo</w:t>
            </w:r>
          </w:p>
        </w:tc>
      </w:tr>
      <w:tr w:rsidR="005F0DB9" w14:paraId="16250B2B" w14:textId="77777777">
        <w:trPr>
          <w:jc w:val="center"/>
        </w:trPr>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Petróleo BRL → Diesel</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2,667</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[1,378; 3,956]</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Sim</w:t>
            </w:r>
          </w:p>
        </w:tc>
      </w:tr>
      <w:tr w:rsidR="005F0DB9" w14:paraId="196354FB" w14:textId="77777777">
        <w:trPr>
          <w:jc w:val="center"/>
        </w:trPr>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Petróleo BRL → Gasolina de refinaria</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1,702</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[0,307; 3,097]</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Sim</w:t>
            </w:r>
          </w:p>
        </w:tc>
      </w:tr>
      <w:tr w:rsidR="005F0DB9" w14:paraId="3E6D824D" w14:textId="77777777">
        <w:trPr>
          <w:jc w:val="center"/>
        </w:trPr>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Petróleo BRL → Gasolina</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0,841</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[-0,491; 2,173]</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Não</w:t>
            </w:r>
          </w:p>
        </w:tc>
      </w:tr>
      <w:tr w:rsidR="005F0DB9" w14:paraId="3A9BD29D" w14:textId="77777777">
        <w:trPr>
          <w:jc w:val="center"/>
        </w:trPr>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Petróleo BRL → Etanol</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1,522</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[-0,327; 3,371]</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Não</w:t>
            </w:r>
          </w:p>
        </w:tc>
      </w:tr>
      <w:tr w:rsidR="005F0DB9" w14:paraId="594944D3" w14:textId="77777777">
        <w:trPr>
          <w:jc w:val="center"/>
        </w:trPr>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Petróleo BRL → IPCA Geral</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0,128</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[-0,115; 0,370]</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Não</w:t>
            </w:r>
          </w:p>
        </w:tc>
      </w:tr>
      <w:tr w:rsidR="005F0DB9" w14:paraId="6B3E0987" w14:textId="77777777">
        <w:trPr>
          <w:jc w:val="center"/>
        </w:trPr>
        <w:tc>
          <w:tcPr>
            <w:tcW w:w="2351"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Petróleo BRL → IPCA Transportes</w:t>
            </w:r>
          </w:p>
        </w:tc>
        <w:tc>
          <w:tcPr>
            <w:tcW w:w="2351"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0,629</w:t>
            </w:r>
          </w:p>
        </w:tc>
        <w:tc>
          <w:tcPr>
            <w:tcW w:w="2351"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[0,094; 1,164]</w:t>
            </w:r>
          </w:p>
        </w:tc>
        <w:tc>
          <w:tcPr>
            <w:tcW w:w="2351"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Sim</w:t>
            </w:r>
          </w:p>
        </w:tc>
      </w:tr>
    </w:tbl>
    <w:tbl>
      <w:tblPr>
        <w:tblW w:w="0" w:type="auto"/>
        <w:jc w:val="center"/>
        <w:tblLook w:val="04A0" w:firstRow="1" w:lastRow="0" w:firstColumn="1" w:lastColumn="0" w:noHBand="0" w:noVBand="1"/>
      </w:tblPr>
      <w:tblGrid>
        <w:gridCol w:w="1566"/>
        <w:gridCol w:w="1565"/>
        <w:gridCol w:w="1566"/>
        <w:gridCol w:w="1566"/>
        <w:gridCol w:w="1566"/>
        <w:gridCol w:w="1566"/>
      </w:tblGrid>
      <w:tr w:rsidR="005F0DB9" w14:paraId="5C602A43" w14:textId="77777777">
        <w:trPr>
          <w:jc w:val="center"/>
        </w:trPr>
        <w:tc>
          <w:tcPr>
            <w:tcW w:w="1567"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Canal</w:t>
            </w:r>
          </w:p>
        </w:tc>
        <w:tc>
          <w:tcPr>
            <w:tcW w:w="1567"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h</w:t>
            </w:r>
          </w:p>
        </w:tc>
        <w:tc>
          <w:tcPr>
            <w:tcW w:w="1567"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Coef. antes de set./2016</w:t>
            </w:r>
          </w:p>
        </w:tc>
        <w:tc>
          <w:tcPr>
            <w:tcW w:w="1567"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Coef. depois de set./2016</w:t>
            </w:r>
          </w:p>
        </w:tc>
        <w:tc>
          <w:tcPr>
            <w:tcW w:w="1567"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p-valor Wald</w:t>
            </w:r>
          </w:p>
        </w:tc>
        <w:tc>
          <w:tcPr>
            <w:tcW w:w="1567"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Diferença</w:t>
            </w:r>
          </w:p>
        </w:tc>
      </w:tr>
      <w:tr w:rsidR="005F0DB9" w14:paraId="6C75D179" w14:textId="77777777">
        <w:trPr>
          <w:jc w:val="center"/>
        </w:trPr>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Petróleo BRL → Diesel</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6</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0,787</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3,278</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0,013</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Sim</w:t>
            </w:r>
          </w:p>
        </w:tc>
      </w:tr>
      <w:tr w:rsidR="005F0DB9" w14:paraId="79AC5F98" w14:textId="77777777">
        <w:trPr>
          <w:jc w:val="center"/>
        </w:trPr>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Petróleo BRL → Diesel</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12</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1,407</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3,372</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0,166</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Não</w:t>
            </w:r>
          </w:p>
        </w:tc>
      </w:tr>
      <w:tr w:rsidR="005F0DB9" w14:paraId="398847AF" w14:textId="77777777">
        <w:trPr>
          <w:jc w:val="center"/>
        </w:trPr>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Petróleo BRL → Gasolina de refinaria</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6</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-0,077</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2,348</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0,009</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Sim</w:t>
            </w:r>
          </w:p>
        </w:tc>
      </w:tr>
      <w:tr w:rsidR="005F0DB9" w14:paraId="0DD15B59" w14:textId="77777777">
        <w:trPr>
          <w:jc w:val="center"/>
        </w:trPr>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Petróleo BRL → Gasolina de refinaria</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12</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0,483</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2,374</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0,176</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Não</w:t>
            </w:r>
          </w:p>
        </w:tc>
      </w:tr>
      <w:tr w:rsidR="005F0DB9" w14:paraId="2699A967" w14:textId="77777777">
        <w:trPr>
          <w:jc w:val="center"/>
        </w:trPr>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Gasolina de refinaria → IPCA Transportes</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6</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2,706</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0,566</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0,005</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Sim</w:t>
            </w:r>
          </w:p>
        </w:tc>
      </w:tr>
      <w:tr w:rsidR="005F0DB9" w14:paraId="02C15D14" w14:textId="77777777">
        <w:trPr>
          <w:jc w:val="center"/>
        </w:trPr>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Gasolina de refinaria → IPCA Transportes</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12</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2,667</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0,747</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0,124</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Não</w:t>
            </w:r>
          </w:p>
        </w:tc>
      </w:tr>
      <w:tr w:rsidR="005F0DB9" w14:paraId="0808DD6B" w14:textId="77777777">
        <w:trPr>
          <w:jc w:val="center"/>
        </w:trPr>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Gasolina → IPCA Transportes</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6</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1,434</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1,272</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0,762</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Não</w:t>
            </w:r>
          </w:p>
        </w:tc>
      </w:tr>
      <w:tr w:rsidR="005F0DB9" w14:paraId="587B160B" w14:textId="77777777">
        <w:trPr>
          <w:jc w:val="center"/>
        </w:trPr>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Gasolina → IPCA Transportes</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12</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1,123</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1,263</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0,874</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Não</w:t>
            </w:r>
          </w:p>
        </w:tc>
      </w:tr>
      <w:tr w:rsidR="005F0DB9" w14:paraId="30F9A720" w14:textId="77777777">
        <w:trPr>
          <w:jc w:val="center"/>
        </w:trPr>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Etanol → IPCA Transportes</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6</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0,646</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1,463</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0,153</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Não</w:t>
            </w:r>
          </w:p>
        </w:tc>
      </w:tr>
      <w:tr w:rsidR="005F0DB9" w14:paraId="2A6A1581" w14:textId="77777777">
        <w:trPr>
          <w:jc w:val="center"/>
        </w:trPr>
        <w:tc>
          <w:tcPr>
            <w:tcW w:w="1567"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Etanol → IPCA Transportes</w:t>
            </w:r>
          </w:p>
        </w:tc>
        <w:tc>
          <w:tcPr>
            <w:tcW w:w="1567"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12</w:t>
            </w:r>
          </w:p>
        </w:tc>
        <w:tc>
          <w:tcPr>
            <w:tcW w:w="1567"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0,302</w:t>
            </w:r>
          </w:p>
        </w:tc>
        <w:tc>
          <w:tcPr>
            <w:tcW w:w="1567"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1,805</w:t>
            </w:r>
          </w:p>
        </w:tc>
        <w:tc>
          <w:tcPr>
            <w:tcW w:w="1567"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0,053</w:t>
            </w:r>
          </w:p>
        </w:tc>
        <w:tc>
          <w:tcPr>
            <w:tcW w:w="1567"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Sim</w:t>
            </w:r>
          </w:p>
        </w:tc>
      </w:tr>
    </w:tbl>
    <w:tbl>
      <w:tblPr>
        <w:tblW w:w="0" w:type="auto"/>
        <w:jc w:val="center"/>
        <w:tblLook w:val="04A0" w:firstRow="1" w:lastRow="0" w:firstColumn="1" w:lastColumn="0" w:noHBand="0" w:noVBand="1"/>
      </w:tblPr>
      <w:tblGrid>
        <w:gridCol w:w="2348"/>
        <w:gridCol w:w="2349"/>
        <w:gridCol w:w="2349"/>
        <w:gridCol w:w="2349"/>
      </w:tblGrid>
      <w:tr w:rsidR="005F0DB9" w14:paraId="1B161E49" w14:textId="77777777">
        <w:trPr>
          <w:jc w:val="center"/>
        </w:trPr>
        <w:tc>
          <w:tcPr>
            <w:tcW w:w="2351"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Alvo</w:t>
            </w:r>
          </w:p>
        </w:tc>
        <w:tc>
          <w:tcPr>
            <w:tcW w:w="2351"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F-stat</w:t>
            </w:r>
          </w:p>
        </w:tc>
        <w:tc>
          <w:tcPr>
            <w:tcW w:w="2351"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p-valor</w:t>
            </w:r>
          </w:p>
        </w:tc>
        <w:tc>
          <w:tcPr>
            <w:tcW w:w="2351"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R²</w:t>
            </w:r>
          </w:p>
        </w:tc>
      </w:tr>
      <w:tr w:rsidR="005F0DB9" w14:paraId="330D27F6" w14:textId="77777777">
        <w:trPr>
          <w:jc w:val="center"/>
        </w:trPr>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Petróleo BRL IV Oil Supply News → Diesel</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122,590</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0,0000</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0,614</w:t>
            </w:r>
          </w:p>
        </w:tc>
      </w:tr>
      <w:tr w:rsidR="005F0DB9" w14:paraId="4524C121" w14:textId="77777777">
        <w:trPr>
          <w:jc w:val="center"/>
        </w:trPr>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Petróleo BRL IV Oil Supply News → Gasolina de refinaria</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119,251</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0,0000</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0,612</w:t>
            </w:r>
          </w:p>
        </w:tc>
      </w:tr>
      <w:tr w:rsidR="005F0DB9" w14:paraId="5CC19585" w14:textId="77777777">
        <w:trPr>
          <w:jc w:val="center"/>
        </w:trPr>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Petróleo BRL IV Oil Supply News → Gasolina</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118,684</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0,0000</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0,614</w:t>
            </w:r>
          </w:p>
        </w:tc>
      </w:tr>
      <w:tr w:rsidR="005F0DB9" w14:paraId="1A501315" w14:textId="77777777">
        <w:trPr>
          <w:jc w:val="center"/>
        </w:trPr>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Petróleo BRL IV Oil Supply News → IPCA Transportes</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122,333</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0,0000</w:t>
            </w:r>
          </w:p>
        </w:tc>
        <w:tc>
          <w:tcPr>
            <w:tcW w:w="2351"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0,615</w:t>
            </w:r>
          </w:p>
        </w:tc>
      </w:tr>
      <w:tr w:rsidR="005F0DB9" w14:paraId="1B2F7D1E" w14:textId="77777777">
        <w:trPr>
          <w:jc w:val="center"/>
        </w:trPr>
        <w:tc>
          <w:tcPr>
            <w:tcW w:w="2351"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Petróleo BRL IV Oil Supply News → IPCA Geral</w:t>
            </w:r>
          </w:p>
        </w:tc>
        <w:tc>
          <w:tcPr>
            <w:tcW w:w="2351"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120,564</w:t>
            </w:r>
          </w:p>
        </w:tc>
        <w:tc>
          <w:tcPr>
            <w:tcW w:w="2351"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0,0000</w:t>
            </w:r>
          </w:p>
        </w:tc>
        <w:tc>
          <w:tcPr>
            <w:tcW w:w="2351"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0,615</w:t>
            </w:r>
          </w:p>
        </w:tc>
      </w:tr>
    </w:tbl>
    <w:tbl>
      <w:tblPr>
        <w:tblW w:w="0" w:type="auto"/>
        <w:jc w:val="center"/>
        <w:tblLook w:val="04A0" w:firstRow="1" w:lastRow="0" w:firstColumn="1" w:lastColumn="0" w:noHBand="0" w:noVBand="1"/>
      </w:tblPr>
      <w:tblGrid>
        <w:gridCol w:w="1566"/>
        <w:gridCol w:w="1565"/>
        <w:gridCol w:w="1566"/>
        <w:gridCol w:w="1566"/>
        <w:gridCol w:w="1566"/>
        <w:gridCol w:w="1566"/>
      </w:tblGrid>
      <w:tr w:rsidR="005F0DB9" w14:paraId="7F06FEFF" w14:textId="77777777">
        <w:trPr>
          <w:jc w:val="center"/>
        </w:trPr>
        <w:tc>
          <w:tcPr>
            <w:tcW w:w="1567"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Canal IV</w:t>
            </w:r>
          </w:p>
        </w:tc>
        <w:tc>
          <w:tcPr>
            <w:tcW w:w="1567"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h</w:t>
            </w:r>
          </w:p>
        </w:tc>
        <w:tc>
          <w:tcPr>
            <w:tcW w:w="1567"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Coef. IV</w:t>
            </w:r>
          </w:p>
        </w:tc>
        <w:tc>
          <w:tcPr>
            <w:tcW w:w="1567"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IC 90%</w:t>
            </w:r>
          </w:p>
        </w:tc>
        <w:tc>
          <w:tcPr>
            <w:tcW w:w="1567"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Significativo</w:t>
            </w:r>
          </w:p>
        </w:tc>
        <w:tc>
          <w:tcPr>
            <w:tcW w:w="1567"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F 1º estágio</w:t>
            </w:r>
          </w:p>
        </w:tc>
      </w:tr>
      <w:tr w:rsidR="005F0DB9" w14:paraId="248C160E" w14:textId="77777777">
        <w:trPr>
          <w:jc w:val="center"/>
        </w:trPr>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Petróleo BRL IV Oil Supply News → Diesel</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3</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2,369</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[1,249; 3,489]</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Sim</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130,347</w:t>
            </w:r>
          </w:p>
        </w:tc>
      </w:tr>
      <w:tr w:rsidR="005F0DB9" w14:paraId="6DC669F5" w14:textId="77777777">
        <w:trPr>
          <w:jc w:val="center"/>
        </w:trPr>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Petróleo BRL IV Oil Supply News → Diesel</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6</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2,246</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[0,446; 4,047]</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Sim</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126,822</w:t>
            </w:r>
          </w:p>
        </w:tc>
      </w:tr>
      <w:tr w:rsidR="005F0DB9" w14:paraId="13EFC5B6" w14:textId="77777777">
        <w:trPr>
          <w:jc w:val="center"/>
        </w:trPr>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Petróleo BRL IV Oil Supply News → Diesel</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12</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2,344</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[0,032; 4,657]</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Sim</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122,590</w:t>
            </w:r>
          </w:p>
        </w:tc>
      </w:tr>
      <w:tr w:rsidR="005F0DB9" w14:paraId="3A469D23" w14:textId="77777777">
        <w:trPr>
          <w:jc w:val="center"/>
        </w:trPr>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Petróleo BRL IV Oil Supply News → IPCA Transportes</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3</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0,500</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[0,075; 0,924]</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Sim</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130,578</w:t>
            </w:r>
          </w:p>
        </w:tc>
      </w:tr>
      <w:tr w:rsidR="005F0DB9" w14:paraId="6811F3F9" w14:textId="77777777">
        <w:trPr>
          <w:jc w:val="center"/>
        </w:trPr>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Petróleo BRL IV Oil Supply News → IPCA Transportes</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6</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0,386</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[-0,162; 0,933]</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Não</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126,645</w:t>
            </w:r>
          </w:p>
        </w:tc>
      </w:tr>
      <w:tr w:rsidR="005F0DB9" w14:paraId="2FD5D914" w14:textId="77777777">
        <w:trPr>
          <w:jc w:val="center"/>
        </w:trPr>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Petróleo BRL IV Oil Supply News → IPCA Transportes</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12</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-0,052</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[-0,892; 0,789]</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Não</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122,333</w:t>
            </w:r>
          </w:p>
        </w:tc>
      </w:tr>
      <w:tr w:rsidR="005F0DB9" w14:paraId="2E184E90" w14:textId="77777777">
        <w:trPr>
          <w:jc w:val="center"/>
        </w:trPr>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Petróleo BRL IV Oil Supply News → IPCA Geral</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3</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0,172</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[0,002; 0,342]</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Sim</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128,048</w:t>
            </w:r>
          </w:p>
        </w:tc>
      </w:tr>
      <w:tr w:rsidR="005F0DB9" w14:paraId="1DFED99E" w14:textId="77777777">
        <w:trPr>
          <w:jc w:val="center"/>
        </w:trPr>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Petróleo BRL IV Oil Supply News → IPCA Geral</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6</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0,148</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[-0,086; 0,382]</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Não</w:t>
            </w:r>
          </w:p>
        </w:tc>
        <w:tc>
          <w:tcPr>
            <w:tcW w:w="1567"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125,350</w:t>
            </w:r>
          </w:p>
        </w:tc>
      </w:tr>
      <w:tr w:rsidR="005F0DB9" w14:paraId="2C650E29" w14:textId="77777777">
        <w:trPr>
          <w:jc w:val="center"/>
        </w:trPr>
        <w:tc>
          <w:tcPr>
            <w:tcW w:w="1567"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Petróleo BRL IV Oil Supply News → IPCA Geral</w:t>
            </w:r>
          </w:p>
        </w:tc>
        <w:tc>
          <w:tcPr>
            <w:tcW w:w="1567"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12</w:t>
            </w:r>
          </w:p>
        </w:tc>
        <w:tc>
          <w:tcPr>
            <w:tcW w:w="1567"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0,050</w:t>
            </w:r>
          </w:p>
        </w:tc>
        <w:tc>
          <w:tcPr>
            <w:tcW w:w="1567"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[-0,312; 0,412]</w:t>
            </w:r>
          </w:p>
        </w:tc>
        <w:tc>
          <w:tcPr>
            <w:tcW w:w="1567"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Não</w:t>
            </w:r>
          </w:p>
        </w:tc>
        <w:tc>
          <w:tcPr>
            <w:tcW w:w="1567"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120,564</w:t>
            </w:r>
          </w:p>
        </w:tc>
      </w:tr>
    </w:tbl>
    <w:p w14:paraId="1654F648" w14:textId="77777777" w:rsidR="005F0DB9" w:rsidRDefault="00000000">
      <w:pPr>
        <w:pStyle w:val="Heading1"/>
        <w:jc w:val="center"/>
      </w:pPr>
      <w:bookmarkStart w:id="65" w:name="_Toc229695974"/>
      <w:r>
        <w:rPr>
          <w:rFonts w:ascii="Times New Roman" w:hAnsi="Times New Roman"/>
        </w:rPr>
        <w:t>APÊNDICE B — ROBUSTEZ COM MODELOS VAR</w:t>
      </w:r>
      <w:bookmarkEnd w:id="65"/>
    </w:p>
    <w:p w14:paraId="5478DB1B" w14:textId="77777777" w:rsidR="005F0DB9" w:rsidRPr="00366C9E" w:rsidRDefault="00000000">
      <w:pPr>
        <w:spacing w:after="120"/>
        <w:ind w:firstLine="706"/>
        <w:rPr>
          <w:lang w:val="pt-BR"/>
        </w:rPr>
      </w:pPr>
      <w:r w:rsidRPr="00366C9E">
        <w:rPr>
          <w:lang w:val="pt-BR"/>
        </w:rPr>
        <w:t>Este apêndice documenta a estratégia de robustez baseada em modelos Vetoriais Autorregressivos (VAR). A função do VAR no trabalho não é substituir as Local Projections, mas verificar se os principais resultados permanecem compatíveis quando a dinâmica conjunta das variáveis é estimada por uma abordagem alternativa.</w:t>
      </w:r>
    </w:p>
    <w:p w14:paraId="3B7A886E" w14:textId="77777777" w:rsidR="005F0DB9" w:rsidRPr="00366C9E" w:rsidRDefault="00000000">
      <w:pPr>
        <w:spacing w:after="120"/>
        <w:ind w:firstLine="706"/>
        <w:rPr>
          <w:lang w:val="pt-BR"/>
        </w:rPr>
      </w:pPr>
      <w:r w:rsidRPr="00366C9E">
        <w:rPr>
          <w:lang w:val="pt-BR"/>
        </w:rPr>
        <w:t>A inclusão deste apêndice separa a narrativa principal do TCC, centrada nas Local Projections, dos exercícios técnicos de validação. Com isso, o corpo do texto permanece mais enxuto, enquanto o apêndice mostra os resultados de estabilidade, funções impulso-resposta acumuladas, decomposição da variância dos erros de previsão e robustez à ordenação de Cholesky.</w:t>
      </w:r>
    </w:p>
    <w:p w14:paraId="66D0B3D5" w14:textId="77777777" w:rsidR="005F0DB9" w:rsidRPr="00366C9E" w:rsidRDefault="00000000">
      <w:pPr>
        <w:spacing w:after="120"/>
        <w:ind w:firstLine="706"/>
        <w:rPr>
          <w:lang w:val="pt-BR"/>
        </w:rPr>
      </w:pPr>
      <w:r w:rsidRPr="00366C9E">
        <w:rPr>
          <w:lang w:val="pt-BR"/>
        </w:rPr>
        <w:t>No desenho empírico do TCC, o Modelo VAR cumpre o papel de robustez dinâmica. Ele complementa os resultados dos Modelos 3, 4 e 5 ao verificar se o canal petróleo-combustíveis-inflação também aparece em um sistema multivariado estimado com variáveis endógenas.</w:t>
      </w:r>
    </w:p>
    <w:p w14:paraId="6F8FE458" w14:textId="77777777" w:rsidR="005F0DB9" w:rsidRDefault="00000000">
      <w:pPr>
        <w:pStyle w:val="Heading2"/>
        <w:jc w:val="both"/>
      </w:pPr>
      <w:bookmarkStart w:id="66" w:name="_Toc229695975"/>
      <w:r>
        <w:rPr>
          <w:rFonts w:ascii="Times New Roman" w:hAnsi="Times New Roman"/>
        </w:rPr>
        <w:t>C.1 Especificação geral do VAR</w:t>
      </w:r>
      <w:bookmarkEnd w:id="66"/>
    </w:p>
    <w:p w14:paraId="7E37E85F" w14:textId="77777777" w:rsidR="005F0DB9" w:rsidRPr="00366C9E" w:rsidRDefault="00000000">
      <w:pPr>
        <w:spacing w:after="120"/>
        <w:ind w:firstLine="706"/>
        <w:rPr>
          <w:lang w:val="pt-BR"/>
        </w:rPr>
      </w:pPr>
      <w:r w:rsidRPr="00366C9E">
        <w:rPr>
          <w:lang w:val="pt-BR"/>
        </w:rPr>
        <w:t>A especificação de robustez utiliza um sistema VAR para capturar a interação dinâmica entre petróleo, câmbio, combustíveis e inflação. A estrutura básica pode ser representada por:</w:t>
      </w:r>
    </w:p>
    <w:p w14:paraId="41DA6DA3" w14:textId="77777777" w:rsidR="005F0DB9" w:rsidRPr="00366C9E" w:rsidRDefault="00000000">
      <w:pPr>
        <w:rPr>
          <w:lang w:val="pt-BR"/>
        </w:rPr>
      </w:pPr>
      <w:r w:rsidRPr="00366C9E">
        <w:rPr>
          <w:i/>
          <w:sz w:val="22"/>
          <w:lang w:val="pt-BR"/>
        </w:rPr>
        <w:t>Y_t = A_1Y_{t-1} + ... + A_pY_{t-p} + u_t</w:t>
      </w:r>
    </w:p>
    <w:p w14:paraId="73ACDA0F" w14:textId="77777777" w:rsidR="005F0DB9" w:rsidRPr="00366C9E" w:rsidRDefault="00000000">
      <w:pPr>
        <w:spacing w:after="120"/>
        <w:ind w:firstLine="706"/>
        <w:rPr>
          <w:lang w:val="pt-BR"/>
        </w:rPr>
      </w:pPr>
      <w:r w:rsidRPr="00366C9E">
        <w:rPr>
          <w:lang w:val="pt-BR"/>
        </w:rPr>
        <w:t>em que Y_t representa o vetor de variáveis endógenas e u_t representa o vetor de inovações do sistema. A ordenação de Cholesky é usada apenas como hipótese auxiliar de identificação das funções impulso-resposta, sendo testada por meio de uma ordenação alternativa.</w:t>
      </w:r>
    </w:p>
    <w:p w14:paraId="4936551B" w14:textId="77777777" w:rsidR="005F0DB9" w:rsidRPr="00366C9E" w:rsidRDefault="00000000">
      <w:pPr>
        <w:spacing w:after="120"/>
        <w:ind w:firstLine="706"/>
        <w:rPr>
          <w:lang w:val="pt-BR"/>
        </w:rPr>
      </w:pPr>
      <w:r w:rsidRPr="00366C9E">
        <w:rPr>
          <w:lang w:val="pt-BR"/>
        </w:rPr>
        <w:t>Nesta versão do apêndice, os gráficos foram gerados a partir da base transformada do TCC, com variáveis em variação logarítmica para petróleo, câmbio e combustíveis, além das medidas mensais de IPCA Geral e IPCA Transportes. O objetivo é oferecer uma verificação visual e interpretativa da robustez dinâmica dos resultados principais.</w:t>
      </w:r>
    </w:p>
    <w:p w14:paraId="446BB6C3" w14:textId="77777777" w:rsidR="005F0DB9" w:rsidRPr="00366C9E" w:rsidRDefault="00000000">
      <w:pPr>
        <w:jc w:val="center"/>
        <w:rPr>
          <w:lang w:val="pt-BR"/>
        </w:rPr>
      </w:pPr>
      <w:r w:rsidRPr="00366C9E">
        <w:rPr>
          <w:b/>
          <w:sz w:val="20"/>
          <w:lang w:val="pt-BR"/>
        </w:rPr>
        <w:t>Tabela C.1 — Organização dos exercícios de robustez do Modelo VAR</w:t>
      </w:r>
    </w:p>
    <w:tbl>
      <w:tblPr>
        <w:tblW w:w="0" w:type="auto"/>
        <w:jc w:val="center"/>
        <w:tblLook w:val="04A0" w:firstRow="1" w:lastRow="0" w:firstColumn="1" w:lastColumn="0" w:noHBand="0" w:noVBand="1"/>
      </w:tblPr>
      <w:tblGrid>
        <w:gridCol w:w="3131"/>
        <w:gridCol w:w="3132"/>
        <w:gridCol w:w="3132"/>
      </w:tblGrid>
      <w:tr w:rsidR="005F0DB9" w14:paraId="13CECBDE" w14:textId="77777777">
        <w:trPr>
          <w:jc w:val="center"/>
        </w:trPr>
        <w:tc>
          <w:tcPr>
            <w:tcW w:w="3135"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Bloco</w:t>
            </w:r>
          </w:p>
        </w:tc>
        <w:tc>
          <w:tcPr>
            <w:tcW w:w="3135"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Objetivo</w:t>
            </w:r>
          </w:p>
        </w:tc>
        <w:tc>
          <w:tcPr>
            <w:tcW w:w="3135" w:type="dxa"/>
            <w:shd w:val="clear" w:color="auto" w:fill="D9EAF7"/>
            <w:tcMar>
              <w:top w:w="30" w:type="dxa"/>
              <w:left w:w="30" w:type="dxa"/>
              <w:bottom w:w="30" w:type="dxa"/>
              <w:right w:w="30" w:type="dxa"/>
            </w:tcMar>
            <w:vAlign w:val="center"/>
            <w:shd w:val="clear" w:color="auto" w:fill="auto"/>
            <w:tcBorders>
              <w:top w:sz="12" w:val="single" w:color="000000"/>
              <w:left w:val="nil"/>
              <w:bottom w:sz="4" w:val="single" w:color="000000"/>
              <w:right w:val="nil"/>
            </w:tcBorders>
          </w:tcPr>
          <w:p>
            <w:pPr>
              <w:ind w:left="0" w:right="0" w:firstLine="0"/>
              <w:jc w:val="center"/>
            </w:pPr>
            <w:r>
              <w:t>Uso no TCC</w:t>
            </w:r>
          </w:p>
        </w:tc>
      </w:tr>
      <w:tr w:rsidR="005F0DB9" w:rsidRPr="00321F2B" w14:paraId="2AA27868" w14:textId="77777777">
        <w:trPr>
          <w:jc w:val="center"/>
        </w:trPr>
        <w:tc>
          <w:tcPr>
            <w:tcW w:w="3135"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IRF acumulada</w:t>
            </w:r>
          </w:p>
        </w:tc>
        <w:tc>
          <w:tcPr>
            <w:tcW w:w="3135"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Mensurar a resposta acumulada da inflação e dos combustíveis a choques no petróleo.</w:t>
            </w:r>
          </w:p>
        </w:tc>
        <w:tc>
          <w:tcPr>
            <w:tcW w:w="3135"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Compara a dinâmica do VAR com as Local Projections.</w:t>
            </w:r>
          </w:p>
        </w:tc>
      </w:tr>
      <w:tr w:rsidR="005F0DB9" w:rsidRPr="00321F2B" w14:paraId="62D48CBA" w14:textId="77777777">
        <w:trPr>
          <w:jc w:val="center"/>
        </w:trPr>
        <w:tc>
          <w:tcPr>
            <w:tcW w:w="3135"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FEVD</w:t>
            </w:r>
          </w:p>
        </w:tc>
        <w:tc>
          <w:tcPr>
            <w:tcW w:w="3135"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Medir a contribuição relativa dos choques para a variância dos erros de previsão.</w:t>
            </w:r>
          </w:p>
        </w:tc>
        <w:tc>
          <w:tcPr>
            <w:tcW w:w="3135"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Ajuda a avaliar a importância relativa de petróleo, câmbio e combustíveis.</w:t>
            </w:r>
          </w:p>
        </w:tc>
      </w:tr>
      <w:tr w:rsidR="005F0DB9" w:rsidRPr="00321F2B" w14:paraId="79B9A371" w14:textId="77777777">
        <w:trPr>
          <w:jc w:val="center"/>
        </w:trPr>
        <w:tc>
          <w:tcPr>
            <w:tcW w:w="3135"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Cholesky alternativo</w:t>
            </w:r>
          </w:p>
        </w:tc>
        <w:tc>
          <w:tcPr>
            <w:tcW w:w="3135"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Testar se as respostas dependem da ordenação contemporânea das variáveis.</w:t>
            </w:r>
          </w:p>
        </w:tc>
        <w:tc>
          <w:tcPr>
            <w:tcW w:w="3135" w:type="dxa"/>
            <w:tcMar>
              <w:top w:w="30" w:type="dxa"/>
              <w:left w:w="30" w:type="dxa"/>
              <w:bottom w:w="30" w:type="dxa"/>
              <w:right w:w="30" w:type="dxa"/>
            </w:tcMar>
            <w:vAlign w:val="center"/>
            <w:shd w:val="clear" w:color="auto" w:fill="auto"/>
            <w:tcBorders>
              <w:top w:val="nil"/>
              <w:left w:val="nil"/>
              <w:bottom w:val="nil"/>
              <w:right w:val="nil"/>
            </w:tcBorders>
          </w:tcPr>
          <w:p>
            <w:pPr>
              <w:ind w:left="0" w:right="0" w:firstLine="0"/>
              <w:jc w:val="center"/>
            </w:pPr>
            <w:r>
              <w:t>Funciona como robustez de identificação dentro do VAR.</w:t>
            </w:r>
          </w:p>
        </w:tc>
      </w:tr>
      <w:tr w:rsidR="005F0DB9" w:rsidRPr="00321F2B" w14:paraId="08EA077E" w14:textId="77777777">
        <w:trPr>
          <w:jc w:val="center"/>
        </w:trPr>
        <w:tc>
          <w:tcPr>
            <w:tcW w:w="3135"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Raízes do VAR</w:t>
            </w:r>
          </w:p>
        </w:tc>
        <w:tc>
          <w:tcPr>
            <w:tcW w:w="3135"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Verificar a estabilidade do sistema estimado.</w:t>
            </w:r>
          </w:p>
        </w:tc>
        <w:tc>
          <w:tcPr>
            <w:tcW w:w="3135" w:type="dxa"/>
            <w:tcMar>
              <w:top w:w="30" w:type="dxa"/>
              <w:left w:w="30" w:type="dxa"/>
              <w:bottom w:w="30" w:type="dxa"/>
              <w:right w:w="30" w:type="dxa"/>
            </w:tcMar>
            <w:vAlign w:val="center"/>
            <w:shd w:val="clear" w:color="auto" w:fill="auto"/>
            <w:tcBorders>
              <w:top w:val="nil"/>
              <w:left w:val="nil"/>
              <w:bottom w:sz="12" w:val="single" w:color="000000"/>
              <w:right w:val="nil"/>
            </w:tcBorders>
          </w:tcPr>
          <w:p>
            <w:pPr>
              <w:ind w:left="0" w:right="0" w:firstLine="0"/>
              <w:jc w:val="center"/>
            </w:pPr>
            <w:r>
              <w:t>Indica se as respostas dinâmicas são compatíveis com um VAR estável.</w:t>
            </w:r>
          </w:p>
        </w:tc>
      </w:tr>
    </w:tbl>
    <w:p w14:paraId="152E2160" w14:textId="77777777" w:rsidR="005F0DB9" w:rsidRDefault="00000000">
      <w:pPr>
        <w:pStyle w:val="Heading2"/>
        <w:jc w:val="both"/>
      </w:pPr>
      <w:bookmarkStart w:id="67" w:name="_Toc229695976"/>
      <w:r>
        <w:rPr>
          <w:rFonts w:ascii="Times New Roman" w:hAnsi="Times New Roman"/>
        </w:rPr>
        <w:lastRenderedPageBreak/>
        <w:t>C.2 Funções impulso-resposta acumuladas</w:t>
      </w:r>
      <w:bookmarkEnd w:id="67"/>
    </w:p>
    <w:p w14:paraId="25C326FC" w14:textId="77777777" w:rsidR="005F0DB9" w:rsidRPr="00366C9E" w:rsidRDefault="00000000">
      <w:pPr>
        <w:spacing w:after="120"/>
        <w:ind w:firstLine="706"/>
        <w:rPr>
          <w:lang w:val="pt-BR"/>
        </w:rPr>
      </w:pPr>
      <w:r w:rsidRPr="00366C9E">
        <w:rPr>
          <w:lang w:val="pt-BR"/>
        </w:rPr>
        <w:t>As funções impulso-resposta acumuladas do VAR devem ser lidas como uma verificação complementar das respostas obtidas pelas Local Projections. O foco principal está nas respostas do IPCA Geral, do IPCA Transportes e da gasolina de refinaria aos choques no petróleo em reais.</w:t>
      </w:r>
    </w:p>
    <w:p w14:paraId="4ABB537C" w14:textId="77777777" w:rsidR="005F0DB9" w:rsidRPr="00366C9E" w:rsidRDefault="00000000">
      <w:pPr>
        <w:rPr>
          <w:lang w:val="pt-BR"/>
        </w:rPr>
      </w:pPr>
      <w:r w:rsidRPr="00366C9E">
        <w:rPr>
          <w:lang w:val="pt-BR"/>
        </w:rPr>
        <w:br w:type="page"/>
      </w:r>
    </w:p>
    <w:p w14:paraId="0F7E8FE5" w14:textId="77777777" w:rsidR="005F0DB9" w:rsidRPr="00366C9E" w:rsidRDefault="00000000">
      <w:pPr>
        <w:jc w:val="center"/>
        <w:rPr>
          <w:lang w:val="pt-BR"/>
        </w:rPr>
      </w:pPr>
      <w:r w:rsidRPr="00366C9E">
        <w:rPr>
          <w:b/>
          <w:sz w:val="20"/>
          <w:lang w:val="pt-BR"/>
        </w:rPr>
        <w:lastRenderedPageBreak/>
        <w:t>Figura C.1 — VAR: IRF acumulada do petróleo em reais para o IPCA Transportes</w:t>
      </w:r>
    </w:p>
    <w:p w14:paraId="0563017D" w14:textId="77777777" w:rsidR="005F0DB9" w:rsidRDefault="00000000">
      <w:pPr>
        <w:jc w:val="center"/>
      </w:pPr>
      <w:r>
        <w:drawing>
          <wp:inline xmlns:a="http://schemas.openxmlformats.org/drawingml/2006/main" xmlns:pic="http://schemas.openxmlformats.org/drawingml/2006/picture">
            <wp:extent cx="4114800" cy="2677791"/>
            <wp:docPr id="31" name="Picture 31"/>
            <wp:cNvGraphicFramePr>
              <a:graphicFrameLocks noChangeAspect="1"/>
            </wp:cNvGraphicFramePr>
            <a:graphic>
              <a:graphicData uri="http://schemas.openxmlformats.org/drawingml/2006/picture">
                <pic:pic>
                  <pic:nvPicPr>
                    <pic:cNvPr id="0" name="VAR_IRF_Transporte_verificado.png"/>
                    <pic:cNvPicPr/>
                  </pic:nvPicPr>
                  <pic:blipFill>
                    <a:blip r:embed="rId46"/>
                    <a:stretch>
                      <a:fillRect/>
                    </a:stretch>
                  </pic:blipFill>
                  <pic:spPr>
                    <a:xfrm>
                      <a:off x="0" y="0"/>
                      <a:ext cx="4114800" cy="2677791"/>
                    </a:xfrm>
                    <a:prstGeom prst="rect"/>
                  </pic:spPr>
                </pic:pic>
              </a:graphicData>
            </a:graphic>
          </wp:inline>
        </w:drawing>
      </w:r>
    </w:p>
    <w:p w14:paraId="423CBBDA" w14:textId="77777777" w:rsidR="005F0DB9" w:rsidRPr="00366C9E" w:rsidRDefault="00000000">
      <w:pPr>
        <w:spacing w:after="120"/>
        <w:ind w:firstLine="706"/>
        <w:rPr>
          <w:lang w:val="pt-BR"/>
        </w:rPr>
      </w:pPr>
      <w:r w:rsidRPr="00366C9E">
        <w:rPr>
          <w:lang w:val="pt-BR"/>
        </w:rPr>
        <w:t>A resposta do IPCA Transportes é usada para verificar se o componente mais diretamente relacionado a combustíveis reage ao choque energético em uma estrutura VAR.</w:t>
      </w:r>
    </w:p>
    <w:p w14:paraId="2EFF70D0" w14:textId="77777777" w:rsidR="005F0DB9" w:rsidRPr="00366C9E" w:rsidRDefault="00000000">
      <w:pPr>
        <w:rPr>
          <w:lang w:val="pt-BR"/>
        </w:rPr>
      </w:pPr>
      <w:r w:rsidRPr="00366C9E">
        <w:rPr>
          <w:lang w:val="pt-BR"/>
        </w:rPr>
        <w:br w:type="page"/>
      </w:r>
    </w:p>
    <w:p w14:paraId="1897B481" w14:textId="77777777" w:rsidR="005F0DB9" w:rsidRPr="00366C9E" w:rsidRDefault="00000000">
      <w:pPr>
        <w:jc w:val="center"/>
        <w:rPr>
          <w:lang w:val="pt-BR"/>
        </w:rPr>
      </w:pPr>
      <w:r w:rsidRPr="00366C9E">
        <w:rPr>
          <w:b/>
          <w:sz w:val="20"/>
          <w:lang w:val="pt-BR"/>
        </w:rPr>
        <w:lastRenderedPageBreak/>
        <w:t>Figura C.2 — VAR: IRF acumulada do petróleo em reais para o IPCA Geral</w:t>
      </w:r>
    </w:p>
    <w:p w14:paraId="0EF483A5" w14:textId="77777777" w:rsidR="005F0DB9" w:rsidRDefault="00000000">
      <w:pPr>
        <w:jc w:val="center"/>
      </w:pPr>
      <w:r>
        <w:drawing>
          <wp:inline xmlns:a="http://schemas.openxmlformats.org/drawingml/2006/main" xmlns:pic="http://schemas.openxmlformats.org/drawingml/2006/picture">
            <wp:extent cx="4114800" cy="2677791"/>
            <wp:docPr id="32" name="Picture 32"/>
            <wp:cNvGraphicFramePr>
              <a:graphicFrameLocks noChangeAspect="1"/>
            </wp:cNvGraphicFramePr>
            <a:graphic>
              <a:graphicData uri="http://schemas.openxmlformats.org/drawingml/2006/picture">
                <pic:pic>
                  <pic:nvPicPr>
                    <pic:cNvPr id="0" name="VAR_IRF_Geral_verificado.png"/>
                    <pic:cNvPicPr/>
                  </pic:nvPicPr>
                  <pic:blipFill>
                    <a:blip r:embed="rId47"/>
                    <a:stretch>
                      <a:fillRect/>
                    </a:stretch>
                  </pic:blipFill>
                  <pic:spPr>
                    <a:xfrm>
                      <a:off x="0" y="0"/>
                      <a:ext cx="4114800" cy="2677791"/>
                    </a:xfrm>
                    <a:prstGeom prst="rect"/>
                  </pic:spPr>
                </pic:pic>
              </a:graphicData>
            </a:graphic>
          </wp:inline>
        </w:drawing>
      </w:r>
    </w:p>
    <w:p w14:paraId="556B0F0E" w14:textId="77777777" w:rsidR="005F0DB9" w:rsidRPr="00366C9E" w:rsidRDefault="00000000">
      <w:pPr>
        <w:spacing w:after="120"/>
        <w:ind w:firstLine="706"/>
        <w:rPr>
          <w:lang w:val="pt-BR"/>
        </w:rPr>
      </w:pPr>
      <w:r w:rsidRPr="00366C9E">
        <w:rPr>
          <w:lang w:val="pt-BR"/>
        </w:rPr>
        <w:t>A resposta do IPCA Geral permite comparar o efeito agregado com o efeito setorial observado no IPCA Transportes.</w:t>
      </w:r>
    </w:p>
    <w:p w14:paraId="072D7C2F" w14:textId="77777777" w:rsidR="005F0DB9" w:rsidRPr="00366C9E" w:rsidRDefault="00000000">
      <w:pPr>
        <w:rPr>
          <w:lang w:val="pt-BR"/>
        </w:rPr>
      </w:pPr>
      <w:r w:rsidRPr="00366C9E">
        <w:rPr>
          <w:lang w:val="pt-BR"/>
        </w:rPr>
        <w:br w:type="page"/>
      </w:r>
    </w:p>
    <w:p w14:paraId="7701C05B" w14:textId="77777777" w:rsidR="005F0DB9" w:rsidRPr="00366C9E" w:rsidRDefault="00000000">
      <w:pPr>
        <w:jc w:val="center"/>
        <w:rPr>
          <w:lang w:val="pt-BR"/>
        </w:rPr>
      </w:pPr>
      <w:r w:rsidRPr="00366C9E">
        <w:rPr>
          <w:b/>
          <w:sz w:val="20"/>
          <w:lang w:val="pt-BR"/>
        </w:rPr>
        <w:lastRenderedPageBreak/>
        <w:t>Figura C.3 — VAR: IRF acumulada do petróleo em reais para gasolina de refinaria</w:t>
      </w:r>
    </w:p>
    <w:p w14:paraId="193D667C" w14:textId="77777777" w:rsidR="005F0DB9" w:rsidRDefault="00000000">
      <w:pPr>
        <w:jc w:val="center"/>
      </w:pPr>
      <w:r>
        <w:drawing>
          <wp:inline xmlns:a="http://schemas.openxmlformats.org/drawingml/2006/main" xmlns:pic="http://schemas.openxmlformats.org/drawingml/2006/picture">
            <wp:extent cx="4114800" cy="2711753"/>
            <wp:docPr id="33" name="Picture 33"/>
            <wp:cNvGraphicFramePr>
              <a:graphicFrameLocks noChangeAspect="1"/>
            </wp:cNvGraphicFramePr>
            <a:graphic>
              <a:graphicData uri="http://schemas.openxmlformats.org/drawingml/2006/picture">
                <pic:pic>
                  <pic:nvPicPr>
                    <pic:cNvPr id="0" name="VAR_IRF_Gasolina_verificado.png"/>
                    <pic:cNvPicPr/>
                  </pic:nvPicPr>
                  <pic:blipFill>
                    <a:blip r:embed="rId48"/>
                    <a:stretch>
                      <a:fillRect/>
                    </a:stretch>
                  </pic:blipFill>
                  <pic:spPr>
                    <a:xfrm>
                      <a:off x="0" y="0"/>
                      <a:ext cx="4114800" cy="2711753"/>
                    </a:xfrm>
                    <a:prstGeom prst="rect"/>
                  </pic:spPr>
                </pic:pic>
              </a:graphicData>
            </a:graphic>
          </wp:inline>
        </w:drawing>
      </w:r>
    </w:p>
    <w:p w14:paraId="63916D99" w14:textId="77777777" w:rsidR="005F0DB9" w:rsidRPr="00366C9E" w:rsidRDefault="00000000">
      <w:pPr>
        <w:spacing w:after="120"/>
        <w:ind w:firstLine="706"/>
        <w:rPr>
          <w:lang w:val="pt-BR"/>
        </w:rPr>
      </w:pPr>
      <w:r w:rsidRPr="00366C9E">
        <w:rPr>
          <w:lang w:val="pt-BR"/>
        </w:rPr>
        <w:t>A resposta da gasolina de refinaria avalia se a etapa de refino se comporta como canal intermediário de transmissão do choque internacional.</w:t>
      </w:r>
    </w:p>
    <w:p w14:paraId="5D267C85" w14:textId="77777777" w:rsidR="005F0DB9" w:rsidRDefault="00000000">
      <w:pPr>
        <w:pStyle w:val="Heading2"/>
        <w:jc w:val="both"/>
      </w:pPr>
      <w:bookmarkStart w:id="68" w:name="_Toc229695977"/>
      <w:r>
        <w:rPr>
          <w:rFonts w:ascii="Times New Roman" w:hAnsi="Times New Roman"/>
        </w:rPr>
        <w:t>C.3 Decomposição da variância dos erros de previsão</w:t>
      </w:r>
      <w:bookmarkEnd w:id="68"/>
    </w:p>
    <w:p w14:paraId="2883D069" w14:textId="77777777" w:rsidR="005F0DB9" w:rsidRPr="00366C9E" w:rsidRDefault="00000000">
      <w:pPr>
        <w:spacing w:after="120"/>
        <w:ind w:firstLine="706"/>
        <w:rPr>
          <w:lang w:val="pt-BR"/>
        </w:rPr>
      </w:pPr>
      <w:r w:rsidRPr="00366C9E">
        <w:rPr>
          <w:lang w:val="pt-BR"/>
        </w:rPr>
        <w:t>A decomposição da variância dos erros de previsão (FEVD) complementa as funções impulso-resposta ao mostrar a parcela da incerteza futura do IPCA Transportes explicada pelos choques do sistema. No contexto deste TCC, a FEVD é útil para verificar se petróleo, câmbio e combustíveis ajudam a explicar a variância dos erros de previsão do componente de transportes.</w:t>
      </w:r>
    </w:p>
    <w:p w14:paraId="63DF1AAB" w14:textId="77777777" w:rsidR="005F0DB9" w:rsidRPr="00366C9E" w:rsidRDefault="00000000">
      <w:pPr>
        <w:rPr>
          <w:lang w:val="pt-BR"/>
        </w:rPr>
      </w:pPr>
      <w:r w:rsidRPr="00366C9E">
        <w:rPr>
          <w:lang w:val="pt-BR"/>
        </w:rPr>
        <w:br w:type="page"/>
      </w:r>
    </w:p>
    <w:p w14:paraId="010EF9C0" w14:textId="77777777" w:rsidR="005F0DB9" w:rsidRPr="00366C9E" w:rsidRDefault="00000000">
      <w:pPr>
        <w:jc w:val="center"/>
        <w:rPr>
          <w:lang w:val="pt-BR"/>
        </w:rPr>
      </w:pPr>
      <w:r w:rsidRPr="00366C9E">
        <w:rPr>
          <w:b/>
          <w:sz w:val="20"/>
          <w:lang w:val="pt-BR"/>
        </w:rPr>
        <w:lastRenderedPageBreak/>
        <w:t>Figura C.4 — VAR: FEVD do IPCA Transportes</w:t>
      </w:r>
    </w:p>
    <w:p w14:paraId="368FF63E" w14:textId="77777777" w:rsidR="005F0DB9" w:rsidRDefault="00000000">
      <w:pPr>
        <w:jc w:val="center"/>
      </w:pPr>
      <w:r>
        <w:drawing>
          <wp:inline xmlns:a="http://schemas.openxmlformats.org/drawingml/2006/main" xmlns:pic="http://schemas.openxmlformats.org/drawingml/2006/picture">
            <wp:extent cx="5029200" cy="2999814"/>
            <wp:docPr id="36" name="Picture 36"/>
            <wp:cNvGraphicFramePr>
              <a:graphicFrameLocks noChangeAspect="1"/>
            </wp:cNvGraphicFramePr>
            <a:graphic>
              <a:graphicData uri="http://schemas.openxmlformats.org/drawingml/2006/picture">
                <pic:pic>
                  <pic:nvPicPr>
                    <pic:cNvPr id="0" name="VAR_FEVD_Transporte_verificado.png"/>
                    <pic:cNvPicPr/>
                  </pic:nvPicPr>
                  <pic:blipFill>
                    <a:blip r:embed="rId50"/>
                    <a:stretch>
                      <a:fillRect/>
                    </a:stretch>
                  </pic:blipFill>
                  <pic:spPr>
                    <a:xfrm>
                      <a:off x="0" y="0"/>
                      <a:ext cx="5029200" cy="2999814"/>
                    </a:xfrm>
                    <a:prstGeom prst="rect"/>
                  </pic:spPr>
                </pic:pic>
              </a:graphicData>
            </a:graphic>
          </wp:inline>
        </w:drawing>
      </w:r>
    </w:p>
    <w:p w14:paraId="4BE68AE8" w14:textId="77777777" w:rsidR="005F0DB9" w:rsidRPr="00366C9E" w:rsidRDefault="00000000">
      <w:pPr>
        <w:spacing w:after="120"/>
        <w:ind w:firstLine="706"/>
        <w:rPr>
          <w:lang w:val="pt-BR"/>
        </w:rPr>
      </w:pPr>
      <w:r w:rsidRPr="00366C9E">
        <w:rPr>
          <w:lang w:val="pt-BR"/>
        </w:rPr>
        <w:t>A FEVD deve ser interpretada como evidência complementar. Uma participação mais visível dos choques energéticos no IPCA Transportes, em comparação ao IPCA Geral, é compatível com a hipótese de que o choque do petróleo é parcialmente diluído na cesta agregada de consumo.</w:t>
      </w:r>
    </w:p>
    <w:p w14:paraId="666BB82D" w14:textId="77777777" w:rsidR="005F0DB9" w:rsidRDefault="00000000">
      <w:pPr>
        <w:pStyle w:val="Heading2"/>
        <w:jc w:val="both"/>
      </w:pPr>
      <w:bookmarkStart w:id="69" w:name="_Toc229695978"/>
      <w:r>
        <w:rPr>
          <w:rFonts w:ascii="Times New Roman" w:hAnsi="Times New Roman"/>
        </w:rPr>
        <w:t>C.4 Robustez à ordenação de Cholesky</w:t>
      </w:r>
      <w:bookmarkEnd w:id="69"/>
    </w:p>
    <w:p w14:paraId="4D8584A4" w14:textId="77777777" w:rsidR="005F0DB9" w:rsidRPr="00366C9E" w:rsidRDefault="00000000">
      <w:pPr>
        <w:spacing w:after="120"/>
        <w:ind w:firstLine="706"/>
        <w:rPr>
          <w:lang w:val="pt-BR"/>
        </w:rPr>
      </w:pPr>
      <w:r w:rsidRPr="00366C9E">
        <w:rPr>
          <w:lang w:val="pt-BR"/>
        </w:rPr>
        <w:t>Como a identificação via Cholesky depende da ordenação contemporânea das variáveis, o apêndice inclui uma comparação entre a ordenação base e uma ordenação alternativa. Esse exercício testa se a resposta do IPCA Transportes ao petróleo depende excessivamente de uma única hipótese de identificação contemporânea.</w:t>
      </w:r>
    </w:p>
    <w:p w14:paraId="163E6FCE" w14:textId="77777777" w:rsidR="005F0DB9" w:rsidRPr="00366C9E" w:rsidRDefault="00000000">
      <w:pPr>
        <w:rPr>
          <w:lang w:val="pt-BR"/>
        </w:rPr>
      </w:pPr>
      <w:r w:rsidRPr="00366C9E">
        <w:rPr>
          <w:lang w:val="pt-BR"/>
        </w:rPr>
        <w:br w:type="page"/>
      </w:r>
    </w:p>
    <w:p w14:paraId="7453FEB6" w14:textId="77777777" w:rsidR="005F0DB9" w:rsidRPr="00366C9E" w:rsidRDefault="00000000">
      <w:pPr>
        <w:jc w:val="center"/>
        <w:rPr>
          <w:lang w:val="pt-BR"/>
        </w:rPr>
      </w:pPr>
      <w:r w:rsidRPr="00366C9E">
        <w:rPr>
          <w:b/>
          <w:sz w:val="20"/>
          <w:lang w:val="pt-BR"/>
        </w:rPr>
        <w:lastRenderedPageBreak/>
        <w:t>Figura C.5 — VAR: robustez à ordenação de Cholesky</w:t>
      </w:r>
    </w:p>
    <w:p w14:paraId="555F73E4" w14:textId="77777777" w:rsidR="005F0DB9" w:rsidRDefault="00000000">
      <w:pPr>
        <w:jc w:val="center"/>
      </w:pPr>
      <w:r>
        <w:rPr>
          <w:noProof/>
        </w:rPr>
        <w:drawing>
          <wp:inline distT="0" distB="0" distL="0" distR="0" wp14:anchorId="5D2ACD37" wp14:editId="4E0F9457">
            <wp:extent cx="5760720" cy="288036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5_var_cholesky_robustez_ipca_transportes.png"/>
                    <pic:cNvPicPr/>
                  </pic:nvPicPr>
                  <pic:blipFill>
                    <a:blip r:embed="rId32"/>
                    <a:stretch>
                      <a:fillRect/>
                    </a:stretch>
                  </pic:blipFill>
                  <pic:spPr>
                    <a:xfrm>
                      <a:off x="0" y="0"/>
                      <a:ext cx="5760720" cy="2880360"/>
                    </a:xfrm>
                    <a:prstGeom prst="rect">
                      <a:avLst/>
                    </a:prstGeom>
                  </pic:spPr>
                </pic:pic>
              </a:graphicData>
            </a:graphic>
          </wp:inline>
        </w:drawing>
      </w:r>
    </w:p>
    <w:p w14:paraId="49EDE1B2" w14:textId="77777777" w:rsidR="005F0DB9" w:rsidRPr="00366C9E" w:rsidRDefault="00000000">
      <w:pPr>
        <w:spacing w:after="120"/>
        <w:ind w:firstLine="706"/>
        <w:rPr>
          <w:lang w:val="pt-BR"/>
        </w:rPr>
      </w:pPr>
      <w:r w:rsidRPr="00366C9E">
        <w:rPr>
          <w:lang w:val="pt-BR"/>
        </w:rPr>
        <w:t>A leitura desse gráfico deve priorizar o sinal e a direção geral da resposta. Quando as trajetórias permanecem semelhantes entre as ordenações, a evidência é menos dependente de uma única estrutura de identificação contemporânea.</w:t>
      </w:r>
    </w:p>
    <w:p w14:paraId="45F84AC5" w14:textId="77777777" w:rsidR="005F0DB9" w:rsidRDefault="00000000">
      <w:pPr>
        <w:pStyle w:val="Heading2"/>
        <w:jc w:val="both"/>
      </w:pPr>
      <w:bookmarkStart w:id="70" w:name="_Toc229695979"/>
      <w:r>
        <w:rPr>
          <w:rFonts w:ascii="Times New Roman" w:hAnsi="Times New Roman"/>
        </w:rPr>
        <w:t>C.5 Estabilidade do sistema</w:t>
      </w:r>
      <w:bookmarkEnd w:id="70"/>
    </w:p>
    <w:p w14:paraId="615950FD" w14:textId="77777777" w:rsidR="005F0DB9" w:rsidRPr="00366C9E" w:rsidRDefault="00000000">
      <w:pPr>
        <w:spacing w:after="120"/>
        <w:ind w:firstLine="706"/>
        <w:rPr>
          <w:lang w:val="pt-BR"/>
        </w:rPr>
      </w:pPr>
      <w:r w:rsidRPr="00366C9E">
        <w:rPr>
          <w:lang w:val="pt-BR"/>
        </w:rPr>
        <w:t>A estabilidade do VAR é condição importante para interpretar as funções impulso-resposta. A análise das raízes inversas em relação ao círculo unitário indica se o sistema estimado apresenta dinâmica compatível com estabilidade.</w:t>
      </w:r>
    </w:p>
    <w:p w14:paraId="3A84E98E" w14:textId="77777777" w:rsidR="005F0DB9" w:rsidRPr="00366C9E" w:rsidRDefault="00000000">
      <w:pPr>
        <w:rPr>
          <w:lang w:val="pt-BR"/>
        </w:rPr>
      </w:pPr>
      <w:r w:rsidRPr="00366C9E">
        <w:rPr>
          <w:lang w:val="pt-BR"/>
        </w:rPr>
        <w:br w:type="page"/>
      </w:r>
    </w:p>
    <w:p w14:paraId="1800B8CA" w14:textId="77777777" w:rsidR="005F0DB9" w:rsidRPr="00366C9E" w:rsidRDefault="00000000">
      <w:pPr>
        <w:jc w:val="center"/>
        <w:rPr>
          <w:lang w:val="pt-BR"/>
        </w:rPr>
      </w:pPr>
      <w:r w:rsidRPr="00366C9E">
        <w:rPr>
          <w:b/>
          <w:sz w:val="20"/>
          <w:lang w:val="pt-BR"/>
        </w:rPr>
        <w:lastRenderedPageBreak/>
        <w:t>Figura C.6 — VAR: raízes inversas e círculo unitário</w:t>
      </w:r>
    </w:p>
    <w:p w14:paraId="6EBDECCE" w14:textId="77777777" w:rsidR="005F0DB9" w:rsidRDefault="00000000">
      <w:pPr>
        <w:jc w:val="center"/>
      </w:pPr>
      <w:r>
        <w:drawing>
          <wp:inline xmlns:a="http://schemas.openxmlformats.org/drawingml/2006/main" xmlns:pic="http://schemas.openxmlformats.org/drawingml/2006/picture">
            <wp:extent cx="4114800" cy="4125820"/>
            <wp:docPr id="35" name="Picture 35"/>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114800" cy="4125820"/>
                    </a:xfrm>
                    <a:prstGeom prst="rect"/>
                  </pic:spPr>
                </pic:pic>
              </a:graphicData>
            </a:graphic>
          </wp:inline>
        </w:drawing>
      </w:r>
    </w:p>
    <w:p w14:paraId="0732895C" w14:textId="77777777" w:rsidR="005F0DB9" w:rsidRPr="00366C9E" w:rsidRDefault="00000000">
      <w:pPr>
        <w:spacing w:after="120"/>
        <w:ind w:firstLine="706"/>
        <w:rPr>
          <w:lang w:val="pt-BR"/>
        </w:rPr>
      </w:pPr>
      <w:r w:rsidRPr="00366C9E">
        <w:rPr>
          <w:lang w:val="pt-BR"/>
        </w:rPr>
        <w:t>A figura deve ser usada como diagnóstico técnico. Quando as raízes inversas permanecem dentro do círculo unitário, há evidência favorável à estabilidade dinâmica do sistema estimado.</w:t>
      </w:r>
    </w:p>
    <w:p w14:paraId="38CC3EE7" w14:textId="77777777" w:rsidR="005F0DB9" w:rsidRDefault="00000000">
      <w:pPr>
        <w:pStyle w:val="Heading2"/>
        <w:jc w:val="both"/>
      </w:pPr>
      <w:bookmarkStart w:id="71" w:name="_Toc229695980"/>
      <w:r>
        <w:rPr>
          <w:rFonts w:ascii="Times New Roman" w:hAnsi="Times New Roman"/>
        </w:rPr>
        <w:t>C.6 Síntese do papel do VAR no TCC</w:t>
      </w:r>
      <w:bookmarkEnd w:id="71"/>
    </w:p>
    <w:p w14:paraId="0E95EB67" w14:textId="77777777" w:rsidR="005F0DB9" w:rsidRPr="00366C9E" w:rsidRDefault="00000000">
      <w:pPr>
        <w:spacing w:after="120"/>
        <w:ind w:firstLine="706"/>
        <w:rPr>
          <w:lang w:val="pt-BR"/>
        </w:rPr>
      </w:pPr>
      <w:r w:rsidRPr="00366C9E">
        <w:rPr>
          <w:lang w:val="pt-BR"/>
        </w:rPr>
        <w:t>Em síntese, o VAR deve ser interpretado como uma camada de robustez. A estratégia principal do trabalho permanece baseada nas Local Projections, pois elas permitem maior flexibilidade por horizonte, melhor organização do canal de transmissão e incorporação direta de regimes e instrumentos externos. O VAR, por sua vez, adiciona uma verificação dinâmica multivariada tradicional, útil para confirmar se a direção dos resultados é compatível com outro método econométrico.</w:t>
      </w:r>
    </w:p>
    <w:p w14:paraId="28748CD6" w14:textId="77777777" w:rsidR="005F0DB9" w:rsidRPr="00366C9E" w:rsidRDefault="00000000">
      <w:pPr>
        <w:spacing w:after="120"/>
        <w:ind w:firstLine="706"/>
        <w:rPr>
          <w:lang w:val="pt-BR"/>
        </w:rPr>
      </w:pPr>
      <w:r w:rsidRPr="00366C9E">
        <w:rPr>
          <w:lang w:val="pt-BR"/>
        </w:rPr>
        <w:lastRenderedPageBreak/>
        <w:t>A leitura conjunta dos modelos deve destacar que a evidência mais consistente do trabalho é a transmissão dos choques de petróleo para combustíveis e para o IPCA Transportes. O IPCA Geral apresenta resposta mais fraca, compatível com a diluição do choque energético na cesta agregada. A Petrobras e a etapa de refinaria aparecem como elementos institucionais relevantes para a intensidade e o timing do repasse, embora os efeitos sejam heterogêneos entre combustíveis e regimes.</w:t>
      </w:r>
    </w:p>
    <w:p>
      <w:r>
        <w:br w:type="page"/>
      </w:r>
    </w:p>
    <w:p>
      <w:pPr>
        <w:pStyle w:val="Heading1"/>
      </w:pPr>
      <w:r>
        <w:t>APÊNDICE C – TESTES DE ESTACIONARIEDADE (ADF E KPSS)</w:t>
      </w:r>
    </w:p>
    <w:p>
      <w:r>
        <w:t>A tabela abaixo reporta os testes Augmented Dickey-Fuller (ADF) e Kwiatkowski–Phillips–Schmidt–Shin (KPSS) para as principais séries utilizadas nos modelos de Local Projections e VAR. Conforme demonstrado, a conversão das séries de nível para taxas de variação percentual mensal garante a estacionariedade, mitigando o risco de regressões espúrias.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t>Variável</w:t>
            </w:r>
          </w:p>
        </w:tc>
        <w:tc>
          <w:tcPr>
            <w:tcW w:type="dxa" w:w="1881"/>
          </w:tcPr>
          <w:p>
            <w:r>
              <w:t>Teste ADF (Estatística)</w:t>
            </w:r>
          </w:p>
        </w:tc>
        <w:tc>
          <w:tcPr>
            <w:tcW w:type="dxa" w:w="1881"/>
          </w:tcPr>
          <w:p>
            <w:r>
              <w:t>Teste ADF (p-valor)</w:t>
            </w:r>
          </w:p>
        </w:tc>
        <w:tc>
          <w:tcPr>
            <w:tcW w:type="dxa" w:w="1881"/>
          </w:tcPr>
          <w:p>
            <w:r>
              <w:t>Teste KPSS (Estatística)</w:t>
            </w:r>
          </w:p>
        </w:tc>
        <w:tc>
          <w:tcPr>
            <w:tcW w:type="dxa" w:w="1881"/>
          </w:tcPr>
          <w:p>
            <w:r>
              <w:t>Conclusão Final</w:t>
            </w:r>
          </w:p>
        </w:tc>
      </w:tr>
      <w:tr>
        <w:tc>
          <w:tcPr>
            <w:tcW w:type="dxa" w:w="1881"/>
          </w:tcPr>
          <w:p>
            <w:r>
              <w:t>Petróleo (Nível)</w:t>
            </w:r>
          </w:p>
        </w:tc>
        <w:tc>
          <w:tcPr>
            <w:tcW w:type="dxa" w:w="1881"/>
          </w:tcPr>
          <w:p>
            <w:r>
              <w:t>-2.778</w:t>
            </w:r>
          </w:p>
        </w:tc>
        <w:tc>
          <w:tcPr>
            <w:tcW w:type="dxa" w:w="1881"/>
          </w:tcPr>
          <w:p>
            <w:r>
              <w:t>0.0614</w:t>
            </w:r>
          </w:p>
        </w:tc>
        <w:tc>
          <w:tcPr>
            <w:tcW w:type="dxa" w:w="1881"/>
          </w:tcPr>
          <w:p>
            <w:r>
              <w:t>0.766</w:t>
            </w:r>
          </w:p>
        </w:tc>
        <w:tc>
          <w:tcPr>
            <w:tcW w:type="dxa" w:w="1881"/>
          </w:tcPr>
          <w:p>
            <w:r>
              <w:t>Não Estacionária</w:t>
            </w:r>
          </w:p>
        </w:tc>
      </w:tr>
      <w:tr>
        <w:tc>
          <w:tcPr>
            <w:tcW w:type="dxa" w:w="1881"/>
          </w:tcPr>
          <w:p>
            <w:r>
              <w:t>IPCA Geral (Var. %)</w:t>
            </w:r>
          </w:p>
        </w:tc>
        <w:tc>
          <w:tcPr>
            <w:tcW w:type="dxa" w:w="1881"/>
          </w:tcPr>
          <w:p>
            <w:r>
              <w:t>-8.693</w:t>
            </w:r>
          </w:p>
        </w:tc>
        <w:tc>
          <w:tcPr>
            <w:tcW w:type="dxa" w:w="1881"/>
          </w:tcPr>
          <w:p>
            <w:r>
              <w:t>0.0000</w:t>
            </w:r>
          </w:p>
        </w:tc>
        <w:tc>
          <w:tcPr>
            <w:tcW w:type="dxa" w:w="1881"/>
          </w:tcPr>
          <w:p>
            <w:r>
              <w:t>0.263</w:t>
            </w:r>
          </w:p>
        </w:tc>
        <w:tc>
          <w:tcPr>
            <w:tcW w:type="dxa" w:w="1881"/>
          </w:tcPr>
          <w:p>
            <w:r>
              <w:t>Estacionária</w:t>
            </w:r>
          </w:p>
        </w:tc>
      </w:tr>
      <w:tr>
        <w:tc>
          <w:tcPr>
            <w:tcW w:type="dxa" w:w="1881"/>
          </w:tcPr>
          <w:p>
            <w:r>
              <w:t>IPCA Transp. (Var. %)</w:t>
            </w:r>
          </w:p>
        </w:tc>
        <w:tc>
          <w:tcPr>
            <w:tcW w:type="dxa" w:w="1881"/>
          </w:tcPr>
          <w:p>
            <w:r>
              <w:t>-10.802</w:t>
            </w:r>
          </w:p>
        </w:tc>
        <w:tc>
          <w:tcPr>
            <w:tcW w:type="dxa" w:w="1881"/>
          </w:tcPr>
          <w:p>
            <w:r>
              <w:t>0.0000</w:t>
            </w:r>
          </w:p>
        </w:tc>
        <w:tc>
          <w:tcPr>
            <w:tcW w:type="dxa" w:w="1881"/>
          </w:tcPr>
          <w:p>
            <w:r>
              <w:t>0.195</w:t>
            </w:r>
          </w:p>
        </w:tc>
        <w:tc>
          <w:tcPr>
            <w:tcW w:type="dxa" w:w="1881"/>
          </w:tcPr>
          <w:p>
            <w:r>
              <w:t>Estacionária</w:t>
            </w:r>
          </w:p>
        </w:tc>
      </w:tr>
      <w:tr>
        <w:tc>
          <w:tcPr>
            <w:tcW w:type="dxa" w:w="1881"/>
          </w:tcPr>
          <w:p>
            <w:r>
              <w:t>Gasolina C (Var. %)</w:t>
            </w:r>
          </w:p>
        </w:tc>
        <w:tc>
          <w:tcPr>
            <w:tcW w:type="dxa" w:w="1881"/>
          </w:tcPr>
          <w:p>
            <w:r>
              <w:t>-11.278</w:t>
            </w:r>
          </w:p>
        </w:tc>
        <w:tc>
          <w:tcPr>
            <w:tcW w:type="dxa" w:w="1881"/>
          </w:tcPr>
          <w:p>
            <w:r>
              <w:t>0.0000</w:t>
            </w:r>
          </w:p>
        </w:tc>
        <w:tc>
          <w:tcPr>
            <w:tcW w:type="dxa" w:w="1881"/>
          </w:tcPr>
          <w:p>
            <w:r>
              <w:t>0.067</w:t>
            </w:r>
          </w:p>
        </w:tc>
        <w:tc>
          <w:tcPr>
            <w:tcW w:type="dxa" w:w="1881"/>
          </w:tcPr>
          <w:p>
            <w:r>
              <w:t>Estacionária</w:t>
            </w:r>
          </w:p>
        </w:tc>
      </w:tr>
      <w:tr>
        <w:tc>
          <w:tcPr>
            <w:tcW w:type="dxa" w:w="1881"/>
          </w:tcPr>
          <w:p>
            <w:r>
              <w:t>Diesel (Var. %)</w:t>
            </w:r>
          </w:p>
        </w:tc>
        <w:tc>
          <w:tcPr>
            <w:tcW w:type="dxa" w:w="1881"/>
          </w:tcPr>
          <w:p>
            <w:r>
              <w:t>-11.229</w:t>
            </w:r>
          </w:p>
        </w:tc>
        <w:tc>
          <w:tcPr>
            <w:tcW w:type="dxa" w:w="1881"/>
          </w:tcPr>
          <w:p>
            <w:r>
              <w:t>0.0000</w:t>
            </w:r>
          </w:p>
        </w:tc>
        <w:tc>
          <w:tcPr>
            <w:tcW w:type="dxa" w:w="1881"/>
          </w:tcPr>
          <w:p>
            <w:r>
              <w:t>0.214</w:t>
            </w:r>
          </w:p>
        </w:tc>
        <w:tc>
          <w:tcPr>
            <w:tcW w:type="dxa" w:w="1881"/>
          </w:tcPr>
          <w:p>
            <w:r>
              <w:t>Estacionária</w:t>
            </w:r>
          </w:p>
        </w:tc>
      </w:tr>
    </w:tbl>
    <w:sectPr w:rsidR="005F0DB9" w:rsidRPr="00366C9E" w:rsidSect="008E44CC">
      <w:headerReference w:type="default" r:id="rId34"/>
      <w:pgSz w:w="12240" w:h="15840"/>
      <w:pgMar w:top="1701" w:right="1134" w:bottom="1134" w:left="170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Pedro Franck Minella" w:date="2026-05-19T19:24:00Z" w:initials="PF">
    <w:p w14:paraId="1E6E7F57" w14:textId="77777777" w:rsidR="00FB2C60" w:rsidRDefault="00FB2C60" w:rsidP="00FB2C60">
      <w:pPr>
        <w:pStyle w:val="CommentText"/>
      </w:pPr>
      <w:r>
        <w:rPr>
          <w:rStyle w:val="CommentReference"/>
        </w:rPr>
        <w:annotationRef/>
      </w:r>
      <w:r>
        <w:t>Ajustar equação</w:t>
      </w:r>
    </w:p>
  </w:comment>
  <w:comment w:id="14" w:author="Pedro Franck Minella" w:date="2026-05-19T19:47:00Z" w:initials="PF">
    <w:p w14:paraId="4C495300" w14:textId="77777777" w:rsidR="000E1567" w:rsidRDefault="000E1567" w:rsidP="000E1567">
      <w:pPr>
        <w:pStyle w:val="CommentText"/>
      </w:pPr>
      <w:r>
        <w:rPr>
          <w:rStyle w:val="CommentReference"/>
        </w:rPr>
        <w:annotationRef/>
      </w:r>
      <w:r>
        <w:t>Ajustar equação</w:t>
      </w:r>
    </w:p>
  </w:comment>
  <w:comment w:id="16" w:author="Pedro Franck Minella" w:date="2026-05-19T19:49:00Z" w:initials="PF">
    <w:p w14:paraId="7477F747" w14:textId="77777777" w:rsidR="000E1567" w:rsidRDefault="000E1567" w:rsidP="000E1567">
      <w:pPr>
        <w:pStyle w:val="CommentText"/>
      </w:pPr>
      <w:r>
        <w:rPr>
          <w:rStyle w:val="CommentReference"/>
        </w:rPr>
        <w:annotationRef/>
      </w:r>
      <w:r>
        <w:t>Ajustar equação</w:t>
      </w:r>
    </w:p>
  </w:comment>
  <w:comment w:id="17" w:author="Pedro Franck Minella" w:date="2026-05-19T19:49:00Z" w:initials="PF">
    <w:p w14:paraId="130A0E1E" w14:textId="77777777" w:rsidR="000E1567" w:rsidRDefault="000E1567" w:rsidP="000E1567">
      <w:pPr>
        <w:pStyle w:val="CommentText"/>
      </w:pPr>
      <w:r>
        <w:rPr>
          <w:rStyle w:val="CommentReference"/>
        </w:rPr>
        <w:annotationRef/>
      </w:r>
      <w:r>
        <w:t>.</w:t>
      </w:r>
    </w:p>
  </w:comment>
  <w:comment w:id="18" w:author="Pedro Franck Minella" w:date="2026-05-19T19:49:00Z" w:initials="PF">
    <w:p w14:paraId="39B9E3F1" w14:textId="77777777" w:rsidR="000E1567" w:rsidRDefault="000E1567" w:rsidP="000E1567">
      <w:pPr>
        <w:pStyle w:val="CommentText"/>
      </w:pPr>
      <w:r>
        <w:rPr>
          <w:rStyle w:val="CommentReference"/>
        </w:rPr>
        <w:annotationRef/>
      </w:r>
      <w:r>
        <w:t>Ajustar equação</w:t>
      </w:r>
    </w:p>
  </w:comment>
  <w:comment w:id="19" w:author="Pedro Franck Minella" w:date="2026-05-19T19:49:00Z" w:initials="PF">
    <w:p w14:paraId="3D292C65" w14:textId="77777777" w:rsidR="000E1567" w:rsidRDefault="000E1567" w:rsidP="000E1567">
      <w:pPr>
        <w:pStyle w:val="CommentText"/>
      </w:pPr>
      <w:r>
        <w:rPr>
          <w:rStyle w:val="CommentReference"/>
        </w:rPr>
        <w:annotationRef/>
      </w:r>
      <w:r>
        <w:t>Ajustar equação</w:t>
      </w:r>
    </w:p>
  </w:comment>
  <w:comment w:id="26" w:author="Pedro Franck Minella" w:date="2026-05-19T19:58:00Z" w:initials="PF">
    <w:p w14:paraId="0882B68D" w14:textId="77777777" w:rsidR="007A672C" w:rsidRDefault="007A672C" w:rsidP="007A672C">
      <w:pPr>
        <w:pStyle w:val="CommentText"/>
      </w:pPr>
      <w:r>
        <w:rPr>
          <w:rStyle w:val="CommentReference"/>
        </w:rPr>
        <w:annotationRef/>
      </w:r>
      <w:r>
        <w:t>Ajustar equação</w:t>
      </w:r>
    </w:p>
  </w:comment>
  <w:comment w:id="27" w:author="Pedro Franck Minella" w:date="2026-05-19T19:58:00Z" w:initials="PF">
    <w:p w14:paraId="64A0F84A" w14:textId="77777777" w:rsidR="007A672C" w:rsidRDefault="007A672C" w:rsidP="007A672C">
      <w:pPr>
        <w:pStyle w:val="CommentText"/>
      </w:pPr>
      <w:r>
        <w:rPr>
          <w:rStyle w:val="CommentReference"/>
        </w:rPr>
        <w:annotationRef/>
      </w:r>
      <w:r>
        <w:t>Ajustar equação</w:t>
      </w:r>
    </w:p>
  </w:comment>
  <w:comment w:id="29" w:author="Pedro Franck Minella" w:date="2026-05-19T20:01:00Z" w:initials="PF">
    <w:p w14:paraId="52BEDFE7" w14:textId="77777777" w:rsidR="007A672C" w:rsidRDefault="007A672C" w:rsidP="007A672C">
      <w:pPr>
        <w:pStyle w:val="CommentText"/>
      </w:pPr>
      <w:r>
        <w:rPr>
          <w:rStyle w:val="CommentReference"/>
        </w:rPr>
        <w:annotationRef/>
      </w:r>
      <w:r>
        <w:t>Ajustar equações</w:t>
      </w:r>
    </w:p>
  </w:comment>
  <w:comment w:id="30" w:author="Pedro Franck Minella" w:date="2026-05-19T20:01:00Z" w:initials="PF">
    <w:p w14:paraId="2F2B73B5" w14:textId="77777777" w:rsidR="007A672C" w:rsidRDefault="007A672C" w:rsidP="007A672C">
      <w:pPr>
        <w:pStyle w:val="CommentText"/>
      </w:pPr>
      <w:r>
        <w:rPr>
          <w:rStyle w:val="CommentReference"/>
        </w:rPr>
        <w:annotationRef/>
      </w:r>
      <w:r>
        <w:t>Ajustar equação</w:t>
      </w:r>
    </w:p>
  </w:comment>
  <w:comment w:id="33" w:author="Pedro Franck Minella" w:date="2026-05-19T20:06:00Z" w:initials="PF">
    <w:p w14:paraId="2EE3550E" w14:textId="77777777" w:rsidR="003010CD" w:rsidRDefault="003010CD" w:rsidP="003010CD">
      <w:pPr>
        <w:pStyle w:val="CommentText"/>
      </w:pPr>
      <w:r>
        <w:rPr>
          <w:rStyle w:val="CommentReference"/>
        </w:rPr>
        <w:annotationRef/>
      </w:r>
      <w:r>
        <w:t>Ajustar equação</w:t>
      </w:r>
    </w:p>
  </w:comment>
  <w:comment w:id="34" w:author="Pedro Franck Minella" w:date="2026-05-19T20:06:00Z" w:initials="PF">
    <w:p w14:paraId="465D0D25" w14:textId="77777777" w:rsidR="003010CD" w:rsidRDefault="003010CD" w:rsidP="003010CD">
      <w:pPr>
        <w:pStyle w:val="CommentText"/>
      </w:pPr>
      <w:r>
        <w:rPr>
          <w:rStyle w:val="CommentReference"/>
        </w:rPr>
        <w:annotationRef/>
      </w:r>
      <w:r>
        <w:t>Ajustar equação</w:t>
      </w:r>
    </w:p>
  </w:comment>
  <w:comment w:id="35" w:author="Pedro Franck Minella" w:date="2026-05-19T20:06:00Z" w:initials="PF">
    <w:p w14:paraId="75257A05" w14:textId="77777777" w:rsidR="003010CD" w:rsidRDefault="003010CD" w:rsidP="003010CD">
      <w:pPr>
        <w:pStyle w:val="CommentText"/>
      </w:pPr>
      <w:r>
        <w:rPr>
          <w:rStyle w:val="CommentReference"/>
        </w:rPr>
        <w:annotationRef/>
      </w:r>
      <w:r>
        <w:t>Ajustar equação</w:t>
      </w:r>
    </w:p>
  </w:comment>
  <w:comment w:id="36" w:author="Pedro Franck Minella" w:date="2026-05-19T20:07:00Z" w:initials="PF">
    <w:p w14:paraId="24D528E2" w14:textId="77777777" w:rsidR="003010CD" w:rsidRDefault="003010CD" w:rsidP="003010CD">
      <w:pPr>
        <w:pStyle w:val="CommentText"/>
      </w:pPr>
      <w:r>
        <w:rPr>
          <w:rStyle w:val="CommentReference"/>
        </w:rPr>
        <w:annotationRef/>
      </w:r>
      <w:r>
        <w:t>Ajustar equação</w:t>
      </w:r>
    </w:p>
  </w:comment>
  <w:comment w:id="37" w:author="Pedro Franck Minella" w:date="2026-05-19T20:07:00Z" w:initials="PF">
    <w:p w14:paraId="131C9B4E" w14:textId="77777777" w:rsidR="003010CD" w:rsidRDefault="003010CD" w:rsidP="003010CD">
      <w:pPr>
        <w:pStyle w:val="CommentText"/>
      </w:pPr>
      <w:r>
        <w:rPr>
          <w:rStyle w:val="CommentReference"/>
        </w:rPr>
        <w:annotationRef/>
      </w:r>
      <w:r>
        <w:t>Ajustar equação</w:t>
      </w:r>
    </w:p>
  </w:comment>
  <w:comment w:id="40" w:author="Pedro Franck Minella" w:date="2026-05-19T20:13:00Z" w:initials="PF">
    <w:p w14:paraId="07729649" w14:textId="77777777" w:rsidR="00A6469C" w:rsidRDefault="00A6469C" w:rsidP="00A6469C">
      <w:pPr>
        <w:pStyle w:val="CommentText"/>
      </w:pPr>
      <w:r>
        <w:rPr>
          <w:rStyle w:val="CommentReference"/>
        </w:rPr>
        <w:annotationRef/>
      </w:r>
      <w:r>
        <w:t>Ajustar equação</w:t>
      </w:r>
    </w:p>
  </w:comment>
  <w:comment w:id="41" w:author="Pedro Franck Minella" w:date="2026-05-19T20:13:00Z" w:initials="PF">
    <w:p w14:paraId="080E503F" w14:textId="77777777" w:rsidR="00F761EB" w:rsidRDefault="00F761EB" w:rsidP="00F761EB">
      <w:pPr>
        <w:pStyle w:val="CommentText"/>
      </w:pPr>
      <w:r>
        <w:rPr>
          <w:rStyle w:val="CommentReference"/>
        </w:rPr>
        <w:annotationRef/>
      </w:r>
      <w:r>
        <w:t>Ajustar equação</w:t>
      </w:r>
    </w:p>
  </w:comment>
  <w:comment w:id="43" w:author="Pedro Franck Minella" w:date="2026-05-19T20:13:00Z" w:initials="PF">
    <w:p w14:paraId="0165C3A6" w14:textId="77777777" w:rsidR="00A6469C" w:rsidRDefault="00A6469C" w:rsidP="00A6469C">
      <w:pPr>
        <w:pStyle w:val="CommentText"/>
      </w:pPr>
      <w:r>
        <w:rPr>
          <w:rStyle w:val="CommentReference"/>
        </w:rPr>
        <w:annotationRef/>
      </w:r>
      <w:r>
        <w:t>Ajustar equação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6E7F57" w15:done="0"/>
  <w15:commentEx w15:paraId="4C495300" w15:done="0"/>
  <w15:commentEx w15:paraId="7477F747" w15:done="0"/>
  <w15:commentEx w15:paraId="130A0E1E" w15:done="0"/>
  <w15:commentEx w15:paraId="39B9E3F1" w15:done="0"/>
  <w15:commentEx w15:paraId="3D292C65" w15:done="0"/>
  <w15:commentEx w15:paraId="0882B68D" w15:done="0"/>
  <w15:commentEx w15:paraId="64A0F84A" w15:done="0"/>
  <w15:commentEx w15:paraId="52BEDFE7" w15:done="0"/>
  <w15:commentEx w15:paraId="2F2B73B5" w15:done="0"/>
  <w15:commentEx w15:paraId="2EE3550E" w15:done="0"/>
  <w15:commentEx w15:paraId="465D0D25" w15:done="0"/>
  <w15:commentEx w15:paraId="75257A05" w15:done="0"/>
  <w15:commentEx w15:paraId="24D528E2" w15:done="0"/>
  <w15:commentEx w15:paraId="131C9B4E" w15:done="0"/>
  <w15:commentEx w15:paraId="07729649" w15:done="0"/>
  <w15:commentEx w15:paraId="080E503F" w15:done="0"/>
  <w15:commentEx w15:paraId="0165C3A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DAD881D" w16cex:dateUtc="2026-05-19T22:24:00Z"/>
  <w16cex:commentExtensible w16cex:durableId="6D41321B" w16cex:dateUtc="2026-05-19T22:47:00Z"/>
  <w16cex:commentExtensible w16cex:durableId="6EFCA182" w16cex:dateUtc="2026-05-19T22:49:00Z"/>
  <w16cex:commentExtensible w16cex:durableId="14589D24" w16cex:dateUtc="2026-05-19T22:49:00Z"/>
  <w16cex:commentExtensible w16cex:durableId="09E2621A" w16cex:dateUtc="2026-05-19T22:49:00Z"/>
  <w16cex:commentExtensible w16cex:durableId="079EC0D3" w16cex:dateUtc="2026-05-19T22:49:00Z"/>
  <w16cex:commentExtensible w16cex:durableId="61364610" w16cex:dateUtc="2026-05-19T22:58:00Z"/>
  <w16cex:commentExtensible w16cex:durableId="6DA3BA5B" w16cex:dateUtc="2026-05-19T22:58:00Z"/>
  <w16cex:commentExtensible w16cex:durableId="57116122" w16cex:dateUtc="2026-05-19T23:01:00Z"/>
  <w16cex:commentExtensible w16cex:durableId="1856F843" w16cex:dateUtc="2026-05-19T23:01:00Z"/>
  <w16cex:commentExtensible w16cex:durableId="71586F1C" w16cex:dateUtc="2026-05-19T23:06:00Z"/>
  <w16cex:commentExtensible w16cex:durableId="2ACA7415" w16cex:dateUtc="2026-05-19T23:06:00Z"/>
  <w16cex:commentExtensible w16cex:durableId="2A1875BD" w16cex:dateUtc="2026-05-19T23:06:00Z"/>
  <w16cex:commentExtensible w16cex:durableId="46158735" w16cex:dateUtc="2026-05-19T23:07:00Z"/>
  <w16cex:commentExtensible w16cex:durableId="63C7B74D" w16cex:dateUtc="2026-05-19T23:07:00Z"/>
  <w16cex:commentExtensible w16cex:durableId="78FFBCEE" w16cex:dateUtc="2026-05-19T23:13:00Z"/>
  <w16cex:commentExtensible w16cex:durableId="18577A67" w16cex:dateUtc="2026-05-19T23:13:00Z"/>
  <w16cex:commentExtensible w16cex:durableId="70729D2D" w16cex:dateUtc="2026-05-19T23: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6E7F57" w16cid:durableId="1DAD881D"/>
  <w16cid:commentId w16cid:paraId="4C495300" w16cid:durableId="6D41321B"/>
  <w16cid:commentId w16cid:paraId="7477F747" w16cid:durableId="6EFCA182"/>
  <w16cid:commentId w16cid:paraId="130A0E1E" w16cid:durableId="14589D24"/>
  <w16cid:commentId w16cid:paraId="39B9E3F1" w16cid:durableId="09E2621A"/>
  <w16cid:commentId w16cid:paraId="3D292C65" w16cid:durableId="079EC0D3"/>
  <w16cid:commentId w16cid:paraId="0882B68D" w16cid:durableId="61364610"/>
  <w16cid:commentId w16cid:paraId="64A0F84A" w16cid:durableId="6DA3BA5B"/>
  <w16cid:commentId w16cid:paraId="52BEDFE7" w16cid:durableId="57116122"/>
  <w16cid:commentId w16cid:paraId="2F2B73B5" w16cid:durableId="1856F843"/>
  <w16cid:commentId w16cid:paraId="2EE3550E" w16cid:durableId="71586F1C"/>
  <w16cid:commentId w16cid:paraId="465D0D25" w16cid:durableId="2ACA7415"/>
  <w16cid:commentId w16cid:paraId="75257A05" w16cid:durableId="2A1875BD"/>
  <w16cid:commentId w16cid:paraId="24D528E2" w16cid:durableId="46158735"/>
  <w16cid:commentId w16cid:paraId="131C9B4E" w16cid:durableId="63C7B74D"/>
  <w16cid:commentId w16cid:paraId="07729649" w16cid:durableId="78FFBCEE"/>
  <w16cid:commentId w16cid:paraId="080E503F" w16cid:durableId="18577A67"/>
  <w16cid:commentId w16cid:paraId="0165C3A6" w16cid:durableId="70729D2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921403" w14:textId="77777777" w:rsidR="005430DA" w:rsidRDefault="005430DA" w:rsidP="0020033F">
      <w:pPr>
        <w:spacing w:line="240" w:lineRule="auto"/>
      </w:pPr>
      <w:r>
        <w:separator/>
      </w:r>
    </w:p>
  </w:endnote>
  <w:endnote w:type="continuationSeparator" w:id="0">
    <w:p w14:paraId="499A36EC" w14:textId="77777777" w:rsidR="005430DA" w:rsidRDefault="005430DA" w:rsidP="002003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61D727" w14:textId="77777777" w:rsidR="005430DA" w:rsidRDefault="005430DA" w:rsidP="0020033F">
      <w:pPr>
        <w:spacing w:line="240" w:lineRule="auto"/>
      </w:pPr>
      <w:r>
        <w:separator/>
      </w:r>
    </w:p>
  </w:footnote>
  <w:footnote w:type="continuationSeparator" w:id="0">
    <w:p w14:paraId="66C469E0" w14:textId="77777777" w:rsidR="005430DA" w:rsidRDefault="005430DA" w:rsidP="0020033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68798" w14:textId="77777777" w:rsidR="0020033F" w:rsidRDefault="0020033F" w:rsidP="0020033F">
    <w:pPr>
      <w:pStyle w:val="Header"/>
      <w:ind w:left="-1701" w:firstLine="0"/>
    </w:pPr>
    <w:r>
      <w:rPr>
        <w:noProof/>
      </w:rPr>
      <w:drawing>
        <wp:anchor distT="0" distB="0" distL="0" distR="0" simplePos="0" relativeHeight="251659264" behindDoc="1" locked="0" layoutInCell="1" hidden="0" allowOverlap="1" wp14:anchorId="6AB8A53C" wp14:editId="423996F3">
          <wp:simplePos x="0" y="0"/>
          <wp:positionH relativeFrom="page">
            <wp:posOffset>-7620</wp:posOffset>
          </wp:positionH>
          <wp:positionV relativeFrom="page">
            <wp:posOffset>-7620</wp:posOffset>
          </wp:positionV>
          <wp:extent cx="7795260" cy="1040130"/>
          <wp:effectExtent l="0" t="0" r="0" b="7620"/>
          <wp:wrapNone/>
          <wp:docPr id="186928015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795260" cy="1040130"/>
                  </a:xfrm>
                  <a:prstGeom prst="rect">
                    <a:avLst/>
                  </a:prstGeom>
                  <a:ln/>
                </pic:spPr>
              </pic:pic>
            </a:graphicData>
          </a:graphic>
          <wp14:sizeRelH relativeFrom="margin">
            <wp14:pctWidth>0</wp14:pctWidth>
          </wp14:sizeRelH>
          <wp14:sizeRelV relativeFrom="margin">
            <wp14:pctHeight>0</wp14:pctHeight>
          </wp14:sizeRelV>
        </wp:anchor>
      </w:drawing>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dro Franck Minella">
    <w15:presenceInfo w15:providerId="Windows Live" w15:userId="9776ccee91859b0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44CC"/>
    <w:rsid w:val="000D50A4"/>
    <w:rsid w:val="000D72DB"/>
    <w:rsid w:val="000E1567"/>
    <w:rsid w:val="001065E9"/>
    <w:rsid w:val="00160963"/>
    <w:rsid w:val="001A6596"/>
    <w:rsid w:val="0020033F"/>
    <w:rsid w:val="002A26FC"/>
    <w:rsid w:val="003010CD"/>
    <w:rsid w:val="00321F2B"/>
    <w:rsid w:val="00326AA9"/>
    <w:rsid w:val="00366C9E"/>
    <w:rsid w:val="003B3C15"/>
    <w:rsid w:val="00475924"/>
    <w:rsid w:val="004D78E5"/>
    <w:rsid w:val="005047D9"/>
    <w:rsid w:val="005430DA"/>
    <w:rsid w:val="005C3052"/>
    <w:rsid w:val="005F0DB9"/>
    <w:rsid w:val="00670028"/>
    <w:rsid w:val="006C3F58"/>
    <w:rsid w:val="006F6FEC"/>
    <w:rsid w:val="007553E0"/>
    <w:rsid w:val="007A672C"/>
    <w:rsid w:val="00890875"/>
    <w:rsid w:val="008E44CC"/>
    <w:rsid w:val="009A1DBC"/>
    <w:rsid w:val="009B3914"/>
    <w:rsid w:val="009B4AD2"/>
    <w:rsid w:val="009C7F96"/>
    <w:rsid w:val="00A6469C"/>
    <w:rsid w:val="00AC58DA"/>
    <w:rsid w:val="00B528C1"/>
    <w:rsid w:val="00B85826"/>
    <w:rsid w:val="00B96ECC"/>
    <w:rsid w:val="00C2440A"/>
    <w:rsid w:val="00CA3657"/>
    <w:rsid w:val="00CC258E"/>
    <w:rsid w:val="00CC2A85"/>
    <w:rsid w:val="00CC799A"/>
    <w:rsid w:val="00CF0295"/>
    <w:rsid w:val="00D01934"/>
    <w:rsid w:val="00D810CD"/>
    <w:rsid w:val="00D85D12"/>
    <w:rsid w:val="00E106D6"/>
    <w:rsid w:val="00E148DD"/>
    <w:rsid w:val="00E75161"/>
    <w:rsid w:val="00F05B77"/>
    <w:rsid w:val="00F16E7B"/>
    <w:rsid w:val="00F605A1"/>
    <w:rsid w:val="00F761EB"/>
    <w:rsid w:val="00FB2C6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6660CD"/>
  <w15:chartTrackingRefBased/>
  <w15:docId w15:val="{33848849-FAAE-41A3-971D-81B1A2303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44CC"/>
    <w:pPr>
      <w:spacing w:after="0" w:line="360" w:lineRule="auto"/>
      <w:ind w:firstLine="709"/>
      <w:jc w:val="both"/>
    </w:pPr>
    <w:rPr>
      <w:rFonts w:ascii="Times New Roman" w:eastAsia="Times New Roman" w:hAnsi="Times New Roman"/>
      <w:kern w:val="0"/>
      <w:szCs w:val="22"/>
      <w:lang w:val="en-US"/>
      <w14:ligatures w14:val="none"/>
    </w:rPr>
  </w:style>
  <w:style w:type="paragraph" w:styleId="Heading1">
    <w:name w:val="heading 1"/>
    <w:basedOn w:val="Normal"/>
    <w:next w:val="Normal"/>
    <w:link w:val="Heading1Char"/>
    <w:autoRedefine/>
    <w:uiPriority w:val="9"/>
    <w:qFormat/>
    <w:rsid w:val="00160963"/>
    <w:pPr>
      <w:keepNext/>
      <w:keepLines/>
      <w:spacing w:before="360" w:after="80" w:line="278" w:lineRule="auto"/>
      <w:ind w:firstLine="0"/>
      <w:jc w:val="left"/>
      <w:outlineLvl w:val="0"/>
    </w:pPr>
    <w:rPr>
      <w:rFonts w:asciiTheme="majorHAnsi" w:eastAsiaTheme="majorEastAsia" w:hAnsiTheme="majorHAnsi" w:cstheme="majorBidi"/>
      <w:b/>
      <w:color w:val="000000" w:themeColor="text1"/>
      <w:kern w:val="2"/>
      <w:szCs w:val="40"/>
      <w:lang w:val="pt-BR"/>
      <w14:ligatures w14:val="standardContextual"/>
    </w:rPr>
  </w:style>
  <w:style w:type="paragraph" w:styleId="Heading2">
    <w:name w:val="heading 2"/>
    <w:basedOn w:val="Normal"/>
    <w:next w:val="Normal"/>
    <w:link w:val="Heading2Char"/>
    <w:autoRedefine/>
    <w:uiPriority w:val="9"/>
    <w:unhideWhenUsed/>
    <w:qFormat/>
    <w:rsid w:val="00160963"/>
    <w:pPr>
      <w:keepNext/>
      <w:keepLines/>
      <w:spacing w:before="160" w:after="80" w:line="278" w:lineRule="auto"/>
      <w:ind w:firstLine="0"/>
      <w:jc w:val="left"/>
      <w:outlineLvl w:val="1"/>
    </w:pPr>
    <w:rPr>
      <w:rFonts w:asciiTheme="majorHAnsi" w:eastAsiaTheme="majorEastAsia" w:hAnsiTheme="majorHAnsi" w:cstheme="majorBidi"/>
      <w:b/>
      <w:color w:val="000000" w:themeColor="text1"/>
      <w:kern w:val="2"/>
      <w:szCs w:val="32"/>
      <w:lang w:val="pt-BR"/>
      <w14:ligatures w14:val="standardContextual"/>
    </w:rPr>
  </w:style>
  <w:style w:type="paragraph" w:styleId="Heading3">
    <w:name w:val="heading 3"/>
    <w:basedOn w:val="Normal"/>
    <w:next w:val="Normal"/>
    <w:link w:val="Heading3Char"/>
    <w:autoRedefine/>
    <w:uiPriority w:val="9"/>
    <w:semiHidden/>
    <w:unhideWhenUsed/>
    <w:qFormat/>
    <w:rsid w:val="00160963"/>
    <w:pPr>
      <w:keepNext/>
      <w:keepLines/>
      <w:spacing w:before="160" w:after="80" w:line="278" w:lineRule="auto"/>
      <w:ind w:firstLine="0"/>
      <w:jc w:val="left"/>
      <w:outlineLvl w:val="2"/>
    </w:pPr>
    <w:rPr>
      <w:rFonts w:asciiTheme="minorHAnsi" w:eastAsiaTheme="majorEastAsia" w:hAnsiTheme="minorHAnsi" w:cstheme="majorBidi"/>
      <w:b/>
      <w:kern w:val="2"/>
      <w:szCs w:val="28"/>
      <w:lang w:val="pt-BR"/>
      <w14:ligatures w14:val="standardContextual"/>
    </w:rPr>
  </w:style>
  <w:style w:type="paragraph" w:styleId="Heading4">
    <w:name w:val="heading 4"/>
    <w:basedOn w:val="Normal"/>
    <w:next w:val="Normal"/>
    <w:link w:val="Heading4Char"/>
    <w:uiPriority w:val="9"/>
    <w:semiHidden/>
    <w:unhideWhenUsed/>
    <w:qFormat/>
    <w:rsid w:val="008E44CC"/>
    <w:pPr>
      <w:keepNext/>
      <w:keepLines/>
      <w:spacing w:before="80" w:after="40" w:line="278" w:lineRule="auto"/>
      <w:ind w:firstLine="0"/>
      <w:jc w:val="left"/>
      <w:outlineLvl w:val="3"/>
    </w:pPr>
    <w:rPr>
      <w:rFonts w:asciiTheme="minorHAnsi" w:eastAsiaTheme="majorEastAsia" w:hAnsiTheme="minorHAnsi" w:cstheme="majorBidi"/>
      <w:i/>
      <w:iCs/>
      <w:color w:val="0F4761" w:themeColor="accent1" w:themeShade="BF"/>
      <w:kern w:val="2"/>
      <w:szCs w:val="24"/>
      <w:lang w:val="pt-BR"/>
      <w14:ligatures w14:val="standardContextual"/>
    </w:rPr>
  </w:style>
  <w:style w:type="paragraph" w:styleId="Heading5">
    <w:name w:val="heading 5"/>
    <w:basedOn w:val="Normal"/>
    <w:next w:val="Normal"/>
    <w:link w:val="Heading5Char"/>
    <w:uiPriority w:val="9"/>
    <w:semiHidden/>
    <w:unhideWhenUsed/>
    <w:qFormat/>
    <w:rsid w:val="008E44CC"/>
    <w:pPr>
      <w:keepNext/>
      <w:keepLines/>
      <w:spacing w:before="80" w:after="40" w:line="278" w:lineRule="auto"/>
      <w:ind w:firstLine="0"/>
      <w:jc w:val="left"/>
      <w:outlineLvl w:val="4"/>
    </w:pPr>
    <w:rPr>
      <w:rFonts w:asciiTheme="minorHAnsi" w:eastAsiaTheme="majorEastAsia" w:hAnsiTheme="minorHAnsi" w:cstheme="majorBidi"/>
      <w:color w:val="0F4761" w:themeColor="accent1" w:themeShade="BF"/>
      <w:kern w:val="2"/>
      <w:szCs w:val="24"/>
      <w:lang w:val="pt-BR"/>
      <w14:ligatures w14:val="standardContextual"/>
    </w:rPr>
  </w:style>
  <w:style w:type="paragraph" w:styleId="Heading6">
    <w:name w:val="heading 6"/>
    <w:basedOn w:val="Normal"/>
    <w:next w:val="Normal"/>
    <w:link w:val="Heading6Char"/>
    <w:uiPriority w:val="9"/>
    <w:semiHidden/>
    <w:unhideWhenUsed/>
    <w:qFormat/>
    <w:rsid w:val="008E44CC"/>
    <w:pPr>
      <w:keepNext/>
      <w:keepLines/>
      <w:spacing w:before="40" w:line="278" w:lineRule="auto"/>
      <w:ind w:firstLine="0"/>
      <w:jc w:val="left"/>
      <w:outlineLvl w:val="5"/>
    </w:pPr>
    <w:rPr>
      <w:rFonts w:asciiTheme="minorHAnsi" w:eastAsiaTheme="majorEastAsia" w:hAnsiTheme="minorHAnsi" w:cstheme="majorBidi"/>
      <w:i/>
      <w:iCs/>
      <w:color w:val="595959" w:themeColor="text1" w:themeTint="A6"/>
      <w:kern w:val="2"/>
      <w:szCs w:val="24"/>
      <w:lang w:val="pt-BR"/>
      <w14:ligatures w14:val="standardContextual"/>
    </w:rPr>
  </w:style>
  <w:style w:type="paragraph" w:styleId="Heading7">
    <w:name w:val="heading 7"/>
    <w:basedOn w:val="Normal"/>
    <w:next w:val="Normal"/>
    <w:link w:val="Heading7Char"/>
    <w:uiPriority w:val="9"/>
    <w:semiHidden/>
    <w:unhideWhenUsed/>
    <w:qFormat/>
    <w:rsid w:val="008E44CC"/>
    <w:pPr>
      <w:keepNext/>
      <w:keepLines/>
      <w:spacing w:before="40" w:line="278" w:lineRule="auto"/>
      <w:ind w:firstLine="0"/>
      <w:jc w:val="left"/>
      <w:outlineLvl w:val="6"/>
    </w:pPr>
    <w:rPr>
      <w:rFonts w:asciiTheme="minorHAnsi" w:eastAsiaTheme="majorEastAsia" w:hAnsiTheme="minorHAnsi" w:cstheme="majorBidi"/>
      <w:color w:val="595959" w:themeColor="text1" w:themeTint="A6"/>
      <w:kern w:val="2"/>
      <w:szCs w:val="24"/>
      <w:lang w:val="pt-BR"/>
      <w14:ligatures w14:val="standardContextual"/>
    </w:rPr>
  </w:style>
  <w:style w:type="paragraph" w:styleId="Heading8">
    <w:name w:val="heading 8"/>
    <w:basedOn w:val="Normal"/>
    <w:next w:val="Normal"/>
    <w:link w:val="Heading8Char"/>
    <w:uiPriority w:val="9"/>
    <w:semiHidden/>
    <w:unhideWhenUsed/>
    <w:qFormat/>
    <w:rsid w:val="008E44CC"/>
    <w:pPr>
      <w:keepNext/>
      <w:keepLines/>
      <w:spacing w:line="278" w:lineRule="auto"/>
      <w:ind w:firstLine="0"/>
      <w:jc w:val="left"/>
      <w:outlineLvl w:val="7"/>
    </w:pPr>
    <w:rPr>
      <w:rFonts w:asciiTheme="minorHAnsi" w:eastAsiaTheme="majorEastAsia" w:hAnsiTheme="minorHAnsi" w:cstheme="majorBidi"/>
      <w:i/>
      <w:iCs/>
      <w:color w:val="272727" w:themeColor="text1" w:themeTint="D8"/>
      <w:kern w:val="2"/>
      <w:szCs w:val="24"/>
      <w:lang w:val="pt-BR"/>
      <w14:ligatures w14:val="standardContextual"/>
    </w:rPr>
  </w:style>
  <w:style w:type="paragraph" w:styleId="Heading9">
    <w:name w:val="heading 9"/>
    <w:basedOn w:val="Normal"/>
    <w:next w:val="Normal"/>
    <w:link w:val="Heading9Char"/>
    <w:uiPriority w:val="9"/>
    <w:semiHidden/>
    <w:unhideWhenUsed/>
    <w:qFormat/>
    <w:rsid w:val="008E44CC"/>
    <w:pPr>
      <w:keepNext/>
      <w:keepLines/>
      <w:spacing w:line="278" w:lineRule="auto"/>
      <w:ind w:firstLine="0"/>
      <w:jc w:val="left"/>
      <w:outlineLvl w:val="8"/>
    </w:pPr>
    <w:rPr>
      <w:rFonts w:asciiTheme="minorHAnsi" w:eastAsiaTheme="majorEastAsia" w:hAnsiTheme="minorHAnsi" w:cstheme="majorBidi"/>
      <w:color w:val="272727" w:themeColor="text1" w:themeTint="D8"/>
      <w:kern w:val="2"/>
      <w:szCs w:val="24"/>
      <w:lang w:val="pt-BR"/>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60963"/>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semiHidden/>
    <w:rsid w:val="00160963"/>
    <w:rPr>
      <w:rFonts w:eastAsiaTheme="majorEastAsia" w:cstheme="majorBidi"/>
      <w:sz w:val="28"/>
      <w:szCs w:val="28"/>
    </w:rPr>
  </w:style>
  <w:style w:type="character" w:customStyle="1" w:styleId="Heading1Char">
    <w:name w:val="Heading 1 Char"/>
    <w:basedOn w:val="DefaultParagraphFont"/>
    <w:link w:val="Heading1"/>
    <w:uiPriority w:val="9"/>
    <w:rsid w:val="00160963"/>
    <w:rPr>
      <w:rFonts w:asciiTheme="majorHAnsi" w:eastAsiaTheme="majorEastAsia" w:hAnsiTheme="majorHAnsi" w:cstheme="majorBidi"/>
      <w:color w:val="000000" w:themeColor="text1"/>
      <w:sz w:val="40"/>
      <w:szCs w:val="40"/>
    </w:rPr>
  </w:style>
  <w:style w:type="character" w:customStyle="1" w:styleId="Heading4Char">
    <w:name w:val="Heading 4 Char"/>
    <w:basedOn w:val="DefaultParagraphFont"/>
    <w:link w:val="Heading4"/>
    <w:uiPriority w:val="9"/>
    <w:semiHidden/>
    <w:rsid w:val="008E44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44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44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44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44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44CC"/>
    <w:rPr>
      <w:rFonts w:eastAsiaTheme="majorEastAsia" w:cstheme="majorBidi"/>
      <w:color w:val="272727" w:themeColor="text1" w:themeTint="D8"/>
    </w:rPr>
  </w:style>
  <w:style w:type="paragraph" w:styleId="Title">
    <w:name w:val="Title"/>
    <w:basedOn w:val="Normal"/>
    <w:next w:val="Normal"/>
    <w:link w:val="TitleChar"/>
    <w:uiPriority w:val="10"/>
    <w:qFormat/>
    <w:rsid w:val="008E44CC"/>
    <w:pPr>
      <w:spacing w:after="80" w:line="240" w:lineRule="auto"/>
      <w:ind w:firstLine="0"/>
      <w:contextualSpacing/>
      <w:jc w:val="left"/>
    </w:pPr>
    <w:rPr>
      <w:rFonts w:asciiTheme="majorHAnsi" w:eastAsiaTheme="majorEastAsia" w:hAnsiTheme="majorHAnsi" w:cstheme="majorBidi"/>
      <w:spacing w:val="-10"/>
      <w:kern w:val="28"/>
      <w:sz w:val="56"/>
      <w:szCs w:val="56"/>
      <w:lang w:val="pt-BR"/>
      <w14:ligatures w14:val="standardContextual"/>
    </w:rPr>
  </w:style>
  <w:style w:type="character" w:customStyle="1" w:styleId="TitleChar">
    <w:name w:val="Title Char"/>
    <w:basedOn w:val="DefaultParagraphFont"/>
    <w:link w:val="Title"/>
    <w:uiPriority w:val="10"/>
    <w:rsid w:val="008E44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44CC"/>
    <w:pPr>
      <w:numPr>
        <w:ilvl w:val="1"/>
      </w:numPr>
      <w:spacing w:after="160" w:line="278" w:lineRule="auto"/>
      <w:ind w:firstLine="709"/>
      <w:jc w:val="left"/>
    </w:pPr>
    <w:rPr>
      <w:rFonts w:asciiTheme="minorHAnsi" w:eastAsiaTheme="majorEastAsia" w:hAnsiTheme="minorHAnsi" w:cstheme="majorBidi"/>
      <w:color w:val="595959" w:themeColor="text1" w:themeTint="A6"/>
      <w:spacing w:val="15"/>
      <w:kern w:val="2"/>
      <w:sz w:val="28"/>
      <w:szCs w:val="28"/>
      <w:lang w:val="pt-BR"/>
      <w14:ligatures w14:val="standardContextual"/>
    </w:rPr>
  </w:style>
  <w:style w:type="character" w:customStyle="1" w:styleId="SubtitleChar">
    <w:name w:val="Subtitle Char"/>
    <w:basedOn w:val="DefaultParagraphFont"/>
    <w:link w:val="Subtitle"/>
    <w:uiPriority w:val="11"/>
    <w:rsid w:val="008E44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44CC"/>
    <w:pPr>
      <w:spacing w:before="160" w:after="160" w:line="278" w:lineRule="auto"/>
      <w:ind w:firstLine="0"/>
      <w:jc w:val="center"/>
    </w:pPr>
    <w:rPr>
      <w:rFonts w:asciiTheme="minorHAnsi" w:eastAsiaTheme="minorHAnsi" w:hAnsiTheme="minorHAnsi"/>
      <w:i/>
      <w:iCs/>
      <w:color w:val="404040" w:themeColor="text1" w:themeTint="BF"/>
      <w:kern w:val="2"/>
      <w:szCs w:val="24"/>
      <w:lang w:val="pt-BR"/>
      <w14:ligatures w14:val="standardContextual"/>
    </w:rPr>
  </w:style>
  <w:style w:type="character" w:customStyle="1" w:styleId="QuoteChar">
    <w:name w:val="Quote Char"/>
    <w:basedOn w:val="DefaultParagraphFont"/>
    <w:link w:val="Quote"/>
    <w:uiPriority w:val="29"/>
    <w:rsid w:val="008E44CC"/>
    <w:rPr>
      <w:i/>
      <w:iCs/>
      <w:color w:val="404040" w:themeColor="text1" w:themeTint="BF"/>
    </w:rPr>
  </w:style>
  <w:style w:type="paragraph" w:styleId="ListParagraph">
    <w:name w:val="List Paragraph"/>
    <w:basedOn w:val="Normal"/>
    <w:uiPriority w:val="34"/>
    <w:qFormat/>
    <w:rsid w:val="008E44CC"/>
    <w:pPr>
      <w:spacing w:after="160" w:line="278" w:lineRule="auto"/>
      <w:ind w:left="720" w:firstLine="0"/>
      <w:contextualSpacing/>
      <w:jc w:val="left"/>
    </w:pPr>
    <w:rPr>
      <w:rFonts w:asciiTheme="minorHAnsi" w:eastAsiaTheme="minorHAnsi" w:hAnsiTheme="minorHAnsi"/>
      <w:kern w:val="2"/>
      <w:szCs w:val="24"/>
      <w:lang w:val="pt-BR"/>
      <w14:ligatures w14:val="standardContextual"/>
    </w:rPr>
  </w:style>
  <w:style w:type="character" w:styleId="IntenseEmphasis">
    <w:name w:val="Intense Emphasis"/>
    <w:basedOn w:val="DefaultParagraphFont"/>
    <w:uiPriority w:val="21"/>
    <w:qFormat/>
    <w:rsid w:val="008E44CC"/>
    <w:rPr>
      <w:i/>
      <w:iCs/>
      <w:color w:val="0F4761" w:themeColor="accent1" w:themeShade="BF"/>
    </w:rPr>
  </w:style>
  <w:style w:type="paragraph" w:styleId="IntenseQuote">
    <w:name w:val="Intense Quote"/>
    <w:basedOn w:val="Normal"/>
    <w:next w:val="Normal"/>
    <w:link w:val="IntenseQuoteChar"/>
    <w:uiPriority w:val="30"/>
    <w:qFormat/>
    <w:rsid w:val="008E44CC"/>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i/>
      <w:iCs/>
      <w:color w:val="0F4761" w:themeColor="accent1" w:themeShade="BF"/>
      <w:kern w:val="2"/>
      <w:szCs w:val="24"/>
      <w:lang w:val="pt-BR"/>
      <w14:ligatures w14:val="standardContextual"/>
    </w:rPr>
  </w:style>
  <w:style w:type="character" w:customStyle="1" w:styleId="IntenseQuoteChar">
    <w:name w:val="Intense Quote Char"/>
    <w:basedOn w:val="DefaultParagraphFont"/>
    <w:link w:val="IntenseQuote"/>
    <w:uiPriority w:val="30"/>
    <w:rsid w:val="008E44CC"/>
    <w:rPr>
      <w:i/>
      <w:iCs/>
      <w:color w:val="0F4761" w:themeColor="accent1" w:themeShade="BF"/>
    </w:rPr>
  </w:style>
  <w:style w:type="character" w:styleId="IntenseReference">
    <w:name w:val="Intense Reference"/>
    <w:basedOn w:val="DefaultParagraphFont"/>
    <w:uiPriority w:val="32"/>
    <w:qFormat/>
    <w:rsid w:val="008E44CC"/>
    <w:rPr>
      <w:b/>
      <w:bCs/>
      <w:smallCaps/>
      <w:color w:val="0F4761" w:themeColor="accent1" w:themeShade="BF"/>
      <w:spacing w:val="5"/>
    </w:rPr>
  </w:style>
  <w:style w:type="table" w:styleId="TableGrid">
    <w:name w:val="Table Grid"/>
    <w:basedOn w:val="TableNormal"/>
    <w:uiPriority w:val="59"/>
    <w:rsid w:val="008E44CC"/>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uiPriority w:val="99"/>
    <w:semiHidden/>
    <w:unhideWhenUsed/>
    <w:rsid w:val="0020033F"/>
    <w:rPr>
      <w:sz w:val="16"/>
      <w:szCs w:val="16"/>
    </w:rPr>
  </w:style>
  <w:style w:type="paragraph" w:styleId="CommentText">
    <w:name w:val="annotation text"/>
    <w:basedOn w:val="Normal"/>
    <w:link w:val="CommentTextChar"/>
    <w:uiPriority w:val="99"/>
    <w:unhideWhenUsed/>
    <w:rsid w:val="0020033F"/>
    <w:pPr>
      <w:spacing w:after="160" w:line="240" w:lineRule="auto"/>
      <w:ind w:firstLine="0"/>
      <w:jc w:val="left"/>
    </w:pPr>
    <w:rPr>
      <w:rFonts w:ascii="Calibri" w:eastAsia="Calibri" w:hAnsi="Calibri" w:cs="Times New Roman"/>
      <w:sz w:val="20"/>
      <w:szCs w:val="20"/>
      <w:lang w:val="pt-BR"/>
    </w:rPr>
  </w:style>
  <w:style w:type="character" w:customStyle="1" w:styleId="CommentTextChar">
    <w:name w:val="Comment Text Char"/>
    <w:basedOn w:val="DefaultParagraphFont"/>
    <w:link w:val="CommentText"/>
    <w:uiPriority w:val="99"/>
    <w:rsid w:val="0020033F"/>
    <w:rPr>
      <w:rFonts w:ascii="Calibri" w:eastAsia="Calibri" w:hAnsi="Calibri" w:cs="Times New Roman"/>
      <w:kern w:val="0"/>
      <w:sz w:val="20"/>
      <w:szCs w:val="20"/>
      <w14:ligatures w14:val="none"/>
    </w:rPr>
  </w:style>
  <w:style w:type="paragraph" w:styleId="Header">
    <w:name w:val="header"/>
    <w:basedOn w:val="Normal"/>
    <w:link w:val="HeaderChar"/>
    <w:uiPriority w:val="99"/>
    <w:unhideWhenUsed/>
    <w:rsid w:val="0020033F"/>
    <w:pPr>
      <w:tabs>
        <w:tab w:val="center" w:pos="4252"/>
        <w:tab w:val="right" w:pos="8504"/>
      </w:tabs>
      <w:spacing w:line="240" w:lineRule="auto"/>
    </w:pPr>
  </w:style>
  <w:style w:type="character" w:customStyle="1" w:styleId="HeaderChar">
    <w:name w:val="Header Char"/>
    <w:basedOn w:val="DefaultParagraphFont"/>
    <w:link w:val="Header"/>
    <w:uiPriority w:val="99"/>
    <w:rsid w:val="0020033F"/>
    <w:rPr>
      <w:rFonts w:ascii="Times New Roman" w:eastAsia="Times New Roman" w:hAnsi="Times New Roman"/>
      <w:kern w:val="0"/>
      <w:szCs w:val="22"/>
      <w:lang w:val="en-US"/>
      <w14:ligatures w14:val="none"/>
    </w:rPr>
  </w:style>
  <w:style w:type="paragraph" w:styleId="Footer">
    <w:name w:val="footer"/>
    <w:basedOn w:val="Normal"/>
    <w:link w:val="FooterChar"/>
    <w:uiPriority w:val="99"/>
    <w:unhideWhenUsed/>
    <w:rsid w:val="0020033F"/>
    <w:pPr>
      <w:tabs>
        <w:tab w:val="center" w:pos="4252"/>
        <w:tab w:val="right" w:pos="8504"/>
      </w:tabs>
      <w:spacing w:line="240" w:lineRule="auto"/>
    </w:pPr>
  </w:style>
  <w:style w:type="character" w:customStyle="1" w:styleId="FooterChar">
    <w:name w:val="Footer Char"/>
    <w:basedOn w:val="DefaultParagraphFont"/>
    <w:link w:val="Footer"/>
    <w:uiPriority w:val="99"/>
    <w:rsid w:val="0020033F"/>
    <w:rPr>
      <w:rFonts w:ascii="Times New Roman" w:eastAsia="Times New Roman" w:hAnsi="Times New Roman"/>
      <w:kern w:val="0"/>
      <w:szCs w:val="22"/>
      <w:lang w:val="en-US"/>
      <w14:ligatures w14:val="none"/>
    </w:rPr>
  </w:style>
  <w:style w:type="paragraph" w:styleId="TOCHeading">
    <w:name w:val="TOC Heading"/>
    <w:basedOn w:val="Heading1"/>
    <w:next w:val="Normal"/>
    <w:uiPriority w:val="39"/>
    <w:unhideWhenUsed/>
    <w:qFormat/>
    <w:rsid w:val="00D810CD"/>
    <w:pPr>
      <w:spacing w:before="240" w:after="0" w:line="259" w:lineRule="auto"/>
      <w:outlineLvl w:val="9"/>
    </w:pPr>
    <w:rPr>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D810CD"/>
    <w:pPr>
      <w:spacing w:after="100"/>
    </w:pPr>
  </w:style>
  <w:style w:type="paragraph" w:styleId="TOC2">
    <w:name w:val="toc 2"/>
    <w:basedOn w:val="Normal"/>
    <w:next w:val="Normal"/>
    <w:autoRedefine/>
    <w:uiPriority w:val="39"/>
    <w:unhideWhenUsed/>
    <w:rsid w:val="00D810CD"/>
    <w:pPr>
      <w:spacing w:after="100"/>
      <w:ind w:left="240"/>
    </w:pPr>
  </w:style>
  <w:style w:type="paragraph" w:styleId="TOC3">
    <w:name w:val="toc 3"/>
    <w:basedOn w:val="Normal"/>
    <w:next w:val="Normal"/>
    <w:autoRedefine/>
    <w:uiPriority w:val="39"/>
    <w:unhideWhenUsed/>
    <w:rsid w:val="00D810CD"/>
    <w:pPr>
      <w:spacing w:after="100"/>
      <w:ind w:left="480"/>
    </w:pPr>
  </w:style>
  <w:style w:type="character" w:styleId="Hyperlink">
    <w:name w:val="Hyperlink"/>
    <w:basedOn w:val="DefaultParagraphFont"/>
    <w:uiPriority w:val="99"/>
    <w:unhideWhenUsed/>
    <w:rsid w:val="00D810CD"/>
    <w:rPr>
      <w:color w:val="467886" w:themeColor="hyperlink"/>
      <w:u w:val="single"/>
    </w:rPr>
  </w:style>
  <w:style w:type="character" w:styleId="PlaceholderText">
    <w:name w:val="Placeholder Text"/>
    <w:basedOn w:val="DefaultParagraphFont"/>
    <w:uiPriority w:val="99"/>
    <w:semiHidden/>
    <w:rsid w:val="00F05B77"/>
    <w:rPr>
      <w:color w:val="666666"/>
    </w:rPr>
  </w:style>
  <w:style w:type="paragraph" w:styleId="CommentSubject">
    <w:name w:val="annotation subject"/>
    <w:basedOn w:val="CommentText"/>
    <w:next w:val="CommentText"/>
    <w:link w:val="CommentSubjectChar"/>
    <w:uiPriority w:val="99"/>
    <w:semiHidden/>
    <w:unhideWhenUsed/>
    <w:rsid w:val="00FB2C60"/>
    <w:pPr>
      <w:spacing w:after="0"/>
      <w:ind w:firstLine="709"/>
      <w:jc w:val="both"/>
    </w:pPr>
    <w:rPr>
      <w:rFonts w:ascii="Times New Roman" w:eastAsia="Times New Roman" w:hAnsi="Times New Roman" w:cstheme="minorBidi"/>
      <w:b/>
      <w:bCs/>
      <w:lang w:val="en-US"/>
    </w:rPr>
  </w:style>
  <w:style w:type="character" w:customStyle="1" w:styleId="CommentSubjectChar">
    <w:name w:val="Comment Subject Char"/>
    <w:basedOn w:val="CommentTextChar"/>
    <w:link w:val="CommentSubject"/>
    <w:uiPriority w:val="99"/>
    <w:semiHidden/>
    <w:rsid w:val="00FB2C60"/>
    <w:rPr>
      <w:rFonts w:ascii="Times New Roman" w:eastAsia="Times New Roman" w:hAnsi="Times New Roman" w:cs="Times New Roman"/>
      <w:b/>
      <w:bCs/>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microsoft.com/office/2011/relationships/people" Target="people.xml"/><Relationship Id="rId10" Type="http://schemas.microsoft.com/office/2018/08/relationships/commentsExtensible" Target="commentsExtensible.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microsoft.com/office/2011/relationships/commentsExtended" Target="commentsExtended.xml"/><Relationship Id="rId3" Type="http://schemas.openxmlformats.org/officeDocument/2006/relationships/settings" Target="settings.xml"/><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6C9A66-2411-4752-9C59-CCCF8E2097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70</Pages>
  <Words>18194</Words>
  <Characters>100073</Characters>
  <Application>Microsoft Office Word</Application>
  <DocSecurity>0</DocSecurity>
  <Lines>2175</Lines>
  <Paragraphs>1219</Paragraphs>
  <ScaleCrop>false</ScaleCrop>
  <Company/>
  <LinksUpToDate>false</LinksUpToDate>
  <CharactersWithSpaces>117048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Efeitos dos choques do preço do petróleo sobre a inflação no Brasil</dc:title>
  <dc:subject/>
  <dc:creator>Pedro Franck Minella</dc:creator>
  <cp:keywords/>
  <dc:description/>
  <cp:lastModifiedBy>Pedro Franck Minella</cp:lastModifiedBy>
  <cp:revision>20</cp:revision>
  <dcterms:created xsi:type="dcterms:W3CDTF">2026-05-15T03:06:00Z</dcterms:created>
  <dcterms:modified xsi:type="dcterms:W3CDTF">2026-05-19T23:32:00Z</dcterms:modified>
</cp:coreProperties>
</file>