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5BDE" w14:textId="2A4D3C47" w:rsidR="00D64459" w:rsidRPr="00AD093D" w:rsidRDefault="00000000" w:rsidP="00AD093D">
      <w:pPr>
        <w:spacing w:after="227"/>
        <w:jc w:val="center"/>
      </w:pPr>
      <w:r>
        <w:rPr>
          <w:noProof/>
        </w:rPr>
        <w:drawing>
          <wp:inline distT="0" distB="0" distL="0" distR="0" wp14:anchorId="700E3C98" wp14:editId="6D377406">
            <wp:extent cx="1620000" cy="5816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bmec_capa.png"/>
                    <pic:cNvPicPr/>
                  </pic:nvPicPr>
                  <pic:blipFill>
                    <a:blip r:embed="rId8"/>
                    <a:stretch>
                      <a:fillRect/>
                    </a:stretch>
                  </pic:blipFill>
                  <pic:spPr>
                    <a:xfrm>
                      <a:off x="0" y="0"/>
                      <a:ext cx="1620000" cy="581639"/>
                    </a:xfrm>
                    <a:prstGeom prst="rect">
                      <a:avLst/>
                    </a:prstGeom>
                  </pic:spPr>
                </pic:pic>
              </a:graphicData>
            </a:graphic>
          </wp:inline>
        </w:drawing>
      </w:r>
    </w:p>
    <w:p w14:paraId="2D063DE6" w14:textId="77777777" w:rsidR="00D64459" w:rsidRPr="00493E39" w:rsidRDefault="008B2120">
      <w:pPr>
        <w:jc w:val="center"/>
        <w:rPr>
          <w:rFonts w:cs="Arial"/>
          <w:lang w:val="pt-BR"/>
        </w:rPr>
      </w:pPr>
      <w:r w:rsidRPr="00493E39">
        <w:rPr>
          <w:rFonts w:cs="Arial"/>
          <w:b/>
          <w:lang w:val="pt-BR"/>
        </w:rPr>
        <w:t>CURSO DE CIÊNCIAS ECONÔMICAS</w:t>
      </w:r>
    </w:p>
    <w:p w14:paraId="37256373" w14:textId="77777777" w:rsidR="00D64459" w:rsidRPr="00493E39" w:rsidRDefault="00D64459">
      <w:pPr>
        <w:jc w:val="center"/>
        <w:rPr>
          <w:rFonts w:cs="Arial"/>
          <w:lang w:val="pt-BR"/>
        </w:rPr>
      </w:pPr>
    </w:p>
    <w:p w14:paraId="3064FAA3" w14:textId="77777777" w:rsidR="00D64459" w:rsidRPr="00493E39" w:rsidRDefault="00D64459">
      <w:pPr>
        <w:jc w:val="center"/>
        <w:rPr>
          <w:rFonts w:cs="Arial"/>
          <w:lang w:val="pt-BR"/>
        </w:rPr>
      </w:pPr>
    </w:p>
    <w:p w14:paraId="2CEFFA1C" w14:textId="77777777" w:rsidR="00D64459" w:rsidRPr="00493E39" w:rsidRDefault="00D64459">
      <w:pPr>
        <w:jc w:val="center"/>
        <w:rPr>
          <w:rFonts w:cs="Arial"/>
          <w:lang w:val="pt-BR"/>
        </w:rPr>
      </w:pPr>
    </w:p>
    <w:p w14:paraId="0D5AD52C" w14:textId="77777777" w:rsidR="00D64459" w:rsidRPr="00493E39" w:rsidRDefault="00D64459">
      <w:pPr>
        <w:jc w:val="center"/>
        <w:rPr>
          <w:rFonts w:cs="Arial"/>
          <w:lang w:val="pt-BR"/>
        </w:rPr>
      </w:pPr>
    </w:p>
    <w:p w14:paraId="70B0BA05" w14:textId="77777777" w:rsidR="00D64459" w:rsidRPr="00493E39" w:rsidRDefault="008B2120">
      <w:pPr>
        <w:jc w:val="center"/>
        <w:rPr>
          <w:rFonts w:cs="Arial"/>
          <w:lang w:val="pt-BR"/>
        </w:rPr>
      </w:pPr>
      <w:r w:rsidRPr="00493E39">
        <w:rPr>
          <w:rFonts w:cs="Arial"/>
          <w:b/>
          <w:lang w:val="pt-BR"/>
        </w:rPr>
        <w:t>PEDRO FRANCK MINELLA</w:t>
      </w:r>
    </w:p>
    <w:p w14:paraId="46DD4522" w14:textId="77777777" w:rsidR="00D64459" w:rsidRPr="00493E39" w:rsidRDefault="00D64459">
      <w:pPr>
        <w:jc w:val="center"/>
        <w:rPr>
          <w:rFonts w:cs="Arial"/>
          <w:lang w:val="pt-BR"/>
        </w:rPr>
      </w:pPr>
    </w:p>
    <w:p w14:paraId="31B1F1CF" w14:textId="77777777" w:rsidR="00D64459" w:rsidRPr="00493E39" w:rsidRDefault="00D64459">
      <w:pPr>
        <w:jc w:val="center"/>
        <w:rPr>
          <w:rFonts w:cs="Arial"/>
          <w:lang w:val="pt-BR"/>
        </w:rPr>
      </w:pPr>
    </w:p>
    <w:p w14:paraId="12965E7B" w14:textId="77777777" w:rsidR="00D64459" w:rsidRPr="00493E39" w:rsidRDefault="00D64459">
      <w:pPr>
        <w:jc w:val="center"/>
        <w:rPr>
          <w:rFonts w:cs="Arial"/>
          <w:lang w:val="pt-BR"/>
        </w:rPr>
      </w:pPr>
    </w:p>
    <w:p w14:paraId="2DB344B7" w14:textId="77777777" w:rsidR="00D64459" w:rsidRPr="00493E39" w:rsidRDefault="00D64459">
      <w:pPr>
        <w:jc w:val="center"/>
        <w:rPr>
          <w:rFonts w:cs="Arial"/>
          <w:lang w:val="pt-BR"/>
        </w:rPr>
      </w:pPr>
    </w:p>
    <w:p w14:paraId="515FE484" w14:textId="77777777" w:rsidR="00D64459" w:rsidRPr="00493E39" w:rsidRDefault="00D64459">
      <w:pPr>
        <w:jc w:val="center"/>
        <w:rPr>
          <w:rFonts w:cs="Arial"/>
          <w:lang w:val="pt-BR"/>
        </w:rPr>
      </w:pPr>
    </w:p>
    <w:p w14:paraId="66CE7318" w14:textId="77777777" w:rsidR="00D64459" w:rsidRPr="00493E39" w:rsidRDefault="00D64459">
      <w:pPr>
        <w:jc w:val="center"/>
        <w:rPr>
          <w:rFonts w:cs="Arial"/>
          <w:lang w:val="pt-BR"/>
        </w:rPr>
      </w:pPr>
    </w:p>
    <w:p w14:paraId="19224314" w14:textId="77777777" w:rsidR="00D64459" w:rsidRPr="00493E39" w:rsidRDefault="008B2120">
      <w:pPr>
        <w:jc w:val="center"/>
        <w:rPr>
          <w:rFonts w:cs="Arial"/>
          <w:lang w:val="pt-BR"/>
        </w:rPr>
      </w:pPr>
      <w:r w:rsidRPr="00493E39">
        <w:rPr>
          <w:rFonts w:cs="Arial"/>
          <w:b/>
          <w:lang w:val="pt-BR"/>
        </w:rPr>
        <w:t>O REPASSE DO PREÇO INTERNACIONAL DO PETRÓLEO À INFLAÇÃO BRASILEIRA: O PAPEL DA REGRA DE FORMAÇÃO DE PREÇOS DE COMBUSTÍVEIS</w:t>
      </w:r>
    </w:p>
    <w:p w14:paraId="52740432" w14:textId="77777777" w:rsidR="00D64459" w:rsidRPr="00493E39" w:rsidRDefault="00D64459">
      <w:pPr>
        <w:jc w:val="center"/>
        <w:rPr>
          <w:rFonts w:cs="Arial"/>
          <w:lang w:val="pt-BR"/>
        </w:rPr>
      </w:pPr>
    </w:p>
    <w:p w14:paraId="47D1D944" w14:textId="77777777" w:rsidR="00D64459" w:rsidRPr="00493E39" w:rsidRDefault="00D64459">
      <w:pPr>
        <w:jc w:val="center"/>
        <w:rPr>
          <w:rFonts w:cs="Arial"/>
          <w:lang w:val="pt-BR"/>
        </w:rPr>
      </w:pPr>
    </w:p>
    <w:p w14:paraId="5888DD25" w14:textId="77777777" w:rsidR="00D64459" w:rsidRPr="00493E39" w:rsidRDefault="00D64459">
      <w:pPr>
        <w:jc w:val="center"/>
        <w:rPr>
          <w:rFonts w:cs="Arial"/>
          <w:lang w:val="pt-BR"/>
        </w:rPr>
      </w:pPr>
    </w:p>
    <w:p w14:paraId="1598AD4F" w14:textId="77777777" w:rsidR="00D64459" w:rsidRPr="00493E39" w:rsidRDefault="00D64459">
      <w:pPr>
        <w:jc w:val="center"/>
        <w:rPr>
          <w:rFonts w:cs="Arial"/>
          <w:lang w:val="pt-BR"/>
        </w:rPr>
      </w:pPr>
    </w:p>
    <w:p w14:paraId="1D3D7383" w14:textId="77777777" w:rsidR="00D64459" w:rsidRPr="00493E39" w:rsidRDefault="00D64459">
      <w:pPr>
        <w:jc w:val="center"/>
        <w:rPr>
          <w:rFonts w:cs="Arial"/>
          <w:lang w:val="pt-BR"/>
        </w:rPr>
      </w:pPr>
    </w:p>
    <w:p w14:paraId="59852AD3" w14:textId="77777777" w:rsidR="00D64459" w:rsidRPr="00493E39" w:rsidRDefault="00D64459">
      <w:pPr>
        <w:jc w:val="center"/>
        <w:rPr>
          <w:rFonts w:cs="Arial"/>
          <w:lang w:val="pt-BR"/>
        </w:rPr>
      </w:pPr>
    </w:p>
    <w:p w14:paraId="64C8D05E" w14:textId="77777777" w:rsidR="00D64459" w:rsidRPr="00493E39" w:rsidRDefault="00D64459">
      <w:pPr>
        <w:jc w:val="center"/>
        <w:rPr>
          <w:rFonts w:cs="Arial"/>
          <w:lang w:val="pt-BR"/>
        </w:rPr>
      </w:pPr>
    </w:p>
    <w:p w14:paraId="06EE9FB0" w14:textId="77777777" w:rsidR="00D64459" w:rsidRPr="00493E39" w:rsidRDefault="00D64459">
      <w:pPr>
        <w:jc w:val="center"/>
        <w:rPr>
          <w:rFonts w:cs="Arial"/>
          <w:lang w:val="pt-BR"/>
        </w:rPr>
      </w:pPr>
    </w:p>
    <w:p w14:paraId="0B70C7E1" w14:textId="77777777" w:rsidR="00D64459" w:rsidRPr="00493E39" w:rsidRDefault="00D64459">
      <w:pPr>
        <w:jc w:val="center"/>
        <w:rPr>
          <w:rFonts w:cs="Arial"/>
          <w:lang w:val="pt-BR"/>
        </w:rPr>
      </w:pPr>
    </w:p>
    <w:p w14:paraId="1972E950" w14:textId="77777777" w:rsidR="00D64459" w:rsidRPr="00493E39" w:rsidRDefault="008B2120">
      <w:pPr>
        <w:jc w:val="center"/>
        <w:rPr>
          <w:rFonts w:cs="Arial"/>
          <w:lang w:val="pt-BR"/>
        </w:rPr>
      </w:pPr>
      <w:r w:rsidRPr="00493E39">
        <w:rPr>
          <w:rFonts w:cs="Arial"/>
          <w:b/>
          <w:lang w:val="pt-BR"/>
        </w:rPr>
        <w:t>BRASÍLIA</w:t>
      </w:r>
    </w:p>
    <w:p w14:paraId="686D7455" w14:textId="77777777" w:rsidR="00D64459" w:rsidRPr="00493E39" w:rsidRDefault="008B2120">
      <w:pPr>
        <w:jc w:val="center"/>
        <w:rPr>
          <w:rFonts w:cs="Arial"/>
          <w:lang w:val="pt-BR"/>
        </w:rPr>
      </w:pPr>
      <w:r w:rsidRPr="00493E39">
        <w:rPr>
          <w:rFonts w:cs="Arial"/>
          <w:b/>
          <w:lang w:val="pt-BR"/>
        </w:rPr>
        <w:t>2026</w:t>
      </w:r>
    </w:p>
    <w:p w14:paraId="4A14D727" w14:textId="77777777" w:rsidR="00D64459" w:rsidRPr="00493E39" w:rsidRDefault="008B2120">
      <w:pPr>
        <w:rPr>
          <w:rFonts w:cs="Arial"/>
          <w:lang w:val="pt-BR"/>
        </w:rPr>
      </w:pPr>
      <w:r w:rsidRPr="00493E39">
        <w:rPr>
          <w:rFonts w:cs="Arial"/>
          <w:lang w:val="pt-BR"/>
        </w:rPr>
        <w:br w:type="page"/>
      </w:r>
    </w:p>
    <w:p w14:paraId="1C8ED57A" w14:textId="77777777" w:rsidR="00D64459" w:rsidRPr="00493E39" w:rsidRDefault="008B2120">
      <w:pPr>
        <w:jc w:val="center"/>
        <w:rPr>
          <w:rFonts w:cs="Arial"/>
          <w:lang w:val="pt-BR"/>
        </w:rPr>
      </w:pPr>
      <w:r w:rsidRPr="00493E39">
        <w:rPr>
          <w:rFonts w:cs="Arial"/>
          <w:b/>
          <w:lang w:val="pt-BR"/>
        </w:rPr>
        <w:lastRenderedPageBreak/>
        <w:t>PEDRO FRANCK MINELLA</w:t>
      </w:r>
    </w:p>
    <w:p w14:paraId="2EA068C9" w14:textId="77777777" w:rsidR="00D64459" w:rsidRPr="00493E39" w:rsidRDefault="00D64459">
      <w:pPr>
        <w:jc w:val="center"/>
        <w:rPr>
          <w:rFonts w:cs="Arial"/>
          <w:lang w:val="pt-BR"/>
        </w:rPr>
      </w:pPr>
    </w:p>
    <w:p w14:paraId="5AE0BB16" w14:textId="77777777" w:rsidR="00D64459" w:rsidRPr="00493E39" w:rsidRDefault="00D64459">
      <w:pPr>
        <w:jc w:val="center"/>
        <w:rPr>
          <w:rFonts w:cs="Arial"/>
          <w:lang w:val="pt-BR"/>
        </w:rPr>
      </w:pPr>
    </w:p>
    <w:p w14:paraId="7A76338C" w14:textId="77777777" w:rsidR="00D64459" w:rsidRPr="00493E39" w:rsidRDefault="00D64459">
      <w:pPr>
        <w:jc w:val="center"/>
        <w:rPr>
          <w:rFonts w:cs="Arial"/>
          <w:lang w:val="pt-BR"/>
        </w:rPr>
      </w:pPr>
    </w:p>
    <w:p w14:paraId="23A48C07" w14:textId="77777777" w:rsidR="00D64459" w:rsidRPr="00493E39" w:rsidRDefault="00D64459">
      <w:pPr>
        <w:jc w:val="center"/>
        <w:rPr>
          <w:rFonts w:cs="Arial"/>
          <w:lang w:val="pt-BR"/>
        </w:rPr>
      </w:pPr>
    </w:p>
    <w:p w14:paraId="7A9CC048" w14:textId="77777777" w:rsidR="00D64459" w:rsidRPr="00493E39" w:rsidRDefault="00D64459">
      <w:pPr>
        <w:jc w:val="center"/>
        <w:rPr>
          <w:rFonts w:cs="Arial"/>
          <w:lang w:val="pt-BR"/>
        </w:rPr>
      </w:pPr>
    </w:p>
    <w:p w14:paraId="6A897EE4" w14:textId="77777777" w:rsidR="00D64459" w:rsidRPr="00493E39" w:rsidRDefault="00D64459">
      <w:pPr>
        <w:jc w:val="center"/>
        <w:rPr>
          <w:rFonts w:cs="Arial"/>
          <w:lang w:val="pt-BR"/>
        </w:rPr>
      </w:pPr>
    </w:p>
    <w:p w14:paraId="37D5F108" w14:textId="77777777" w:rsidR="00D64459" w:rsidRPr="00493E39" w:rsidRDefault="008B2120">
      <w:pPr>
        <w:jc w:val="center"/>
        <w:rPr>
          <w:rFonts w:cs="Arial"/>
          <w:lang w:val="pt-BR"/>
        </w:rPr>
      </w:pPr>
      <w:r w:rsidRPr="00493E39">
        <w:rPr>
          <w:rFonts w:cs="Arial"/>
          <w:b/>
          <w:lang w:val="pt-BR"/>
        </w:rPr>
        <w:t>O REPASSE DO PREÇO INTERNACIONAL DO PETRÓLEO À INFLAÇÃO BRASILEIRA: O PAPEL DA REGRA DE FORMAÇÃO DE PREÇOS DE COMBUSTÍVEIS</w:t>
      </w:r>
    </w:p>
    <w:p w14:paraId="258C9194" w14:textId="77777777" w:rsidR="00D64459" w:rsidRPr="00493E39" w:rsidRDefault="00D64459">
      <w:pPr>
        <w:jc w:val="center"/>
        <w:rPr>
          <w:rFonts w:cs="Arial"/>
          <w:lang w:val="pt-BR"/>
        </w:rPr>
      </w:pPr>
    </w:p>
    <w:p w14:paraId="1CB9B428" w14:textId="77777777" w:rsidR="00D64459" w:rsidRPr="00493E39" w:rsidRDefault="00D64459">
      <w:pPr>
        <w:jc w:val="center"/>
        <w:rPr>
          <w:rFonts w:cs="Arial"/>
          <w:lang w:val="pt-BR"/>
        </w:rPr>
      </w:pPr>
    </w:p>
    <w:p w14:paraId="1B4130C2" w14:textId="77777777" w:rsidR="00D64459" w:rsidRPr="00493E39" w:rsidRDefault="00D64459">
      <w:pPr>
        <w:jc w:val="center"/>
        <w:rPr>
          <w:rFonts w:cs="Arial"/>
          <w:lang w:val="pt-BR"/>
        </w:rPr>
      </w:pPr>
    </w:p>
    <w:p w14:paraId="2EF84E3B" w14:textId="77777777" w:rsidR="00D64459" w:rsidRPr="00493E39" w:rsidRDefault="00D64459">
      <w:pPr>
        <w:jc w:val="center"/>
        <w:rPr>
          <w:rFonts w:cs="Arial"/>
          <w:lang w:val="pt-BR"/>
        </w:rPr>
      </w:pPr>
    </w:p>
    <w:p w14:paraId="06DDF96A" w14:textId="77777777" w:rsidR="00D64459" w:rsidRPr="00493E39" w:rsidRDefault="008B2120">
      <w:pPr>
        <w:spacing w:line="240" w:lineRule="auto"/>
        <w:ind w:left="4535"/>
        <w:jc w:val="both"/>
        <w:rPr>
          <w:rFonts w:cs="Arial"/>
          <w:lang w:val="pt-BR"/>
        </w:rPr>
      </w:pPr>
      <w:r w:rsidRPr="00493E39">
        <w:rPr>
          <w:rFonts w:cs="Arial"/>
          <w:lang w:val="pt-BR"/>
        </w:rPr>
        <w:t>Trabalho de Conclusão de Curso apresentado ao Curso de Ciências Econômicas da IBMEC, como requisito parcial para a obtenção do título de Bacharel em Ciências Econômicas.</w:t>
      </w:r>
    </w:p>
    <w:p w14:paraId="0CB61208" w14:textId="77777777" w:rsidR="00D64459" w:rsidRPr="00493E39" w:rsidRDefault="00D64459">
      <w:pPr>
        <w:jc w:val="center"/>
        <w:rPr>
          <w:rFonts w:cs="Arial"/>
          <w:lang w:val="pt-BR"/>
        </w:rPr>
      </w:pPr>
    </w:p>
    <w:p w14:paraId="3FDE6B10" w14:textId="77777777" w:rsidR="00D64459" w:rsidRPr="00493E39" w:rsidRDefault="008B2120">
      <w:pPr>
        <w:spacing w:line="240" w:lineRule="auto"/>
        <w:ind w:left="4535"/>
        <w:rPr>
          <w:rFonts w:cs="Arial"/>
          <w:lang w:val="pt-BR"/>
        </w:rPr>
      </w:pPr>
      <w:r w:rsidRPr="00493E39">
        <w:rPr>
          <w:rFonts w:cs="Arial"/>
          <w:lang w:val="pt-BR"/>
        </w:rPr>
        <w:t>Orientador: Silvio Michael de Azevedo Costa</w:t>
      </w:r>
    </w:p>
    <w:p w14:paraId="52BE1A74" w14:textId="77777777" w:rsidR="00D64459" w:rsidRPr="00493E39" w:rsidRDefault="00D64459">
      <w:pPr>
        <w:jc w:val="center"/>
        <w:rPr>
          <w:rFonts w:cs="Arial"/>
          <w:lang w:val="pt-BR"/>
        </w:rPr>
      </w:pPr>
    </w:p>
    <w:p w14:paraId="6209C595" w14:textId="77777777" w:rsidR="00D64459" w:rsidRPr="00493E39" w:rsidRDefault="00D64459">
      <w:pPr>
        <w:jc w:val="center"/>
        <w:rPr>
          <w:rFonts w:cs="Arial"/>
          <w:lang w:val="pt-BR"/>
        </w:rPr>
      </w:pPr>
    </w:p>
    <w:p w14:paraId="2BEDBF1F" w14:textId="77777777" w:rsidR="00D64459" w:rsidRPr="00493E39" w:rsidRDefault="00D64459">
      <w:pPr>
        <w:jc w:val="center"/>
        <w:rPr>
          <w:rFonts w:cs="Arial"/>
          <w:lang w:val="pt-BR"/>
        </w:rPr>
      </w:pPr>
    </w:p>
    <w:p w14:paraId="5AC9C181" w14:textId="77777777" w:rsidR="00D64459" w:rsidRPr="00493E39" w:rsidRDefault="00D64459">
      <w:pPr>
        <w:jc w:val="center"/>
        <w:rPr>
          <w:rFonts w:cs="Arial"/>
          <w:lang w:val="pt-BR"/>
        </w:rPr>
      </w:pPr>
    </w:p>
    <w:p w14:paraId="09116961" w14:textId="77777777" w:rsidR="00D64459" w:rsidRPr="00493E39" w:rsidRDefault="00D64459">
      <w:pPr>
        <w:jc w:val="center"/>
        <w:rPr>
          <w:rFonts w:cs="Arial"/>
          <w:lang w:val="pt-BR"/>
        </w:rPr>
      </w:pPr>
    </w:p>
    <w:p w14:paraId="7C0456D9" w14:textId="77777777" w:rsidR="00D64459" w:rsidRPr="00493E39" w:rsidRDefault="00D64459">
      <w:pPr>
        <w:jc w:val="center"/>
        <w:rPr>
          <w:rFonts w:cs="Arial"/>
          <w:lang w:val="pt-BR"/>
        </w:rPr>
      </w:pPr>
    </w:p>
    <w:p w14:paraId="4D84ADE7" w14:textId="77777777" w:rsidR="00D64459" w:rsidRPr="00493E39" w:rsidRDefault="00D64459">
      <w:pPr>
        <w:jc w:val="center"/>
        <w:rPr>
          <w:rFonts w:cs="Arial"/>
          <w:lang w:val="pt-BR"/>
        </w:rPr>
      </w:pPr>
    </w:p>
    <w:p w14:paraId="7610667C" w14:textId="77777777" w:rsidR="00D64459" w:rsidRPr="00493E39" w:rsidRDefault="00D64459">
      <w:pPr>
        <w:jc w:val="center"/>
        <w:rPr>
          <w:rFonts w:cs="Arial"/>
          <w:lang w:val="pt-BR"/>
        </w:rPr>
      </w:pPr>
    </w:p>
    <w:p w14:paraId="6E388EA4" w14:textId="77777777" w:rsidR="00D64459" w:rsidRPr="00493E39" w:rsidRDefault="008B2120">
      <w:pPr>
        <w:jc w:val="center"/>
        <w:rPr>
          <w:rFonts w:cs="Arial"/>
          <w:lang w:val="pt-BR"/>
        </w:rPr>
      </w:pPr>
      <w:r w:rsidRPr="00493E39">
        <w:rPr>
          <w:rFonts w:cs="Arial"/>
          <w:b/>
          <w:lang w:val="pt-BR"/>
        </w:rPr>
        <w:t>BRASÍLIA</w:t>
      </w:r>
    </w:p>
    <w:p w14:paraId="0AC5237D" w14:textId="77777777" w:rsidR="00D64459" w:rsidRPr="00493E39" w:rsidRDefault="008B2120">
      <w:pPr>
        <w:jc w:val="center"/>
        <w:rPr>
          <w:rFonts w:cs="Arial"/>
          <w:lang w:val="pt-BR"/>
        </w:rPr>
      </w:pPr>
      <w:r w:rsidRPr="00493E39">
        <w:rPr>
          <w:rFonts w:cs="Arial"/>
          <w:b/>
          <w:lang w:val="pt-BR"/>
        </w:rPr>
        <w:t>2026</w:t>
      </w:r>
    </w:p>
    <w:p w14:paraId="47EF3A44" w14:textId="77777777" w:rsidR="00D64459" w:rsidRPr="00493E39" w:rsidRDefault="008B2120">
      <w:pPr>
        <w:rPr>
          <w:rFonts w:cs="Arial"/>
          <w:lang w:val="pt-BR"/>
        </w:rPr>
      </w:pPr>
      <w:r w:rsidRPr="00493E39">
        <w:rPr>
          <w:rFonts w:cs="Arial"/>
          <w:lang w:val="pt-BR"/>
        </w:rPr>
        <w:br w:type="page"/>
      </w:r>
    </w:p>
    <w:p w14:paraId="3F9B23F6" w14:textId="77777777" w:rsidR="00D64459" w:rsidRPr="00493E39" w:rsidRDefault="008B2120">
      <w:pPr>
        <w:jc w:val="center"/>
        <w:rPr>
          <w:rFonts w:cs="Arial"/>
          <w:lang w:val="pt-BR"/>
        </w:rPr>
      </w:pPr>
      <w:r w:rsidRPr="00493E39">
        <w:rPr>
          <w:rFonts w:cs="Arial"/>
          <w:b/>
          <w:lang w:val="pt-BR"/>
        </w:rPr>
        <w:lastRenderedPageBreak/>
        <w:t>PEDRO FRANCK MINELLA</w:t>
      </w:r>
    </w:p>
    <w:p w14:paraId="3DBF655D" w14:textId="77777777" w:rsidR="00D64459" w:rsidRPr="00493E39" w:rsidRDefault="00D64459">
      <w:pPr>
        <w:jc w:val="center"/>
        <w:rPr>
          <w:rFonts w:cs="Arial"/>
          <w:lang w:val="pt-BR"/>
        </w:rPr>
      </w:pPr>
    </w:p>
    <w:p w14:paraId="72A0882F" w14:textId="77777777" w:rsidR="00D64459" w:rsidRPr="00493E39" w:rsidRDefault="00D64459">
      <w:pPr>
        <w:jc w:val="center"/>
        <w:rPr>
          <w:rFonts w:cs="Arial"/>
          <w:lang w:val="pt-BR"/>
        </w:rPr>
      </w:pPr>
    </w:p>
    <w:p w14:paraId="13956664" w14:textId="77777777" w:rsidR="00D64459" w:rsidRPr="00493E39" w:rsidRDefault="00D64459">
      <w:pPr>
        <w:jc w:val="center"/>
        <w:rPr>
          <w:rFonts w:cs="Arial"/>
          <w:lang w:val="pt-BR"/>
        </w:rPr>
      </w:pPr>
    </w:p>
    <w:p w14:paraId="6585D2C8" w14:textId="77777777" w:rsidR="00D64459" w:rsidRPr="00493E39" w:rsidRDefault="008B2120">
      <w:pPr>
        <w:jc w:val="center"/>
        <w:rPr>
          <w:rFonts w:cs="Arial"/>
          <w:lang w:val="pt-BR"/>
        </w:rPr>
      </w:pPr>
      <w:r w:rsidRPr="00493E39">
        <w:rPr>
          <w:rFonts w:cs="Arial"/>
          <w:b/>
          <w:lang w:val="pt-BR"/>
        </w:rPr>
        <w:t>O REPASSE DO PREÇO INTERNACIONAL DO PETRÓLEO À INFLAÇÃO BRASILEIRA: O PAPEL DA REGRA DE FORMAÇÃO DE PREÇOS DE COMBUSTÍVEIS</w:t>
      </w:r>
    </w:p>
    <w:p w14:paraId="59F4354C" w14:textId="77777777" w:rsidR="00D64459" w:rsidRPr="00493E39" w:rsidRDefault="00D64459">
      <w:pPr>
        <w:jc w:val="center"/>
        <w:rPr>
          <w:rFonts w:cs="Arial"/>
          <w:lang w:val="pt-BR"/>
        </w:rPr>
      </w:pPr>
    </w:p>
    <w:p w14:paraId="08AD7B01" w14:textId="77777777" w:rsidR="00D64459" w:rsidRPr="00493E39" w:rsidRDefault="008B2120">
      <w:pPr>
        <w:spacing w:line="240" w:lineRule="auto"/>
        <w:ind w:left="4535"/>
        <w:jc w:val="both"/>
        <w:rPr>
          <w:rFonts w:cs="Arial"/>
          <w:lang w:val="pt-BR"/>
        </w:rPr>
      </w:pPr>
      <w:r w:rsidRPr="00493E39">
        <w:rPr>
          <w:rFonts w:cs="Arial"/>
          <w:lang w:val="pt-BR"/>
        </w:rPr>
        <w:t>Trabalho de Conclusão de Curso apresentado ao Curso de Ciências Econômicas da IBMEC, como requisito parcial para a obtenção do título de Bacharel em Ciências Econômicas.</w:t>
      </w:r>
    </w:p>
    <w:p w14:paraId="02549967" w14:textId="77777777" w:rsidR="00D64459" w:rsidRPr="00493E39" w:rsidRDefault="00D64459">
      <w:pPr>
        <w:jc w:val="center"/>
        <w:rPr>
          <w:rFonts w:cs="Arial"/>
          <w:lang w:val="pt-BR"/>
        </w:rPr>
      </w:pPr>
    </w:p>
    <w:p w14:paraId="028DB533" w14:textId="77777777" w:rsidR="00D64459" w:rsidRPr="00493E39" w:rsidRDefault="008B2120">
      <w:pPr>
        <w:rPr>
          <w:rFonts w:cs="Arial"/>
          <w:lang w:val="pt-BR"/>
        </w:rPr>
      </w:pPr>
      <w:r w:rsidRPr="00493E39">
        <w:rPr>
          <w:rFonts w:cs="Arial"/>
          <w:lang w:val="pt-BR"/>
        </w:rPr>
        <w:t xml:space="preserve">Aprovado em ____ de __________________ </w:t>
      </w:r>
      <w:proofErr w:type="spellStart"/>
      <w:r w:rsidRPr="00493E39">
        <w:rPr>
          <w:rFonts w:cs="Arial"/>
          <w:lang w:val="pt-BR"/>
        </w:rPr>
        <w:t>de</w:t>
      </w:r>
      <w:proofErr w:type="spellEnd"/>
      <w:r w:rsidRPr="00493E39">
        <w:rPr>
          <w:rFonts w:cs="Arial"/>
          <w:lang w:val="pt-BR"/>
        </w:rPr>
        <w:t xml:space="preserve"> ______.</w:t>
      </w:r>
    </w:p>
    <w:p w14:paraId="116D2286" w14:textId="77777777" w:rsidR="00D64459" w:rsidRPr="00493E39" w:rsidRDefault="00D64459">
      <w:pPr>
        <w:jc w:val="center"/>
        <w:rPr>
          <w:rFonts w:cs="Arial"/>
          <w:lang w:val="pt-BR"/>
        </w:rPr>
      </w:pPr>
    </w:p>
    <w:p w14:paraId="22D2339C" w14:textId="77777777" w:rsidR="00D64459" w:rsidRPr="00493E39" w:rsidRDefault="00D64459">
      <w:pPr>
        <w:jc w:val="center"/>
        <w:rPr>
          <w:rFonts w:cs="Arial"/>
          <w:lang w:val="pt-BR"/>
        </w:rPr>
      </w:pPr>
    </w:p>
    <w:p w14:paraId="7512BE14" w14:textId="77777777" w:rsidR="00D64459" w:rsidRPr="00493E39" w:rsidRDefault="008B2120">
      <w:pPr>
        <w:jc w:val="center"/>
        <w:rPr>
          <w:rFonts w:cs="Arial"/>
          <w:lang w:val="pt-BR"/>
        </w:rPr>
      </w:pPr>
      <w:r w:rsidRPr="00493E39">
        <w:rPr>
          <w:rFonts w:cs="Arial"/>
          <w:b/>
          <w:lang w:val="pt-BR"/>
        </w:rPr>
        <w:t>BANCA EXAMINADORA</w:t>
      </w:r>
    </w:p>
    <w:p w14:paraId="6B130E28" w14:textId="77777777" w:rsidR="00D64459" w:rsidRPr="00493E39" w:rsidRDefault="00D64459">
      <w:pPr>
        <w:jc w:val="center"/>
        <w:rPr>
          <w:rFonts w:cs="Arial"/>
          <w:lang w:val="pt-BR"/>
        </w:rPr>
      </w:pPr>
    </w:p>
    <w:p w14:paraId="55130F56" w14:textId="77777777" w:rsidR="00D64459" w:rsidRPr="00493E39" w:rsidRDefault="00D64459">
      <w:pPr>
        <w:jc w:val="center"/>
        <w:rPr>
          <w:rFonts w:cs="Arial"/>
          <w:lang w:val="pt-BR"/>
        </w:rPr>
      </w:pPr>
    </w:p>
    <w:p w14:paraId="57404B5B" w14:textId="77777777" w:rsidR="00D64459" w:rsidRPr="00493E39" w:rsidRDefault="00D64459">
      <w:pPr>
        <w:jc w:val="center"/>
        <w:rPr>
          <w:rFonts w:cs="Arial"/>
          <w:lang w:val="pt-BR"/>
        </w:rPr>
      </w:pPr>
    </w:p>
    <w:p w14:paraId="5897B83A" w14:textId="77777777" w:rsidR="00D64459" w:rsidRPr="00493E39" w:rsidRDefault="008B2120">
      <w:pPr>
        <w:jc w:val="center"/>
        <w:rPr>
          <w:rFonts w:cs="Arial"/>
          <w:lang w:val="pt-BR"/>
        </w:rPr>
      </w:pPr>
      <w:r w:rsidRPr="00493E39">
        <w:rPr>
          <w:rFonts w:cs="Arial"/>
          <w:lang w:val="pt-BR"/>
        </w:rPr>
        <w:t>____________________________________________________</w:t>
      </w:r>
    </w:p>
    <w:p w14:paraId="4F835E90" w14:textId="77777777" w:rsidR="00D64459" w:rsidRPr="00493E39" w:rsidRDefault="008B2120">
      <w:pPr>
        <w:jc w:val="center"/>
        <w:rPr>
          <w:rFonts w:cs="Arial"/>
          <w:lang w:val="pt-BR"/>
        </w:rPr>
      </w:pPr>
      <w:r w:rsidRPr="00493E39">
        <w:rPr>
          <w:rFonts w:cs="Arial"/>
          <w:lang w:val="pt-BR"/>
        </w:rPr>
        <w:t>Silvio Michael de Azevedo Costa</w:t>
      </w:r>
    </w:p>
    <w:p w14:paraId="7DCF9DD0" w14:textId="77777777" w:rsidR="00D64459" w:rsidRPr="00493E39" w:rsidRDefault="008B2120">
      <w:pPr>
        <w:spacing w:after="480"/>
        <w:jc w:val="center"/>
        <w:rPr>
          <w:rFonts w:cs="Arial"/>
          <w:lang w:val="pt-BR"/>
        </w:rPr>
      </w:pPr>
      <w:r w:rsidRPr="00493E39">
        <w:rPr>
          <w:rFonts w:cs="Arial"/>
          <w:lang w:val="pt-BR"/>
        </w:rPr>
        <w:t>IBMEC (Orientador)</w:t>
      </w:r>
    </w:p>
    <w:p w14:paraId="20E63D29" w14:textId="77777777" w:rsidR="00D64459" w:rsidRPr="00493E39" w:rsidRDefault="008B2120">
      <w:pPr>
        <w:jc w:val="center"/>
        <w:rPr>
          <w:rFonts w:cs="Arial"/>
          <w:lang w:val="pt-BR"/>
        </w:rPr>
      </w:pPr>
      <w:r w:rsidRPr="00493E39">
        <w:rPr>
          <w:rFonts w:cs="Arial"/>
          <w:lang w:val="pt-BR"/>
        </w:rPr>
        <w:t>____________________________________________________</w:t>
      </w:r>
    </w:p>
    <w:p w14:paraId="3BC50677" w14:textId="77777777" w:rsidR="00D64459" w:rsidRPr="00493E39" w:rsidRDefault="008B2120">
      <w:pPr>
        <w:jc w:val="center"/>
        <w:rPr>
          <w:rFonts w:cs="Arial"/>
          <w:lang w:val="pt-BR"/>
        </w:rPr>
      </w:pPr>
      <w:r w:rsidRPr="00493E39">
        <w:rPr>
          <w:rFonts w:cs="Arial"/>
          <w:lang w:val="pt-BR"/>
        </w:rPr>
        <w:t>[NOME DO EXAMINADOR]</w:t>
      </w:r>
    </w:p>
    <w:p w14:paraId="1095E265" w14:textId="77777777" w:rsidR="00D64459" w:rsidRPr="00493E39" w:rsidRDefault="008B2120">
      <w:pPr>
        <w:spacing w:after="480"/>
        <w:jc w:val="center"/>
        <w:rPr>
          <w:rFonts w:cs="Arial"/>
          <w:lang w:val="pt-BR"/>
        </w:rPr>
      </w:pPr>
      <w:r w:rsidRPr="00493E39">
        <w:rPr>
          <w:rFonts w:cs="Arial"/>
          <w:lang w:val="pt-BR"/>
        </w:rPr>
        <w:t>IBMEC (Examinador)</w:t>
      </w:r>
    </w:p>
    <w:p w14:paraId="287BC398" w14:textId="77777777" w:rsidR="00D64459" w:rsidRPr="00493E39" w:rsidRDefault="008B2120">
      <w:pPr>
        <w:pageBreakBefore/>
        <w:spacing w:after="360"/>
        <w:jc w:val="center"/>
        <w:rPr>
          <w:rFonts w:cs="Arial"/>
          <w:lang w:val="pt-BR"/>
        </w:rPr>
      </w:pPr>
      <w:r w:rsidRPr="00493E39">
        <w:rPr>
          <w:rFonts w:cs="Arial"/>
          <w:b/>
          <w:lang w:val="pt-BR"/>
        </w:rPr>
        <w:lastRenderedPageBreak/>
        <w:t>RESUMO</w:t>
      </w:r>
    </w:p>
    <w:p w14:paraId="2F0B6507" w14:textId="77777777" w:rsidR="00D64459" w:rsidRPr="00493E39" w:rsidRDefault="008B2120">
      <w:pPr>
        <w:ind w:firstLine="709"/>
        <w:jc w:val="both"/>
        <w:rPr>
          <w:rFonts w:cs="Arial"/>
          <w:lang w:val="pt-BR"/>
        </w:rPr>
      </w:pPr>
      <w:r w:rsidRPr="00493E39">
        <w:rPr>
          <w:rFonts w:cs="Arial"/>
          <w:lang w:val="pt-BR"/>
        </w:rPr>
        <w:t xml:space="preserve">Este trabalho estima o repasse do preço internacional do petróleo à inflação brasileira e investiga se essa magnitude é estável ao longo do tempo. A hipótese central é que o repasse não constitui parâmetro estrutural da economia, e sim função da regra pela qual o preço internacional se converte em preço doméstico de combustível, regra que no Brasil mudou por decisão administrativa. Utilizam-se projeções locais em dados mensais de janeiro de 2003 a setembro de 2025, permitindo que o coeficiente do choque difira entre regimes de política de preços, com a data de separação estimada pelos próprios dados e valores críticos por reamostragem, e o efeito é decomposto entre o canal dos combustíveis e o restante. Sobre os mesmos dados, a especificação de amostra completa não rejeita ausência de efeito sobre o índice cheio, com p de 0,194, ao passo que a especificação por regime rejeita a igualdade entre períodos nas seis séries, com p entre 0,000 e 0,031. A diferença não está na potência da amostra, e sim em permitir que o coeficiente difira entre regras de precificação. A transmissão aumentou em torno do primeiro trimestre de 2017: no mês do choque, o repasse ao índice cheio passa de 0,005 para algo entre 0,088 e 0,176 ponto percentual, conforme o tratamento dado às observações da pandemia. O padrão é mais firme que o nível: nos horizontes de impacto, de um e de três meses, nenhum dos dezoito coeficientes do regime anterior é distinguível de zero e os dezoito do posterior são todos significativos. Com toda a dinâmica livre entre regimes, o índice cheio segue sem resposta antes da paridade, e os combustíveis mostram repasse anterior pequeno. O repasse concentra-se nos dois primeiros meses e transita pelos combustíveis, canal que carrega 0,003 </w:t>
      </w:r>
      <w:proofErr w:type="spellStart"/>
      <w:r w:rsidRPr="00493E39">
        <w:rPr>
          <w:rFonts w:cs="Arial"/>
          <w:lang w:val="pt-BR"/>
        </w:rPr>
        <w:t>ponto</w:t>
      </w:r>
      <w:proofErr w:type="spellEnd"/>
      <w:r w:rsidRPr="00493E39">
        <w:rPr>
          <w:rFonts w:cs="Arial"/>
          <w:lang w:val="pt-BR"/>
        </w:rPr>
        <w:t xml:space="preserve"> em três meses no regime anterior e 0,249 no posterior. A implicação é que a calibragem do repasse precisa ser revista sempre que a regra de precificação se altere, e que estimativas obtidas em amostras longas, sem atenção a essa regra, produzem médias que não descrevem nenhum dos regimes atravessados.</w:t>
      </w:r>
    </w:p>
    <w:p w14:paraId="632F89F8" w14:textId="77777777" w:rsidR="00D64459" w:rsidRPr="00493E39" w:rsidRDefault="00D64459">
      <w:pPr>
        <w:jc w:val="center"/>
        <w:rPr>
          <w:rFonts w:cs="Arial"/>
          <w:lang w:val="pt-BR"/>
        </w:rPr>
      </w:pPr>
    </w:p>
    <w:p w14:paraId="31CCD36D" w14:textId="77777777" w:rsidR="00D64459" w:rsidRPr="00493E39" w:rsidRDefault="008B2120">
      <w:pPr>
        <w:jc w:val="both"/>
        <w:rPr>
          <w:rFonts w:cs="Arial"/>
          <w:lang w:val="pt-BR"/>
        </w:rPr>
      </w:pPr>
      <w:r w:rsidRPr="00493E39">
        <w:rPr>
          <w:rFonts w:cs="Arial"/>
          <w:b/>
          <w:lang w:val="pt-BR"/>
        </w:rPr>
        <w:t xml:space="preserve">Palavras-chave: </w:t>
      </w:r>
      <w:r w:rsidRPr="00493E39">
        <w:rPr>
          <w:rFonts w:cs="Arial"/>
          <w:lang w:val="pt-BR"/>
        </w:rPr>
        <w:t>repasse de preços; petróleo; inflação; projeções locais; quebra estrutural; paridade de importação.</w:t>
      </w:r>
    </w:p>
    <w:p w14:paraId="19D7B865" w14:textId="77777777" w:rsidR="00D64459" w:rsidRPr="00493E39" w:rsidRDefault="008B2120">
      <w:pPr>
        <w:pageBreakBefore/>
        <w:spacing w:after="360"/>
        <w:jc w:val="center"/>
        <w:rPr>
          <w:rFonts w:cs="Arial"/>
        </w:rPr>
      </w:pPr>
      <w:r w:rsidRPr="00493E39">
        <w:rPr>
          <w:rFonts w:cs="Arial"/>
          <w:b/>
        </w:rPr>
        <w:lastRenderedPageBreak/>
        <w:t>ABSTRACT</w:t>
      </w:r>
    </w:p>
    <w:p w14:paraId="03C9AC39" w14:textId="77777777" w:rsidR="00D64459" w:rsidRPr="00493E39" w:rsidRDefault="008B2120">
      <w:pPr>
        <w:ind w:firstLine="709"/>
        <w:jc w:val="both"/>
        <w:rPr>
          <w:rFonts w:cs="Arial"/>
        </w:rPr>
      </w:pPr>
      <w:r w:rsidRPr="00493E39">
        <w:rPr>
          <w:rFonts w:cs="Arial"/>
        </w:rPr>
        <w:t>This study estimates the pass-through of international oil prices to Brazilian inflation and investigates whether its magnitude is stable over time. The central hypothesis is that pass-through is not a structural parameter of the economy, but a function of the rule by which international prices are converted into domestic fuel prices, a rule that in Brazil changed by administrative decision. Local projections are applied to monthly data from January 2003 to September 2025, allowing the shock coefficient to differ across price-policy regimes, with the separating date estimated from the data and bootstrap critical values. On the same data, the full-sample specification fails to reject the hypothesis of no effect on headline inflation, with p of 0.194, whereas the regime specification rejects equality across periods in all six series, with p between 0.000 and 0.031. The difference lies not in the power of the sample but in allowing the coefficient to differ across pricing rules. Transmission increased around the first quarter of 2017: in the month of the shock, pass-through to headline inflation rises from 0.005 to between 0.088 and 0.176 percentage points, depending on the treatment given to the pandemic observations. The pattern is firmer than the level: at the impact, one-month and three-month horizons, no coefficient in the earlier regime is distinguishable from zero and all eighteen in the later regime are significant. With the whole dynamics free across regimes, headline inflation still shows no response before parity pricing, while fuel prices show a small earlier pass-through. Pass-through operates through domestic fuel prices, a channel carrying 0.003 percentage points at three months in the earlier regime and 0.249 in the later one. The implication is that pass-through calibration must be revised whenever the pricing rule changes, and that estimates obtained on long samples, without attention to that rule, yield averages describing none of the regimes they span.</w:t>
      </w:r>
    </w:p>
    <w:p w14:paraId="6AE0BCA7" w14:textId="77777777" w:rsidR="00D64459" w:rsidRPr="00493E39" w:rsidRDefault="00D64459">
      <w:pPr>
        <w:jc w:val="center"/>
        <w:rPr>
          <w:rFonts w:cs="Arial"/>
        </w:rPr>
      </w:pPr>
    </w:p>
    <w:p w14:paraId="4AB24A7A" w14:textId="77777777" w:rsidR="00D64459" w:rsidRPr="00493E39" w:rsidRDefault="008B2120">
      <w:pPr>
        <w:jc w:val="both"/>
        <w:rPr>
          <w:rFonts w:cs="Arial"/>
        </w:rPr>
      </w:pPr>
      <w:r w:rsidRPr="00493E39">
        <w:rPr>
          <w:rFonts w:cs="Arial"/>
          <w:b/>
        </w:rPr>
        <w:t xml:space="preserve">Keywords: </w:t>
      </w:r>
      <w:r w:rsidRPr="00493E39">
        <w:rPr>
          <w:rFonts w:cs="Arial"/>
        </w:rPr>
        <w:t>price pass-through; oil; inflation; local projections; structural break; import parity pricing.</w:t>
      </w:r>
    </w:p>
    <w:p w14:paraId="34E0153E" w14:textId="77777777" w:rsidR="00D64459" w:rsidRPr="00493E39" w:rsidRDefault="008B2120">
      <w:pPr>
        <w:rPr>
          <w:rFonts w:cs="Arial"/>
        </w:rPr>
      </w:pPr>
      <w:r w:rsidRPr="00493E39">
        <w:rPr>
          <w:rFonts w:cs="Arial"/>
        </w:rPr>
        <w:br w:type="page"/>
      </w:r>
    </w:p>
    <w:p w14:paraId="139BCD15" w14:textId="77777777" w:rsidR="00D64459" w:rsidRPr="00493E39" w:rsidRDefault="008B2120">
      <w:pPr>
        <w:spacing w:after="360"/>
        <w:jc w:val="center"/>
        <w:rPr>
          <w:rFonts w:cs="Arial"/>
          <w:lang w:val="pt-BR"/>
        </w:rPr>
      </w:pPr>
      <w:r w:rsidRPr="00493E39">
        <w:rPr>
          <w:rFonts w:cs="Arial"/>
          <w:b/>
          <w:lang w:val="pt-BR"/>
        </w:rPr>
        <w:lastRenderedPageBreak/>
        <w:t>LISTA DE FIGURAS</w:t>
      </w:r>
    </w:p>
    <w:p w14:paraId="5B176523" w14:textId="77777777" w:rsidR="00D64459" w:rsidRPr="00493E39" w:rsidRDefault="008B2120">
      <w:pPr>
        <w:rPr>
          <w:rFonts w:cs="Arial"/>
          <w:lang w:val="pt-BR"/>
        </w:rPr>
      </w:pPr>
      <w:r w:rsidRPr="00493E39">
        <w:rPr>
          <w:rFonts w:cs="Arial"/>
          <w:lang w:val="pt-BR"/>
        </w:rPr>
        <w:t>Figura 1 – Preço doméstico da gasolina e referência internacional</w:t>
      </w:r>
    </w:p>
    <w:p w14:paraId="2B8FC6A2" w14:textId="77777777" w:rsidR="00D64459" w:rsidRPr="00493E39" w:rsidRDefault="008B2120">
      <w:pPr>
        <w:rPr>
          <w:rFonts w:cs="Arial"/>
          <w:lang w:val="pt-BR"/>
        </w:rPr>
      </w:pPr>
      <w:r w:rsidRPr="00493E39">
        <w:rPr>
          <w:rFonts w:cs="Arial"/>
          <w:lang w:val="pt-BR"/>
        </w:rPr>
        <w:t>Figura 2 – Resposta do IPCA Geral por regime</w:t>
      </w:r>
    </w:p>
    <w:p w14:paraId="0BBF81A2" w14:textId="77777777" w:rsidR="00D64459" w:rsidRPr="00493E39" w:rsidRDefault="008B2120">
      <w:pPr>
        <w:rPr>
          <w:rFonts w:cs="Arial"/>
          <w:lang w:val="pt-BR"/>
        </w:rPr>
      </w:pPr>
      <w:r w:rsidRPr="00493E39">
        <w:rPr>
          <w:rFonts w:cs="Arial"/>
          <w:lang w:val="pt-BR"/>
        </w:rPr>
        <w:t>Figura 3 – Resposta dos preços de combustíveis por regime</w:t>
      </w:r>
    </w:p>
    <w:p w14:paraId="45C4034D" w14:textId="77777777" w:rsidR="00D64459" w:rsidRPr="00493E39" w:rsidRDefault="008B2120">
      <w:pPr>
        <w:rPr>
          <w:rFonts w:cs="Arial"/>
          <w:lang w:val="pt-BR"/>
        </w:rPr>
      </w:pPr>
      <w:r w:rsidRPr="00493E39">
        <w:rPr>
          <w:rFonts w:cs="Arial"/>
          <w:lang w:val="pt-BR"/>
        </w:rPr>
        <w:t>Figura 4 – Resposta do IPCA Transportes por regime</w:t>
      </w:r>
    </w:p>
    <w:p w14:paraId="4CDCE377" w14:textId="77777777" w:rsidR="00D64459" w:rsidRPr="00493E39" w:rsidRDefault="008B2120">
      <w:pPr>
        <w:rPr>
          <w:rFonts w:cs="Arial"/>
          <w:lang w:val="pt-BR"/>
        </w:rPr>
      </w:pPr>
      <w:r w:rsidRPr="00493E39">
        <w:rPr>
          <w:rFonts w:cs="Arial"/>
          <w:lang w:val="pt-BR"/>
        </w:rPr>
        <w:t>Figura 5 – Distribuição temporal do repasse: inflação de cada mês após o choque</w:t>
      </w:r>
    </w:p>
    <w:p w14:paraId="0ADD0221" w14:textId="77777777" w:rsidR="00D64459" w:rsidRPr="00493E39" w:rsidRDefault="008B2120">
      <w:pPr>
        <w:rPr>
          <w:rFonts w:cs="Arial"/>
          <w:lang w:val="pt-BR"/>
        </w:rPr>
      </w:pPr>
      <w:r w:rsidRPr="00493E39">
        <w:rPr>
          <w:rFonts w:cs="Arial"/>
          <w:lang w:val="pt-BR"/>
        </w:rPr>
        <w:t>Figura 6 – Distribuição temporal do repasse: resposta acumulada do nível de preços</w:t>
      </w:r>
    </w:p>
    <w:p w14:paraId="510F2E3C" w14:textId="77777777" w:rsidR="00D64459" w:rsidRPr="00493E39" w:rsidRDefault="008B2120">
      <w:pPr>
        <w:rPr>
          <w:rFonts w:cs="Arial"/>
          <w:lang w:val="pt-BR"/>
        </w:rPr>
      </w:pPr>
      <w:r w:rsidRPr="00493E39">
        <w:rPr>
          <w:rFonts w:cs="Arial"/>
          <w:lang w:val="pt-BR"/>
        </w:rPr>
        <w:t>Figura 7 – Decomposição da resposta do IPCA Geral segundo o canal dos combustíveis</w:t>
      </w:r>
    </w:p>
    <w:p w14:paraId="5F3DD116" w14:textId="77777777" w:rsidR="00D64459" w:rsidRPr="00493E39" w:rsidRDefault="008B2120">
      <w:pPr>
        <w:rPr>
          <w:rFonts w:cs="Arial"/>
          <w:lang w:val="pt-BR"/>
        </w:rPr>
      </w:pPr>
      <w:r w:rsidRPr="00493E39">
        <w:rPr>
          <w:rFonts w:cs="Arial"/>
          <w:lang w:val="pt-BR"/>
        </w:rPr>
        <w:t>Figura 8 – Primeira e segunda volta, e desfechos que excluem combustíveis</w:t>
      </w:r>
    </w:p>
    <w:p w14:paraId="4E6DA41D" w14:textId="77777777" w:rsidR="00D64459" w:rsidRPr="00493E39" w:rsidRDefault="008B2120">
      <w:pPr>
        <w:rPr>
          <w:rFonts w:cs="Arial"/>
          <w:lang w:val="pt-BR"/>
        </w:rPr>
      </w:pPr>
      <w:r w:rsidRPr="00493E39">
        <w:rPr>
          <w:rFonts w:cs="Arial"/>
          <w:lang w:val="pt-BR"/>
        </w:rPr>
        <w:t>Figura 9 – Os dois caminhos do choque e a inversão da composição</w:t>
      </w:r>
    </w:p>
    <w:p w14:paraId="618B300D" w14:textId="77777777" w:rsidR="00D64459" w:rsidRPr="00493E39" w:rsidRDefault="008B2120">
      <w:pPr>
        <w:rPr>
          <w:rFonts w:cs="Arial"/>
          <w:lang w:val="pt-BR"/>
        </w:rPr>
      </w:pPr>
      <w:r w:rsidRPr="00493E39">
        <w:rPr>
          <w:rFonts w:cs="Arial"/>
          <w:lang w:val="pt-BR"/>
        </w:rPr>
        <w:t>Figura 10 – Perfil da estatística de quebra e ampliação do topo</w:t>
      </w:r>
    </w:p>
    <w:p w14:paraId="33BF549D" w14:textId="77777777" w:rsidR="00D64459" w:rsidRPr="00493E39" w:rsidRDefault="008B2120">
      <w:pPr>
        <w:rPr>
          <w:rFonts w:cs="Arial"/>
          <w:lang w:val="pt-BR"/>
        </w:rPr>
      </w:pPr>
      <w:r w:rsidRPr="00493E39">
        <w:rPr>
          <w:rFonts w:cs="Arial"/>
          <w:lang w:val="pt-BR"/>
        </w:rPr>
        <w:t>Figura 11 – Resposta no mês do choque sob os dois cortes</w:t>
      </w:r>
    </w:p>
    <w:p w14:paraId="6C6C30D6" w14:textId="77777777" w:rsidR="00D64459" w:rsidRPr="00493E39" w:rsidRDefault="008B2120">
      <w:pPr>
        <w:rPr>
          <w:rFonts w:cs="Arial"/>
          <w:lang w:val="pt-BR"/>
        </w:rPr>
      </w:pPr>
      <w:r w:rsidRPr="00493E39">
        <w:rPr>
          <w:rFonts w:cs="Arial"/>
          <w:lang w:val="pt-BR"/>
        </w:rPr>
        <w:t>Figura 12 – Contribuição dos choques de petróleo ao IPCA sob as duas regras, por ano civil, 2020 a 2022</w:t>
      </w:r>
    </w:p>
    <w:p w14:paraId="0D9A7B81" w14:textId="77777777" w:rsidR="00D64459" w:rsidRPr="00493E39" w:rsidRDefault="008B2120">
      <w:pPr>
        <w:rPr>
          <w:rFonts w:cs="Arial"/>
          <w:lang w:val="pt-BR"/>
        </w:rPr>
      </w:pPr>
      <w:r w:rsidRPr="00493E39">
        <w:rPr>
          <w:rFonts w:cs="Arial"/>
          <w:lang w:val="pt-BR"/>
        </w:rPr>
        <w:t>Figura 13 – O repasse brasileiro na distribuição internacional</w:t>
      </w:r>
    </w:p>
    <w:p w14:paraId="4E1DE878" w14:textId="77777777" w:rsidR="00D64459" w:rsidRPr="00493E39" w:rsidRDefault="008B2120">
      <w:pPr>
        <w:rPr>
          <w:rFonts w:cs="Arial"/>
          <w:lang w:val="pt-BR"/>
        </w:rPr>
      </w:pPr>
      <w:r w:rsidRPr="00493E39">
        <w:rPr>
          <w:rFonts w:cs="Arial"/>
          <w:lang w:val="pt-BR"/>
        </w:rPr>
        <w:t>Figura 14 – Composição dos choques do petróleo nos dois regimes</w:t>
      </w:r>
    </w:p>
    <w:p w14:paraId="7A80BDC8" w14:textId="77777777" w:rsidR="00D64459" w:rsidRPr="00493E39" w:rsidRDefault="008B2120">
      <w:pPr>
        <w:rPr>
          <w:rFonts w:cs="Arial"/>
          <w:lang w:val="pt-BR"/>
        </w:rPr>
      </w:pPr>
      <w:r w:rsidRPr="00493E39">
        <w:rPr>
          <w:rFonts w:cs="Arial"/>
          <w:lang w:val="pt-BR"/>
        </w:rPr>
        <w:t>Figura A.1 – Séries em nível, janeiro de 2003 a setembro de 2025</w:t>
      </w:r>
    </w:p>
    <w:p w14:paraId="37FD8B28" w14:textId="77777777" w:rsidR="00D64459" w:rsidRPr="00493E39" w:rsidRDefault="008B2120">
      <w:pPr>
        <w:rPr>
          <w:rFonts w:cs="Arial"/>
          <w:lang w:val="pt-BR"/>
        </w:rPr>
      </w:pPr>
      <w:r w:rsidRPr="00493E39">
        <w:rPr>
          <w:rFonts w:cs="Arial"/>
          <w:lang w:val="pt-BR"/>
        </w:rPr>
        <w:t>Figura B.1 – Séries em escala logarítmica</w:t>
      </w:r>
    </w:p>
    <w:p w14:paraId="14D04DC8" w14:textId="77777777" w:rsidR="00D64459" w:rsidRPr="00493E39" w:rsidRDefault="008B2120">
      <w:pPr>
        <w:rPr>
          <w:rFonts w:cs="Arial"/>
          <w:lang w:val="pt-BR"/>
        </w:rPr>
      </w:pPr>
      <w:r w:rsidRPr="00493E39">
        <w:rPr>
          <w:rFonts w:cs="Arial"/>
          <w:lang w:val="pt-BR"/>
        </w:rPr>
        <w:t>Figura C.1 – Forma reduzida e conjuntos de Anderson-Rubin para o IPCA Geral</w:t>
      </w:r>
    </w:p>
    <w:p w14:paraId="1644B9BD" w14:textId="77777777" w:rsidR="00D64459" w:rsidRPr="00493E39" w:rsidRDefault="008B2120">
      <w:pPr>
        <w:rPr>
          <w:rFonts w:cs="Arial"/>
          <w:lang w:val="pt-BR"/>
        </w:rPr>
      </w:pPr>
      <w:r w:rsidRPr="00493E39">
        <w:rPr>
          <w:rFonts w:cs="Arial"/>
          <w:lang w:val="pt-BR"/>
        </w:rPr>
        <w:t>Figura D.1 – Variação mensal do preço na refinaria e frequência de reajuste por regime</w:t>
      </w:r>
    </w:p>
    <w:p w14:paraId="65965775" w14:textId="77777777" w:rsidR="00D64459" w:rsidRPr="00493E39" w:rsidRDefault="008B2120">
      <w:pPr>
        <w:rPr>
          <w:rFonts w:cs="Arial"/>
          <w:lang w:val="pt-BR"/>
        </w:rPr>
      </w:pPr>
      <w:r w:rsidRPr="00493E39">
        <w:rPr>
          <w:rFonts w:cs="Arial"/>
          <w:lang w:val="pt-BR"/>
        </w:rPr>
        <w:t>Figura D.2 – Resíduos da equação de impacto da gasolina na refinaria, por regime</w:t>
      </w:r>
    </w:p>
    <w:p w14:paraId="53A60E80" w14:textId="77777777" w:rsidR="00D64459" w:rsidRPr="00493E39" w:rsidRDefault="008B2120">
      <w:pPr>
        <w:rPr>
          <w:rFonts w:cs="Arial"/>
          <w:lang w:val="pt-BR"/>
        </w:rPr>
      </w:pPr>
      <w:r w:rsidRPr="00493E39">
        <w:rPr>
          <w:rFonts w:cs="Arial"/>
          <w:lang w:val="pt-BR"/>
        </w:rPr>
        <w:t>Figura E.1 – Coeficiente do choque por número de defasagens</w:t>
      </w:r>
    </w:p>
    <w:p w14:paraId="24872D07" w14:textId="77777777" w:rsidR="00D64459" w:rsidRPr="00493E39" w:rsidRDefault="008B2120">
      <w:pPr>
        <w:rPr>
          <w:rFonts w:cs="Arial"/>
          <w:lang w:val="pt-BR"/>
        </w:rPr>
      </w:pPr>
      <w:r w:rsidRPr="00493E39">
        <w:rPr>
          <w:rFonts w:cs="Arial"/>
          <w:lang w:val="pt-BR"/>
        </w:rPr>
        <w:t>Figura F.1 – Resposta acumulada por regime sob os dois cortes</w:t>
      </w:r>
    </w:p>
    <w:p w14:paraId="70D727ED" w14:textId="77777777" w:rsidR="00D64459" w:rsidRPr="00493E39" w:rsidRDefault="008B2120">
      <w:pPr>
        <w:rPr>
          <w:rFonts w:cs="Arial"/>
          <w:lang w:val="pt-BR"/>
        </w:rPr>
      </w:pPr>
      <w:r w:rsidRPr="00493E39">
        <w:rPr>
          <w:rFonts w:cs="Arial"/>
          <w:lang w:val="pt-BR"/>
        </w:rPr>
        <w:br w:type="page"/>
      </w:r>
    </w:p>
    <w:p w14:paraId="0923ACC2" w14:textId="77777777" w:rsidR="00D64459" w:rsidRPr="00493E39" w:rsidRDefault="008B2120">
      <w:pPr>
        <w:spacing w:after="360"/>
        <w:jc w:val="center"/>
        <w:rPr>
          <w:rFonts w:cs="Arial"/>
          <w:lang w:val="pt-BR"/>
        </w:rPr>
      </w:pPr>
      <w:r w:rsidRPr="00493E39">
        <w:rPr>
          <w:rFonts w:cs="Arial"/>
          <w:b/>
          <w:lang w:val="pt-BR"/>
        </w:rPr>
        <w:lastRenderedPageBreak/>
        <w:t>LISTA DE TABELAS E QUADROS</w:t>
      </w:r>
    </w:p>
    <w:p w14:paraId="38A7331E" w14:textId="77777777" w:rsidR="00D64459" w:rsidRPr="00493E39" w:rsidRDefault="008B2120">
      <w:pPr>
        <w:rPr>
          <w:rFonts w:cs="Arial"/>
          <w:lang w:val="pt-BR"/>
        </w:rPr>
      </w:pPr>
      <w:r w:rsidRPr="00493E39">
        <w:rPr>
          <w:rFonts w:cs="Arial"/>
          <w:lang w:val="pt-BR"/>
        </w:rPr>
        <w:t>Quadro 1 – Variáveis e fontes</w:t>
      </w:r>
    </w:p>
    <w:p w14:paraId="0160D8EC" w14:textId="77777777" w:rsidR="00D64459" w:rsidRPr="00493E39" w:rsidRDefault="008B2120">
      <w:pPr>
        <w:rPr>
          <w:rFonts w:cs="Arial"/>
          <w:lang w:val="pt-BR"/>
        </w:rPr>
      </w:pPr>
      <w:r w:rsidRPr="00493E39">
        <w:rPr>
          <w:rFonts w:cs="Arial"/>
          <w:lang w:val="pt-BR"/>
        </w:rPr>
        <w:t>Tabela 1 – Resposta acumulada a um choque de um desvio-padrão no preço do petróleo, amostra completa</w:t>
      </w:r>
    </w:p>
    <w:p w14:paraId="7B6E9319" w14:textId="77777777" w:rsidR="00D64459" w:rsidRPr="00493E39" w:rsidRDefault="008B2120">
      <w:pPr>
        <w:rPr>
          <w:rFonts w:cs="Arial"/>
          <w:lang w:val="pt-BR"/>
        </w:rPr>
      </w:pPr>
      <w:r w:rsidRPr="00493E39">
        <w:rPr>
          <w:rFonts w:cs="Arial"/>
          <w:lang w:val="pt-BR"/>
        </w:rPr>
        <w:t>Tabela 2 – Repasse do choque do petróleo antes e depois de março de 2017</w:t>
      </w:r>
    </w:p>
    <w:p w14:paraId="5C0E1D38" w14:textId="77777777" w:rsidR="00D64459" w:rsidRPr="00493E39" w:rsidRDefault="008B2120">
      <w:pPr>
        <w:rPr>
          <w:rFonts w:cs="Arial"/>
          <w:lang w:val="pt-BR"/>
        </w:rPr>
      </w:pPr>
      <w:r w:rsidRPr="00493E39">
        <w:rPr>
          <w:rFonts w:cs="Arial"/>
          <w:lang w:val="pt-BR"/>
        </w:rPr>
        <w:t>Tabela 3 – Decomposição da resposta acumulada em três meses, por mês de ocorrência</w:t>
      </w:r>
    </w:p>
    <w:p w14:paraId="2483CB61" w14:textId="77777777" w:rsidR="00D64459" w:rsidRPr="00493E39" w:rsidRDefault="008B2120">
      <w:pPr>
        <w:rPr>
          <w:rFonts w:cs="Arial"/>
          <w:lang w:val="pt-BR"/>
        </w:rPr>
      </w:pPr>
      <w:r w:rsidRPr="00493E39">
        <w:rPr>
          <w:rFonts w:cs="Arial"/>
          <w:lang w:val="pt-BR"/>
        </w:rPr>
        <w:t>Tabela 4 – Decomposição da resposta do IPCA Geral segundo o canal dos combustíveis, por regime</w:t>
      </w:r>
    </w:p>
    <w:p w14:paraId="6F1E2080" w14:textId="77777777" w:rsidR="00D64459" w:rsidRPr="00493E39" w:rsidRDefault="008B2120">
      <w:pPr>
        <w:rPr>
          <w:rFonts w:cs="Arial"/>
          <w:lang w:val="pt-BR"/>
        </w:rPr>
      </w:pPr>
      <w:r w:rsidRPr="00493E39">
        <w:rPr>
          <w:rFonts w:cs="Arial"/>
          <w:lang w:val="pt-BR"/>
        </w:rPr>
        <w:t>Tabela 5 – Decomposição do repasse ao IPCA Geral em primeira e segunda volta</w:t>
      </w:r>
    </w:p>
    <w:p w14:paraId="71D1CDA7" w14:textId="77777777" w:rsidR="00D64459" w:rsidRPr="00493E39" w:rsidRDefault="008B2120">
      <w:pPr>
        <w:rPr>
          <w:rFonts w:cs="Arial"/>
          <w:lang w:val="pt-BR"/>
        </w:rPr>
      </w:pPr>
      <w:r w:rsidRPr="00493E39">
        <w:rPr>
          <w:rFonts w:cs="Arial"/>
          <w:lang w:val="pt-BR"/>
        </w:rPr>
        <w:t>Tabela 6 – Data de quebra estimada pelos dados</w:t>
      </w:r>
    </w:p>
    <w:p w14:paraId="18CB62F3" w14:textId="77777777" w:rsidR="00D64459" w:rsidRPr="00493E39" w:rsidRDefault="008B2120">
      <w:pPr>
        <w:rPr>
          <w:rFonts w:cs="Arial"/>
          <w:lang w:val="pt-BR"/>
        </w:rPr>
      </w:pPr>
      <w:r w:rsidRPr="00493E39">
        <w:rPr>
          <w:rFonts w:cs="Arial"/>
          <w:lang w:val="pt-BR"/>
        </w:rPr>
        <w:t>Tabela 7 – Teste de autocorrelação residual da gasolina na refinaria, por subamostra</w:t>
      </w:r>
    </w:p>
    <w:p w14:paraId="5BA76036" w14:textId="77777777" w:rsidR="00D64459" w:rsidRPr="00493E39" w:rsidRDefault="008B2120">
      <w:pPr>
        <w:rPr>
          <w:rFonts w:cs="Arial"/>
          <w:lang w:val="pt-BR"/>
        </w:rPr>
      </w:pPr>
      <w:r w:rsidRPr="00493E39">
        <w:rPr>
          <w:rFonts w:cs="Arial"/>
          <w:lang w:val="pt-BR"/>
        </w:rPr>
        <w:t>Tabela 8 – O repasse estimado e a literatura, por alta de 10% no preço do petróleo</w:t>
      </w:r>
    </w:p>
    <w:p w14:paraId="4D9FD1AE" w14:textId="77777777" w:rsidR="00D64459" w:rsidRPr="00493E39" w:rsidRDefault="008B2120">
      <w:pPr>
        <w:rPr>
          <w:rFonts w:cs="Arial"/>
          <w:lang w:val="pt-BR"/>
        </w:rPr>
      </w:pPr>
      <w:r w:rsidRPr="00493E39">
        <w:rPr>
          <w:rFonts w:cs="Arial"/>
          <w:lang w:val="pt-BR"/>
        </w:rPr>
        <w:t>Tabela G.1 – Estatística F de primeiro estágio, horizonte de impacto</w:t>
      </w:r>
    </w:p>
    <w:p w14:paraId="073BCC0B" w14:textId="77777777" w:rsidR="00D64459" w:rsidRPr="00493E39" w:rsidRDefault="008B2120">
      <w:pPr>
        <w:rPr>
          <w:rFonts w:cs="Arial"/>
          <w:lang w:val="pt-BR"/>
        </w:rPr>
      </w:pPr>
      <w:r w:rsidRPr="00493E39">
        <w:rPr>
          <w:rFonts w:cs="Arial"/>
          <w:lang w:val="pt-BR"/>
        </w:rPr>
        <w:t>Tabela G.2 – Forma reduzida sobre a margem de refino da gasolina</w:t>
      </w:r>
    </w:p>
    <w:p w14:paraId="1C0F6E95" w14:textId="77777777" w:rsidR="00D64459" w:rsidRPr="00493E39" w:rsidRDefault="008B2120">
      <w:pPr>
        <w:rPr>
          <w:rFonts w:cs="Arial"/>
          <w:lang w:val="pt-BR"/>
        </w:rPr>
      </w:pPr>
      <w:r w:rsidRPr="00493E39">
        <w:rPr>
          <w:rFonts w:cs="Arial"/>
          <w:lang w:val="pt-BR"/>
        </w:rPr>
        <w:t>Tabela H.1 – Contribuição dos choques de petróleo ao IPCA por ano civil, 2020 a 2022</w:t>
      </w:r>
    </w:p>
    <w:p w14:paraId="17120088" w14:textId="77777777" w:rsidR="00D64459" w:rsidRPr="00493E39" w:rsidRDefault="008B2120">
      <w:pPr>
        <w:rPr>
          <w:rFonts w:cs="Arial"/>
          <w:lang w:val="pt-BR"/>
        </w:rPr>
      </w:pPr>
      <w:r w:rsidRPr="00493E39">
        <w:rPr>
          <w:rFonts w:cs="Arial"/>
          <w:lang w:val="pt-BR"/>
        </w:rPr>
        <w:t>Tabela H.2 – Resposta acumulada por regime, subgrupos que excluem combustíveis</w:t>
      </w:r>
    </w:p>
    <w:p w14:paraId="28AB0FF0" w14:textId="77777777" w:rsidR="00D64459" w:rsidRPr="00493E39" w:rsidRDefault="008B2120">
      <w:pPr>
        <w:rPr>
          <w:rFonts w:cs="Arial"/>
          <w:lang w:val="pt-BR"/>
        </w:rPr>
      </w:pPr>
      <w:r w:rsidRPr="00493E39">
        <w:rPr>
          <w:rFonts w:cs="Arial"/>
          <w:lang w:val="pt-BR"/>
        </w:rPr>
        <w:t>Tabela I.1 – Repasse do preço internacional ao varejo de gasolina, América Latina e Caribe, abril de 2020 a junho de 2022</w:t>
      </w:r>
    </w:p>
    <w:p w14:paraId="458F3C4F" w14:textId="77777777" w:rsidR="00D64459" w:rsidRPr="00493E39" w:rsidRDefault="008B2120">
      <w:pPr>
        <w:rPr>
          <w:rFonts w:cs="Arial"/>
          <w:lang w:val="pt-BR"/>
        </w:rPr>
      </w:pPr>
      <w:r w:rsidRPr="00493E39">
        <w:rPr>
          <w:rFonts w:cs="Arial"/>
          <w:lang w:val="pt-BR"/>
        </w:rPr>
        <w:t>Tabela I.2 – Distribuição do repasse por regra de preço, 65 economias</w:t>
      </w:r>
    </w:p>
    <w:p w14:paraId="23097F8A" w14:textId="77777777" w:rsidR="00D64459" w:rsidRPr="00493E39" w:rsidRDefault="008B2120">
      <w:pPr>
        <w:rPr>
          <w:rFonts w:cs="Arial"/>
          <w:lang w:val="pt-BR"/>
        </w:rPr>
      </w:pPr>
      <w:r w:rsidRPr="00493E39">
        <w:rPr>
          <w:rFonts w:cs="Arial"/>
          <w:lang w:val="pt-BR"/>
        </w:rPr>
        <w:br w:type="page"/>
      </w:r>
    </w:p>
    <w:p w14:paraId="3E6E86A2" w14:textId="77777777" w:rsidR="00D64459" w:rsidRPr="00493E39" w:rsidRDefault="008B2120">
      <w:pPr>
        <w:spacing w:after="360"/>
        <w:jc w:val="center"/>
        <w:rPr>
          <w:rFonts w:cs="Arial"/>
          <w:lang w:val="pt-BR"/>
        </w:rPr>
      </w:pPr>
      <w:r w:rsidRPr="00493E39">
        <w:rPr>
          <w:rFonts w:cs="Arial"/>
          <w:b/>
          <w:lang w:val="pt-BR"/>
        </w:rPr>
        <w:lastRenderedPageBreak/>
        <w:t>LISTA DE ABREVIATURAS E SIGLAS</w:t>
      </w:r>
    </w:p>
    <w:p w14:paraId="312FC2DA" w14:textId="77777777" w:rsidR="00D64459" w:rsidRPr="00493E39" w:rsidRDefault="008B2120">
      <w:pPr>
        <w:tabs>
          <w:tab w:val="left" w:pos="1701"/>
        </w:tabs>
        <w:rPr>
          <w:rFonts w:cs="Arial"/>
          <w:lang w:val="pt-BR"/>
        </w:rPr>
      </w:pPr>
      <w:r w:rsidRPr="00493E39">
        <w:rPr>
          <w:rFonts w:cs="Arial"/>
          <w:lang w:val="pt-BR"/>
        </w:rPr>
        <w:t>ADF</w:t>
      </w:r>
      <w:r w:rsidRPr="00493E39">
        <w:rPr>
          <w:rFonts w:cs="Arial"/>
          <w:lang w:val="pt-BR"/>
        </w:rPr>
        <w:tab/>
        <w:t xml:space="preserve">Teste de </w:t>
      </w:r>
      <w:proofErr w:type="spellStart"/>
      <w:r w:rsidRPr="00493E39">
        <w:rPr>
          <w:rFonts w:cs="Arial"/>
          <w:lang w:val="pt-BR"/>
        </w:rPr>
        <w:t>Dickey</w:t>
      </w:r>
      <w:proofErr w:type="spellEnd"/>
      <w:r w:rsidRPr="00493E39">
        <w:rPr>
          <w:rFonts w:cs="Arial"/>
          <w:lang w:val="pt-BR"/>
        </w:rPr>
        <w:t>-Fuller aumentado</w:t>
      </w:r>
    </w:p>
    <w:p w14:paraId="10530269" w14:textId="77777777" w:rsidR="00D64459" w:rsidRPr="00493E39" w:rsidRDefault="008B2120">
      <w:pPr>
        <w:tabs>
          <w:tab w:val="left" w:pos="1701"/>
        </w:tabs>
        <w:rPr>
          <w:rFonts w:cs="Arial"/>
          <w:lang w:val="pt-BR"/>
        </w:rPr>
      </w:pPr>
      <w:r w:rsidRPr="00493E39">
        <w:rPr>
          <w:rFonts w:cs="Arial"/>
          <w:lang w:val="pt-BR"/>
        </w:rPr>
        <w:t>ANP</w:t>
      </w:r>
      <w:r w:rsidRPr="00493E39">
        <w:rPr>
          <w:rFonts w:cs="Arial"/>
          <w:lang w:val="pt-BR"/>
        </w:rPr>
        <w:tab/>
        <w:t>Agência Nacional do Petróleo, Gás Natural e Biocombustíveis</w:t>
      </w:r>
    </w:p>
    <w:p w14:paraId="5B90281F" w14:textId="77777777" w:rsidR="00D64459" w:rsidRPr="00493E39" w:rsidRDefault="008B2120">
      <w:pPr>
        <w:tabs>
          <w:tab w:val="left" w:pos="1701"/>
        </w:tabs>
        <w:rPr>
          <w:rFonts w:cs="Arial"/>
          <w:lang w:val="pt-BR"/>
        </w:rPr>
      </w:pPr>
      <w:r w:rsidRPr="00493E39">
        <w:rPr>
          <w:rFonts w:cs="Arial"/>
          <w:lang w:val="pt-BR"/>
        </w:rPr>
        <w:t>AR</w:t>
      </w:r>
      <w:r w:rsidRPr="00493E39">
        <w:rPr>
          <w:rFonts w:cs="Arial"/>
          <w:lang w:val="pt-BR"/>
        </w:rPr>
        <w:tab/>
        <w:t>Anderson-Rubin</w:t>
      </w:r>
    </w:p>
    <w:p w14:paraId="44600D05" w14:textId="77777777" w:rsidR="00D64459" w:rsidRPr="00493E39" w:rsidRDefault="008B2120">
      <w:pPr>
        <w:tabs>
          <w:tab w:val="left" w:pos="1701"/>
        </w:tabs>
        <w:rPr>
          <w:rFonts w:cs="Arial"/>
          <w:lang w:val="pt-BR"/>
        </w:rPr>
      </w:pPr>
      <w:r w:rsidRPr="00493E39">
        <w:rPr>
          <w:rFonts w:cs="Arial"/>
          <w:lang w:val="pt-BR"/>
        </w:rPr>
        <w:t>BCB</w:t>
      </w:r>
      <w:r w:rsidRPr="00493E39">
        <w:rPr>
          <w:rFonts w:cs="Arial"/>
          <w:lang w:val="pt-BR"/>
        </w:rPr>
        <w:tab/>
        <w:t>Banco Central do Brasil</w:t>
      </w:r>
    </w:p>
    <w:p w14:paraId="33E057E7" w14:textId="77777777" w:rsidR="00D64459" w:rsidRPr="00493E39" w:rsidRDefault="008B2120">
      <w:pPr>
        <w:tabs>
          <w:tab w:val="left" w:pos="1701"/>
        </w:tabs>
        <w:rPr>
          <w:rFonts w:cs="Arial"/>
          <w:lang w:val="pt-BR"/>
        </w:rPr>
      </w:pPr>
      <w:r w:rsidRPr="00493E39">
        <w:rPr>
          <w:rFonts w:cs="Arial"/>
          <w:lang w:val="pt-BR"/>
        </w:rPr>
        <w:t>Copom</w:t>
      </w:r>
      <w:r w:rsidRPr="00493E39">
        <w:rPr>
          <w:rFonts w:cs="Arial"/>
          <w:lang w:val="pt-BR"/>
        </w:rPr>
        <w:tab/>
        <w:t>Comitê de Política Monetária</w:t>
      </w:r>
    </w:p>
    <w:p w14:paraId="4098FFA7" w14:textId="77777777" w:rsidR="00D64459" w:rsidRPr="00493E39" w:rsidRDefault="008B2120">
      <w:pPr>
        <w:tabs>
          <w:tab w:val="left" w:pos="1701"/>
        </w:tabs>
        <w:rPr>
          <w:rFonts w:cs="Arial"/>
          <w:lang w:val="pt-BR"/>
        </w:rPr>
      </w:pPr>
      <w:r w:rsidRPr="00493E39">
        <w:rPr>
          <w:rFonts w:cs="Arial"/>
          <w:lang w:val="pt-BR"/>
        </w:rPr>
        <w:t>EIA</w:t>
      </w:r>
      <w:r w:rsidRPr="00493E39">
        <w:rPr>
          <w:rFonts w:cs="Arial"/>
          <w:lang w:val="pt-BR"/>
        </w:rPr>
        <w:tab/>
        <w:t xml:space="preserve">U.S. Energy </w:t>
      </w:r>
      <w:proofErr w:type="spellStart"/>
      <w:r w:rsidRPr="00493E39">
        <w:rPr>
          <w:rFonts w:cs="Arial"/>
          <w:lang w:val="pt-BR"/>
        </w:rPr>
        <w:t>Information</w:t>
      </w:r>
      <w:proofErr w:type="spellEnd"/>
      <w:r w:rsidRPr="00493E39">
        <w:rPr>
          <w:rFonts w:cs="Arial"/>
          <w:lang w:val="pt-BR"/>
        </w:rPr>
        <w:t xml:space="preserve"> </w:t>
      </w:r>
      <w:proofErr w:type="spellStart"/>
      <w:r w:rsidRPr="00493E39">
        <w:rPr>
          <w:rFonts w:cs="Arial"/>
          <w:lang w:val="pt-BR"/>
        </w:rPr>
        <w:t>Administration</w:t>
      </w:r>
      <w:proofErr w:type="spellEnd"/>
    </w:p>
    <w:p w14:paraId="48946F20" w14:textId="77777777" w:rsidR="00D64459" w:rsidRPr="00493E39" w:rsidRDefault="008B2120">
      <w:pPr>
        <w:tabs>
          <w:tab w:val="left" w:pos="1701"/>
        </w:tabs>
        <w:rPr>
          <w:rFonts w:cs="Arial"/>
        </w:rPr>
      </w:pPr>
      <w:r w:rsidRPr="00493E39">
        <w:rPr>
          <w:rFonts w:cs="Arial"/>
        </w:rPr>
        <w:t>FWL</w:t>
      </w:r>
      <w:r w:rsidRPr="00493E39">
        <w:rPr>
          <w:rFonts w:cs="Arial"/>
        </w:rPr>
        <w:tab/>
        <w:t>Frisch-Waugh-Lovell</w:t>
      </w:r>
    </w:p>
    <w:p w14:paraId="01780714" w14:textId="77777777" w:rsidR="00D64459" w:rsidRPr="00493E39" w:rsidRDefault="008B2120">
      <w:pPr>
        <w:tabs>
          <w:tab w:val="left" w:pos="1701"/>
        </w:tabs>
        <w:rPr>
          <w:rFonts w:cs="Arial"/>
        </w:rPr>
      </w:pPr>
      <w:r w:rsidRPr="00493E39">
        <w:rPr>
          <w:rFonts w:cs="Arial"/>
        </w:rPr>
        <w:t>HAC</w:t>
      </w:r>
      <w:r w:rsidRPr="00493E39">
        <w:rPr>
          <w:rFonts w:cs="Arial"/>
        </w:rPr>
        <w:tab/>
        <w:t>Heteroskedasticity and Autocorrelation Consistent</w:t>
      </w:r>
    </w:p>
    <w:p w14:paraId="74B445AE" w14:textId="77777777" w:rsidR="00D64459" w:rsidRPr="00493E39" w:rsidRDefault="008B2120">
      <w:pPr>
        <w:tabs>
          <w:tab w:val="left" w:pos="1701"/>
        </w:tabs>
        <w:rPr>
          <w:rFonts w:cs="Arial"/>
          <w:lang w:val="pt-BR"/>
        </w:rPr>
      </w:pPr>
      <w:r w:rsidRPr="00493E39">
        <w:rPr>
          <w:rFonts w:cs="Arial"/>
          <w:lang w:val="pt-BR"/>
        </w:rPr>
        <w:t>IBC-Br</w:t>
      </w:r>
      <w:r w:rsidRPr="00493E39">
        <w:rPr>
          <w:rFonts w:cs="Arial"/>
          <w:lang w:val="pt-BR"/>
        </w:rPr>
        <w:tab/>
        <w:t>Índice de Atividade Econômica do Banco Central</w:t>
      </w:r>
    </w:p>
    <w:p w14:paraId="42E225FD" w14:textId="77777777" w:rsidR="00D64459" w:rsidRPr="00493E39" w:rsidRDefault="008B2120">
      <w:pPr>
        <w:tabs>
          <w:tab w:val="left" w:pos="1701"/>
        </w:tabs>
        <w:rPr>
          <w:rFonts w:cs="Arial"/>
          <w:lang w:val="pt-BR"/>
        </w:rPr>
      </w:pPr>
      <w:r w:rsidRPr="00493E39">
        <w:rPr>
          <w:rFonts w:cs="Arial"/>
          <w:lang w:val="pt-BR"/>
        </w:rPr>
        <w:t>IBGE</w:t>
      </w:r>
      <w:r w:rsidRPr="00493E39">
        <w:rPr>
          <w:rFonts w:cs="Arial"/>
          <w:lang w:val="pt-BR"/>
        </w:rPr>
        <w:tab/>
        <w:t>Instituto Brasileiro de Geografia e Estatística</w:t>
      </w:r>
    </w:p>
    <w:p w14:paraId="78D83100" w14:textId="77777777" w:rsidR="00D64459" w:rsidRPr="00493E39" w:rsidRDefault="008B2120">
      <w:pPr>
        <w:tabs>
          <w:tab w:val="left" w:pos="1701"/>
        </w:tabs>
        <w:rPr>
          <w:rFonts w:cs="Arial"/>
          <w:lang w:val="pt-BR"/>
        </w:rPr>
      </w:pPr>
      <w:r w:rsidRPr="00493E39">
        <w:rPr>
          <w:rFonts w:cs="Arial"/>
          <w:lang w:val="pt-BR"/>
        </w:rPr>
        <w:t>IPCA</w:t>
      </w:r>
      <w:r w:rsidRPr="00493E39">
        <w:rPr>
          <w:rFonts w:cs="Arial"/>
          <w:lang w:val="pt-BR"/>
        </w:rPr>
        <w:tab/>
        <w:t>Índice Nacional de Preços ao Consumidor Amplo</w:t>
      </w:r>
    </w:p>
    <w:p w14:paraId="18DCC1E4" w14:textId="77777777" w:rsidR="00D64459" w:rsidRPr="00493E39" w:rsidRDefault="008B2120">
      <w:pPr>
        <w:tabs>
          <w:tab w:val="left" w:pos="1701"/>
        </w:tabs>
        <w:rPr>
          <w:rFonts w:cs="Arial"/>
          <w:lang w:val="pt-BR"/>
        </w:rPr>
      </w:pPr>
      <w:r w:rsidRPr="00493E39">
        <w:rPr>
          <w:rFonts w:cs="Arial"/>
          <w:lang w:val="pt-BR"/>
        </w:rPr>
        <w:t>LP</w:t>
      </w:r>
      <w:r w:rsidRPr="00493E39">
        <w:rPr>
          <w:rFonts w:cs="Arial"/>
          <w:lang w:val="pt-BR"/>
        </w:rPr>
        <w:tab/>
        <w:t xml:space="preserve">Local </w:t>
      </w:r>
      <w:proofErr w:type="spellStart"/>
      <w:r w:rsidRPr="00493E39">
        <w:rPr>
          <w:rFonts w:cs="Arial"/>
          <w:lang w:val="pt-BR"/>
        </w:rPr>
        <w:t>Projections</w:t>
      </w:r>
      <w:proofErr w:type="spellEnd"/>
      <w:r w:rsidRPr="00493E39">
        <w:rPr>
          <w:rFonts w:cs="Arial"/>
          <w:lang w:val="pt-BR"/>
        </w:rPr>
        <w:t xml:space="preserve"> (projeções locais)</w:t>
      </w:r>
    </w:p>
    <w:p w14:paraId="68070917" w14:textId="77777777" w:rsidR="00D64459" w:rsidRPr="00493E39" w:rsidRDefault="008B2120">
      <w:pPr>
        <w:tabs>
          <w:tab w:val="left" w:pos="1701"/>
        </w:tabs>
        <w:rPr>
          <w:rFonts w:cs="Arial"/>
          <w:lang w:val="pt-BR"/>
        </w:rPr>
      </w:pPr>
      <w:r w:rsidRPr="00493E39">
        <w:rPr>
          <w:rFonts w:cs="Arial"/>
          <w:lang w:val="pt-BR"/>
        </w:rPr>
        <w:t>LP-IV</w:t>
      </w:r>
      <w:r w:rsidRPr="00493E39">
        <w:rPr>
          <w:rFonts w:cs="Arial"/>
          <w:lang w:val="pt-BR"/>
        </w:rPr>
        <w:tab/>
        <w:t>Projeções locais com variável instrumental</w:t>
      </w:r>
    </w:p>
    <w:p w14:paraId="70F49936" w14:textId="77777777" w:rsidR="00D64459" w:rsidRPr="00493E39" w:rsidRDefault="008B2120">
      <w:pPr>
        <w:tabs>
          <w:tab w:val="left" w:pos="1701"/>
        </w:tabs>
        <w:rPr>
          <w:rFonts w:cs="Arial"/>
          <w:lang w:val="pt-BR"/>
        </w:rPr>
      </w:pPr>
      <w:r w:rsidRPr="00493E39">
        <w:rPr>
          <w:rFonts w:cs="Arial"/>
          <w:lang w:val="pt-BR"/>
        </w:rPr>
        <w:t>OPEP</w:t>
      </w:r>
      <w:r w:rsidRPr="00493E39">
        <w:rPr>
          <w:rFonts w:cs="Arial"/>
          <w:lang w:val="pt-BR"/>
        </w:rPr>
        <w:tab/>
        <w:t>Organização dos Países Exportadores de Petróleo</w:t>
      </w:r>
    </w:p>
    <w:p w14:paraId="72A68EFF" w14:textId="77777777" w:rsidR="00D64459" w:rsidRPr="00493E39" w:rsidRDefault="008B2120">
      <w:pPr>
        <w:tabs>
          <w:tab w:val="left" w:pos="1701"/>
        </w:tabs>
        <w:rPr>
          <w:rFonts w:cs="Arial"/>
          <w:lang w:val="pt-BR"/>
        </w:rPr>
      </w:pPr>
      <w:r w:rsidRPr="00493E39">
        <w:rPr>
          <w:rFonts w:cs="Arial"/>
          <w:lang w:val="pt-BR"/>
        </w:rPr>
        <w:t>PPI</w:t>
      </w:r>
      <w:r w:rsidRPr="00493E39">
        <w:rPr>
          <w:rFonts w:cs="Arial"/>
          <w:lang w:val="pt-BR"/>
        </w:rPr>
        <w:tab/>
        <w:t>Preço de Paridade de Importação</w:t>
      </w:r>
    </w:p>
    <w:p w14:paraId="7AC8B981" w14:textId="77777777" w:rsidR="00D64459" w:rsidRPr="00493E39" w:rsidRDefault="008B2120">
      <w:pPr>
        <w:tabs>
          <w:tab w:val="left" w:pos="1701"/>
        </w:tabs>
        <w:rPr>
          <w:rFonts w:cs="Arial"/>
          <w:lang w:val="pt-BR"/>
        </w:rPr>
      </w:pPr>
      <w:r w:rsidRPr="00493E39">
        <w:rPr>
          <w:rFonts w:cs="Arial"/>
          <w:lang w:val="pt-BR"/>
        </w:rPr>
        <w:t>SGS</w:t>
      </w:r>
      <w:r w:rsidRPr="00493E39">
        <w:rPr>
          <w:rFonts w:cs="Arial"/>
          <w:lang w:val="pt-BR"/>
        </w:rPr>
        <w:tab/>
        <w:t>Sistema Gerenciador de Séries Temporais do Banco Central</w:t>
      </w:r>
    </w:p>
    <w:p w14:paraId="01818739" w14:textId="77777777" w:rsidR="00D64459" w:rsidRPr="00493E39" w:rsidRDefault="008B2120">
      <w:pPr>
        <w:tabs>
          <w:tab w:val="left" w:pos="1701"/>
        </w:tabs>
        <w:rPr>
          <w:rFonts w:cs="Arial"/>
          <w:lang w:val="pt-BR"/>
        </w:rPr>
      </w:pPr>
      <w:r w:rsidRPr="00493E39">
        <w:rPr>
          <w:rFonts w:cs="Arial"/>
          <w:lang w:val="pt-BR"/>
        </w:rPr>
        <w:t>2SLS</w:t>
      </w:r>
      <w:r w:rsidRPr="00493E39">
        <w:rPr>
          <w:rFonts w:cs="Arial"/>
          <w:lang w:val="pt-BR"/>
        </w:rPr>
        <w:tab/>
        <w:t>Mínimos quadrados em dois estágios</w:t>
      </w:r>
    </w:p>
    <w:p w14:paraId="612D44D6" w14:textId="77777777" w:rsidR="00D64459" w:rsidRPr="00493E39" w:rsidRDefault="008B2120">
      <w:pPr>
        <w:rPr>
          <w:rFonts w:cs="Arial"/>
          <w:lang w:val="pt-BR"/>
        </w:rPr>
      </w:pPr>
      <w:r w:rsidRPr="00493E39">
        <w:rPr>
          <w:rFonts w:cs="Arial"/>
          <w:lang w:val="pt-BR"/>
        </w:rPr>
        <w:br w:type="page"/>
      </w:r>
    </w:p>
    <w:p w14:paraId="20B6A940" w14:textId="77777777" w:rsidR="00D64459" w:rsidRPr="00493E39" w:rsidRDefault="008B2120">
      <w:pPr>
        <w:spacing w:after="360"/>
        <w:jc w:val="center"/>
        <w:rPr>
          <w:rFonts w:cs="Arial"/>
          <w:lang w:val="pt-BR"/>
        </w:rPr>
      </w:pPr>
      <w:r w:rsidRPr="00493E39">
        <w:rPr>
          <w:rFonts w:cs="Arial"/>
          <w:b/>
          <w:lang w:val="pt-BR"/>
        </w:rPr>
        <w:lastRenderedPageBreak/>
        <w:t>SUMÁRIO</w:t>
      </w:r>
    </w:p>
    <w:p w14:paraId="1A87C396" w14:textId="613A746C" w:rsidR="00D34F92" w:rsidRPr="00493E39" w:rsidRDefault="008B2120">
      <w:pPr>
        <w:pStyle w:val="TOC1"/>
        <w:tabs>
          <w:tab w:val="right" w:leader="dot" w:pos="9395"/>
        </w:tabs>
        <w:rPr>
          <w:rFonts w:eastAsiaTheme="minorEastAsia" w:cs="Arial"/>
          <w:noProof/>
          <w:color w:val="auto"/>
          <w:kern w:val="2"/>
          <w:szCs w:val="24"/>
          <w:lang w:val="pt-BR" w:eastAsia="pt-BR"/>
          <w14:ligatures w14:val="standardContextual"/>
        </w:rPr>
      </w:pPr>
      <w:hyperlink w:anchor="_Toc239713549" w:history="1">
        <w:r w:rsidRPr="00493E39">
          <w:rPr>
            <w:rFonts w:cs="Arial"/>
            <w:noProof/>
            <w:lang w:val="pt-BR"/>
          </w:rPr>
          <w:t>1 INTRODUÇÃO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_Toc239713549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12</w:t>
        </w:r>
        <w:r w:rsidRPr="00493E39">
          <w:rPr>
            <w:rFonts w:cs="Arial"/>
            <w:noProof/>
            <w:webHidden/>
          </w:rPr>
          <w:fldChar w:fldCharType="end"/>
        </w:r>
      </w:hyperlink>
    </w:p>
    <w:p w14:paraId="656701F8" w14:textId="0E214059"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50" w:history="1">
        <w:r w:rsidRPr="00493E39">
          <w:rPr>
            <w:rFonts w:cs="Arial"/>
            <w:noProof/>
            <w:lang w:val="pt-BR"/>
          </w:rPr>
          <w:t>2 REFERENCIAL TEÓRICO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_Toc239713550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14</w:t>
        </w:r>
        <w:r w:rsidRPr="00493E39">
          <w:rPr>
            <w:rFonts w:cs="Arial"/>
            <w:noProof/>
            <w:webHidden/>
          </w:rPr>
          <w:fldChar w:fldCharType="end"/>
        </w:r>
      </w:hyperlink>
    </w:p>
    <w:p w14:paraId="3BC374F0" w14:textId="7E85ED94"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1" w:history="1">
        <w:r w:rsidRPr="00493E39">
          <w:rPr>
            <w:rFonts w:cs="Arial"/>
            <w:noProof/>
            <w:lang w:val="pt-BR"/>
          </w:rPr>
          <w:t>2.1 O repasse do petróleo à inflação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_Toc239713551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14</w:t>
        </w:r>
        <w:r w:rsidRPr="00493E39">
          <w:rPr>
            <w:rFonts w:cs="Arial"/>
            <w:noProof/>
            <w:webHidden/>
          </w:rPr>
          <w:fldChar w:fldCharType="end"/>
        </w:r>
      </w:hyperlink>
    </w:p>
    <w:p w14:paraId="5469FFF7" w14:textId="489AE594"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2" w:history="1">
        <w:r w:rsidRPr="00493E39">
          <w:rPr>
            <w:rFonts w:cs="Arial"/>
            <w:noProof/>
            <w:lang w:val="pt-BR"/>
          </w:rPr>
          <w:t>2.2 Nem todo choque de petróleo é igual</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_Toc239713552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16</w:t>
        </w:r>
        <w:r w:rsidRPr="00493E39">
          <w:rPr>
            <w:rFonts w:cs="Arial"/>
            <w:noProof/>
            <w:webHidden/>
          </w:rPr>
          <w:fldChar w:fldCharType="end"/>
        </w:r>
      </w:hyperlink>
    </w:p>
    <w:p w14:paraId="018D8C56" w14:textId="287B8083"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3" w:history="1">
        <w:r w:rsidRPr="00493E39">
          <w:rPr>
            <w:rFonts w:cs="Arial"/>
            <w:noProof/>
            <w:lang w:val="pt-BR"/>
          </w:rPr>
          <w:t>2.3 Preços de combustíveis no Brasil: da contenção à paridade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_Toc239713553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17</w:t>
        </w:r>
        <w:r w:rsidRPr="00493E39">
          <w:rPr>
            <w:rFonts w:cs="Arial"/>
            <w:noProof/>
            <w:webHidden/>
          </w:rPr>
          <w:fldChar w:fldCharType="end"/>
        </w:r>
      </w:hyperlink>
    </w:p>
    <w:p w14:paraId="2E4D7E68" w14:textId="1C5AD235"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4" w:history="1">
        <w:r w:rsidRPr="00493E39">
          <w:rPr>
            <w:rFonts w:cs="Arial"/>
            <w:noProof/>
            <w:lang w:val="pt-BR"/>
          </w:rPr>
          <w:t>2.4 Projeções locais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_Toc239713554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19</w:t>
        </w:r>
        <w:r w:rsidRPr="00493E39">
          <w:rPr>
            <w:rFonts w:cs="Arial"/>
            <w:noProof/>
            <w:webHidden/>
          </w:rPr>
          <w:fldChar w:fldCharType="end"/>
        </w:r>
      </w:hyperlink>
    </w:p>
    <w:p w14:paraId="6DF73A57" w14:textId="189A76CE"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5" w:history="1">
        <w:r w:rsidRPr="00493E39">
          <w:rPr>
            <w:rFonts w:cs="Arial"/>
            <w:noProof/>
            <w:lang w:val="pt-BR"/>
          </w:rPr>
          <w:t>2.5 Quebra estrutural e inferência robusta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_Toc239713555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20</w:t>
        </w:r>
        <w:r w:rsidRPr="00493E39">
          <w:rPr>
            <w:rFonts w:cs="Arial"/>
            <w:noProof/>
            <w:webHidden/>
          </w:rPr>
          <w:fldChar w:fldCharType="end"/>
        </w:r>
      </w:hyperlink>
    </w:p>
    <w:p w14:paraId="408609CA" w14:textId="2083A22E"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6" w:history="1">
        <w:r w:rsidRPr="00493E39">
          <w:rPr>
            <w:rFonts w:cs="Arial"/>
            <w:noProof/>
            <w:lang w:val="pt-BR"/>
          </w:rPr>
          <w:t>2.6 A lacuna que este trabalho ocupa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_Toc239713556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21</w:t>
        </w:r>
        <w:r w:rsidRPr="00493E39">
          <w:rPr>
            <w:rFonts w:cs="Arial"/>
            <w:noProof/>
            <w:webHidden/>
          </w:rPr>
          <w:fldChar w:fldCharType="end"/>
        </w:r>
      </w:hyperlink>
    </w:p>
    <w:p w14:paraId="71325515" w14:textId="15A5ADBB"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57" w:history="1">
        <w:r w:rsidRPr="00493E39">
          <w:rPr>
            <w:rFonts w:cs="Arial"/>
            <w:noProof/>
            <w:lang w:val="pt-BR"/>
          </w:rPr>
          <w:t>3 METODOLOGIA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_Toc239713557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22</w:t>
        </w:r>
        <w:r w:rsidRPr="00493E39">
          <w:rPr>
            <w:rFonts w:cs="Arial"/>
            <w:noProof/>
            <w:webHidden/>
          </w:rPr>
          <w:fldChar w:fldCharType="end"/>
        </w:r>
      </w:hyperlink>
    </w:p>
    <w:p w14:paraId="32F70A81" w14:textId="2F9733F3"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8" w:history="1">
        <w:r w:rsidRPr="00493E39">
          <w:rPr>
            <w:rFonts w:cs="Arial"/>
            <w:noProof/>
            <w:lang w:val="pt-BR"/>
          </w:rPr>
          <w:t>3.1 Dados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_Toc239713558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22</w:t>
        </w:r>
        <w:r w:rsidRPr="00493E39">
          <w:rPr>
            <w:rFonts w:cs="Arial"/>
            <w:noProof/>
            <w:webHidden/>
          </w:rPr>
          <w:fldChar w:fldCharType="end"/>
        </w:r>
      </w:hyperlink>
    </w:p>
    <w:p w14:paraId="4A5AC4B7" w14:textId="331E8041"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59" w:history="1">
        <w:r w:rsidRPr="00493E39">
          <w:rPr>
            <w:rFonts w:cs="Arial"/>
            <w:noProof/>
            <w:lang w:val="pt-BR"/>
          </w:rPr>
          <w:t>3.2 A medida de choque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_Toc239713559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23</w:t>
        </w:r>
        <w:r w:rsidRPr="00493E39">
          <w:rPr>
            <w:rFonts w:cs="Arial"/>
            <w:noProof/>
            <w:webHidden/>
          </w:rPr>
          <w:fldChar w:fldCharType="end"/>
        </w:r>
      </w:hyperlink>
    </w:p>
    <w:p w14:paraId="17396FC2" w14:textId="7613D351"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0" w:history="1">
        <w:r w:rsidRPr="00493E39">
          <w:rPr>
            <w:rFonts w:cs="Arial"/>
            <w:noProof/>
            <w:lang w:val="pt-BR"/>
          </w:rPr>
          <w:t>3.3 Projeções locais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_Toc239713560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24</w:t>
        </w:r>
        <w:r w:rsidRPr="00493E39">
          <w:rPr>
            <w:rFonts w:cs="Arial"/>
            <w:noProof/>
            <w:webHidden/>
          </w:rPr>
          <w:fldChar w:fldCharType="end"/>
        </w:r>
      </w:hyperlink>
    </w:p>
    <w:p w14:paraId="11811FB3" w14:textId="46D811A7"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1" w:history="1">
        <w:r w:rsidRPr="00493E39">
          <w:rPr>
            <w:rFonts w:cs="Arial"/>
            <w:noProof/>
            <w:lang w:val="pt-BR"/>
          </w:rPr>
          <w:t>3.4 A especificação por regime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_Toc239713561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25</w:t>
        </w:r>
        <w:r w:rsidRPr="00493E39">
          <w:rPr>
            <w:rFonts w:cs="Arial"/>
            <w:noProof/>
            <w:webHidden/>
          </w:rPr>
          <w:fldChar w:fldCharType="end"/>
        </w:r>
      </w:hyperlink>
    </w:p>
    <w:p w14:paraId="21A9CEAD" w14:textId="5996D592"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2" w:history="1">
        <w:r w:rsidRPr="00493E39">
          <w:rPr>
            <w:rFonts w:cs="Arial"/>
            <w:noProof/>
            <w:lang w:val="pt-BR"/>
          </w:rPr>
          <w:t>3.5 Inferência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_Toc239713562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27</w:t>
        </w:r>
        <w:r w:rsidRPr="00493E39">
          <w:rPr>
            <w:rFonts w:cs="Arial"/>
            <w:noProof/>
            <w:webHidden/>
          </w:rPr>
          <w:fldChar w:fldCharType="end"/>
        </w:r>
      </w:hyperlink>
    </w:p>
    <w:p w14:paraId="0A6A829D" w14:textId="0100EDD6"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3" w:history="1">
        <w:r w:rsidRPr="00493E39">
          <w:rPr>
            <w:rFonts w:cs="Arial"/>
            <w:noProof/>
            <w:lang w:val="pt-BR"/>
          </w:rPr>
          <w:t>3.6 Datação da mudança de regime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_Toc239713563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28</w:t>
        </w:r>
        <w:r w:rsidRPr="00493E39">
          <w:rPr>
            <w:rFonts w:cs="Arial"/>
            <w:noProof/>
            <w:webHidden/>
          </w:rPr>
          <w:fldChar w:fldCharType="end"/>
        </w:r>
      </w:hyperlink>
    </w:p>
    <w:p w14:paraId="33218A9E" w14:textId="2A672B4A"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4" w:history="1">
        <w:r w:rsidRPr="00493E39">
          <w:rPr>
            <w:rFonts w:cs="Arial"/>
            <w:noProof/>
            <w:lang w:val="pt-BR"/>
          </w:rPr>
          <w:t>3.7 Decomposição do canal e efeitos de segunda volta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_Toc239713564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29</w:t>
        </w:r>
        <w:r w:rsidRPr="00493E39">
          <w:rPr>
            <w:rFonts w:cs="Arial"/>
            <w:noProof/>
            <w:webHidden/>
          </w:rPr>
          <w:fldChar w:fldCharType="end"/>
        </w:r>
      </w:hyperlink>
    </w:p>
    <w:p w14:paraId="28CF911D" w14:textId="6B1027FB"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5" w:history="1">
        <w:r w:rsidRPr="00493E39">
          <w:rPr>
            <w:rFonts w:cs="Arial"/>
            <w:noProof/>
            <w:lang w:val="pt-BR"/>
          </w:rPr>
          <w:t>3.8 Verificações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_Toc239713565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30</w:t>
        </w:r>
        <w:r w:rsidRPr="00493E39">
          <w:rPr>
            <w:rFonts w:cs="Arial"/>
            <w:noProof/>
            <w:webHidden/>
          </w:rPr>
          <w:fldChar w:fldCharType="end"/>
        </w:r>
      </w:hyperlink>
    </w:p>
    <w:p w14:paraId="3DFEC47A" w14:textId="00274B96"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66" w:history="1">
        <w:r w:rsidRPr="00493E39">
          <w:rPr>
            <w:rFonts w:cs="Arial"/>
            <w:noProof/>
            <w:lang w:val="pt-BR"/>
          </w:rPr>
          <w:t>4 RESULTADOS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_Toc239713566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31</w:t>
        </w:r>
        <w:r w:rsidRPr="00493E39">
          <w:rPr>
            <w:rFonts w:cs="Arial"/>
            <w:noProof/>
            <w:webHidden/>
          </w:rPr>
          <w:fldChar w:fldCharType="end"/>
        </w:r>
      </w:hyperlink>
    </w:p>
    <w:p w14:paraId="71C445F9" w14:textId="0A537142"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7" w:history="1">
        <w:r w:rsidRPr="00493E39">
          <w:rPr>
            <w:rFonts w:cs="Arial"/>
            <w:noProof/>
            <w:lang w:val="pt-BR"/>
          </w:rPr>
          <w:t>4.1 O que este capítulo estabelece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_Toc239713567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31</w:t>
        </w:r>
        <w:r w:rsidRPr="00493E39">
          <w:rPr>
            <w:rFonts w:cs="Arial"/>
            <w:noProof/>
            <w:webHidden/>
          </w:rPr>
          <w:fldChar w:fldCharType="end"/>
        </w:r>
      </w:hyperlink>
    </w:p>
    <w:p w14:paraId="11BD5081" w14:textId="516CA88A"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8" w:history="1">
        <w:r w:rsidRPr="00493E39">
          <w:rPr>
            <w:rFonts w:cs="Arial"/>
            <w:noProof/>
            <w:lang w:val="pt-BR"/>
          </w:rPr>
          <w:t>4.2 Por que a resposta média não é o objeto de interesse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_Toc239713568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31</w:t>
        </w:r>
        <w:r w:rsidRPr="00493E39">
          <w:rPr>
            <w:rFonts w:cs="Arial"/>
            <w:noProof/>
            <w:webHidden/>
          </w:rPr>
          <w:fldChar w:fldCharType="end"/>
        </w:r>
      </w:hyperlink>
    </w:p>
    <w:p w14:paraId="26C61FD5" w14:textId="0B88648A"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69" w:history="1">
        <w:r w:rsidRPr="00493E39">
          <w:rPr>
            <w:rFonts w:cs="Arial"/>
            <w:noProof/>
            <w:lang w:val="pt-BR"/>
          </w:rPr>
          <w:t>4.3 O repasse antes e depois da paridade de importação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_Toc239713569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32</w:t>
        </w:r>
        <w:r w:rsidRPr="00493E39">
          <w:rPr>
            <w:rFonts w:cs="Arial"/>
            <w:noProof/>
            <w:webHidden/>
          </w:rPr>
          <w:fldChar w:fldCharType="end"/>
        </w:r>
      </w:hyperlink>
    </w:p>
    <w:p w14:paraId="19C00659" w14:textId="6954AEE4"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70" w:history="1">
        <w:r w:rsidRPr="00493E39">
          <w:rPr>
            <w:rFonts w:cs="Arial"/>
            <w:noProof/>
            <w:lang w:val="pt-BR"/>
          </w:rPr>
          <w:t>4.4 Quando o repasse ocorre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_Toc239713570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36</w:t>
        </w:r>
        <w:r w:rsidRPr="00493E39">
          <w:rPr>
            <w:rFonts w:cs="Arial"/>
            <w:noProof/>
            <w:webHidden/>
          </w:rPr>
          <w:fldChar w:fldCharType="end"/>
        </w:r>
      </w:hyperlink>
    </w:p>
    <w:p w14:paraId="76C0413F" w14:textId="54A75188"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71" w:history="1">
        <w:r w:rsidRPr="00493E39">
          <w:rPr>
            <w:rFonts w:cs="Arial"/>
            <w:noProof/>
            <w:lang w:val="pt-BR"/>
          </w:rPr>
          <w:t>4.5 Por onde o repasse passa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_Toc239713571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37</w:t>
        </w:r>
        <w:r w:rsidRPr="00493E39">
          <w:rPr>
            <w:rFonts w:cs="Arial"/>
            <w:noProof/>
            <w:webHidden/>
          </w:rPr>
          <w:fldChar w:fldCharType="end"/>
        </w:r>
      </w:hyperlink>
    </w:p>
    <w:p w14:paraId="48940193" w14:textId="5C1237F6"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72" w:history="1">
        <w:r w:rsidRPr="00493E39">
          <w:rPr>
            <w:rFonts w:cs="Arial"/>
            <w:noProof/>
            <w:lang w:val="pt-BR"/>
          </w:rPr>
          <w:t>4.5.1 Efeito aritmético e efeito econômico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_Toc239713572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39</w:t>
        </w:r>
        <w:r w:rsidRPr="00493E39">
          <w:rPr>
            <w:rFonts w:cs="Arial"/>
            <w:noProof/>
            <w:webHidden/>
          </w:rPr>
          <w:fldChar w:fldCharType="end"/>
        </w:r>
      </w:hyperlink>
    </w:p>
    <w:p w14:paraId="710D4F9F" w14:textId="148C356C"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73" w:history="1">
        <w:r w:rsidRPr="00493E39">
          <w:rPr>
            <w:rFonts w:cs="Arial"/>
            <w:noProof/>
            <w:lang w:val="pt-BR"/>
          </w:rPr>
          <w:t>4.5.2 Confronto com a estimativa oficial</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_Toc239713573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40</w:t>
        </w:r>
        <w:r w:rsidRPr="00493E39">
          <w:rPr>
            <w:rFonts w:cs="Arial"/>
            <w:noProof/>
            <w:webHidden/>
          </w:rPr>
          <w:fldChar w:fldCharType="end"/>
        </w:r>
      </w:hyperlink>
    </w:p>
    <w:p w14:paraId="26B48432" w14:textId="671F41EA"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74" w:history="1">
        <w:r w:rsidRPr="00493E39">
          <w:rPr>
            <w:rFonts w:cs="Arial"/>
            <w:noProof/>
            <w:lang w:val="pt-BR"/>
          </w:rPr>
          <w:t>4.6 A data da mudança é estimada, não imposta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_Toc239713574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41</w:t>
        </w:r>
        <w:r w:rsidRPr="00493E39">
          <w:rPr>
            <w:rFonts w:cs="Arial"/>
            <w:noProof/>
            <w:webHidden/>
          </w:rPr>
          <w:fldChar w:fldCharType="end"/>
        </w:r>
      </w:hyperlink>
    </w:p>
    <w:p w14:paraId="76402856" w14:textId="4591FF2C"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75" w:history="1">
        <w:r w:rsidRPr="00493E39">
          <w:rPr>
            <w:rFonts w:cs="Arial"/>
            <w:noProof/>
            <w:lang w:val="pt-BR"/>
          </w:rPr>
          <w:t>4.7 Robustez</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_Toc239713575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43</w:t>
        </w:r>
        <w:r w:rsidRPr="00493E39">
          <w:rPr>
            <w:rFonts w:cs="Arial"/>
            <w:noProof/>
            <w:webHidden/>
          </w:rPr>
          <w:fldChar w:fldCharType="end"/>
        </w:r>
      </w:hyperlink>
    </w:p>
    <w:p w14:paraId="16585199" w14:textId="2DF9EC72"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76" w:history="1">
        <w:r w:rsidRPr="00493E39">
          <w:rPr>
            <w:rFonts w:cs="Arial"/>
            <w:noProof/>
            <w:lang w:val="pt-BR"/>
          </w:rPr>
          <w:t>4.7.1 Placebo em horizontes anteriores ao choque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_Toc239713576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43</w:t>
        </w:r>
        <w:r w:rsidRPr="00493E39">
          <w:rPr>
            <w:rFonts w:cs="Arial"/>
            <w:noProof/>
            <w:webHidden/>
          </w:rPr>
          <w:fldChar w:fldCharType="end"/>
        </w:r>
      </w:hyperlink>
    </w:p>
    <w:p w14:paraId="553F12DA" w14:textId="78E5FB5E"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77" w:history="1">
        <w:r w:rsidRPr="00493E39">
          <w:rPr>
            <w:rFonts w:cs="Arial"/>
            <w:noProof/>
            <w:lang w:val="pt-BR"/>
          </w:rPr>
          <w:t>4.7.2 O fim da política de paridade e o tratamento da pandemia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_Toc239713577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44</w:t>
        </w:r>
        <w:r w:rsidRPr="00493E39">
          <w:rPr>
            <w:rFonts w:cs="Arial"/>
            <w:noProof/>
            <w:webHidden/>
          </w:rPr>
          <w:fldChar w:fldCharType="end"/>
        </w:r>
      </w:hyperlink>
    </w:p>
    <w:p w14:paraId="6FC31ED7" w14:textId="2444F233"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78" w:history="1">
        <w:r w:rsidRPr="00493E39">
          <w:rPr>
            <w:rFonts w:cs="Arial"/>
            <w:noProof/>
            <w:lang w:val="pt-BR"/>
          </w:rPr>
          <w:t>4.7.3 A gasolina na refinaria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_Toc239713578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45</w:t>
        </w:r>
        <w:r w:rsidRPr="00493E39">
          <w:rPr>
            <w:rFonts w:cs="Arial"/>
            <w:noProof/>
            <w:webHidden/>
          </w:rPr>
          <w:fldChar w:fldCharType="end"/>
        </w:r>
      </w:hyperlink>
    </w:p>
    <w:p w14:paraId="2B8322A8" w14:textId="50482AD6"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79" w:history="1">
        <w:r w:rsidRPr="00493E39">
          <w:rPr>
            <w:rFonts w:cs="Arial"/>
            <w:noProof/>
            <w:lang w:val="pt-BR"/>
          </w:rPr>
          <w:t>4.7.4 A data do anúncio da política como corte alternativo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_Toc239713579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46</w:t>
        </w:r>
        <w:r w:rsidRPr="00493E39">
          <w:rPr>
            <w:rFonts w:cs="Arial"/>
            <w:noProof/>
            <w:webHidden/>
          </w:rPr>
          <w:fldChar w:fldCharType="end"/>
        </w:r>
      </w:hyperlink>
    </w:p>
    <w:p w14:paraId="60D546F2" w14:textId="037A6837"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80" w:history="1">
        <w:r w:rsidRPr="00493E39">
          <w:rPr>
            <w:rFonts w:cs="Arial"/>
            <w:noProof/>
            <w:lang w:val="pt-BR"/>
          </w:rPr>
          <w:t>4.7.5 Um exercício contrafactual e a desagregação do índice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_Toc239713580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46</w:t>
        </w:r>
        <w:r w:rsidRPr="00493E39">
          <w:rPr>
            <w:rFonts w:cs="Arial"/>
            <w:noProof/>
            <w:webHidden/>
          </w:rPr>
          <w:fldChar w:fldCharType="end"/>
        </w:r>
      </w:hyperlink>
    </w:p>
    <w:p w14:paraId="710F896D" w14:textId="32203927"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81" w:history="1">
        <w:r w:rsidRPr="00493E39">
          <w:rPr>
            <w:rFonts w:cs="Arial"/>
            <w:noProof/>
            <w:lang w:val="pt-BR"/>
          </w:rPr>
          <w:t>4.8 O resultado em perspectiva internacional</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_Toc239713581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48</w:t>
        </w:r>
        <w:r w:rsidRPr="00493E39">
          <w:rPr>
            <w:rFonts w:cs="Arial"/>
            <w:noProof/>
            <w:webHidden/>
          </w:rPr>
          <w:fldChar w:fldCharType="end"/>
        </w:r>
      </w:hyperlink>
    </w:p>
    <w:p w14:paraId="7C1820CA" w14:textId="0D7612B3" w:rsidR="00D34F92" w:rsidRPr="00493E39" w:rsidRDefault="00D34F92">
      <w:pPr>
        <w:pStyle w:val="TOC2"/>
        <w:tabs>
          <w:tab w:val="right" w:leader="dot" w:pos="9395"/>
        </w:tabs>
        <w:rPr>
          <w:rFonts w:eastAsiaTheme="minorEastAsia" w:cs="Arial"/>
          <w:noProof/>
          <w:color w:val="auto"/>
          <w:kern w:val="2"/>
          <w:szCs w:val="24"/>
          <w:lang w:val="pt-BR" w:eastAsia="pt-BR"/>
          <w14:ligatures w14:val="standardContextual"/>
        </w:rPr>
      </w:pPr>
      <w:hyperlink w:anchor="_Toc239713582" w:history="1">
        <w:r w:rsidRPr="00493E39">
          <w:rPr>
            <w:rFonts w:cs="Arial"/>
            <w:noProof/>
            <w:lang w:val="pt-BR"/>
          </w:rPr>
          <w:t>4.9 Síntese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_Toc239713582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49</w:t>
        </w:r>
        <w:r w:rsidRPr="00493E39">
          <w:rPr>
            <w:rFonts w:cs="Arial"/>
            <w:noProof/>
            <w:webHidden/>
          </w:rPr>
          <w:fldChar w:fldCharType="end"/>
        </w:r>
      </w:hyperlink>
    </w:p>
    <w:p w14:paraId="44AEF1E0" w14:textId="0EFCC109"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3" w:history="1">
        <w:r w:rsidRPr="00493E39">
          <w:rPr>
            <w:rFonts w:cs="Arial"/>
            <w:noProof/>
            <w:lang w:val="pt-BR"/>
          </w:rPr>
          <w:t>5 CONCLUSÃO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_Toc239713583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49</w:t>
        </w:r>
        <w:r w:rsidRPr="00493E39">
          <w:rPr>
            <w:rFonts w:cs="Arial"/>
            <w:noProof/>
            <w:webHidden/>
          </w:rPr>
          <w:fldChar w:fldCharType="end"/>
        </w:r>
      </w:hyperlink>
    </w:p>
    <w:p w14:paraId="0681E809" w14:textId="037F3DEC"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4" w:history="1">
        <w:r w:rsidRPr="00493E39">
          <w:rPr>
            <w:rFonts w:cs="Arial"/>
            <w:noProof/>
            <w:lang w:val="pt-BR"/>
          </w:rPr>
          <w:t>REFERÊNCIAS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_Toc239713584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52</w:t>
        </w:r>
        <w:r w:rsidRPr="00493E39">
          <w:rPr>
            <w:rFonts w:cs="Arial"/>
            <w:noProof/>
            <w:webHidden/>
          </w:rPr>
          <w:fldChar w:fldCharType="end"/>
        </w:r>
      </w:hyperlink>
    </w:p>
    <w:p w14:paraId="40AF4396" w14:textId="6CB7613C"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5" w:history="1">
        <w:r w:rsidRPr="00493E39">
          <w:rPr>
            <w:rFonts w:cs="Arial"/>
            <w:noProof/>
            <w:lang w:val="pt-BR"/>
          </w:rPr>
          <w:t>APÊNDICE A – SÉRIES UTILIZADAS, EM NÍVEL</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_Toc239713585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56</w:t>
        </w:r>
        <w:r w:rsidRPr="00493E39">
          <w:rPr>
            <w:rFonts w:cs="Arial"/>
            <w:noProof/>
            <w:webHidden/>
          </w:rPr>
          <w:fldChar w:fldCharType="end"/>
        </w:r>
      </w:hyperlink>
    </w:p>
    <w:p w14:paraId="1EC0B2AD" w14:textId="2F3DB8F4"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6" w:history="1">
        <w:r w:rsidRPr="00493E39">
          <w:rPr>
            <w:rFonts w:cs="Arial"/>
            <w:noProof/>
            <w:lang w:val="pt-BR"/>
          </w:rPr>
          <w:t>APÊNDICE B – SÉRIES EM ESCALA LOGARÍTMICA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_Toc239713586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57</w:t>
        </w:r>
        <w:r w:rsidRPr="00493E39">
          <w:rPr>
            <w:rFonts w:cs="Arial"/>
            <w:noProof/>
            <w:webHidden/>
          </w:rPr>
          <w:fldChar w:fldCharType="end"/>
        </w:r>
      </w:hyperlink>
    </w:p>
    <w:p w14:paraId="619360E0" w14:textId="5C29581C"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7" w:history="1">
        <w:r w:rsidRPr="00493E39">
          <w:rPr>
            <w:rFonts w:cs="Arial"/>
            <w:noProof/>
            <w:lang w:val="pt-BR"/>
          </w:rPr>
          <w:t>APÊNDICE C – IDENTIFICAÇÃO POR INSTRUMENTO EXTERNO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_Toc239713587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58</w:t>
        </w:r>
        <w:r w:rsidRPr="00493E39">
          <w:rPr>
            <w:rFonts w:cs="Arial"/>
            <w:noProof/>
            <w:webHidden/>
          </w:rPr>
          <w:fldChar w:fldCharType="end"/>
        </w:r>
      </w:hyperlink>
    </w:p>
    <w:p w14:paraId="6DF85CE5" w14:textId="2CFA178D"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8" w:history="1">
        <w:r w:rsidRPr="00493E39">
          <w:rPr>
            <w:rFonts w:cs="Arial"/>
            <w:noProof/>
            <w:lang w:val="pt-BR"/>
          </w:rPr>
          <w:t>APÊNDICE D – DIAGNÓSTICO DA GASOLINA NA REFINARIA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_Toc239713588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59</w:t>
        </w:r>
        <w:r w:rsidRPr="00493E39">
          <w:rPr>
            <w:rFonts w:cs="Arial"/>
            <w:noProof/>
            <w:webHidden/>
          </w:rPr>
          <w:fldChar w:fldCharType="end"/>
        </w:r>
      </w:hyperlink>
    </w:p>
    <w:p w14:paraId="6C10B021" w14:textId="47EB925B"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89" w:history="1">
        <w:r w:rsidRPr="00493E39">
          <w:rPr>
            <w:rFonts w:cs="Arial"/>
            <w:noProof/>
            <w:lang w:val="pt-BR"/>
          </w:rPr>
          <w:t>APÊNDICE E – SENSIBILIDADE AO NÚMERO DE DEFASAGENS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_Toc239713589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61</w:t>
        </w:r>
        <w:r w:rsidRPr="00493E39">
          <w:rPr>
            <w:rFonts w:cs="Arial"/>
            <w:noProof/>
            <w:webHidden/>
          </w:rPr>
          <w:fldChar w:fldCharType="end"/>
        </w:r>
      </w:hyperlink>
    </w:p>
    <w:p w14:paraId="5741D467" w14:textId="1D1D17CA"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90" w:history="1">
        <w:r w:rsidRPr="00493E39">
          <w:rPr>
            <w:rFonts w:cs="Arial"/>
            <w:noProof/>
            <w:lang w:val="pt-BR"/>
          </w:rPr>
          <w:t>APÊNDICE F – COMPARAÇÃO ENTRE A DATA ESTIMADA E A DATA DO ANÚNCIO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_Toc239713590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62</w:t>
        </w:r>
        <w:r w:rsidRPr="00493E39">
          <w:rPr>
            <w:rFonts w:cs="Arial"/>
            <w:noProof/>
            <w:webHidden/>
          </w:rPr>
          <w:fldChar w:fldCharType="end"/>
        </w:r>
      </w:hyperlink>
    </w:p>
    <w:p w14:paraId="137E5B59" w14:textId="0841F91F"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91" w:history="1">
        <w:r w:rsidRPr="00493E39">
          <w:rPr>
            <w:rFonts w:cs="Arial"/>
            <w:noProof/>
            <w:lang w:val="pt-BR"/>
          </w:rPr>
          <w:t>APÊNDICE G – INSTRUMENTOS EXTERNOS TESTADOS E NÃO ADOTADOS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_Toc239713591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63</w:t>
        </w:r>
        <w:r w:rsidRPr="00493E39">
          <w:rPr>
            <w:rFonts w:cs="Arial"/>
            <w:noProof/>
            <w:webHidden/>
          </w:rPr>
          <w:fldChar w:fldCharType="end"/>
        </w:r>
      </w:hyperlink>
    </w:p>
    <w:p w14:paraId="71831655" w14:textId="7C7E1A9D"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92" w:history="1">
        <w:r w:rsidRPr="00493E39">
          <w:rPr>
            <w:rFonts w:cs="Arial"/>
            <w:noProof/>
            <w:lang w:val="pt-BR"/>
          </w:rPr>
          <w:t>APÊNDICE H – CONTRAFACTUAL E DESAGREGAÇÃO DO ÍNDICE</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_Toc239713592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65</w:t>
        </w:r>
        <w:r w:rsidRPr="00493E39">
          <w:rPr>
            <w:rFonts w:cs="Arial"/>
            <w:noProof/>
            <w:webHidden/>
          </w:rPr>
          <w:fldChar w:fldCharType="end"/>
        </w:r>
      </w:hyperlink>
    </w:p>
    <w:p w14:paraId="4CFCB323" w14:textId="588ABD73"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93" w:history="1">
        <w:r w:rsidRPr="00493E39">
          <w:rPr>
            <w:rFonts w:cs="Arial"/>
            <w:noProof/>
            <w:lang w:val="pt-BR"/>
          </w:rPr>
          <w:t>APÊNDICE I – O REPASSE BRASILEIRO EM PERSPECTIVA INTERNACIONAL</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_Toc239713593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67</w:t>
        </w:r>
        <w:r w:rsidRPr="00493E39">
          <w:rPr>
            <w:rFonts w:cs="Arial"/>
            <w:noProof/>
            <w:webHidden/>
          </w:rPr>
          <w:fldChar w:fldCharType="end"/>
        </w:r>
      </w:hyperlink>
    </w:p>
    <w:p w14:paraId="15713416" w14:textId="19883019"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94" w:history="1">
        <w:r w:rsidRPr="00493E39">
          <w:rPr>
            <w:rFonts w:cs="Arial"/>
            <w:noProof/>
            <w:lang w:val="pt-BR"/>
          </w:rPr>
          <w:t>APÊNDICE J – ESTATÍSTICAS DESCRITIVAS, PESOS E RAIZ UNITÁRIA</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_Toc239713594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69</w:t>
        </w:r>
        <w:r w:rsidRPr="00493E39">
          <w:rPr>
            <w:rFonts w:cs="Arial"/>
            <w:noProof/>
            <w:webHidden/>
          </w:rPr>
          <w:fldChar w:fldCharType="end"/>
        </w:r>
      </w:hyperlink>
    </w:p>
    <w:p w14:paraId="32E7F8D3" w14:textId="55BD7CD6"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595" w:history="1">
        <w:r w:rsidRPr="00493E39">
          <w:rPr>
            <w:rFonts w:cs="Arial"/>
            <w:noProof/>
            <w:lang w:val="pt-BR"/>
          </w:rPr>
          <w:t>APÊNDICE K – VERIFICAÇÕES DE ROBUSTEZ ADICIONAIS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_Toc239713595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71</w:t>
        </w:r>
        <w:r w:rsidRPr="00493E39">
          <w:rPr>
            <w:rFonts w:cs="Arial"/>
            <w:noProof/>
            <w:webHidden/>
          </w:rPr>
          <w:fldChar w:fldCharType="end"/>
        </w:r>
      </w:hyperlink>
    </w:p>
    <w:p w14:paraId="08417F69" w14:textId="055F8C26"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96" w:history="1">
        <w:r w:rsidRPr="00493E39">
          <w:rPr>
            <w:rFonts w:cs="Arial"/>
            <w:noProof/>
            <w:lang w:val="pt-BR"/>
          </w:rPr>
          <w:t>K.1 Identificação por choque de oferta externo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_Toc239713596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71</w:t>
        </w:r>
        <w:r w:rsidRPr="00493E39">
          <w:rPr>
            <w:rFonts w:cs="Arial"/>
            <w:noProof/>
            <w:webHidden/>
          </w:rPr>
          <w:fldChar w:fldCharType="end"/>
        </w:r>
      </w:hyperlink>
    </w:p>
    <w:p w14:paraId="53C1A0EE" w14:textId="51693FA1"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97" w:history="1">
        <w:r w:rsidRPr="00493E39">
          <w:rPr>
            <w:rFonts w:cs="Arial"/>
            <w:noProof/>
            <w:lang w:val="pt-BR"/>
          </w:rPr>
          <w:t>K.2 Defasagens e correção para choques subsequentes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_Toc239713597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73</w:t>
        </w:r>
        <w:r w:rsidRPr="00493E39">
          <w:rPr>
            <w:rFonts w:cs="Arial"/>
            <w:noProof/>
            <w:webHidden/>
          </w:rPr>
          <w:fldChar w:fldCharType="end"/>
        </w:r>
      </w:hyperlink>
    </w:p>
    <w:p w14:paraId="4647B6BB" w14:textId="0FB1BC03"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98" w:history="1">
        <w:r w:rsidRPr="00493E39">
          <w:rPr>
            <w:rFonts w:cs="Arial"/>
            <w:noProof/>
            <w:lang w:val="pt-BR"/>
          </w:rPr>
          <w:t>K.3 Composição dos choques nos dois regimes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_Toc239713598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73</w:t>
        </w:r>
        <w:r w:rsidRPr="00493E39">
          <w:rPr>
            <w:rFonts w:cs="Arial"/>
            <w:noProof/>
            <w:webHidden/>
          </w:rPr>
          <w:fldChar w:fldCharType="end"/>
        </w:r>
      </w:hyperlink>
    </w:p>
    <w:p w14:paraId="483A0FD5" w14:textId="48E4D324"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599" w:history="1">
        <w:r w:rsidRPr="00493E39">
          <w:rPr>
            <w:rFonts w:cs="Arial"/>
            <w:noProof/>
            <w:lang w:val="pt-BR"/>
          </w:rPr>
          <w:t>K.4 Assimetria entre altas e quedas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_Toc239713599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75</w:t>
        </w:r>
        <w:r w:rsidRPr="00493E39">
          <w:rPr>
            <w:rFonts w:cs="Arial"/>
            <w:noProof/>
            <w:webHidden/>
          </w:rPr>
          <w:fldChar w:fldCharType="end"/>
        </w:r>
      </w:hyperlink>
    </w:p>
    <w:p w14:paraId="767E276E" w14:textId="4AF78E00" w:rsidR="00D34F92" w:rsidRPr="00493E39" w:rsidRDefault="00D34F92">
      <w:pPr>
        <w:pStyle w:val="TOC3"/>
        <w:tabs>
          <w:tab w:val="right" w:leader="dot" w:pos="9395"/>
        </w:tabs>
        <w:rPr>
          <w:rFonts w:eastAsiaTheme="minorEastAsia" w:cs="Arial"/>
          <w:noProof/>
          <w:color w:val="auto"/>
          <w:kern w:val="2"/>
          <w:szCs w:val="24"/>
          <w:lang w:val="pt-BR" w:eastAsia="pt-BR"/>
          <w14:ligatures w14:val="standardContextual"/>
        </w:rPr>
      </w:pPr>
      <w:hyperlink w:anchor="_Toc239713600" w:history="1">
        <w:r w:rsidRPr="00493E39">
          <w:rPr>
            <w:rFonts w:cs="Arial"/>
            <w:noProof/>
            <w:lang w:val="pt-BR"/>
          </w:rPr>
          <w:t>K.5 Quatro verificações de especificação</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_Toc239713600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79</w:t>
        </w:r>
        <w:r w:rsidRPr="00493E39">
          <w:rPr>
            <w:rFonts w:cs="Arial"/>
            <w:noProof/>
            <w:webHidden/>
          </w:rPr>
          <w:fldChar w:fldCharType="end"/>
        </w:r>
      </w:hyperlink>
    </w:p>
    <w:p w14:paraId="60BBAAFC" w14:textId="5DD2D6D6"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601" w:history="1">
        <w:r w:rsidRPr="00493E39">
          <w:rPr>
            <w:rFonts w:cs="Arial"/>
            <w:noProof/>
            <w:lang w:val="pt-BR"/>
          </w:rPr>
          <w:t>APÊNDICE L – TABELAS E FIGURAS COMPLEMENTARES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_Toc239713601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81</w:t>
        </w:r>
        <w:r w:rsidRPr="00493E39">
          <w:rPr>
            <w:rFonts w:cs="Arial"/>
            <w:noProof/>
            <w:webHidden/>
          </w:rPr>
          <w:fldChar w:fldCharType="end"/>
        </w:r>
      </w:hyperlink>
    </w:p>
    <w:p w14:paraId="1A9B617D" w14:textId="3DA2011D"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pPr>
      <w:hyperlink w:anchor="_Toc239713602" w:history="1">
        <w:r w:rsidRPr="00493E39">
          <w:rPr>
            <w:rFonts w:cs="Arial"/>
            <w:noProof/>
            <w:lang w:val="pt-BR"/>
          </w:rPr>
          <w:t>APÊNDICE M – QUADRO DE VARIÁVEIS E FONTES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_Toc239713602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84</w:t>
        </w:r>
        <w:r w:rsidRPr="00493E39">
          <w:rPr>
            <w:rFonts w:cs="Arial"/>
            <w:noProof/>
            <w:webHidden/>
          </w:rPr>
          <w:fldChar w:fldCharType="end"/>
        </w:r>
      </w:hyperlink>
    </w:p>
    <w:p w14:paraId="55F7A704" w14:textId="0D4AF9EB" w:rsidR="00D34F92" w:rsidRPr="00493E39" w:rsidRDefault="00D34F92">
      <w:pPr>
        <w:pStyle w:val="TOC1"/>
        <w:tabs>
          <w:tab w:val="right" w:leader="dot" w:pos="9395"/>
        </w:tabs>
        <w:rPr>
          <w:rFonts w:eastAsiaTheme="minorEastAsia" w:cs="Arial"/>
          <w:noProof/>
          <w:color w:val="auto"/>
          <w:kern w:val="2"/>
          <w:szCs w:val="24"/>
          <w:lang w:val="pt-BR" w:eastAsia="pt-BR"/>
          <w14:ligatures w14:val="standardContextual"/>
        </w:rPr>
        <w:sectPr w:rsidR="00D34F92" w:rsidRPr="00493E39">
          <w:pgSz w:w="12240" w:h="15840"/>
          <w:pgMar w:top="1701" w:right="1134" w:bottom="1134" w:left="1701" w:header="720" w:footer="720" w:gutter="0"/>
          <w:cols w:space="720"/>
          <w:docGrid w:linePitch="360"/>
        </w:sectPr>
      </w:pPr>
      <w:hyperlink w:anchor="_Toc239713603" w:history="1">
        <w:r w:rsidRPr="00493E39">
          <w:rPr>
            <w:rFonts w:cs="Arial"/>
            <w:noProof/>
            <w:lang w:val="pt-BR"/>
          </w:rPr>
          <w:t>APÊNDICE N – FIGURAS DO CAPÍTULO DE RESULTADOS</w:t>
        </w:r>
        <w:r w:rsidRPr="00493E39">
          <w:rPr>
            <w:rFonts w:cs="Arial"/>
            <w:noProof/>
            <w:webHidden/>
            <w:lang w:val="pt-BR"/>
          </w:rPr>
          <w:tab/>
        </w:r>
        <w:r w:rsidRPr="00493E39">
          <w:rPr>
            <w:rFonts w:cs="Arial"/>
            <w:noProof/>
            <w:webHidden/>
          </w:rPr>
          <w:fldChar w:fldCharType="begin"/>
        </w:r>
        <w:r w:rsidRPr="00493E39">
          <w:rPr>
            <w:rFonts w:cs="Arial"/>
            <w:noProof/>
            <w:webHidden/>
            <w:lang w:val="pt-BR"/>
          </w:rPr>
          <w:instrText xml:space="preserve"> PAGEREF _Toc239713603 \h </w:instrText>
        </w:r>
        <w:r w:rsidRPr="00493E39">
          <w:rPr>
            <w:rFonts w:cs="Arial"/>
            <w:noProof/>
            <w:webHidden/>
          </w:rPr>
        </w:r>
        <w:r w:rsidRPr="00493E39">
          <w:rPr>
            <w:rFonts w:cs="Arial"/>
            <w:noProof/>
            <w:webHidden/>
          </w:rPr>
          <w:fldChar w:fldCharType="separate"/>
        </w:r>
        <w:r w:rsidR="000B39AF" w:rsidRPr="00493E39">
          <w:rPr>
            <w:rFonts w:cs="Arial"/>
            <w:noProof/>
            <w:webHidden/>
            <w:lang w:val="pt-BR"/>
          </w:rPr>
          <w:t>85</w:t>
        </w:r>
        <w:r w:rsidRPr="00493E39">
          <w:rPr>
            <w:rFonts w:cs="Arial"/>
            <w:noProof/>
            <w:webHidden/>
          </w:rPr>
          <w:fldChar w:fldCharType="end"/>
        </w:r>
      </w:hyperlink>
    </w:p>
    <w:p w14:paraId="18CF1D8C" w14:textId="77777777" w:rsidR="00D64459" w:rsidRPr="00493E39" w:rsidRDefault="008B2120">
      <w:pPr>
        <w:pStyle w:val="Heading1"/>
        <w:spacing w:before="280" w:after="160"/>
        <w:rPr>
          <w:rFonts w:ascii="Arial" w:hAnsi="Arial" w:cs="Arial"/>
          <w:lang w:val="pt-BR"/>
        </w:rPr>
      </w:pPr>
      <w:bookmarkStart w:id="0" w:name="_Toc239713549"/>
      <w:r w:rsidRPr="00493E39">
        <w:rPr>
          <w:rFonts w:ascii="Arial" w:hAnsi="Arial" w:cs="Arial"/>
          <w:lang w:val="pt-BR"/>
        </w:rPr>
        <w:lastRenderedPageBreak/>
        <w:t>1 INTRODUÇÃO</w:t>
      </w:r>
      <w:bookmarkEnd w:id="0"/>
    </w:p>
    <w:p w14:paraId="5CAD3636" w14:textId="77777777" w:rsidR="00D64459" w:rsidRPr="00493E39" w:rsidRDefault="008B2120">
      <w:pPr>
        <w:ind w:firstLine="709"/>
        <w:jc w:val="both"/>
        <w:rPr>
          <w:rFonts w:cs="Arial"/>
          <w:lang w:val="pt-BR"/>
        </w:rPr>
      </w:pPr>
      <w:r w:rsidRPr="00493E39">
        <w:rPr>
          <w:rFonts w:cs="Arial"/>
          <w:lang w:val="pt-BR"/>
        </w:rPr>
        <w:t>Conflitos armados no Oriente Médio e ameaças ao tráfego marítimo em rotas de escoamento recolocaram o preço do petróleo no centro da discussão econômica mundial, e com ele uma pergunta que a política monetária precisa responder rapidamente: quanto de um choque no preço internacional chega à inflação doméstica, e em quanto tempo. A pergunta é antiga, mas a urgência é recorrente, porque episódios dessa natureza voltam a ocorrer sem aviso e exigem que a autoridade monetária saiba, de antemão, qual repasse esperar.</w:t>
      </w:r>
    </w:p>
    <w:p w14:paraId="7C0591DA" w14:textId="77777777" w:rsidR="00D64459" w:rsidRPr="00493E39" w:rsidRDefault="008B2120">
      <w:pPr>
        <w:ind w:firstLine="709"/>
        <w:jc w:val="both"/>
        <w:rPr>
          <w:rFonts w:cs="Arial"/>
          <w:lang w:val="pt-BR"/>
        </w:rPr>
      </w:pPr>
      <w:r w:rsidRPr="00493E39">
        <w:rPr>
          <w:rFonts w:cs="Arial"/>
          <w:lang w:val="pt-BR"/>
        </w:rPr>
        <w:t>A resposta encontrada é que ela mudou. No mês de um choque típico de petróleo, o repasse ao IPCA cheio passa de 0,005 ponto percentual antes de 2017 para algo entre 0,088 e 0,176 depois, faixa cujos extremos correspondem a dois tratamentos defensáveis das observações da pandemia. Mais importante que o nível, porém, é o padrão: nas dezoito estimativas do regime anterior nenhuma é estatisticamente distinguível de zero, ao passo que todas as do regime posterior são, e isso vale sob os dois tratamentos. No índice cheio, o coeficiente anterior tampouco é impreciso, com erro-padrão de 0,024 no impacto, de modo que o zero está bem estimado, e o repasse passou de indetectável a sistemático. Nos combustíveis, com dinâmica livre entre regimes, o repasse anterior aparece positivo, mas pequeno.</w:t>
      </w:r>
    </w:p>
    <w:p w14:paraId="7CB94909" w14:textId="77777777" w:rsidR="00D64459" w:rsidRPr="00493E39" w:rsidRDefault="008B2120">
      <w:pPr>
        <w:ind w:firstLine="709"/>
        <w:jc w:val="both"/>
        <w:rPr>
          <w:rFonts w:cs="Arial"/>
          <w:lang w:val="pt-BR"/>
        </w:rPr>
      </w:pPr>
      <w:r w:rsidRPr="00493E39">
        <w:rPr>
          <w:rFonts w:cs="Arial"/>
          <w:lang w:val="pt-BR"/>
        </w:rPr>
        <w:t>A pergunta depende de um elo que a literatura internacional raramente examina, porque nas economias que ela estuda esse elo é estável: a regra pela qual o preço internacional se converte em preço doméstico de combustível. Onde essa regra é de mercado, o repasse é característica razoavelmente permanente da economia. Onde é administrativa, o repasse é uma decisão, e pode mudar de um ano para o outro sem que nada mude na estrutura produtiva, na cesta de consumo ou no regime monetário.</w:t>
      </w:r>
    </w:p>
    <w:p w14:paraId="6B33CD63" w14:textId="77777777" w:rsidR="00D64459" w:rsidRPr="00493E39" w:rsidRDefault="008B2120">
      <w:pPr>
        <w:ind w:firstLine="709"/>
        <w:jc w:val="both"/>
        <w:rPr>
          <w:rFonts w:cs="Arial"/>
          <w:lang w:val="pt-BR"/>
        </w:rPr>
      </w:pPr>
      <w:r w:rsidRPr="00493E39">
        <w:rPr>
          <w:rFonts w:cs="Arial"/>
          <w:lang w:val="pt-BR"/>
        </w:rPr>
        <w:t xml:space="preserve">Há razão adicional para que a pergunta importe no Brasil. O país adotou o regime de metas apenas em 1999, de modo que a construção de credibilidade monetária é fenômeno recente, e Choi et al. (2018) atribuem o declínio do repasse do petróleo, em grande parte, à melhor condução da política monetária. O achado deste trabalho vai na direção oposta: o repasse aumenta num período em que o regime </w:t>
      </w:r>
      <w:r w:rsidRPr="00493E39">
        <w:rPr>
          <w:rFonts w:cs="Arial"/>
          <w:lang w:val="pt-BR"/>
        </w:rPr>
        <w:lastRenderedPageBreak/>
        <w:t>monetário não se deteriorou. A explicação não está, portanto, na política monetária, e a candidata que sobra é a regra de formação de preços.</w:t>
      </w:r>
    </w:p>
    <w:p w14:paraId="3D5B3731" w14:textId="77777777" w:rsidR="00D64459" w:rsidRPr="00493E39" w:rsidRDefault="008B2120">
      <w:pPr>
        <w:ind w:firstLine="709"/>
        <w:jc w:val="both"/>
        <w:rPr>
          <w:rFonts w:cs="Arial"/>
          <w:lang w:val="pt-BR"/>
        </w:rPr>
      </w:pPr>
      <w:r w:rsidRPr="00493E39">
        <w:rPr>
          <w:rFonts w:cs="Arial"/>
          <w:lang w:val="pt-BR"/>
        </w:rPr>
        <w:t>O Brasil é um caso dessa segunda espécie. Entre 2011 e 2014 a Petrobras vendeu derivados sistematicamente abaixo da referência internacional, política cuja perda de receita Almeida, Oliveira e Losekann (2015) estimam em cerca de R$ 98 bilhões; em 2016 a empresa adotou a política de paridade de importação, que vinculou o preço doméstico à cotação externa. Em pouco mais de uma década a regra de transmissão mudou, e mudou por decisão administrativa, não por alteração de mercado. Dessa configuração decorrem duas lacunas na literatura, e é delas que este trabalho se ocupa.</w:t>
      </w:r>
    </w:p>
    <w:p w14:paraId="6F611FC0" w14:textId="77777777" w:rsidR="00D64459" w:rsidRPr="00493E39" w:rsidRDefault="008B2120">
      <w:pPr>
        <w:ind w:firstLine="709"/>
        <w:jc w:val="both"/>
        <w:rPr>
          <w:rFonts w:cs="Arial"/>
          <w:lang w:val="pt-BR"/>
        </w:rPr>
      </w:pPr>
      <w:r w:rsidRPr="00493E39">
        <w:rPr>
          <w:rFonts w:cs="Arial"/>
          <w:lang w:val="pt-BR"/>
        </w:rPr>
        <w:t>A primeira é de objeto. Os trabalhos de referência tratam o grau de regulação dos preços domésticos como característica fixa de cada país: Choi et al. (2018) o medem pelo subsídio médio a derivados em proporção do PIB, em corte transversal. A opção é razoável nas economias examinadas, mas descarta justamente a variação que o caso brasileiro oferece. Duas perguntas resultam disso: quanto vale o repasse, magnitude que importa à condução da política monetária, e se essa magnitude é estável, isto é, se o repasse é função da regra vigente ou parâmetro estrutural da economia.</w:t>
      </w:r>
    </w:p>
    <w:p w14:paraId="7C0BF77E" w14:textId="77777777" w:rsidR="00D64459" w:rsidRPr="00493E39" w:rsidRDefault="008B2120">
      <w:pPr>
        <w:ind w:firstLine="709"/>
        <w:jc w:val="both"/>
        <w:rPr>
          <w:rFonts w:cs="Arial"/>
          <w:lang w:val="pt-BR"/>
        </w:rPr>
      </w:pPr>
      <w:r w:rsidRPr="00493E39">
        <w:rPr>
          <w:rFonts w:cs="Arial"/>
          <w:lang w:val="pt-BR"/>
        </w:rPr>
        <w:t xml:space="preserve">A segunda é de mecanismo. Afirmar que o petróleo alcança a inflação pelos combustíveis é intuitivo, e a literatura o </w:t>
      </w:r>
      <w:proofErr w:type="spellStart"/>
      <w:r w:rsidRPr="00493E39">
        <w:rPr>
          <w:rFonts w:cs="Arial"/>
          <w:lang w:val="pt-BR"/>
        </w:rPr>
        <w:t>afirma</w:t>
      </w:r>
      <w:proofErr w:type="spellEnd"/>
      <w:r w:rsidRPr="00493E39">
        <w:rPr>
          <w:rFonts w:cs="Arial"/>
          <w:lang w:val="pt-BR"/>
        </w:rPr>
        <w:t xml:space="preserve"> com frequência, mas raramente o mede. Medir exige separar o efeito aritmético, que decorre de gasolina, diesel e etanol integrarem a cesta do IPCA, do efeito econômico de segunda volta, que é o encarecimento dos demais preços por frete, transporte e insumos. Sem essa separação não se pode dizer se o repasse observado é contabilidade de cesta ou propagação de custos, e apenas a segunda justifica reação da política monetária.</w:t>
      </w:r>
    </w:p>
    <w:p w14:paraId="72228898" w14:textId="77777777" w:rsidR="00D64459" w:rsidRPr="00493E39" w:rsidRDefault="008B2120">
      <w:pPr>
        <w:ind w:firstLine="709"/>
        <w:jc w:val="both"/>
        <w:rPr>
          <w:rFonts w:cs="Arial"/>
          <w:lang w:val="pt-BR"/>
        </w:rPr>
      </w:pPr>
      <w:r w:rsidRPr="00493E39">
        <w:rPr>
          <w:rFonts w:cs="Arial"/>
          <w:lang w:val="pt-BR"/>
        </w:rPr>
        <w:t xml:space="preserve">O trabalho ocupa as duas lacunas com um único desenho. O repasse é estimado por projeções locais (JORDÀ, 2005), permitindo que o coeficiente do choque difira entre regimes de política de preços. A data que separa os regimes é estimada pelos próprios dados (ANDREWS, 1993), com valores críticos por reamostragem (HANSEN, 2000), e o resultado é reproduzido também com a data institucional imposta, o que o torna independente da estimação. O efeito é decomposto entre o canal dos combustíveis e o </w:t>
      </w:r>
      <w:r w:rsidRPr="00493E39">
        <w:rPr>
          <w:rFonts w:cs="Arial"/>
          <w:lang w:val="pt-BR"/>
        </w:rPr>
        <w:lastRenderedPageBreak/>
        <w:t>restante e, dentro daquele, entre primeira e segunda volta. A amostra é mensal, de janeiro de 2003 a setembro de 2025.</w:t>
      </w:r>
    </w:p>
    <w:p w14:paraId="31DF17BF" w14:textId="77777777" w:rsidR="00D64459" w:rsidRPr="00493E39" w:rsidRDefault="008B2120">
      <w:pPr>
        <w:ind w:firstLine="709"/>
        <w:jc w:val="both"/>
        <w:rPr>
          <w:rFonts w:cs="Arial"/>
          <w:lang w:val="pt-BR"/>
        </w:rPr>
      </w:pPr>
      <w:r w:rsidRPr="00493E39">
        <w:rPr>
          <w:rFonts w:cs="Arial"/>
          <w:lang w:val="pt-BR"/>
        </w:rPr>
        <w:t>Os resultados sustentam quatro proposições. A transmissão aumentou de forma acentuada em torno do primeiro trimestre de 2017, data que os dados elegem e a cronologia institucional corrobora. O repasse concentra-se nos dois primeiros meses após o choque. Transita pelos preços de combustíveis, canal que carrega 0,003 ponto percentual em três meses no regime anterior e 0,249 no posterior, diferença com p inferior a 0,001. E torna-se majoritariamente de segunda volta a partir do terceiro mês, magnitude para a qual duas construções distintas convergem, ainda que nenhuma a estabeleça isoladamente.</w:t>
      </w:r>
    </w:p>
    <w:p w14:paraId="569EBCD9" w14:textId="77777777" w:rsidR="00D64459" w:rsidRPr="00493E39" w:rsidRDefault="008B2120">
      <w:pPr>
        <w:ind w:firstLine="709"/>
        <w:jc w:val="both"/>
        <w:rPr>
          <w:rFonts w:cs="Arial"/>
          <w:lang w:val="pt-BR"/>
        </w:rPr>
      </w:pPr>
      <w:r w:rsidRPr="00493E39">
        <w:rPr>
          <w:rFonts w:cs="Arial"/>
          <w:lang w:val="pt-BR"/>
        </w:rPr>
        <w:t>A implicação de política é direta. A magnitude com que um choque internacional de petróleo atinge a inflação brasileira não é constante da economia, e sim atributo da regra de formação de preços vigente. Um choque como o de março de 2026 produz efeitos muito distintos conforme a regra em vigor no momento em que ocorre.</w:t>
      </w:r>
    </w:p>
    <w:p w14:paraId="22BFAF18" w14:textId="77777777" w:rsidR="00D64459" w:rsidRPr="00493E39" w:rsidRDefault="008B2120">
      <w:pPr>
        <w:ind w:firstLine="709"/>
        <w:jc w:val="both"/>
        <w:rPr>
          <w:rFonts w:cs="Arial"/>
          <w:lang w:val="pt-BR"/>
        </w:rPr>
      </w:pPr>
      <w:r w:rsidRPr="00493E39">
        <w:rPr>
          <w:rFonts w:cs="Arial"/>
          <w:lang w:val="pt-BR"/>
        </w:rPr>
        <w:t xml:space="preserve">Além desta introdução, o trabalho está organizado em quatro capítulos. O segundo apresenta o referencial teórico, cobrindo a literatura sobre repasse do petróleo à inflação, a crítica de identificação de </w:t>
      </w:r>
      <w:proofErr w:type="spellStart"/>
      <w:r w:rsidRPr="00493E39">
        <w:rPr>
          <w:rFonts w:cs="Arial"/>
          <w:lang w:val="pt-BR"/>
        </w:rPr>
        <w:t>Kilian</w:t>
      </w:r>
      <w:proofErr w:type="spellEnd"/>
      <w:r w:rsidRPr="00493E39">
        <w:rPr>
          <w:rFonts w:cs="Arial"/>
          <w:lang w:val="pt-BR"/>
        </w:rPr>
        <w:t xml:space="preserve"> (2009), a experiência brasileira de preços administrados e as ferramentas econométricas empregadas. O terceiro detalha os dados e a metodologia. O quarto apresenta e discute os resultados. O quinto conclui.</w:t>
      </w:r>
    </w:p>
    <w:p w14:paraId="2EACF287" w14:textId="77777777" w:rsidR="00D64459" w:rsidRPr="00493E39" w:rsidRDefault="008B2120">
      <w:pPr>
        <w:pStyle w:val="Heading1"/>
        <w:spacing w:before="280" w:after="160"/>
        <w:rPr>
          <w:rFonts w:ascii="Arial" w:hAnsi="Arial" w:cs="Arial"/>
          <w:lang w:val="pt-BR"/>
        </w:rPr>
      </w:pPr>
      <w:bookmarkStart w:id="1" w:name="_Toc239713550"/>
      <w:r w:rsidRPr="00493E39">
        <w:rPr>
          <w:rFonts w:ascii="Arial" w:hAnsi="Arial" w:cs="Arial"/>
          <w:lang w:val="pt-BR"/>
        </w:rPr>
        <w:t>2 REFERENCIAL TEÓRICO</w:t>
      </w:r>
      <w:bookmarkEnd w:id="1"/>
    </w:p>
    <w:p w14:paraId="3BE0F178" w14:textId="77777777" w:rsidR="00D64459" w:rsidRPr="00493E39" w:rsidRDefault="008B2120">
      <w:pPr>
        <w:pStyle w:val="Heading2"/>
        <w:spacing w:before="280" w:after="160"/>
        <w:rPr>
          <w:rFonts w:ascii="Arial" w:hAnsi="Arial" w:cs="Arial"/>
          <w:lang w:val="pt-BR"/>
        </w:rPr>
      </w:pPr>
      <w:bookmarkStart w:id="2" w:name="_Toc239713551"/>
      <w:r w:rsidRPr="00493E39">
        <w:rPr>
          <w:rFonts w:ascii="Arial" w:hAnsi="Arial" w:cs="Arial"/>
          <w:sz w:val="24"/>
          <w:lang w:val="pt-BR"/>
        </w:rPr>
        <w:t>2.1 O repasse do petróleo à inflação</w:t>
      </w:r>
      <w:bookmarkEnd w:id="2"/>
    </w:p>
    <w:p w14:paraId="3F9C6CEC" w14:textId="77777777" w:rsidR="00D64459" w:rsidRPr="00493E39" w:rsidRDefault="008B2120">
      <w:pPr>
        <w:ind w:firstLine="709"/>
        <w:jc w:val="both"/>
        <w:rPr>
          <w:rFonts w:cs="Arial"/>
          <w:lang w:val="pt-BR"/>
        </w:rPr>
      </w:pPr>
      <w:r w:rsidRPr="00493E39">
        <w:rPr>
          <w:rFonts w:cs="Arial"/>
          <w:lang w:val="pt-BR"/>
        </w:rPr>
        <w:t>A estimativa de referência é a de Choi et al. (2018). Em painel de 72 economias entre 1970 e 2015, uma elevação de 10% no preço do petróleo eleva a inflação doméstica em cerca de 0,4 ponto percentual no ano do choque. O trabalho é a comparação natural porque usa projeções locais, cobre economias avançadas e em desenvolvimento, e reporta o repasse ao índice cheio.</w:t>
      </w:r>
    </w:p>
    <w:p w14:paraId="6F0B7BE3" w14:textId="77777777" w:rsidR="00D64459" w:rsidRPr="00493E39" w:rsidRDefault="008B2120">
      <w:pPr>
        <w:ind w:firstLine="709"/>
        <w:jc w:val="both"/>
        <w:rPr>
          <w:rFonts w:cs="Arial"/>
          <w:lang w:val="pt-BR"/>
        </w:rPr>
      </w:pPr>
      <w:r w:rsidRPr="00493E39">
        <w:rPr>
          <w:rFonts w:cs="Arial"/>
          <w:lang w:val="pt-BR"/>
        </w:rPr>
        <w:t xml:space="preserve">Dois resultados daquele artigo importam aqui. O primeiro é que o repasse declinou ao longo do tempo, atribuído ao ganho de credibilidade da política monetária. O segundo é que o repasse é maior onde a participação da energia na cesta é maior e </w:t>
      </w:r>
      <w:r w:rsidRPr="00493E39">
        <w:rPr>
          <w:rFonts w:cs="Arial"/>
          <w:lang w:val="pt-BR"/>
        </w:rPr>
        <w:lastRenderedPageBreak/>
        <w:t>onde os preços domésticos de combustíveis são menos regulados. Essa segunda constatação reconhece que a regulação condiciona a transmissão, mas a trata como característica fixa de cada país, e não como algo que possa mudar dentro de um mesmo país ao longo da amostra.</w:t>
      </w:r>
    </w:p>
    <w:p w14:paraId="269CB1B9" w14:textId="77777777" w:rsidR="00D64459" w:rsidRPr="00493E39" w:rsidRDefault="008B2120">
      <w:pPr>
        <w:ind w:firstLine="709"/>
        <w:jc w:val="both"/>
        <w:rPr>
          <w:rFonts w:cs="Arial"/>
          <w:lang w:val="pt-BR"/>
        </w:rPr>
      </w:pPr>
      <w:r w:rsidRPr="00493E39">
        <w:rPr>
          <w:rFonts w:cs="Arial"/>
          <w:lang w:val="pt-BR"/>
        </w:rPr>
        <w:t xml:space="preserve">Blanchard e </w:t>
      </w:r>
      <w:proofErr w:type="spellStart"/>
      <w:r w:rsidRPr="00493E39">
        <w:rPr>
          <w:rFonts w:cs="Arial"/>
          <w:lang w:val="pt-BR"/>
        </w:rPr>
        <w:t>Galí</w:t>
      </w:r>
      <w:proofErr w:type="spellEnd"/>
      <w:r w:rsidRPr="00493E39">
        <w:rPr>
          <w:rFonts w:cs="Arial"/>
          <w:lang w:val="pt-BR"/>
        </w:rPr>
        <w:t xml:space="preserve"> (2007) perguntam por que os choques dos anos 2000 tiveram efeito muito menor sobre inflação e atividade do que os da década de 1970, e avaliam quatro hipóteses: ausência de choques adversos simultâneos, menor participação do petróleo na produção, mercados de trabalho mais flexíveis e melhora da política monetária. O que interessa aqui não é a resposta, e sim o conjunto de candidatas: três dizem respeito à economia que recebe o choque, a quarta a choques simultâneos, e nenhuma à regra pela qual o preço internacional se converte em preço doméstico.</w:t>
      </w:r>
    </w:p>
    <w:p w14:paraId="645ABC3A" w14:textId="77777777" w:rsidR="00D64459" w:rsidRPr="00493E39" w:rsidRDefault="008B2120">
      <w:pPr>
        <w:ind w:firstLine="709"/>
        <w:jc w:val="both"/>
        <w:rPr>
          <w:rFonts w:cs="Arial"/>
          <w:lang w:val="pt-BR"/>
        </w:rPr>
      </w:pPr>
      <w:r w:rsidRPr="00493E39">
        <w:rPr>
          <w:rFonts w:cs="Arial"/>
          <w:lang w:val="pt-BR"/>
        </w:rPr>
        <w:t xml:space="preserve">Gelos e </w:t>
      </w:r>
      <w:proofErr w:type="spellStart"/>
      <w:r w:rsidRPr="00493E39">
        <w:rPr>
          <w:rFonts w:cs="Arial"/>
          <w:lang w:val="pt-BR"/>
        </w:rPr>
        <w:t>Ustyugova</w:t>
      </w:r>
      <w:proofErr w:type="spellEnd"/>
      <w:r w:rsidRPr="00493E39">
        <w:rPr>
          <w:rFonts w:cs="Arial"/>
          <w:lang w:val="pt-BR"/>
        </w:rPr>
        <w:t xml:space="preserve"> (2017) relacionam o impacto inflacionário de choques de commodities a uma bateria ampla de características estruturais e de arranjos de política. Encontram efeito mais persistente onde a participação de alimentos na cesta é maior, onde a intensidade no uso de combustíveis é maior e onde a inflação prévia já era alta, e efeito contido sob bancos centrais mais independentes.</w:t>
      </w:r>
    </w:p>
    <w:p w14:paraId="07F3FBDA" w14:textId="77777777" w:rsidR="00D64459" w:rsidRPr="00493E39" w:rsidRDefault="008B2120">
      <w:pPr>
        <w:ind w:firstLine="709"/>
        <w:jc w:val="both"/>
        <w:rPr>
          <w:rFonts w:cs="Arial"/>
          <w:lang w:val="pt-BR"/>
        </w:rPr>
      </w:pPr>
      <w:r w:rsidRPr="00493E39">
        <w:rPr>
          <w:rFonts w:cs="Arial"/>
          <w:lang w:val="pt-BR"/>
        </w:rPr>
        <w:t>Baba e Lee (2022) avançam sobre o mecanismo. Examinando economias europeias por projeções locais, medem os efeitos de segunda ordem, que vão além da participação direta dos combustíveis no índice e chegam a salários, núcleo e expectativas. Encontram repasse ao núcleo que cresce lentamente, de cerca de 0,002 no primeiro trimestre a 0,03 em três anos, e mais intenso nas economias emergentes do bloco do que nas avançadas.</w:t>
      </w:r>
    </w:p>
    <w:p w14:paraId="36119A8F" w14:textId="77777777" w:rsidR="00D64459" w:rsidRPr="00493E39" w:rsidRDefault="008B2120">
      <w:pPr>
        <w:ind w:firstLine="709"/>
        <w:jc w:val="both"/>
        <w:rPr>
          <w:rFonts w:cs="Arial"/>
          <w:lang w:val="pt-BR"/>
        </w:rPr>
      </w:pPr>
      <w:proofErr w:type="spellStart"/>
      <w:r w:rsidRPr="00493E39">
        <w:rPr>
          <w:rFonts w:cs="Arial"/>
          <w:lang w:val="pt-BR"/>
        </w:rPr>
        <w:t>Conflitti</w:t>
      </w:r>
      <w:proofErr w:type="spellEnd"/>
      <w:r w:rsidRPr="00493E39">
        <w:rPr>
          <w:rFonts w:cs="Arial"/>
          <w:lang w:val="pt-BR"/>
        </w:rPr>
        <w:t xml:space="preserve"> e Luciani (2019) chegam ao mesmo mecanismo por caminho distinto. Estimando um modelo de fatores dinâmicos sobre preços desagregados, separam o efeito específico de uma variação do petróleo sobre cada preço do efeito que ela exerce por afetar a economia inteira, e concluem que o petróleo alcança o núcleo apenas por esta segunda via.</w:t>
      </w:r>
    </w:p>
    <w:p w14:paraId="5C633AE9" w14:textId="77777777" w:rsidR="00D64459" w:rsidRPr="00493E39" w:rsidRDefault="008B2120">
      <w:pPr>
        <w:ind w:firstLine="709"/>
        <w:jc w:val="both"/>
        <w:rPr>
          <w:rFonts w:cs="Arial"/>
          <w:lang w:val="pt-BR"/>
        </w:rPr>
      </w:pPr>
      <w:r w:rsidRPr="00493E39">
        <w:rPr>
          <w:rFonts w:cs="Arial"/>
          <w:lang w:val="pt-BR"/>
        </w:rPr>
        <w:t>Essa distinção entre primeira e segunda ordem é central a este trabalho e, na literatura aplicada, é mais frequentemente invocada do que medida: separá-las exige decomposição explícita, e é ela que permite dizer se o repasse observado é contabilidade de cesta ou transmissão de custos.</w:t>
      </w:r>
    </w:p>
    <w:p w14:paraId="65D7EA1D" w14:textId="77777777" w:rsidR="00D64459" w:rsidRPr="00493E39" w:rsidRDefault="008B2120">
      <w:pPr>
        <w:pStyle w:val="Heading2"/>
        <w:spacing w:before="280" w:after="160"/>
        <w:rPr>
          <w:rFonts w:ascii="Arial" w:hAnsi="Arial" w:cs="Arial"/>
          <w:lang w:val="pt-BR"/>
        </w:rPr>
      </w:pPr>
      <w:bookmarkStart w:id="3" w:name="_Toc239713552"/>
      <w:r w:rsidRPr="00493E39">
        <w:rPr>
          <w:rFonts w:ascii="Arial" w:hAnsi="Arial" w:cs="Arial"/>
          <w:sz w:val="24"/>
          <w:lang w:val="pt-BR"/>
        </w:rPr>
        <w:lastRenderedPageBreak/>
        <w:t>2.2 Nem todo choque de petróleo é igual</w:t>
      </w:r>
      <w:bookmarkEnd w:id="3"/>
    </w:p>
    <w:p w14:paraId="273D42D6" w14:textId="77777777" w:rsidR="00D64459" w:rsidRPr="00493E39" w:rsidRDefault="008B2120">
      <w:pPr>
        <w:ind w:firstLine="709"/>
        <w:jc w:val="both"/>
        <w:rPr>
          <w:rFonts w:cs="Arial"/>
          <w:lang w:val="pt-BR"/>
        </w:rPr>
      </w:pPr>
      <w:r w:rsidRPr="00493E39">
        <w:rPr>
          <w:rFonts w:cs="Arial"/>
          <w:lang w:val="pt-BR"/>
        </w:rPr>
        <w:t xml:space="preserve">A objeção metodológica mais séria a regressões de agregados sobre o preço do petróleo é a de </w:t>
      </w:r>
      <w:proofErr w:type="spellStart"/>
      <w:r w:rsidRPr="00493E39">
        <w:rPr>
          <w:rFonts w:cs="Arial"/>
          <w:lang w:val="pt-BR"/>
        </w:rPr>
        <w:t>Kilian</w:t>
      </w:r>
      <w:proofErr w:type="spellEnd"/>
      <w:r w:rsidRPr="00493E39">
        <w:rPr>
          <w:rFonts w:cs="Arial"/>
          <w:lang w:val="pt-BR"/>
        </w:rPr>
        <w:t xml:space="preserve"> (2009). O autor argumenta que o preço é ele próprio endógeno e decompõe sua variação em três choques estruturais distintos: interrupções de oferta, variações da demanda global por commodities e demanda precaucional associada a incerteza sobre oferta futura. Como os três têm efeitos macroeconômicos diferentes, a resposta estimada a uma variação bruta é média ponderada cuja composição varia no tempo, o que ajuda a explicar a instabilidade dos coeficientes.</w:t>
      </w:r>
    </w:p>
    <w:p w14:paraId="7439DF96" w14:textId="77777777" w:rsidR="00D64459" w:rsidRPr="00493E39" w:rsidRDefault="008B2120">
      <w:pPr>
        <w:ind w:firstLine="709"/>
        <w:jc w:val="both"/>
        <w:rPr>
          <w:rFonts w:cs="Arial"/>
          <w:lang w:val="pt-BR"/>
        </w:rPr>
      </w:pPr>
      <w:r w:rsidRPr="00493E39">
        <w:rPr>
          <w:rFonts w:cs="Arial"/>
          <w:lang w:val="pt-BR"/>
        </w:rPr>
        <w:t xml:space="preserve">A implicação é direta: uma quebra estimada na relação entre petróleo e inflação pode refletir mudança na composição dos choques internacionais, e não mudança na regra doméstica. Ryan e </w:t>
      </w:r>
      <w:proofErr w:type="spellStart"/>
      <w:r w:rsidRPr="00493E39">
        <w:rPr>
          <w:rFonts w:cs="Arial"/>
          <w:lang w:val="pt-BR"/>
        </w:rPr>
        <w:t>Michieka</w:t>
      </w:r>
      <w:proofErr w:type="spellEnd"/>
      <w:r w:rsidRPr="00493E39">
        <w:rPr>
          <w:rFonts w:cs="Arial"/>
          <w:lang w:val="pt-BR"/>
        </w:rPr>
        <w:t xml:space="preserve"> (2025) replicam o artigo com dados até 2024 e confirmam seus resultados centrais.</w:t>
      </w:r>
    </w:p>
    <w:p w14:paraId="6B436125" w14:textId="77777777" w:rsidR="00D64459" w:rsidRPr="00493E39" w:rsidRDefault="008B2120">
      <w:pPr>
        <w:ind w:firstLine="709"/>
        <w:jc w:val="both"/>
        <w:rPr>
          <w:rFonts w:cs="Arial"/>
          <w:lang w:val="pt-BR"/>
        </w:rPr>
      </w:pPr>
      <w:r w:rsidRPr="00493E39">
        <w:rPr>
          <w:rFonts w:cs="Arial"/>
          <w:lang w:val="pt-BR"/>
        </w:rPr>
        <w:t xml:space="preserve">A resposta metodológica usual é identificar o choque fora do modelo. </w:t>
      </w:r>
      <w:proofErr w:type="spellStart"/>
      <w:r w:rsidRPr="00493E39">
        <w:rPr>
          <w:rFonts w:cs="Arial"/>
          <w:lang w:val="pt-BR"/>
        </w:rPr>
        <w:t>Känzig</w:t>
      </w:r>
      <w:proofErr w:type="spellEnd"/>
      <w:r w:rsidRPr="00493E39">
        <w:rPr>
          <w:rFonts w:cs="Arial"/>
          <w:lang w:val="pt-BR"/>
        </w:rPr>
        <w:t xml:space="preserve"> (2021) constrói medida de choque de oferta a partir de surpresas de preços de futuros em torno de anúncios da OPEP, isolando variação que não responde a condições macroeconômicas correntes. </w:t>
      </w:r>
      <w:proofErr w:type="spellStart"/>
      <w:r w:rsidRPr="00493E39">
        <w:rPr>
          <w:rFonts w:cs="Arial"/>
          <w:lang w:val="pt-BR"/>
        </w:rPr>
        <w:t>Ramey</w:t>
      </w:r>
      <w:proofErr w:type="spellEnd"/>
      <w:r w:rsidRPr="00493E39">
        <w:rPr>
          <w:rFonts w:cs="Arial"/>
          <w:lang w:val="pt-BR"/>
        </w:rPr>
        <w:t xml:space="preserve"> (2016) sistematiza essa família de estratégias e mostra que vários desses choques são instrumentos fracos em parte das amostras.</w:t>
      </w:r>
    </w:p>
    <w:p w14:paraId="12F2B8C3" w14:textId="77777777" w:rsidR="00D64459" w:rsidRPr="00493E39" w:rsidRDefault="008B2120">
      <w:pPr>
        <w:ind w:firstLine="709"/>
        <w:jc w:val="both"/>
        <w:rPr>
          <w:rFonts w:cs="Arial"/>
          <w:lang w:val="pt-BR"/>
        </w:rPr>
      </w:pPr>
      <w:r w:rsidRPr="00493E39">
        <w:rPr>
          <w:rFonts w:cs="Arial"/>
          <w:lang w:val="pt-BR"/>
        </w:rPr>
        <w:t xml:space="preserve">Hamilton (2003) acrescenta advertência de natureza diferente: a relação entre preço do petróleo e atividade é não linear, pois altas afetam a economia de modo que quedas não espelham. O resultado adverte contra a leitura de um coeficiente único como se valesse para qualquer choque, e motiva o exercício do Apêndice K.4, que segue </w:t>
      </w:r>
      <w:proofErr w:type="spellStart"/>
      <w:r w:rsidRPr="00493E39">
        <w:rPr>
          <w:rFonts w:cs="Arial"/>
          <w:lang w:val="pt-BR"/>
        </w:rPr>
        <w:t>Mork</w:t>
      </w:r>
      <w:proofErr w:type="spellEnd"/>
      <w:r w:rsidRPr="00493E39">
        <w:rPr>
          <w:rFonts w:cs="Arial"/>
          <w:lang w:val="pt-BR"/>
        </w:rPr>
        <w:t xml:space="preserve"> (1989) na assimetria em relação à atividade e Bacon (1991) e Borenstein, Cameron e Gilbert (1997) no padrão de foguetes e penas dos preços de varejo, na forma funcional de Shin, Yu e Greenwood-</w:t>
      </w:r>
      <w:proofErr w:type="spellStart"/>
      <w:r w:rsidRPr="00493E39">
        <w:rPr>
          <w:rFonts w:cs="Arial"/>
          <w:lang w:val="pt-BR"/>
        </w:rPr>
        <w:t>Nimmo</w:t>
      </w:r>
      <w:proofErr w:type="spellEnd"/>
      <w:r w:rsidRPr="00493E39">
        <w:rPr>
          <w:rFonts w:cs="Arial"/>
          <w:lang w:val="pt-BR"/>
        </w:rPr>
        <w:t xml:space="preserve"> (2014).</w:t>
      </w:r>
    </w:p>
    <w:p w14:paraId="04A6CF1C" w14:textId="77777777" w:rsidR="00D64459" w:rsidRPr="00493E39" w:rsidRDefault="008B2120">
      <w:pPr>
        <w:ind w:firstLine="709"/>
        <w:jc w:val="both"/>
        <w:rPr>
          <w:rFonts w:cs="Arial"/>
          <w:lang w:val="pt-BR"/>
        </w:rPr>
      </w:pPr>
      <w:r w:rsidRPr="00493E39">
        <w:rPr>
          <w:rFonts w:cs="Arial"/>
          <w:lang w:val="pt-BR"/>
        </w:rPr>
        <w:t>Cabe notar que a crítica foi formulada para explicar a resposta de agregados nos Estados Unidos, onde o preço doméstico dos combustíveis é determinado em mercado. Em economia na qual esse preço é fixado por regra administrativa explícita, a composição do choque internacional é apenas um dos determinantes da transmissão, e possivelmente não o principal.</w:t>
      </w:r>
    </w:p>
    <w:p w14:paraId="0E64167A" w14:textId="77777777" w:rsidR="00D64459" w:rsidRPr="00493E39" w:rsidRDefault="008B2120">
      <w:pPr>
        <w:pStyle w:val="Heading2"/>
        <w:spacing w:before="280" w:after="160"/>
        <w:rPr>
          <w:rFonts w:ascii="Arial" w:hAnsi="Arial" w:cs="Arial"/>
          <w:lang w:val="pt-BR"/>
        </w:rPr>
      </w:pPr>
      <w:bookmarkStart w:id="4" w:name="_Toc239713553"/>
      <w:r w:rsidRPr="00493E39">
        <w:rPr>
          <w:rFonts w:ascii="Arial" w:hAnsi="Arial" w:cs="Arial"/>
          <w:sz w:val="24"/>
          <w:lang w:val="pt-BR"/>
        </w:rPr>
        <w:lastRenderedPageBreak/>
        <w:t>2.3 Preços de combustíveis no Brasil: da contenção à paridade</w:t>
      </w:r>
      <w:bookmarkEnd w:id="4"/>
    </w:p>
    <w:p w14:paraId="30BF0DBA" w14:textId="77777777" w:rsidR="00D64459" w:rsidRPr="00493E39" w:rsidRDefault="008B2120">
      <w:pPr>
        <w:ind w:firstLine="709"/>
        <w:jc w:val="both"/>
        <w:rPr>
          <w:rFonts w:cs="Arial"/>
          <w:lang w:val="pt-BR"/>
        </w:rPr>
      </w:pPr>
      <w:r w:rsidRPr="00493E39">
        <w:rPr>
          <w:rFonts w:cs="Arial"/>
          <w:lang w:val="pt-BR"/>
        </w:rPr>
        <w:t xml:space="preserve">A literatura brasileira documentou o período de contenção por via contábil e institucional, e não econométrica. Almeida, Oliveira e Losekann (2015) reconstroem a política de 2011 a 2014, estimando em cerca de R$ 98 bilhões a perda de receita da Petrobras com a venda de derivados abaixo da referência internacional. Azevedo e </w:t>
      </w:r>
      <w:proofErr w:type="spellStart"/>
      <w:r w:rsidRPr="00493E39">
        <w:rPr>
          <w:rFonts w:cs="Arial"/>
          <w:lang w:val="pt-BR"/>
        </w:rPr>
        <w:t>Serigati</w:t>
      </w:r>
      <w:proofErr w:type="spellEnd"/>
      <w:r w:rsidRPr="00493E39">
        <w:rPr>
          <w:rFonts w:cs="Arial"/>
          <w:lang w:val="pt-BR"/>
        </w:rPr>
        <w:t xml:space="preserve"> (2015) mostram que os preços administrados se desviaram mais quanto maior seu peso no IPCA. Nenhum dos dois estima o que a interrupção significou para o repasse à inflação, nem examina o período posterior.</w:t>
      </w:r>
    </w:p>
    <w:p w14:paraId="2C7E7662" w14:textId="77777777" w:rsidR="00D64459" w:rsidRPr="00493E39" w:rsidRDefault="008B2120">
      <w:pPr>
        <w:ind w:firstLine="709"/>
        <w:jc w:val="both"/>
        <w:rPr>
          <w:rFonts w:cs="Arial"/>
          <w:lang w:val="pt-BR"/>
        </w:rPr>
      </w:pPr>
      <w:r w:rsidRPr="00493E39">
        <w:rPr>
          <w:rFonts w:cs="Arial"/>
          <w:lang w:val="pt-BR"/>
        </w:rPr>
        <w:t>O comportamento distinto dos preços administrados é anterior à paridade. Figueiredo e Ferreira (2002) mostram que, entre 1995 e 2002, os administrados variaram bem mais que os livres, com comportamento inercial, e apontam o preço do petróleo entre os fatores que os movem: os combustíveis já constituíam categoria com dinâmica própria antes de 2016.</w:t>
      </w:r>
    </w:p>
    <w:p w14:paraId="0A9050F7" w14:textId="77777777" w:rsidR="00D64459" w:rsidRPr="00493E39" w:rsidRDefault="008B2120">
      <w:pPr>
        <w:ind w:firstLine="709"/>
        <w:jc w:val="both"/>
        <w:rPr>
          <w:rFonts w:cs="Arial"/>
          <w:lang w:val="pt-BR"/>
        </w:rPr>
      </w:pPr>
      <w:r w:rsidRPr="00493E39">
        <w:rPr>
          <w:rFonts w:cs="Arial"/>
          <w:lang w:val="pt-BR"/>
        </w:rPr>
        <w:t>A autoridade monetária produziu a estimativa mais próxima dessa pergunta. O Banco Central do Brasil (2022) calibra o repasse do petróleo em reais à gasolina a partir da estrutura de custos e obtém, com os pesos de 2021, impacto sobre o IPCA entre 0,20 e 0,27 ponto percentual para elevação de 10%, considerando apenas o canal direto. É calibração, e não estimativa: supõe repasse integral do petróleo em reais à refinaria, com coeficiente entre 39,8% e 54,4%. Comparar esse parâmetro suposto com o repasse efetivamente ocorrido, e verificar se ele descreve toda a amostra ou apenas parte dela, é um dos exercícios deste trabalho.</w:t>
      </w:r>
    </w:p>
    <w:p w14:paraId="5D7ED285" w14:textId="77777777" w:rsidR="00D64459" w:rsidRPr="00493E39" w:rsidRDefault="008B2120">
      <w:pPr>
        <w:ind w:firstLine="709"/>
        <w:jc w:val="both"/>
        <w:rPr>
          <w:rFonts w:cs="Arial"/>
          <w:lang w:val="pt-BR"/>
        </w:rPr>
      </w:pPr>
      <w:r w:rsidRPr="00493E39">
        <w:rPr>
          <w:rFonts w:cs="Arial"/>
          <w:lang w:val="pt-BR"/>
        </w:rPr>
        <w:t>Registre-se que a própria autoridade emprega projeções locais para medir repasse no Brasil: o Banco Central do Brasil (2026) estima por esse método o repasse cambial à inflação.</w:t>
      </w:r>
    </w:p>
    <w:p w14:paraId="655F1A65" w14:textId="77777777" w:rsidR="00D64459" w:rsidRPr="00493E39" w:rsidRDefault="008B2120">
      <w:pPr>
        <w:ind w:firstLine="709"/>
        <w:jc w:val="both"/>
        <w:rPr>
          <w:rFonts w:cs="Arial"/>
          <w:lang w:val="pt-BR"/>
        </w:rPr>
      </w:pPr>
      <w:r w:rsidRPr="00493E39">
        <w:rPr>
          <w:rFonts w:cs="Arial"/>
          <w:lang w:val="pt-BR"/>
        </w:rPr>
        <w:t xml:space="preserve">A Figura 1 documenta graficamente essa transição. O painel superior contrapõe o preço doméstico da gasolina, na refinaria e ao consumidor, à cotação internacional do produto refinado convertida em reais; o intermediário mostra a razão entre o crescimento acumulado do preço na refinaria e o da paridade; e o inferior traz a correlação móvel de vinte e quatro meses entre a variação mensal do preço na refinaria e a da referência internacional. Ela tem média de +0,00 no período anterior a outubro </w:t>
      </w:r>
      <w:r w:rsidRPr="00493E39">
        <w:rPr>
          <w:rFonts w:cs="Arial"/>
          <w:lang w:val="pt-BR"/>
        </w:rPr>
        <w:lastRenderedPageBreak/>
        <w:t>de 2016 e salta para uma média de +0,58 depois, sem que nada tenha sido estimado e sem que nenhuma data de corte tenha sido escolhida.</w:t>
      </w:r>
    </w:p>
    <w:p w14:paraId="0C848BFB" w14:textId="77777777" w:rsidR="00D64459" w:rsidRPr="00493E39" w:rsidRDefault="008B2120">
      <w:pPr>
        <w:ind w:firstLine="709"/>
        <w:jc w:val="both"/>
        <w:rPr>
          <w:rFonts w:cs="Arial"/>
          <w:lang w:val="pt-BR"/>
        </w:rPr>
      </w:pPr>
      <w:r w:rsidRPr="00493E39">
        <w:rPr>
          <w:rFonts w:cs="Arial"/>
          <w:lang w:val="pt-BR"/>
        </w:rPr>
        <w:t>Existe, por fim, precedente brasileiro para a ideia central deste trabalho, aplicado a outro preço. Correa e Minella (2010) estimam curva de Phillips com limiar e mostram que o repasse cambial no Brasil não é constante. O repasse já foi tratado, portanto, como função do estado da economia. A diferença está na natureza do estado: os limiares daquele trabalho são cíclicos e de mercado, ao passo que o estado relevante aqui é institucional, descontínuo e datável.</w:t>
      </w:r>
    </w:p>
    <w:p w14:paraId="53FAD641"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1 – Preço doméstico da gasolina e referência internacional</w:t>
      </w:r>
    </w:p>
    <w:p w14:paraId="58FA4CAF" w14:textId="77777777" w:rsidR="00D64459" w:rsidRPr="00493E39" w:rsidRDefault="008B2120">
      <w:pPr>
        <w:spacing w:after="40"/>
        <w:jc w:val="center"/>
        <w:rPr>
          <w:rFonts w:cs="Arial"/>
        </w:rPr>
      </w:pPr>
      <w:r w:rsidRPr="00493E39">
        <w:rPr>
          <w:rFonts w:cs="Arial"/>
          <w:noProof/>
        </w:rPr>
        <w:drawing>
          <wp:inline distT="0" distB="0" distL="0" distR="0" wp14:anchorId="4D4DD76C" wp14:editId="3E4E3169">
            <wp:extent cx="4590000" cy="4765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idade_golfo.png"/>
                    <pic:cNvPicPr/>
                  </pic:nvPicPr>
                  <pic:blipFill>
                    <a:blip r:embed="rId9"/>
                    <a:stretch>
                      <a:fillRect/>
                    </a:stretch>
                  </pic:blipFill>
                  <pic:spPr>
                    <a:xfrm>
                      <a:off x="0" y="0"/>
                      <a:ext cx="4590000" cy="4765086"/>
                    </a:xfrm>
                    <a:prstGeom prst="rect">
                      <a:avLst/>
                    </a:prstGeom>
                  </pic:spPr>
                </pic:pic>
              </a:graphicData>
            </a:graphic>
          </wp:inline>
        </w:drawing>
      </w:r>
    </w:p>
    <w:p w14:paraId="155CC3F2" w14:textId="77777777" w:rsidR="00D64459" w:rsidRPr="00493E39" w:rsidRDefault="008B2120">
      <w:pPr>
        <w:spacing w:line="240" w:lineRule="auto"/>
        <w:jc w:val="both"/>
        <w:rPr>
          <w:rFonts w:cs="Arial"/>
          <w:lang w:val="pt-BR"/>
        </w:rPr>
      </w:pPr>
      <w:r w:rsidRPr="00493E39">
        <w:rPr>
          <w:rFonts w:cs="Arial"/>
          <w:sz w:val="18"/>
          <w:lang w:val="pt-BR"/>
        </w:rPr>
        <w:t>Nota: a cotação da gasolina na Costa do Golfo dos Estados Unidos entra como termo de comparação e não é variável do modelo, cujo choque é o preço do Brent. A conversão em reais por litro usa apenas o câmbio, sem frete, seguro, internação ou tributos, de modo que a comparação é de dinâmica e não de nível. No painel intermediário, valores acima de 1 indicam que o preço doméstico cresceu mais que a paridade desde 2003, e não que esteja acima dela em reais por litro.</w:t>
      </w:r>
    </w:p>
    <w:p w14:paraId="22D5E3BF"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 a partir de dados da EIA, da ANP e do Banco Central do Brasil.</w:t>
      </w:r>
    </w:p>
    <w:p w14:paraId="028EDF25" w14:textId="77777777" w:rsidR="00D64459" w:rsidRPr="00493E39" w:rsidRDefault="008B2120">
      <w:pPr>
        <w:ind w:firstLine="709"/>
        <w:jc w:val="both"/>
        <w:rPr>
          <w:rFonts w:cs="Arial"/>
          <w:lang w:val="pt-BR"/>
        </w:rPr>
      </w:pPr>
      <w:r w:rsidRPr="00493E39">
        <w:rPr>
          <w:rFonts w:cs="Arial"/>
          <w:lang w:val="pt-BR"/>
        </w:rPr>
        <w:lastRenderedPageBreak/>
        <w:t>A literatura mais recente confirma a relevância da pergunta e delimita o que resta fazer. Jesus Jr., Uchôa e Fernandes (2025) estimam um vetor autorregressivo com restrições de sinal sobre dados semanais de 2004 a 2022 e documentam um dilema de economia política: manter o preço doméstico abaixo da referência eleva a satisfação social e pouco afeta a inflação, ao custo do desempenho financeiro da estatal. Naquele trabalho a data da mudança é imposta pela cronologia e a amostra encerra-se em 2022, de modo que restam a datação endógena, a decomposição do canal e a extensão da amostra, que são os três eixos deste.</w:t>
      </w:r>
    </w:p>
    <w:p w14:paraId="3E13503B" w14:textId="77777777" w:rsidR="00D64459" w:rsidRPr="00493E39" w:rsidRDefault="008B2120">
      <w:pPr>
        <w:pStyle w:val="Heading2"/>
        <w:spacing w:before="280" w:after="160"/>
        <w:rPr>
          <w:rFonts w:ascii="Arial" w:hAnsi="Arial" w:cs="Arial"/>
          <w:lang w:val="pt-BR"/>
        </w:rPr>
      </w:pPr>
      <w:bookmarkStart w:id="5" w:name="_Toc239713554"/>
      <w:r w:rsidRPr="00493E39">
        <w:rPr>
          <w:rFonts w:ascii="Arial" w:hAnsi="Arial" w:cs="Arial"/>
          <w:sz w:val="24"/>
          <w:lang w:val="pt-BR"/>
        </w:rPr>
        <w:t>2.4 Projeções locais</w:t>
      </w:r>
      <w:bookmarkEnd w:id="5"/>
    </w:p>
    <w:p w14:paraId="05F9AD59" w14:textId="77777777" w:rsidR="00D64459" w:rsidRPr="00493E39" w:rsidRDefault="008B2120">
      <w:pPr>
        <w:ind w:firstLine="709"/>
        <w:jc w:val="both"/>
        <w:rPr>
          <w:rFonts w:cs="Arial"/>
          <w:lang w:val="pt-BR"/>
        </w:rPr>
      </w:pPr>
      <w:proofErr w:type="spellStart"/>
      <w:r w:rsidRPr="00493E39">
        <w:rPr>
          <w:rFonts w:cs="Arial"/>
          <w:lang w:val="pt-BR"/>
        </w:rPr>
        <w:t>Jordà</w:t>
      </w:r>
      <w:proofErr w:type="spellEnd"/>
      <w:r w:rsidRPr="00493E39">
        <w:rPr>
          <w:rFonts w:cs="Arial"/>
          <w:lang w:val="pt-BR"/>
        </w:rPr>
        <w:t xml:space="preserve"> (2005) propôs estimar funções de resposta a impulso por uma sequência de regressões, uma para cada horizonte, em lugar de iterar um modelo de vetores autorregressivos. A vantagem decisiva é a robustez: como cada horizonte é estimado separadamente, um erro de especificação não se propaga ao longo da função de resposta, ao passo que em um modelo autorregressivo o mesmo erro é composto a cada iteração. O custo é perda de eficiência.</w:t>
      </w:r>
    </w:p>
    <w:p w14:paraId="567BE581" w14:textId="77777777" w:rsidR="00D64459" w:rsidRPr="00493E39" w:rsidRDefault="008B2120">
      <w:pPr>
        <w:ind w:firstLine="709"/>
        <w:jc w:val="both"/>
        <w:rPr>
          <w:rFonts w:cs="Arial"/>
          <w:lang w:val="pt-BR"/>
        </w:rPr>
      </w:pPr>
      <w:r w:rsidRPr="00493E39">
        <w:rPr>
          <w:rFonts w:cs="Arial"/>
          <w:lang w:val="pt-BR"/>
        </w:rPr>
        <w:t>Para o problema examinado aqui há uma segunda vantagem. Permitir que o coeficiente do choque difira entre regimes é, em projeções locais, apenas a inclusão de um termo de interação, e o teste de igualdade entre regimes é um teste de Wald sobre dois coeficientes da mesma equação. Em um modelo de vetores autorregressivos, a mesma pergunta exigiria estimar o sistema separadamente em cada subamostra, com a consequente perda de graus de liberdade.</w:t>
      </w:r>
    </w:p>
    <w:p w14:paraId="6A206C37" w14:textId="77777777" w:rsidR="00D64459" w:rsidRPr="00493E39" w:rsidRDefault="008B2120">
      <w:pPr>
        <w:ind w:firstLine="709"/>
        <w:jc w:val="both"/>
        <w:rPr>
          <w:rFonts w:cs="Arial"/>
          <w:lang w:val="pt-BR"/>
        </w:rPr>
      </w:pPr>
      <w:r w:rsidRPr="00493E39">
        <w:rPr>
          <w:rFonts w:cs="Arial"/>
          <w:lang w:val="pt-BR"/>
        </w:rPr>
        <w:t xml:space="preserve">A inferência recebeu tratamento recente. Montiel </w:t>
      </w:r>
      <w:proofErr w:type="spellStart"/>
      <w:r w:rsidRPr="00493E39">
        <w:rPr>
          <w:rFonts w:cs="Arial"/>
          <w:lang w:val="pt-BR"/>
        </w:rPr>
        <w:t>Olea</w:t>
      </w:r>
      <w:proofErr w:type="spellEnd"/>
      <w:r w:rsidRPr="00493E39">
        <w:rPr>
          <w:rFonts w:cs="Arial"/>
          <w:lang w:val="pt-BR"/>
        </w:rPr>
        <w:t xml:space="preserve"> e </w:t>
      </w:r>
      <w:proofErr w:type="spellStart"/>
      <w:r w:rsidRPr="00493E39">
        <w:rPr>
          <w:rFonts w:cs="Arial"/>
          <w:lang w:val="pt-BR"/>
        </w:rPr>
        <w:t>Plagborg-Møller</w:t>
      </w:r>
      <w:proofErr w:type="spellEnd"/>
      <w:r w:rsidRPr="00493E39">
        <w:rPr>
          <w:rFonts w:cs="Arial"/>
          <w:lang w:val="pt-BR"/>
        </w:rPr>
        <w:t xml:space="preserve"> (2021) mostram que a inclusão de defasagens adicionais de todas as variáveis, que denominam aumento de defasagem, torna a inferência uniformemente válida mesmo quando os </w:t>
      </w:r>
      <w:proofErr w:type="spellStart"/>
      <w:r w:rsidRPr="00493E39">
        <w:rPr>
          <w:rFonts w:cs="Arial"/>
          <w:lang w:val="pt-BR"/>
        </w:rPr>
        <w:t>regressores</w:t>
      </w:r>
      <w:proofErr w:type="spellEnd"/>
      <w:r w:rsidRPr="00493E39">
        <w:rPr>
          <w:rFonts w:cs="Arial"/>
          <w:lang w:val="pt-BR"/>
        </w:rPr>
        <w:t xml:space="preserve"> são persistentes. Os mesmos autores (2019) observam que uma função de resposta avaliada em vários horizontes exige bandas simultâneas, sob pena de a cobertura conjunta ficar abaixo do nível nominal, e propõem bandas do tipo </w:t>
      </w:r>
      <w:proofErr w:type="spellStart"/>
      <w:r w:rsidRPr="00493E39">
        <w:rPr>
          <w:rFonts w:cs="Arial"/>
          <w:lang w:val="pt-BR"/>
        </w:rPr>
        <w:t>sup</w:t>
      </w:r>
      <w:proofErr w:type="spellEnd"/>
      <w:r w:rsidRPr="00493E39">
        <w:rPr>
          <w:rFonts w:cs="Arial"/>
          <w:lang w:val="pt-BR"/>
        </w:rPr>
        <w:t>-t, que preservam o erro-padrão e alteram apenas o valor crítico.</w:t>
      </w:r>
    </w:p>
    <w:p w14:paraId="78E45876" w14:textId="77777777" w:rsidR="00D64459" w:rsidRPr="00493E39" w:rsidRDefault="008B2120">
      <w:pPr>
        <w:ind w:firstLine="709"/>
        <w:jc w:val="both"/>
        <w:rPr>
          <w:rFonts w:cs="Arial"/>
          <w:lang w:val="pt-BR"/>
        </w:rPr>
      </w:pPr>
      <w:proofErr w:type="spellStart"/>
      <w:r w:rsidRPr="00493E39">
        <w:rPr>
          <w:rFonts w:cs="Arial"/>
          <w:lang w:val="pt-BR"/>
        </w:rPr>
        <w:t>Teulings</w:t>
      </w:r>
      <w:proofErr w:type="spellEnd"/>
      <w:r w:rsidRPr="00493E39">
        <w:rPr>
          <w:rFonts w:cs="Arial"/>
          <w:lang w:val="pt-BR"/>
        </w:rPr>
        <w:t xml:space="preserve"> e </w:t>
      </w:r>
      <w:proofErr w:type="spellStart"/>
      <w:r w:rsidRPr="00493E39">
        <w:rPr>
          <w:rFonts w:cs="Arial"/>
          <w:lang w:val="pt-BR"/>
        </w:rPr>
        <w:t>Zubanov</w:t>
      </w:r>
      <w:proofErr w:type="spellEnd"/>
      <w:r w:rsidRPr="00493E39">
        <w:rPr>
          <w:rFonts w:cs="Arial"/>
          <w:lang w:val="pt-BR"/>
        </w:rPr>
        <w:t xml:space="preserve"> (2014) apontam viés que cresce com o horizonte: os choques ocorridos entre t e </w:t>
      </w:r>
      <w:proofErr w:type="spellStart"/>
      <w:r w:rsidRPr="00493E39">
        <w:rPr>
          <w:rFonts w:cs="Arial"/>
          <w:lang w:val="pt-BR"/>
        </w:rPr>
        <w:t>t+h</w:t>
      </w:r>
      <w:proofErr w:type="spellEnd"/>
      <w:r w:rsidRPr="00493E39">
        <w:rPr>
          <w:rFonts w:cs="Arial"/>
          <w:lang w:val="pt-BR"/>
        </w:rPr>
        <w:t xml:space="preserve"> ficam fora da regressão e seus efeitos passam ao erro, </w:t>
      </w:r>
      <w:r w:rsidRPr="00493E39">
        <w:rPr>
          <w:rFonts w:cs="Arial"/>
          <w:lang w:val="pt-BR"/>
        </w:rPr>
        <w:lastRenderedPageBreak/>
        <w:t>o que, no painel com efeitos fixos que examinam, subestima a resposta. A correção, adotada por Choi et al. (2018), inclui esses choques como controles. Aqui ela tem motivo adicional, pois o choque exibe autocorrelação de primeira ordem não desprezível.</w:t>
      </w:r>
    </w:p>
    <w:p w14:paraId="6B22A8F1" w14:textId="77777777" w:rsidR="00D64459" w:rsidRPr="00493E39" w:rsidRDefault="008B2120">
      <w:pPr>
        <w:ind w:firstLine="709"/>
        <w:jc w:val="both"/>
        <w:rPr>
          <w:rFonts w:cs="Arial"/>
          <w:lang w:val="pt-BR"/>
        </w:rPr>
      </w:pPr>
      <w:r w:rsidRPr="00493E39">
        <w:rPr>
          <w:rFonts w:cs="Arial"/>
          <w:lang w:val="pt-BR"/>
        </w:rPr>
        <w:t>A decomposição entre efeito direto e indireto que o Capítulo 4 realiza tem precedente na área do euro. López et al. (2026), para choques de oferta de gás, concluem com um modelo de equilíbrio geral que os efeitos indiretos respondem por cerca de três quartos da resposta acumulada da inflação cheia ao fim de três anos, o que serve de referência externa para a decomposição contábil da seção 4.5. Os autores atribuem parte da heterogeneidade entre países à regulação dos preços de energia no varejo, por comparação entre Alemanha, Espanha, França e Itália, sem testar esse fator isoladamente.</w:t>
      </w:r>
    </w:p>
    <w:p w14:paraId="2BB80BFB" w14:textId="77777777" w:rsidR="00D64459" w:rsidRPr="00493E39" w:rsidRDefault="008B2120">
      <w:pPr>
        <w:pStyle w:val="Heading2"/>
        <w:spacing w:before="280" w:after="160"/>
        <w:rPr>
          <w:rFonts w:ascii="Arial" w:hAnsi="Arial" w:cs="Arial"/>
          <w:lang w:val="pt-BR"/>
        </w:rPr>
      </w:pPr>
      <w:bookmarkStart w:id="6" w:name="_Toc239713555"/>
      <w:r w:rsidRPr="00493E39">
        <w:rPr>
          <w:rFonts w:ascii="Arial" w:hAnsi="Arial" w:cs="Arial"/>
          <w:sz w:val="24"/>
          <w:lang w:val="pt-BR"/>
        </w:rPr>
        <w:t>2.5 Quebra estrutural e inferência robusta</w:t>
      </w:r>
      <w:bookmarkEnd w:id="6"/>
    </w:p>
    <w:p w14:paraId="4EB05B59" w14:textId="77777777" w:rsidR="00D64459" w:rsidRPr="00493E39" w:rsidRDefault="008B2120">
      <w:pPr>
        <w:ind w:firstLine="709"/>
        <w:jc w:val="both"/>
        <w:rPr>
          <w:rFonts w:cs="Arial"/>
          <w:lang w:val="pt-BR"/>
        </w:rPr>
      </w:pPr>
      <w:r w:rsidRPr="00493E39">
        <w:rPr>
          <w:rFonts w:cs="Arial"/>
          <w:lang w:val="pt-BR"/>
        </w:rPr>
        <w:t xml:space="preserve">Estimar a data em que uma relação se altera, em vez de impô-la, é o que separa a verificação de uma hipótese institucional da confirmação de uma narrativa. Andrews (1993) desenvolveu o teste para instabilidade de parâmetros com ponto de quebra desconhecido, no qual a estatística de Wald é calculada em cada data candidata e toma-se o supremo; a distribuição assintótica não é </w:t>
      </w:r>
      <w:proofErr w:type="spellStart"/>
      <w:r w:rsidRPr="00493E39">
        <w:rPr>
          <w:rFonts w:cs="Arial"/>
          <w:lang w:val="pt-BR"/>
        </w:rPr>
        <w:t>qui</w:t>
      </w:r>
      <w:proofErr w:type="spellEnd"/>
      <w:r w:rsidRPr="00493E39">
        <w:rPr>
          <w:rFonts w:cs="Arial"/>
          <w:lang w:val="pt-BR"/>
        </w:rPr>
        <w:t xml:space="preserve">-quadrado, porque o parâmetro que indexa a data não é identificado sob a nula. </w:t>
      </w:r>
      <w:proofErr w:type="spellStart"/>
      <w:r w:rsidRPr="00493E39">
        <w:rPr>
          <w:rFonts w:cs="Arial"/>
          <w:lang w:val="pt-BR"/>
        </w:rPr>
        <w:t>Bai</w:t>
      </w:r>
      <w:proofErr w:type="spellEnd"/>
      <w:r w:rsidRPr="00493E39">
        <w:rPr>
          <w:rFonts w:cs="Arial"/>
          <w:lang w:val="pt-BR"/>
        </w:rPr>
        <w:t xml:space="preserve"> e </w:t>
      </w:r>
      <w:proofErr w:type="spellStart"/>
      <w:r w:rsidRPr="00493E39">
        <w:rPr>
          <w:rFonts w:cs="Arial"/>
          <w:lang w:val="pt-BR"/>
        </w:rPr>
        <w:t>Perron</w:t>
      </w:r>
      <w:proofErr w:type="spellEnd"/>
      <w:r w:rsidRPr="00493E39">
        <w:rPr>
          <w:rFonts w:cs="Arial"/>
          <w:lang w:val="pt-BR"/>
        </w:rPr>
        <w:t xml:space="preserve"> (1998) estendem o tratamento a múltiplas quebras.</w:t>
      </w:r>
    </w:p>
    <w:p w14:paraId="5EAD43E4" w14:textId="77777777" w:rsidR="00D64459" w:rsidRPr="00493E39" w:rsidRDefault="008B2120">
      <w:pPr>
        <w:ind w:firstLine="709"/>
        <w:jc w:val="both"/>
        <w:rPr>
          <w:rFonts w:cs="Arial"/>
          <w:lang w:val="pt-BR"/>
        </w:rPr>
      </w:pPr>
      <w:r w:rsidRPr="00493E39">
        <w:rPr>
          <w:rFonts w:cs="Arial"/>
          <w:lang w:val="pt-BR"/>
        </w:rPr>
        <w:t xml:space="preserve">A escolha de uma data única para todas as séries </w:t>
      </w:r>
      <w:proofErr w:type="gramStart"/>
      <w:r w:rsidRPr="00493E39">
        <w:rPr>
          <w:rFonts w:cs="Arial"/>
          <w:lang w:val="pt-BR"/>
        </w:rPr>
        <w:t>tem</w:t>
      </w:r>
      <w:proofErr w:type="gramEnd"/>
      <w:r w:rsidRPr="00493E39">
        <w:rPr>
          <w:rFonts w:cs="Arial"/>
          <w:lang w:val="pt-BR"/>
        </w:rPr>
        <w:t xml:space="preserve"> respaldo próprio. </w:t>
      </w:r>
      <w:proofErr w:type="spellStart"/>
      <w:r w:rsidRPr="00493E39">
        <w:rPr>
          <w:rFonts w:cs="Arial"/>
          <w:lang w:val="pt-BR"/>
        </w:rPr>
        <w:t>Bai</w:t>
      </w:r>
      <w:proofErr w:type="spellEnd"/>
      <w:r w:rsidRPr="00493E39">
        <w:rPr>
          <w:rFonts w:cs="Arial"/>
          <w:lang w:val="pt-BR"/>
        </w:rPr>
        <w:t xml:space="preserve">, </w:t>
      </w:r>
      <w:proofErr w:type="spellStart"/>
      <w:r w:rsidRPr="00493E39">
        <w:rPr>
          <w:rFonts w:cs="Arial"/>
          <w:lang w:val="pt-BR"/>
        </w:rPr>
        <w:t>Lumsdaine</w:t>
      </w:r>
      <w:proofErr w:type="spellEnd"/>
      <w:r w:rsidRPr="00493E39">
        <w:rPr>
          <w:rFonts w:cs="Arial"/>
          <w:lang w:val="pt-BR"/>
        </w:rPr>
        <w:t xml:space="preserve"> e Stock (1998) mostram que, quando a ruptura é de fato compartilhada, estimá-la conjuntamente é mais preciso do que estimar uma data por série, porque a informação de várias séries estreita o intervalo de confiança sobre o ponto de quebra. O argumento se aplica ao caso examinado, em que a mudança de regra atinge ao mesmo tempo todos os preços de combustível: a hipótese de quebra comum é a tradução estatística da hipótese institucional que o trabalho testa.</w:t>
      </w:r>
    </w:p>
    <w:p w14:paraId="38126482" w14:textId="77777777" w:rsidR="00D64459" w:rsidRPr="00493E39" w:rsidRDefault="008B2120">
      <w:pPr>
        <w:ind w:firstLine="709"/>
        <w:jc w:val="both"/>
        <w:rPr>
          <w:rFonts w:cs="Arial"/>
          <w:lang w:val="pt-BR"/>
        </w:rPr>
      </w:pPr>
      <w:r w:rsidRPr="00493E39">
        <w:rPr>
          <w:rFonts w:cs="Arial"/>
          <w:lang w:val="pt-BR"/>
        </w:rPr>
        <w:t xml:space="preserve">Hansen (2000) mostra que a distribuição assintótica convencional da estatística deixa de valer quando a distribuição dos </w:t>
      </w:r>
      <w:proofErr w:type="spellStart"/>
      <w:r w:rsidRPr="00493E39">
        <w:rPr>
          <w:rFonts w:cs="Arial"/>
          <w:lang w:val="pt-BR"/>
        </w:rPr>
        <w:t>regressores</w:t>
      </w:r>
      <w:proofErr w:type="spellEnd"/>
      <w:r w:rsidRPr="00493E39">
        <w:rPr>
          <w:rFonts w:cs="Arial"/>
          <w:lang w:val="pt-BR"/>
        </w:rPr>
        <w:t xml:space="preserve"> muda ao longo da amostra, com distorções de tamanho em qualquer sentido, e propõe obter valores críticos por </w:t>
      </w:r>
      <w:r w:rsidRPr="00493E39">
        <w:rPr>
          <w:rFonts w:cs="Arial"/>
          <w:lang w:val="pt-BR"/>
        </w:rPr>
        <w:lastRenderedPageBreak/>
        <w:t xml:space="preserve">reamostragem com </w:t>
      </w:r>
      <w:proofErr w:type="spellStart"/>
      <w:r w:rsidRPr="00493E39">
        <w:rPr>
          <w:rFonts w:cs="Arial"/>
          <w:lang w:val="pt-BR"/>
        </w:rPr>
        <w:t>regressores</w:t>
      </w:r>
      <w:proofErr w:type="spellEnd"/>
      <w:r w:rsidRPr="00493E39">
        <w:rPr>
          <w:rFonts w:cs="Arial"/>
          <w:lang w:val="pt-BR"/>
        </w:rPr>
        <w:t xml:space="preserve"> fixos. Sobre a implementação, Davidson e </w:t>
      </w:r>
      <w:proofErr w:type="spellStart"/>
      <w:r w:rsidRPr="00493E39">
        <w:rPr>
          <w:rFonts w:cs="Arial"/>
          <w:lang w:val="pt-BR"/>
        </w:rPr>
        <w:t>Flachaire</w:t>
      </w:r>
      <w:proofErr w:type="spellEnd"/>
      <w:r w:rsidRPr="00493E39">
        <w:rPr>
          <w:rFonts w:cs="Arial"/>
          <w:lang w:val="pt-BR"/>
        </w:rPr>
        <w:t xml:space="preserve"> (2008) recomendam o </w:t>
      </w:r>
      <w:proofErr w:type="spellStart"/>
      <w:r w:rsidRPr="00493E39">
        <w:rPr>
          <w:rFonts w:cs="Arial"/>
          <w:lang w:val="pt-BR"/>
        </w:rPr>
        <w:t>bootstrap</w:t>
      </w:r>
      <w:proofErr w:type="spellEnd"/>
      <w:r w:rsidRPr="00493E39">
        <w:rPr>
          <w:rFonts w:cs="Arial"/>
          <w:lang w:val="pt-BR"/>
        </w:rPr>
        <w:t xml:space="preserve"> selvagem com pesos de </w:t>
      </w:r>
      <w:proofErr w:type="spellStart"/>
      <w:r w:rsidRPr="00493E39">
        <w:rPr>
          <w:rFonts w:cs="Arial"/>
          <w:lang w:val="pt-BR"/>
        </w:rPr>
        <w:t>Rademacher</w:t>
      </w:r>
      <w:proofErr w:type="spellEnd"/>
      <w:r w:rsidRPr="00493E39">
        <w:rPr>
          <w:rFonts w:cs="Arial"/>
          <w:lang w:val="pt-BR"/>
        </w:rPr>
        <w:t xml:space="preserve"> e resíduos estimados sob a hipótese nula, que em suas simulações nunca se sai pior que as alternativas.</w:t>
      </w:r>
    </w:p>
    <w:p w14:paraId="34A6B189" w14:textId="77777777" w:rsidR="00D64459" w:rsidRPr="00493E39" w:rsidRDefault="008B2120">
      <w:pPr>
        <w:ind w:firstLine="709"/>
        <w:jc w:val="both"/>
        <w:rPr>
          <w:rFonts w:cs="Arial"/>
          <w:lang w:val="pt-BR"/>
        </w:rPr>
      </w:pPr>
      <w:r w:rsidRPr="00493E39">
        <w:rPr>
          <w:rFonts w:cs="Arial"/>
          <w:lang w:val="pt-BR"/>
        </w:rPr>
        <w:t xml:space="preserve">Quando o choque é identificado por instrumento externo, a força do instrumento torna-se questão central. </w:t>
      </w:r>
      <w:proofErr w:type="spellStart"/>
      <w:r w:rsidRPr="00493E39">
        <w:rPr>
          <w:rFonts w:cs="Arial"/>
          <w:lang w:val="pt-BR"/>
        </w:rPr>
        <w:t>Staiger</w:t>
      </w:r>
      <w:proofErr w:type="spellEnd"/>
      <w:r w:rsidRPr="00493E39">
        <w:rPr>
          <w:rFonts w:cs="Arial"/>
          <w:lang w:val="pt-BR"/>
        </w:rPr>
        <w:t xml:space="preserve"> e Stock (1997) formalizaram o problema do instrumento fraco, e Andrews, Stock e Sun (2019) recomendam, com um único instrumento, reportar o intervalo de Anderson-Rubin, robusto a instrumento fraco, qualquer que seja a estatística F.</w:t>
      </w:r>
    </w:p>
    <w:p w14:paraId="79F5943B" w14:textId="77777777" w:rsidR="00D64459" w:rsidRPr="00493E39" w:rsidRDefault="008B2120">
      <w:pPr>
        <w:ind w:firstLine="709"/>
        <w:jc w:val="both"/>
        <w:rPr>
          <w:rFonts w:cs="Arial"/>
          <w:lang w:val="pt-BR"/>
        </w:rPr>
      </w:pPr>
      <w:r w:rsidRPr="00493E39">
        <w:rPr>
          <w:rFonts w:cs="Arial"/>
          <w:lang w:val="pt-BR"/>
        </w:rPr>
        <w:t xml:space="preserve">Questão correlata é o tratamento de observações extremas. Lenza e </w:t>
      </w:r>
      <w:proofErr w:type="spellStart"/>
      <w:r w:rsidRPr="00493E39">
        <w:rPr>
          <w:rFonts w:cs="Arial"/>
          <w:lang w:val="pt-BR"/>
        </w:rPr>
        <w:t>Primiceri</w:t>
      </w:r>
      <w:proofErr w:type="spellEnd"/>
      <w:r w:rsidRPr="00493E39">
        <w:rPr>
          <w:rFonts w:cs="Arial"/>
          <w:lang w:val="pt-BR"/>
        </w:rPr>
        <w:t xml:space="preserve"> (2020) mostram que tratar as observações da pandemia como convencionais distorce os parâmetros a ponto de fazer explodir as bandas das funções de resposta, e concluem que descartá-las é aceitável para estimação de parâmetros, ainda que inadequado para previsão. </w:t>
      </w:r>
      <w:proofErr w:type="spellStart"/>
      <w:r w:rsidRPr="00493E39">
        <w:rPr>
          <w:rFonts w:cs="Arial"/>
          <w:lang w:val="pt-BR"/>
        </w:rPr>
        <w:t>Salkever</w:t>
      </w:r>
      <w:proofErr w:type="spellEnd"/>
      <w:r w:rsidRPr="00493E39">
        <w:rPr>
          <w:rFonts w:cs="Arial"/>
          <w:lang w:val="pt-BR"/>
        </w:rPr>
        <w:t xml:space="preserve"> (1976) fornece o elo formal: incluir uma indicadora por observação é numericamente idêntico a excluir aquela observação.</w:t>
      </w:r>
    </w:p>
    <w:p w14:paraId="5D4495DD" w14:textId="77777777" w:rsidR="00D64459" w:rsidRPr="00493E39" w:rsidRDefault="008B2120">
      <w:pPr>
        <w:pStyle w:val="Heading2"/>
        <w:spacing w:before="280" w:after="160"/>
        <w:rPr>
          <w:rFonts w:ascii="Arial" w:hAnsi="Arial" w:cs="Arial"/>
          <w:lang w:val="pt-BR"/>
        </w:rPr>
      </w:pPr>
      <w:bookmarkStart w:id="7" w:name="_Toc239713556"/>
      <w:r w:rsidRPr="00493E39">
        <w:rPr>
          <w:rFonts w:ascii="Arial" w:hAnsi="Arial" w:cs="Arial"/>
          <w:sz w:val="24"/>
          <w:lang w:val="pt-BR"/>
        </w:rPr>
        <w:t>2.6 A lacuna que este trabalho ocupa</w:t>
      </w:r>
      <w:bookmarkEnd w:id="7"/>
    </w:p>
    <w:p w14:paraId="2B3637FF" w14:textId="77777777" w:rsidR="00D64459" w:rsidRPr="00493E39" w:rsidRDefault="008B2120">
      <w:pPr>
        <w:ind w:firstLine="709"/>
        <w:jc w:val="both"/>
        <w:rPr>
          <w:rFonts w:cs="Arial"/>
          <w:lang w:val="pt-BR"/>
        </w:rPr>
      </w:pPr>
      <w:r w:rsidRPr="00493E39">
        <w:rPr>
          <w:rFonts w:cs="Arial"/>
          <w:lang w:val="pt-BR"/>
        </w:rPr>
        <w:t>O levantamento anterior delimita duas lacunas. A primeira é de objeto: a literatura internacional trata o grau de regulação dos preços domésticos como característica fixa de cada país, opção razoável em amostras compostas majoritariamente de economias nas quais o combustível é precificado em mercado, mas que descarta a variação que o caso brasileiro oferece, em que a própria regra de transmissão foi escolhida, anunciada, mantida por seis anos e em seguida abandonada. A segunda é de mecanismo: falta medir quanto do efeito passa efetivamente pelos combustíveis e, dentro dessa parcela, quanto é aritmética de cesta e quanto é propagação de custos.</w:t>
      </w:r>
    </w:p>
    <w:p w14:paraId="0C0D51F5" w14:textId="77777777" w:rsidR="00D64459" w:rsidRPr="00493E39" w:rsidRDefault="008B2120">
      <w:pPr>
        <w:ind w:firstLine="709"/>
        <w:jc w:val="both"/>
        <w:rPr>
          <w:rFonts w:cs="Arial"/>
          <w:lang w:val="pt-BR"/>
        </w:rPr>
      </w:pPr>
      <w:r w:rsidRPr="00493E39">
        <w:rPr>
          <w:rFonts w:cs="Arial"/>
          <w:lang w:val="pt-BR"/>
        </w:rPr>
        <w:t xml:space="preserve">O levantamento mais abrangente hoje disponível torna essa lacuna mensurável. </w:t>
      </w:r>
      <w:proofErr w:type="spellStart"/>
      <w:r w:rsidRPr="00493E39">
        <w:rPr>
          <w:rFonts w:cs="Arial"/>
          <w:lang w:val="pt-BR"/>
        </w:rPr>
        <w:t>Akcura</w:t>
      </w:r>
      <w:proofErr w:type="spellEnd"/>
      <w:r w:rsidRPr="00493E39">
        <w:rPr>
          <w:rFonts w:cs="Arial"/>
          <w:lang w:val="pt-BR"/>
        </w:rPr>
        <w:t xml:space="preserve"> (2025) reúne preços de varejo para até 125 economias e conclui que países com preço regulado apresentam repasse muito inferior ao dos países com preço desregulado. Duas características delimitam o que ele pode responder: o repasse é calculado como razão entre variações entre duas datas, sem modelo nem inferência, e </w:t>
      </w:r>
      <w:r w:rsidRPr="00493E39">
        <w:rPr>
          <w:rFonts w:cs="Arial"/>
          <w:lang w:val="pt-BR"/>
        </w:rPr>
        <w:lastRenderedPageBreak/>
        <w:t xml:space="preserve">a base de políticas cobre apenas os anos de 2021 a 2023. Aquele desenho identifica quais países hoje repassam muito, mas não quando nem </w:t>
      </w:r>
      <w:proofErr w:type="gramStart"/>
      <w:r w:rsidRPr="00493E39">
        <w:rPr>
          <w:rFonts w:cs="Arial"/>
          <w:lang w:val="pt-BR"/>
        </w:rPr>
        <w:t>por que</w:t>
      </w:r>
      <w:proofErr w:type="gramEnd"/>
      <w:r w:rsidRPr="00493E39">
        <w:rPr>
          <w:rFonts w:cs="Arial"/>
          <w:lang w:val="pt-BR"/>
        </w:rPr>
        <w:t xml:space="preserve"> um país passou a repassar mais.</w:t>
      </w:r>
    </w:p>
    <w:p w14:paraId="760DCCC3" w14:textId="77777777" w:rsidR="00D64459" w:rsidRPr="00493E39" w:rsidRDefault="008B2120">
      <w:pPr>
        <w:pStyle w:val="Heading1"/>
        <w:spacing w:before="280" w:after="160"/>
        <w:rPr>
          <w:rFonts w:ascii="Arial" w:hAnsi="Arial" w:cs="Arial"/>
          <w:lang w:val="pt-BR"/>
        </w:rPr>
      </w:pPr>
      <w:bookmarkStart w:id="8" w:name="_Toc239713557"/>
      <w:r w:rsidRPr="00493E39">
        <w:rPr>
          <w:rFonts w:ascii="Arial" w:hAnsi="Arial" w:cs="Arial"/>
          <w:lang w:val="pt-BR"/>
        </w:rPr>
        <w:t>3 METODOLOGIA</w:t>
      </w:r>
      <w:bookmarkEnd w:id="8"/>
    </w:p>
    <w:p w14:paraId="0A754DDA" w14:textId="77777777" w:rsidR="00D64459" w:rsidRPr="00493E39" w:rsidRDefault="008B2120">
      <w:pPr>
        <w:pStyle w:val="Heading2"/>
        <w:spacing w:before="280" w:after="160"/>
        <w:rPr>
          <w:rFonts w:ascii="Arial" w:hAnsi="Arial" w:cs="Arial"/>
          <w:lang w:val="pt-BR"/>
        </w:rPr>
      </w:pPr>
      <w:bookmarkStart w:id="9" w:name="_Toc239713558"/>
      <w:r w:rsidRPr="00493E39">
        <w:rPr>
          <w:rFonts w:ascii="Arial" w:hAnsi="Arial" w:cs="Arial"/>
          <w:sz w:val="24"/>
          <w:lang w:val="pt-BR"/>
        </w:rPr>
        <w:t>3.1 Dados</w:t>
      </w:r>
      <w:bookmarkEnd w:id="9"/>
    </w:p>
    <w:p w14:paraId="51386528" w14:textId="77777777" w:rsidR="00D64459" w:rsidRPr="00493E39" w:rsidRDefault="008B2120">
      <w:pPr>
        <w:ind w:firstLine="709"/>
        <w:jc w:val="both"/>
        <w:rPr>
          <w:rFonts w:cs="Arial"/>
          <w:lang w:val="pt-BR"/>
        </w:rPr>
      </w:pPr>
      <w:r w:rsidRPr="00493E39">
        <w:rPr>
          <w:rFonts w:cs="Arial"/>
          <w:lang w:val="pt-BR"/>
        </w:rPr>
        <w:t>A amostra é mensal e cobre de janeiro de 2003 a setembro de 2025, com 273 observações. O início em 2003 é deliberado: exclui a crise cambial de 2002 e situa toda a amostra sob o regime de metas já consolidado, de modo que as mudanças documentadas não se confundam com transição de regime monetário.</w:t>
      </w:r>
    </w:p>
    <w:p w14:paraId="7B8D9BE0" w14:textId="77777777" w:rsidR="00D64459" w:rsidRPr="00493E39" w:rsidRDefault="008B2120">
      <w:pPr>
        <w:ind w:firstLine="709"/>
        <w:jc w:val="both"/>
        <w:rPr>
          <w:rFonts w:cs="Arial"/>
          <w:lang w:val="pt-BR"/>
        </w:rPr>
      </w:pPr>
      <w:r w:rsidRPr="00493E39">
        <w:rPr>
          <w:rFonts w:cs="Arial"/>
          <w:lang w:val="pt-BR"/>
        </w:rPr>
        <w:t>Seis séries entram como variável dependente, o que permite acompanhar a transmissão ao longo da cadeia: a gasolina A na refinaria, preço médio de produtores e importadores apurado pela ANP, líquido de tributos federais, a gasolina, o óleo diesel e o etanol ao consumidor, o IPCA cheio e o IPCA do grupo Transportes. Duas séries auxiliares, comercializáveis e não comercializáveis, entram apenas na decomposição do canal, pela propriedade de excluírem combustíveis por construção, já que estes são classificados como preços monitorados. O Apêndice M reúne as fontes e os códigos de série.</w:t>
      </w:r>
    </w:p>
    <w:p w14:paraId="02A1D33F" w14:textId="77777777" w:rsidR="00D64459" w:rsidRPr="00493E39" w:rsidRDefault="008B2120">
      <w:pPr>
        <w:ind w:firstLine="709"/>
        <w:jc w:val="both"/>
        <w:rPr>
          <w:rFonts w:cs="Arial"/>
          <w:lang w:val="pt-BR"/>
        </w:rPr>
      </w:pPr>
      <w:r w:rsidRPr="00493E39">
        <w:rPr>
          <w:rFonts w:cs="Arial"/>
          <w:lang w:val="pt-BR"/>
        </w:rPr>
        <w:t>Adota-se a meta Selic definida pelo Copom, série 432 do SGS, e não a Selic efetiva acumulada, cuja anualização em dias úteis introduz variação de calendário sem conteúdo de política monetária. As duas taxas do modelo, meta Selic e expectativa de inflação, entram como taxa composta continuamente, conforme a seção 3.3.</w:t>
      </w:r>
    </w:p>
    <w:p w14:paraId="1531B689" w14:textId="77777777" w:rsidR="00D64459" w:rsidRPr="00493E39" w:rsidRDefault="008B2120">
      <w:pPr>
        <w:ind w:firstLine="709"/>
        <w:jc w:val="both"/>
        <w:rPr>
          <w:rFonts w:cs="Arial"/>
          <w:lang w:val="pt-BR"/>
        </w:rPr>
      </w:pPr>
      <w:r w:rsidRPr="00493E39">
        <w:rPr>
          <w:rFonts w:cs="Arial"/>
          <w:lang w:val="pt-BR"/>
        </w:rPr>
        <w:t xml:space="preserve">As séries foram validadas contra as fontes primárias. Não há meses ausentes nem duplicados nas 273 observações e as séries de nível reproduzem exatamente as variações mensais correspondentes. A série do Brent obtida no </w:t>
      </w:r>
      <w:proofErr w:type="spellStart"/>
      <w:r w:rsidRPr="00493E39">
        <w:rPr>
          <w:rFonts w:cs="Arial"/>
          <w:lang w:val="pt-BR"/>
        </w:rPr>
        <w:t>Ipeadata</w:t>
      </w:r>
      <w:proofErr w:type="spellEnd"/>
      <w:r w:rsidRPr="00493E39">
        <w:rPr>
          <w:rFonts w:cs="Arial"/>
          <w:lang w:val="pt-BR"/>
        </w:rPr>
        <w:t xml:space="preserve"> (INSTITUTO DE PESQUISA ECONÔMICA APLICADA, 2025), cuja fonte primária é a EIA, foi confrontada com a série daquela agência (UNITED STATES ENERGY INFORMATION ADMINISTRATION, 2025) nas 273 observações: coincidem, com desvio absoluto médio de 0,49% e viés nulo, e a correlação entre os choques padronizados construídos a partir das duas fontes é de 0,995.</w:t>
      </w:r>
    </w:p>
    <w:p w14:paraId="2F34646A" w14:textId="77777777" w:rsidR="00D64459" w:rsidRPr="00493E39" w:rsidRDefault="008B2120">
      <w:pPr>
        <w:ind w:firstLine="709"/>
        <w:jc w:val="both"/>
        <w:rPr>
          <w:rFonts w:cs="Arial"/>
          <w:lang w:val="pt-BR"/>
        </w:rPr>
      </w:pPr>
      <w:r w:rsidRPr="00493E39">
        <w:rPr>
          <w:rFonts w:cs="Arial"/>
          <w:lang w:val="pt-BR"/>
        </w:rPr>
        <w:lastRenderedPageBreak/>
        <w:t>Os Apêndices A e B apresentam as séries, em nível e em escala logarítmica. Dois aspectos merecem atenção antes de qualquer estimação. O primeiro é que os preços de combustíveis acompanham o Brent de forma visivelmente mais estreita na segunda metade da amostra. O segundo é o padrão da gasolina na refinaria, que antes de 2017 avança por degraus, com longos trechos horizontais interrompidos por saltos discretos, e depois passa a variar de forma contínua. É o traço gráfico de um preço administrado convertido em preço indexado.</w:t>
      </w:r>
    </w:p>
    <w:p w14:paraId="07FCFB4C" w14:textId="77777777" w:rsidR="00D64459" w:rsidRPr="00493E39" w:rsidRDefault="008B2120">
      <w:pPr>
        <w:pStyle w:val="Heading2"/>
        <w:spacing w:before="280" w:after="160"/>
        <w:rPr>
          <w:rFonts w:ascii="Arial" w:hAnsi="Arial" w:cs="Arial"/>
          <w:lang w:val="pt-BR"/>
        </w:rPr>
      </w:pPr>
      <w:bookmarkStart w:id="10" w:name="_Toc239713559"/>
      <w:r w:rsidRPr="00493E39">
        <w:rPr>
          <w:rFonts w:ascii="Arial" w:hAnsi="Arial" w:cs="Arial"/>
          <w:sz w:val="24"/>
          <w:lang w:val="pt-BR"/>
        </w:rPr>
        <w:t>3.2 A medida de choque</w:t>
      </w:r>
      <w:bookmarkEnd w:id="10"/>
    </w:p>
    <w:p w14:paraId="0F413C59" w14:textId="77777777" w:rsidR="00D64459" w:rsidRPr="00493E39" w:rsidRDefault="008B2120">
      <w:pPr>
        <w:ind w:firstLine="709"/>
        <w:jc w:val="both"/>
        <w:rPr>
          <w:rFonts w:cs="Arial"/>
          <w:lang w:val="pt-BR"/>
        </w:rPr>
      </w:pPr>
      <w:r w:rsidRPr="00493E39">
        <w:rPr>
          <w:rFonts w:cs="Arial"/>
          <w:lang w:val="pt-BR"/>
        </w:rPr>
        <w:t>O choque é definido como a variação logarítmica mensal do preço do Brent em dólares, padronizada pelo desvio-padrão calculado na janela de referência completa, antes de qualquer truncamento de amostra:</w:t>
      </w:r>
    </w:p>
    <w:p w14:paraId="54B4DC7A"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choque(t) = 100 · [</w:t>
      </w:r>
      <w:proofErr w:type="spellStart"/>
      <w:r w:rsidRPr="00493E39">
        <w:rPr>
          <w:rFonts w:cs="Arial"/>
          <w:sz w:val="22"/>
          <w:lang w:val="pt-BR"/>
        </w:rPr>
        <w:t>ln</w:t>
      </w:r>
      <w:proofErr w:type="spellEnd"/>
      <w:r w:rsidRPr="00493E39">
        <w:rPr>
          <w:rFonts w:cs="Arial"/>
          <w:sz w:val="22"/>
          <w:lang w:val="pt-BR"/>
        </w:rPr>
        <w:t xml:space="preserve"> B(t) − </w:t>
      </w:r>
      <w:proofErr w:type="spellStart"/>
      <w:r w:rsidRPr="00493E39">
        <w:rPr>
          <w:rFonts w:cs="Arial"/>
          <w:sz w:val="22"/>
          <w:lang w:val="pt-BR"/>
        </w:rPr>
        <w:t>ln</w:t>
      </w:r>
      <w:proofErr w:type="spellEnd"/>
      <w:r w:rsidRPr="00493E39">
        <w:rPr>
          <w:rFonts w:cs="Arial"/>
          <w:sz w:val="22"/>
          <w:lang w:val="pt-BR"/>
        </w:rPr>
        <w:t xml:space="preserve"> B(t−1)] / </w:t>
      </w:r>
      <w:proofErr w:type="gramStart"/>
      <w:r w:rsidRPr="00493E39">
        <w:rPr>
          <w:rFonts w:cs="Arial"/>
          <w:sz w:val="22"/>
        </w:rPr>
        <w:t>σ</w:t>
      </w:r>
      <w:r w:rsidRPr="00493E39">
        <w:rPr>
          <w:rFonts w:cs="Arial"/>
          <w:sz w:val="22"/>
          <w:lang w:val="pt-BR"/>
        </w:rPr>
        <w:t xml:space="preserve">,   </w:t>
      </w:r>
      <w:proofErr w:type="gramEnd"/>
      <w:r w:rsidRPr="00493E39">
        <w:rPr>
          <w:rFonts w:cs="Arial"/>
          <w:sz w:val="22"/>
        </w:rPr>
        <w:t>σ</w:t>
      </w:r>
      <w:r w:rsidRPr="00493E39">
        <w:rPr>
          <w:rFonts w:cs="Arial"/>
          <w:sz w:val="22"/>
          <w:lang w:val="pt-BR"/>
        </w:rPr>
        <w:t xml:space="preserve"> = 10,19</w:t>
      </w:r>
      <w:r w:rsidRPr="00493E39">
        <w:rPr>
          <w:rFonts w:cs="Arial"/>
          <w:sz w:val="22"/>
          <w:lang w:val="pt-BR"/>
        </w:rPr>
        <w:tab/>
        <w:t>(1)</w:t>
      </w:r>
    </w:p>
    <w:p w14:paraId="397B0C5D" w14:textId="77777777" w:rsidR="00D64459" w:rsidRPr="00493E39" w:rsidRDefault="008B2120">
      <w:pPr>
        <w:ind w:firstLine="709"/>
        <w:jc w:val="both"/>
        <w:rPr>
          <w:rFonts w:cs="Arial"/>
          <w:lang w:val="pt-BR"/>
        </w:rPr>
      </w:pPr>
      <w:r w:rsidRPr="00493E39">
        <w:rPr>
          <w:rFonts w:cs="Arial"/>
          <w:lang w:val="pt-BR"/>
        </w:rPr>
        <w:t>Um choque unitário corresponde, portanto, a uma elevação de 10,7% no preço do barril. Choques dessa magnitude não são raros: em 51 dos 272 meses da amostra a variação do Brent igualou ou superou um desvio-padrão, o que equivale a cerca de duas ocorrências por ano. O efeito reportado refere-se, portanto, a um evento comum, e não a um cenário extremo.</w:t>
      </w:r>
    </w:p>
    <w:p w14:paraId="40960FAC" w14:textId="77777777" w:rsidR="00D64459" w:rsidRPr="00493E39" w:rsidRDefault="008B2120">
      <w:pPr>
        <w:ind w:firstLine="709"/>
        <w:jc w:val="both"/>
        <w:rPr>
          <w:rFonts w:cs="Arial"/>
          <w:lang w:val="pt-BR"/>
        </w:rPr>
      </w:pPr>
      <w:r w:rsidRPr="00493E39">
        <w:rPr>
          <w:rFonts w:cs="Arial"/>
          <w:lang w:val="pt-BR"/>
        </w:rPr>
        <w:t xml:space="preserve">A escolha do Brent como referência decorre do objeto de estudo. A política de preços da Petrobras toma a cotação internacional como parâmetro, e o Brent é a referência usual tanto na formação de preços quanto na literatura aplicada brasileira. </w:t>
      </w:r>
      <w:proofErr w:type="spellStart"/>
      <w:r w:rsidRPr="00493E39">
        <w:rPr>
          <w:rFonts w:cs="Arial"/>
          <w:lang w:val="pt-BR"/>
        </w:rPr>
        <w:t>Kilian</w:t>
      </w:r>
      <w:proofErr w:type="spellEnd"/>
      <w:r w:rsidRPr="00493E39">
        <w:rPr>
          <w:rFonts w:cs="Arial"/>
          <w:lang w:val="pt-BR"/>
        </w:rPr>
        <w:t xml:space="preserve"> (2009) constrói sua medida a partir do custo de aquisição de petróleo importado pelas refinarias norte-americanas, deflacionado pelo índice de preços ao consumidor daquele país, o que é adequado ao mercado que examina e menos adequado ao caso brasileiro.</w:t>
      </w:r>
    </w:p>
    <w:p w14:paraId="57E402B0" w14:textId="77777777" w:rsidR="00D64459" w:rsidRPr="00493E39" w:rsidRDefault="008B2120">
      <w:pPr>
        <w:ind w:firstLine="709"/>
        <w:jc w:val="both"/>
        <w:rPr>
          <w:rFonts w:cs="Arial"/>
          <w:lang w:val="pt-BR"/>
        </w:rPr>
      </w:pPr>
      <w:r w:rsidRPr="00493E39">
        <w:rPr>
          <w:rFonts w:cs="Arial"/>
          <w:lang w:val="pt-BR"/>
        </w:rPr>
        <w:t xml:space="preserve">Cabe antecipar a objeção mais previsível: a de que o modelo não separa choque de oferta de choque de demanda. Ela é tratada na seção 4.6, e a resposta principal é que erro de medida e mudança de composição contaminam os dois regimes e tendem a se cancelar no contraste entre eles. A verificação por instrumento externo, no Apêndice K.1, é inconclusiva por falta de potência. O objeto não é o efeito de um </w:t>
      </w:r>
      <w:r w:rsidRPr="00493E39">
        <w:rPr>
          <w:rFonts w:cs="Arial"/>
          <w:lang w:val="pt-BR"/>
        </w:rPr>
        <w:lastRenderedPageBreak/>
        <w:t>choque estrutural específico, e sim a transmissão do preço observado, que é a variável que a regra de precificação toma como referência.</w:t>
      </w:r>
    </w:p>
    <w:p w14:paraId="61480588" w14:textId="77777777" w:rsidR="00D64459" w:rsidRPr="00493E39" w:rsidRDefault="008B2120">
      <w:pPr>
        <w:pStyle w:val="Heading2"/>
        <w:spacing w:before="280" w:after="160"/>
        <w:rPr>
          <w:rFonts w:ascii="Arial" w:hAnsi="Arial" w:cs="Arial"/>
          <w:lang w:val="pt-BR"/>
        </w:rPr>
      </w:pPr>
      <w:bookmarkStart w:id="11" w:name="_Toc239713560"/>
      <w:r w:rsidRPr="00493E39">
        <w:rPr>
          <w:rFonts w:ascii="Arial" w:hAnsi="Arial" w:cs="Arial"/>
          <w:sz w:val="24"/>
          <w:lang w:val="pt-BR"/>
        </w:rPr>
        <w:t>3.3 Projeções locais</w:t>
      </w:r>
      <w:bookmarkEnd w:id="11"/>
    </w:p>
    <w:p w14:paraId="23092C51" w14:textId="77777777" w:rsidR="00D64459" w:rsidRPr="00493E39" w:rsidRDefault="008B2120">
      <w:pPr>
        <w:ind w:firstLine="709"/>
        <w:jc w:val="both"/>
        <w:rPr>
          <w:rFonts w:cs="Arial"/>
          <w:lang w:val="pt-BR"/>
        </w:rPr>
      </w:pPr>
      <w:r w:rsidRPr="00493E39">
        <w:rPr>
          <w:rFonts w:cs="Arial"/>
          <w:lang w:val="pt-BR"/>
        </w:rPr>
        <w:t>As funções de resposta são estimadas por projeções locais (JORDÀ, 2005), uma regressão separada para cada horizonte. As duas vantagens que motivam a escolha foram expostas na seção 2.4 e apenas se recordam: a robustez, já que um erro de especificação afeta somente o horizonte em que ocorre, ao custo de perda de eficiência; e, para o problema aqui examinado, o fato de que permitir que o repasse difira entre regimes exige apenas um termo de interação, tornando a hipótese de igualdade um teste de Wald sobre dois coeficientes da mesma equação.</w:t>
      </w:r>
    </w:p>
    <w:p w14:paraId="31F5E735" w14:textId="77777777" w:rsidR="00D64459" w:rsidRPr="00493E39" w:rsidRDefault="008B2120">
      <w:pPr>
        <w:ind w:firstLine="709"/>
        <w:jc w:val="both"/>
        <w:rPr>
          <w:rFonts w:cs="Arial"/>
          <w:lang w:val="pt-BR"/>
        </w:rPr>
      </w:pPr>
      <w:r w:rsidRPr="00493E39">
        <w:rPr>
          <w:rFonts w:cs="Arial"/>
          <w:lang w:val="pt-BR"/>
        </w:rPr>
        <w:t>A variável dependente é a resposta acumulada do nível de preços, 100</w:t>
      </w:r>
      <w:proofErr w:type="gramStart"/>
      <w:r w:rsidRPr="00493E39">
        <w:rPr>
          <w:rFonts w:cs="Arial"/>
          <w:lang w:val="pt-BR"/>
        </w:rPr>
        <w:t>·[</w:t>
      </w:r>
      <w:proofErr w:type="spellStart"/>
      <w:proofErr w:type="gramEnd"/>
      <w:r w:rsidRPr="00493E39">
        <w:rPr>
          <w:rFonts w:cs="Arial"/>
          <w:lang w:val="pt-BR"/>
        </w:rPr>
        <w:t>ln</w:t>
      </w:r>
      <w:proofErr w:type="spellEnd"/>
      <w:r w:rsidRPr="00493E39">
        <w:rPr>
          <w:rFonts w:cs="Arial"/>
          <w:lang w:val="pt-BR"/>
        </w:rPr>
        <w:t xml:space="preserve"> P(</w:t>
      </w:r>
      <w:proofErr w:type="spellStart"/>
      <w:r w:rsidRPr="00493E39">
        <w:rPr>
          <w:rFonts w:cs="Arial"/>
          <w:lang w:val="pt-BR"/>
        </w:rPr>
        <w:t>t+h</w:t>
      </w:r>
      <w:proofErr w:type="spellEnd"/>
      <w:r w:rsidRPr="00493E39">
        <w:rPr>
          <w:rFonts w:cs="Arial"/>
          <w:lang w:val="pt-BR"/>
        </w:rPr>
        <w:t xml:space="preserve">) − </w:t>
      </w:r>
      <w:proofErr w:type="spellStart"/>
      <w:r w:rsidRPr="00493E39">
        <w:rPr>
          <w:rFonts w:cs="Arial"/>
          <w:lang w:val="pt-BR"/>
        </w:rPr>
        <w:t>ln</w:t>
      </w:r>
      <w:proofErr w:type="spellEnd"/>
      <w:r w:rsidRPr="00493E39">
        <w:rPr>
          <w:rFonts w:cs="Arial"/>
          <w:lang w:val="pt-BR"/>
        </w:rPr>
        <w:t xml:space="preserve"> P(t−1)], que mede quanto o nível está mais alto h meses após o choque. A especificação é estimada para cada série e cada horizonte de zero a doze meses.</w:t>
      </w:r>
    </w:p>
    <w:p w14:paraId="41B3B68B"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100</w:t>
      </w:r>
      <w:proofErr w:type="gramStart"/>
      <w:r w:rsidRPr="00493E39">
        <w:rPr>
          <w:rFonts w:cs="Arial"/>
          <w:sz w:val="22"/>
          <w:lang w:val="pt-BR"/>
        </w:rPr>
        <w:t>·[</w:t>
      </w:r>
      <w:proofErr w:type="spellStart"/>
      <w:proofErr w:type="gramEnd"/>
      <w:r w:rsidRPr="00493E39">
        <w:rPr>
          <w:rFonts w:cs="Arial"/>
          <w:sz w:val="22"/>
          <w:lang w:val="pt-BR"/>
        </w:rPr>
        <w:t>ln</w:t>
      </w:r>
      <w:proofErr w:type="spellEnd"/>
      <w:r w:rsidRPr="00493E39">
        <w:rPr>
          <w:rFonts w:cs="Arial"/>
          <w:sz w:val="22"/>
          <w:lang w:val="pt-BR"/>
        </w:rPr>
        <w:t xml:space="preserve"> P(</w:t>
      </w:r>
      <w:proofErr w:type="spellStart"/>
      <w:r w:rsidRPr="00493E39">
        <w:rPr>
          <w:rFonts w:cs="Arial"/>
          <w:sz w:val="22"/>
          <w:lang w:val="pt-BR"/>
        </w:rPr>
        <w:t>t+h</w:t>
      </w:r>
      <w:proofErr w:type="spellEnd"/>
      <w:r w:rsidRPr="00493E39">
        <w:rPr>
          <w:rFonts w:cs="Arial"/>
          <w:sz w:val="22"/>
          <w:lang w:val="pt-BR"/>
        </w:rPr>
        <w:t xml:space="preserve">) − </w:t>
      </w:r>
      <w:proofErr w:type="spellStart"/>
      <w:r w:rsidRPr="00493E39">
        <w:rPr>
          <w:rFonts w:cs="Arial"/>
          <w:sz w:val="22"/>
          <w:lang w:val="pt-BR"/>
        </w:rPr>
        <w:t>ln</w:t>
      </w:r>
      <w:proofErr w:type="spellEnd"/>
      <w:r w:rsidRPr="00493E39">
        <w:rPr>
          <w:rFonts w:cs="Arial"/>
          <w:sz w:val="22"/>
          <w:lang w:val="pt-BR"/>
        </w:rPr>
        <w:t xml:space="preserve"> P(t−1)] = </w:t>
      </w:r>
      <w:r w:rsidRPr="00493E39">
        <w:rPr>
          <w:rFonts w:cs="Arial"/>
          <w:sz w:val="22"/>
        </w:rPr>
        <w:t>α</w:t>
      </w:r>
      <w:r w:rsidRPr="00493E39">
        <w:rPr>
          <w:rFonts w:cs="Arial"/>
          <w:sz w:val="22"/>
          <w:lang w:val="pt-BR"/>
        </w:rPr>
        <w:t xml:space="preserve"> + </w:t>
      </w:r>
      <w:r w:rsidRPr="00493E39">
        <w:rPr>
          <w:rFonts w:cs="Arial"/>
          <w:sz w:val="22"/>
        </w:rPr>
        <w:t>β</w:t>
      </w:r>
      <w:r w:rsidRPr="00493E39">
        <w:rPr>
          <w:rFonts w:cs="Arial"/>
          <w:sz w:val="22"/>
          <w:lang w:val="pt-BR"/>
        </w:rPr>
        <w:t>(h)·choque(t)</w:t>
      </w:r>
      <w:r w:rsidRPr="00493E39">
        <w:rPr>
          <w:rFonts w:cs="Arial"/>
          <w:sz w:val="22"/>
          <w:lang w:val="pt-BR"/>
        </w:rPr>
        <w:br/>
      </w:r>
      <w:r w:rsidRPr="00493E39">
        <w:rPr>
          <w:rFonts w:cs="Arial"/>
          <w:sz w:val="22"/>
          <w:lang w:val="pt-BR"/>
        </w:rPr>
        <w:tab/>
        <w:t xml:space="preserve">+ </w:t>
      </w:r>
      <w:r w:rsidRPr="00493E39">
        <w:rPr>
          <w:rFonts w:cs="Arial"/>
          <w:sz w:val="22"/>
        </w:rPr>
        <w:t>Σ</w:t>
      </w:r>
      <w:r w:rsidRPr="00493E39">
        <w:rPr>
          <w:rFonts w:cs="Arial"/>
          <w:sz w:val="22"/>
          <w:lang w:val="pt-BR"/>
        </w:rPr>
        <w:t>(i=</w:t>
      </w:r>
      <w:proofErr w:type="gramStart"/>
      <w:r w:rsidRPr="00493E39">
        <w:rPr>
          <w:rFonts w:cs="Arial"/>
          <w:sz w:val="22"/>
          <w:lang w:val="pt-BR"/>
        </w:rPr>
        <w:t>1..</w:t>
      </w:r>
      <w:proofErr w:type="gramEnd"/>
      <w:r w:rsidRPr="00493E39">
        <w:rPr>
          <w:rFonts w:cs="Arial"/>
          <w:sz w:val="22"/>
          <w:lang w:val="pt-BR"/>
        </w:rPr>
        <w:t xml:space="preserve">3) </w:t>
      </w:r>
      <w:proofErr w:type="gramStart"/>
      <w:r w:rsidRPr="00493E39">
        <w:rPr>
          <w:rFonts w:cs="Arial"/>
          <w:sz w:val="22"/>
          <w:lang w:val="pt-BR"/>
        </w:rPr>
        <w:t xml:space="preserve">[ </w:t>
      </w:r>
      <w:r w:rsidRPr="00493E39">
        <w:rPr>
          <w:rFonts w:cs="Arial"/>
          <w:sz w:val="22"/>
        </w:rPr>
        <w:t>γ</w:t>
      </w:r>
      <w:proofErr w:type="gramEnd"/>
      <w:r w:rsidRPr="00493E39">
        <w:rPr>
          <w:rFonts w:cs="Arial"/>
          <w:sz w:val="22"/>
        </w:rPr>
        <w:t>ᵢ</w:t>
      </w:r>
      <w:r w:rsidRPr="00493E39">
        <w:rPr>
          <w:rFonts w:cs="Arial"/>
          <w:sz w:val="22"/>
          <w:lang w:val="pt-BR"/>
        </w:rPr>
        <w:t>·</w:t>
      </w:r>
      <w:r w:rsidRPr="00493E39">
        <w:rPr>
          <w:rFonts w:cs="Arial"/>
          <w:sz w:val="22"/>
        </w:rPr>
        <w:t>Δ</w:t>
      </w:r>
      <w:proofErr w:type="spellStart"/>
      <w:r w:rsidRPr="00493E39">
        <w:rPr>
          <w:rFonts w:cs="Arial"/>
          <w:sz w:val="22"/>
          <w:lang w:val="pt-BR"/>
        </w:rPr>
        <w:t>ln</w:t>
      </w:r>
      <w:proofErr w:type="spellEnd"/>
      <w:r w:rsidRPr="00493E39">
        <w:rPr>
          <w:rFonts w:cs="Arial"/>
          <w:sz w:val="22"/>
          <w:lang w:val="pt-BR"/>
        </w:rPr>
        <w:t xml:space="preserve"> P(</w:t>
      </w:r>
      <w:proofErr w:type="spellStart"/>
      <w:r w:rsidRPr="00493E39">
        <w:rPr>
          <w:rFonts w:cs="Arial"/>
          <w:sz w:val="22"/>
          <w:lang w:val="pt-BR"/>
        </w:rPr>
        <w:t>t−i</w:t>
      </w:r>
      <w:proofErr w:type="spellEnd"/>
      <w:r w:rsidRPr="00493E39">
        <w:rPr>
          <w:rFonts w:cs="Arial"/>
          <w:sz w:val="22"/>
          <w:lang w:val="pt-BR"/>
        </w:rPr>
        <w:t xml:space="preserve">) + </w:t>
      </w:r>
      <w:r w:rsidRPr="00493E39">
        <w:rPr>
          <w:rFonts w:cs="Arial"/>
          <w:sz w:val="22"/>
        </w:rPr>
        <w:t>φᵢ</w:t>
      </w:r>
      <w:r w:rsidRPr="00493E39">
        <w:rPr>
          <w:rFonts w:cs="Arial"/>
          <w:sz w:val="22"/>
          <w:lang w:val="pt-BR"/>
        </w:rPr>
        <w:t>·choque(</w:t>
      </w:r>
      <w:proofErr w:type="spellStart"/>
      <w:r w:rsidRPr="00493E39">
        <w:rPr>
          <w:rFonts w:cs="Arial"/>
          <w:sz w:val="22"/>
          <w:lang w:val="pt-BR"/>
        </w:rPr>
        <w:t>t−i</w:t>
      </w:r>
      <w:proofErr w:type="spellEnd"/>
      <w:r w:rsidRPr="00493E39">
        <w:rPr>
          <w:rFonts w:cs="Arial"/>
          <w:sz w:val="22"/>
          <w:lang w:val="pt-BR"/>
        </w:rPr>
        <w:t xml:space="preserve">) + </w:t>
      </w:r>
      <w:r w:rsidRPr="00493E39">
        <w:rPr>
          <w:rFonts w:cs="Arial"/>
          <w:sz w:val="22"/>
        </w:rPr>
        <w:t>θᵢ</w:t>
      </w:r>
      <w:r w:rsidRPr="00493E39">
        <w:rPr>
          <w:rFonts w:cs="Arial"/>
          <w:sz w:val="22"/>
          <w:lang w:val="pt-BR"/>
        </w:rPr>
        <w:t>′·X(</w:t>
      </w:r>
      <w:proofErr w:type="spellStart"/>
      <w:r w:rsidRPr="00493E39">
        <w:rPr>
          <w:rFonts w:cs="Arial"/>
          <w:sz w:val="22"/>
          <w:lang w:val="pt-BR"/>
        </w:rPr>
        <w:t>t−i</w:t>
      </w:r>
      <w:proofErr w:type="spellEnd"/>
      <w:proofErr w:type="gramStart"/>
      <w:r w:rsidRPr="00493E39">
        <w:rPr>
          <w:rFonts w:cs="Arial"/>
          <w:sz w:val="22"/>
          <w:lang w:val="pt-BR"/>
        </w:rPr>
        <w:t>) ]</w:t>
      </w:r>
      <w:proofErr w:type="gramEnd"/>
      <w:r w:rsidRPr="00493E39">
        <w:rPr>
          <w:rFonts w:cs="Arial"/>
          <w:sz w:val="22"/>
          <w:lang w:val="pt-BR"/>
        </w:rPr>
        <w:br/>
      </w:r>
      <w:r w:rsidRPr="00493E39">
        <w:rPr>
          <w:rFonts w:cs="Arial"/>
          <w:sz w:val="22"/>
          <w:lang w:val="pt-BR"/>
        </w:rPr>
        <w:tab/>
        <w:t>+ sazonais mensais + indicadoras de pandemia + u(</w:t>
      </w:r>
      <w:proofErr w:type="spellStart"/>
      <w:proofErr w:type="gramStart"/>
      <w:r w:rsidRPr="00493E39">
        <w:rPr>
          <w:rFonts w:cs="Arial"/>
          <w:sz w:val="22"/>
          <w:lang w:val="pt-BR"/>
        </w:rPr>
        <w:t>t,h</w:t>
      </w:r>
      <w:proofErr w:type="spellEnd"/>
      <w:proofErr w:type="gramEnd"/>
      <w:r w:rsidRPr="00493E39">
        <w:rPr>
          <w:rFonts w:cs="Arial"/>
          <w:sz w:val="22"/>
          <w:lang w:val="pt-BR"/>
        </w:rPr>
        <w:t>)</w:t>
      </w:r>
      <w:r w:rsidRPr="00493E39">
        <w:rPr>
          <w:rFonts w:cs="Arial"/>
          <w:sz w:val="22"/>
          <w:lang w:val="pt-BR"/>
        </w:rPr>
        <w:tab/>
        <w:t>(2)</w:t>
      </w:r>
    </w:p>
    <w:p w14:paraId="266EC79E" w14:textId="77777777" w:rsidR="00D64459" w:rsidRPr="00493E39" w:rsidRDefault="008B2120">
      <w:pPr>
        <w:ind w:firstLine="709"/>
        <w:jc w:val="both"/>
        <w:rPr>
          <w:rFonts w:cs="Arial"/>
          <w:lang w:val="pt-BR"/>
        </w:rPr>
      </w:pPr>
      <w:r w:rsidRPr="00493E39">
        <w:rPr>
          <w:rFonts w:cs="Arial"/>
          <w:lang w:val="pt-BR"/>
        </w:rPr>
        <w:t>O vetor de controles X reúne a variação cambial, a variação da atividade econômica, a meta Selic e a expectativa de inflação, todos exclusivamente defasados. As duas taxas entram como 100·</w:t>
      </w:r>
      <w:proofErr w:type="gramStart"/>
      <w:r w:rsidRPr="00493E39">
        <w:rPr>
          <w:rFonts w:cs="Arial"/>
          <w:lang w:val="pt-BR"/>
        </w:rPr>
        <w:t>ln(</w:t>
      </w:r>
      <w:proofErr w:type="gramEnd"/>
      <w:r w:rsidRPr="00493E39">
        <w:rPr>
          <w:rFonts w:cs="Arial"/>
          <w:lang w:val="pt-BR"/>
        </w:rPr>
        <w:t xml:space="preserve">1 + r/100), isto é, a taxa composta continuamente, o que preserva a escala e as mantém comparáveis às demais variáveis, expressas em variação logarítmica; a inferência sobre o coeficiente do choque é praticamente idêntica com as taxas em nível. A exclusão dos controles contemporâneos é deliberada: câmbio e expectativas respondem ao próprio choque de petróleo dentro do mês, de modo que </w:t>
      </w:r>
      <w:proofErr w:type="gramStart"/>
      <w:r w:rsidRPr="00493E39">
        <w:rPr>
          <w:rFonts w:cs="Arial"/>
          <w:lang w:val="pt-BR"/>
        </w:rPr>
        <w:t>incluí-los</w:t>
      </w:r>
      <w:proofErr w:type="gramEnd"/>
      <w:r w:rsidRPr="00493E39">
        <w:rPr>
          <w:rFonts w:cs="Arial"/>
          <w:lang w:val="pt-BR"/>
        </w:rPr>
        <w:t xml:space="preserve"> em t absorveria parte do efeito que se pretende medir.</w:t>
      </w:r>
    </w:p>
    <w:p w14:paraId="02ECB911" w14:textId="77777777" w:rsidR="00D64459" w:rsidRPr="00493E39" w:rsidRDefault="008B2120">
      <w:pPr>
        <w:ind w:firstLine="709"/>
        <w:jc w:val="both"/>
        <w:rPr>
          <w:rFonts w:cs="Arial"/>
          <w:lang w:val="pt-BR"/>
        </w:rPr>
      </w:pPr>
      <w:r w:rsidRPr="00493E39">
        <w:rPr>
          <w:rFonts w:cs="Arial"/>
          <w:lang w:val="pt-BR"/>
        </w:rPr>
        <w:t xml:space="preserve">Adotam-se três defasagens. Os critérios de informação indicam uma pelo bayesiano e duas pelo de </w:t>
      </w:r>
      <w:proofErr w:type="spellStart"/>
      <w:r w:rsidRPr="00493E39">
        <w:rPr>
          <w:rFonts w:cs="Arial"/>
          <w:lang w:val="pt-BR"/>
        </w:rPr>
        <w:t>Akaike</w:t>
      </w:r>
      <w:proofErr w:type="spellEnd"/>
      <w:r w:rsidRPr="00493E39">
        <w:rPr>
          <w:rFonts w:cs="Arial"/>
          <w:lang w:val="pt-BR"/>
        </w:rPr>
        <w:t xml:space="preserve">, e a escolha de três segue o aumento de defasagem de Montiel </w:t>
      </w:r>
      <w:proofErr w:type="spellStart"/>
      <w:r w:rsidRPr="00493E39">
        <w:rPr>
          <w:rFonts w:cs="Arial"/>
          <w:lang w:val="pt-BR"/>
        </w:rPr>
        <w:t>Olea</w:t>
      </w:r>
      <w:proofErr w:type="spellEnd"/>
      <w:r w:rsidRPr="00493E39">
        <w:rPr>
          <w:rFonts w:cs="Arial"/>
          <w:lang w:val="pt-BR"/>
        </w:rPr>
        <w:t xml:space="preserve"> e </w:t>
      </w:r>
      <w:proofErr w:type="spellStart"/>
      <w:r w:rsidRPr="00493E39">
        <w:rPr>
          <w:rFonts w:cs="Arial"/>
          <w:lang w:val="pt-BR"/>
        </w:rPr>
        <w:t>Plagborg-Møller</w:t>
      </w:r>
      <w:proofErr w:type="spellEnd"/>
      <w:r w:rsidRPr="00493E39">
        <w:rPr>
          <w:rFonts w:cs="Arial"/>
          <w:lang w:val="pt-BR"/>
        </w:rPr>
        <w:t xml:space="preserve"> (2021), que assegura validade uniforme da inferência na presença de </w:t>
      </w:r>
      <w:proofErr w:type="spellStart"/>
      <w:r w:rsidRPr="00493E39">
        <w:rPr>
          <w:rFonts w:cs="Arial"/>
          <w:lang w:val="pt-BR"/>
        </w:rPr>
        <w:t>regressores</w:t>
      </w:r>
      <w:proofErr w:type="spellEnd"/>
      <w:r w:rsidRPr="00493E39">
        <w:rPr>
          <w:rFonts w:cs="Arial"/>
          <w:lang w:val="pt-BR"/>
        </w:rPr>
        <w:t xml:space="preserve"> persistentes; a meta Selic é o caso relevante, com estatística de raiz unitária de −2,72. O ponto decisivo daquele resultado é </w:t>
      </w:r>
      <w:r w:rsidRPr="00493E39">
        <w:rPr>
          <w:rFonts w:cs="Arial"/>
          <w:lang w:val="pt-BR"/>
        </w:rPr>
        <w:lastRenderedPageBreak/>
        <w:t>dispensar posição sobre a ordem de integração das séries: o intervalo é válido tenham os dados raiz unitária ou não.</w:t>
      </w:r>
    </w:p>
    <w:p w14:paraId="4E846B49" w14:textId="77777777" w:rsidR="00D64459" w:rsidRPr="00493E39" w:rsidRDefault="008B2120">
      <w:pPr>
        <w:pStyle w:val="Heading2"/>
        <w:spacing w:before="280" w:after="160"/>
        <w:rPr>
          <w:rFonts w:ascii="Arial" w:hAnsi="Arial" w:cs="Arial"/>
          <w:lang w:val="pt-BR"/>
        </w:rPr>
      </w:pPr>
      <w:bookmarkStart w:id="12" w:name="_Toc239713561"/>
      <w:r w:rsidRPr="00493E39">
        <w:rPr>
          <w:rFonts w:ascii="Arial" w:hAnsi="Arial" w:cs="Arial"/>
          <w:sz w:val="24"/>
          <w:lang w:val="pt-BR"/>
        </w:rPr>
        <w:t>3.4 A especificação por regime</w:t>
      </w:r>
      <w:bookmarkEnd w:id="12"/>
    </w:p>
    <w:p w14:paraId="4914AC82" w14:textId="77777777" w:rsidR="00D64459" w:rsidRPr="00493E39" w:rsidRDefault="008B2120">
      <w:pPr>
        <w:ind w:firstLine="709"/>
        <w:jc w:val="both"/>
        <w:rPr>
          <w:rFonts w:cs="Arial"/>
          <w:lang w:val="pt-BR"/>
        </w:rPr>
      </w:pPr>
      <w:r w:rsidRPr="00493E39">
        <w:rPr>
          <w:rFonts w:cs="Arial"/>
          <w:lang w:val="pt-BR"/>
        </w:rPr>
        <w:t>A hipótese central do trabalho é que o repasse não é constante, mas depende da regra de formação de preços vigente. A especificação por regime permite que apenas o coeficiente do choque difira, mantendo comum toda a demais dinâmica:</w:t>
      </w:r>
    </w:p>
    <w:p w14:paraId="392AD1AA"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100</w:t>
      </w:r>
      <w:proofErr w:type="gramStart"/>
      <w:r w:rsidRPr="00493E39">
        <w:rPr>
          <w:rFonts w:cs="Arial"/>
          <w:sz w:val="22"/>
          <w:lang w:val="pt-BR"/>
        </w:rPr>
        <w:t>·[</w:t>
      </w:r>
      <w:proofErr w:type="spellStart"/>
      <w:proofErr w:type="gramEnd"/>
      <w:r w:rsidRPr="00493E39">
        <w:rPr>
          <w:rFonts w:cs="Arial"/>
          <w:sz w:val="22"/>
          <w:lang w:val="pt-BR"/>
        </w:rPr>
        <w:t>ln</w:t>
      </w:r>
      <w:proofErr w:type="spellEnd"/>
      <w:r w:rsidRPr="00493E39">
        <w:rPr>
          <w:rFonts w:cs="Arial"/>
          <w:sz w:val="22"/>
          <w:lang w:val="pt-BR"/>
        </w:rPr>
        <w:t xml:space="preserve"> P(</w:t>
      </w:r>
      <w:proofErr w:type="spellStart"/>
      <w:r w:rsidRPr="00493E39">
        <w:rPr>
          <w:rFonts w:cs="Arial"/>
          <w:sz w:val="22"/>
          <w:lang w:val="pt-BR"/>
        </w:rPr>
        <w:t>t+h</w:t>
      </w:r>
      <w:proofErr w:type="spellEnd"/>
      <w:r w:rsidRPr="00493E39">
        <w:rPr>
          <w:rFonts w:cs="Arial"/>
          <w:sz w:val="22"/>
          <w:lang w:val="pt-BR"/>
        </w:rPr>
        <w:t xml:space="preserve">) − </w:t>
      </w:r>
      <w:proofErr w:type="spellStart"/>
      <w:r w:rsidRPr="00493E39">
        <w:rPr>
          <w:rFonts w:cs="Arial"/>
          <w:sz w:val="22"/>
          <w:lang w:val="pt-BR"/>
        </w:rPr>
        <w:t>ln</w:t>
      </w:r>
      <w:proofErr w:type="spellEnd"/>
      <w:r w:rsidRPr="00493E39">
        <w:rPr>
          <w:rFonts w:cs="Arial"/>
          <w:sz w:val="22"/>
          <w:lang w:val="pt-BR"/>
        </w:rPr>
        <w:t xml:space="preserve"> P(t−1)] = </w:t>
      </w:r>
      <w:r w:rsidRPr="00493E39">
        <w:rPr>
          <w:rFonts w:cs="Arial"/>
          <w:sz w:val="22"/>
        </w:rPr>
        <w:t>α</w:t>
      </w:r>
      <w:r w:rsidRPr="00493E39">
        <w:rPr>
          <w:rFonts w:cs="Arial"/>
          <w:sz w:val="22"/>
          <w:lang w:val="pt-BR"/>
        </w:rPr>
        <w:t xml:space="preserve"> + </w:t>
      </w:r>
      <w:r w:rsidRPr="00493E39">
        <w:rPr>
          <w:rFonts w:cs="Arial"/>
          <w:sz w:val="22"/>
        </w:rPr>
        <w:t>β</w:t>
      </w:r>
      <w:r w:rsidRPr="00493E39">
        <w:rPr>
          <w:rFonts w:cs="Arial"/>
          <w:sz w:val="22"/>
          <w:lang w:val="pt-BR"/>
        </w:rPr>
        <w:t>_</w:t>
      </w:r>
      <w:proofErr w:type="spellStart"/>
      <w:r w:rsidRPr="00493E39">
        <w:rPr>
          <w:rFonts w:cs="Arial"/>
          <w:sz w:val="22"/>
          <w:lang w:val="pt-BR"/>
        </w:rPr>
        <w:t>pré</w:t>
      </w:r>
      <w:proofErr w:type="spellEnd"/>
      <w:r w:rsidRPr="00493E39">
        <w:rPr>
          <w:rFonts w:cs="Arial"/>
          <w:sz w:val="22"/>
          <w:lang w:val="pt-BR"/>
        </w:rPr>
        <w:t xml:space="preserve">(h)·choque(t)·1{t &lt; </w:t>
      </w:r>
      <w:r w:rsidRPr="00493E39">
        <w:rPr>
          <w:rFonts w:cs="Arial"/>
          <w:sz w:val="22"/>
        </w:rPr>
        <w:t>τ</w:t>
      </w:r>
      <w:r w:rsidRPr="00493E39">
        <w:rPr>
          <w:rFonts w:cs="Arial"/>
          <w:sz w:val="22"/>
          <w:lang w:val="pt-BR"/>
        </w:rPr>
        <w:t>}</w:t>
      </w:r>
      <w:r w:rsidRPr="00493E39">
        <w:rPr>
          <w:rFonts w:cs="Arial"/>
          <w:sz w:val="22"/>
          <w:lang w:val="pt-BR"/>
        </w:rPr>
        <w:br/>
      </w:r>
      <w:r w:rsidRPr="00493E39">
        <w:rPr>
          <w:rFonts w:cs="Arial"/>
          <w:sz w:val="22"/>
          <w:lang w:val="pt-BR"/>
        </w:rPr>
        <w:tab/>
        <w:t xml:space="preserve">+ </w:t>
      </w:r>
      <w:r w:rsidRPr="00493E39">
        <w:rPr>
          <w:rFonts w:cs="Arial"/>
          <w:sz w:val="22"/>
        </w:rPr>
        <w:t>β</w:t>
      </w:r>
      <w:r w:rsidRPr="00493E39">
        <w:rPr>
          <w:rFonts w:cs="Arial"/>
          <w:sz w:val="22"/>
          <w:lang w:val="pt-BR"/>
        </w:rPr>
        <w:t xml:space="preserve">_pós(h)·choque(t)·1{t ≥ </w:t>
      </w:r>
      <w:r w:rsidRPr="00493E39">
        <w:rPr>
          <w:rFonts w:cs="Arial"/>
          <w:sz w:val="22"/>
        </w:rPr>
        <w:t>τ</w:t>
      </w:r>
      <w:r w:rsidRPr="00493E39">
        <w:rPr>
          <w:rFonts w:cs="Arial"/>
          <w:sz w:val="22"/>
          <w:lang w:val="pt-BR"/>
        </w:rPr>
        <w:t xml:space="preserve">} + </w:t>
      </w:r>
      <w:r w:rsidRPr="00493E39">
        <w:rPr>
          <w:rFonts w:cs="Arial"/>
          <w:sz w:val="22"/>
        </w:rPr>
        <w:t>δ</w:t>
      </w:r>
      <w:r w:rsidRPr="00493E39">
        <w:rPr>
          <w:rFonts w:cs="Arial"/>
          <w:sz w:val="22"/>
          <w:lang w:val="pt-BR"/>
        </w:rPr>
        <w:t xml:space="preserve">(h)·1{t ≥ </w:t>
      </w:r>
      <w:r w:rsidRPr="00493E39">
        <w:rPr>
          <w:rFonts w:cs="Arial"/>
          <w:sz w:val="22"/>
        </w:rPr>
        <w:t>τ</w:t>
      </w:r>
      <w:r w:rsidRPr="00493E39">
        <w:rPr>
          <w:rFonts w:cs="Arial"/>
          <w:sz w:val="22"/>
          <w:lang w:val="pt-BR"/>
        </w:rPr>
        <w:t>} + controles + u(</w:t>
      </w:r>
      <w:proofErr w:type="spellStart"/>
      <w:proofErr w:type="gramStart"/>
      <w:r w:rsidRPr="00493E39">
        <w:rPr>
          <w:rFonts w:cs="Arial"/>
          <w:sz w:val="22"/>
          <w:lang w:val="pt-BR"/>
        </w:rPr>
        <w:t>t,h</w:t>
      </w:r>
      <w:proofErr w:type="spellEnd"/>
      <w:proofErr w:type="gramEnd"/>
      <w:r w:rsidRPr="00493E39">
        <w:rPr>
          <w:rFonts w:cs="Arial"/>
          <w:sz w:val="22"/>
          <w:lang w:val="pt-BR"/>
        </w:rPr>
        <w:t>)</w:t>
      </w:r>
      <w:r w:rsidRPr="00493E39">
        <w:rPr>
          <w:rFonts w:cs="Arial"/>
          <w:sz w:val="22"/>
          <w:lang w:val="pt-BR"/>
        </w:rPr>
        <w:tab/>
        <w:t>(3)</w:t>
      </w:r>
    </w:p>
    <w:p w14:paraId="3ABA49D0" w14:textId="77777777" w:rsidR="00D64459" w:rsidRPr="00493E39" w:rsidRDefault="008B2120">
      <w:pPr>
        <w:ind w:firstLine="709"/>
        <w:jc w:val="both"/>
        <w:rPr>
          <w:rFonts w:cs="Arial"/>
          <w:lang w:val="pt-BR"/>
        </w:rPr>
      </w:pPr>
      <w:r w:rsidRPr="00493E39">
        <w:rPr>
          <w:rFonts w:cs="Arial"/>
          <w:lang w:val="pt-BR"/>
        </w:rPr>
        <w:t xml:space="preserve">A indicadora 1{t ≥ </w:t>
      </w:r>
      <w:r w:rsidRPr="00493E39">
        <w:rPr>
          <w:rFonts w:cs="Arial"/>
        </w:rPr>
        <w:t>τ</w:t>
      </w:r>
      <w:r w:rsidRPr="00493E39">
        <w:rPr>
          <w:rFonts w:cs="Arial"/>
          <w:lang w:val="pt-BR"/>
        </w:rPr>
        <w:t xml:space="preserve">} entra também isoladamente, de modo que a mudança de nível médio dos preços entre os períodos não seja atribuída ao choque. O objeto de interesse é o par </w:t>
      </w:r>
      <w:r w:rsidRPr="00493E39">
        <w:rPr>
          <w:rFonts w:cs="Arial"/>
        </w:rPr>
        <w:t>β</w:t>
      </w:r>
      <w:r w:rsidRPr="00493E39">
        <w:rPr>
          <w:rFonts w:cs="Arial"/>
          <w:lang w:val="pt-BR"/>
        </w:rPr>
        <w:t>_</w:t>
      </w:r>
      <w:proofErr w:type="spellStart"/>
      <w:r w:rsidRPr="00493E39">
        <w:rPr>
          <w:rFonts w:cs="Arial"/>
          <w:lang w:val="pt-BR"/>
        </w:rPr>
        <w:t>pré</w:t>
      </w:r>
      <w:proofErr w:type="spellEnd"/>
      <w:r w:rsidRPr="00493E39">
        <w:rPr>
          <w:rFonts w:cs="Arial"/>
          <w:lang w:val="pt-BR"/>
        </w:rPr>
        <w:t xml:space="preserve">(h) e </w:t>
      </w:r>
      <w:r w:rsidRPr="00493E39">
        <w:rPr>
          <w:rFonts w:cs="Arial"/>
        </w:rPr>
        <w:t>β</w:t>
      </w:r>
      <w:r w:rsidRPr="00493E39">
        <w:rPr>
          <w:rFonts w:cs="Arial"/>
          <w:lang w:val="pt-BR"/>
        </w:rPr>
        <w:t>_pós(h), e sobretudo o teste da hipótese de que sejam iguais.</w:t>
      </w:r>
    </w:p>
    <w:p w14:paraId="17AE8F59" w14:textId="77777777" w:rsidR="00D64459" w:rsidRPr="00493E39" w:rsidRDefault="008B2120">
      <w:pPr>
        <w:ind w:firstLine="709"/>
        <w:jc w:val="both"/>
        <w:rPr>
          <w:rFonts w:cs="Arial"/>
          <w:lang w:val="pt-BR"/>
        </w:rPr>
      </w:pPr>
      <w:r w:rsidRPr="00493E39">
        <w:rPr>
          <w:rFonts w:cs="Arial"/>
          <w:lang w:val="pt-BR"/>
        </w:rPr>
        <w:t xml:space="preserve">A pandemia recebe tratamento específico. Em lugar de indicadoras pontuais para cada mês de 2020, adotam-se indicadoras de janela, que assinalam se cada mês entre março e dezembro de 2020 pertence ao intervalo de acumulação do horizonte estimado. A razão é que a variável dependente acumula variações de t até </w:t>
      </w:r>
      <w:proofErr w:type="spellStart"/>
      <w:r w:rsidRPr="00493E39">
        <w:rPr>
          <w:rFonts w:cs="Arial"/>
          <w:lang w:val="pt-BR"/>
        </w:rPr>
        <w:t>t+h</w:t>
      </w:r>
      <w:proofErr w:type="spellEnd"/>
      <w:r w:rsidRPr="00493E39">
        <w:rPr>
          <w:rFonts w:cs="Arial"/>
          <w:lang w:val="pt-BR"/>
        </w:rPr>
        <w:t>: um mês de pandemia afeta a resposta sempre que estiver dentro dessa janela, e não apenas quando coincidir com t, de modo que indicadoras pontuais deixariam o efeito parcialmente não controlado nos horizontes longos. As indicadoras do modelo são, ao todo, três famílias: onze sazonais mensais, dez de pandemia na forma de janela e, na especificação por regime, a indicadora de nível do período posterior ao corte.</w:t>
      </w:r>
    </w:p>
    <w:p w14:paraId="1EBE1A8F" w14:textId="77777777" w:rsidR="00D64459" w:rsidRPr="00493E39" w:rsidRDefault="008B2120">
      <w:pPr>
        <w:ind w:firstLine="709"/>
        <w:jc w:val="both"/>
        <w:rPr>
          <w:rFonts w:cs="Arial"/>
          <w:lang w:val="pt-BR"/>
        </w:rPr>
      </w:pPr>
      <w:r w:rsidRPr="00493E39">
        <w:rPr>
          <w:rFonts w:cs="Arial"/>
          <w:lang w:val="pt-BR"/>
        </w:rPr>
        <w:t>Cabe registrar que os meses de pandemia foram mantidos na amostra e controlados por essas indicadoras, e não descartados. A alternativa de excluí-los é adotada por Baba e Lee (2022), que encerram a amostra no quarto trimestre de 2019 para evitar os efeitos extraordinários do período. A opção aqui preserva as observações, ao custo de depender da adequação do controle, e a seção 4.7 reporta a robustez dessa escolha.</w:t>
      </w:r>
    </w:p>
    <w:p w14:paraId="7E0D8F86" w14:textId="77777777" w:rsidR="00D64459" w:rsidRPr="00493E39" w:rsidRDefault="008B2120">
      <w:pPr>
        <w:ind w:firstLine="709"/>
        <w:jc w:val="both"/>
        <w:rPr>
          <w:rFonts w:cs="Arial"/>
          <w:lang w:val="pt-BR"/>
        </w:rPr>
      </w:pPr>
      <w:r w:rsidRPr="00493E39">
        <w:rPr>
          <w:rFonts w:cs="Arial"/>
          <w:lang w:val="pt-BR"/>
        </w:rPr>
        <w:t xml:space="preserve">Convém explicitar o que </w:t>
      </w:r>
      <w:proofErr w:type="spellStart"/>
      <w:r w:rsidRPr="00493E39">
        <w:rPr>
          <w:rFonts w:cs="Arial"/>
          <w:lang w:val="pt-BR"/>
        </w:rPr>
        <w:t>esta</w:t>
      </w:r>
      <w:proofErr w:type="spellEnd"/>
      <w:r w:rsidRPr="00493E39">
        <w:rPr>
          <w:rFonts w:cs="Arial"/>
          <w:lang w:val="pt-BR"/>
        </w:rPr>
        <w:t xml:space="preserve"> especificação identifica, dado que ela é estimada por mínimos quadrados ordinários e que o choque do petróleo, como qualquer variável macroeconômica, não é experimentalmente atribuído. O objeto de interesse do trabalho </w:t>
      </w:r>
      <w:r w:rsidRPr="00493E39">
        <w:rPr>
          <w:rFonts w:cs="Arial"/>
          <w:lang w:val="pt-BR"/>
        </w:rPr>
        <w:lastRenderedPageBreak/>
        <w:t xml:space="preserve">não é o nível de </w:t>
      </w:r>
      <w:r w:rsidRPr="00493E39">
        <w:rPr>
          <w:rFonts w:cs="Arial"/>
        </w:rPr>
        <w:t>β</w:t>
      </w:r>
      <w:r w:rsidRPr="00493E39">
        <w:rPr>
          <w:rFonts w:cs="Arial"/>
          <w:lang w:val="pt-BR"/>
        </w:rPr>
        <w:t xml:space="preserve">_pós(h), e sim a diferença entre </w:t>
      </w:r>
      <w:r w:rsidRPr="00493E39">
        <w:rPr>
          <w:rFonts w:cs="Arial"/>
        </w:rPr>
        <w:t>β</w:t>
      </w:r>
      <w:r w:rsidRPr="00493E39">
        <w:rPr>
          <w:rFonts w:cs="Arial"/>
          <w:lang w:val="pt-BR"/>
        </w:rPr>
        <w:t xml:space="preserve">_pós(h) e </w:t>
      </w:r>
      <w:r w:rsidRPr="00493E39">
        <w:rPr>
          <w:rFonts w:cs="Arial"/>
        </w:rPr>
        <w:t>β</w:t>
      </w:r>
      <w:r w:rsidRPr="00493E39">
        <w:rPr>
          <w:rFonts w:cs="Arial"/>
          <w:lang w:val="pt-BR"/>
        </w:rPr>
        <w:t>_</w:t>
      </w:r>
      <w:proofErr w:type="spellStart"/>
      <w:r w:rsidRPr="00493E39">
        <w:rPr>
          <w:rFonts w:cs="Arial"/>
          <w:lang w:val="pt-BR"/>
        </w:rPr>
        <w:t>pré</w:t>
      </w:r>
      <w:proofErr w:type="spellEnd"/>
      <w:r w:rsidRPr="00493E39">
        <w:rPr>
          <w:rFonts w:cs="Arial"/>
          <w:lang w:val="pt-BR"/>
        </w:rPr>
        <w:t>(h). Essa distinção não é retórica: ela altera a hipótese de identificação necessária.</w:t>
      </w:r>
    </w:p>
    <w:p w14:paraId="694814FE" w14:textId="77777777" w:rsidR="00D64459" w:rsidRPr="00493E39" w:rsidRDefault="008B2120">
      <w:pPr>
        <w:ind w:firstLine="709"/>
        <w:jc w:val="both"/>
        <w:rPr>
          <w:rFonts w:cs="Arial"/>
          <w:lang w:val="pt-BR"/>
        </w:rPr>
      </w:pPr>
      <w:r w:rsidRPr="00493E39">
        <w:rPr>
          <w:rFonts w:cs="Arial"/>
          <w:lang w:val="pt-BR"/>
        </w:rPr>
        <w:t>Suponha-se que o choque esteja correlacionado com determinantes da inflação omitidos da equação, de modo que cada coeficiente estimado incorpore um termo de viés. Escrevendo o estimador de cada regime como o parâmetro verdadeiro somado a um viés próprio, a diferença estimada é:</w:t>
      </w:r>
    </w:p>
    <w:p w14:paraId="0D5A444B"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w:t>
      </w:r>
      <w:r w:rsidRPr="00493E39">
        <w:rPr>
          <w:rFonts w:cs="Arial"/>
          <w:sz w:val="22"/>
        </w:rPr>
        <w:t>β</w:t>
      </w:r>
      <w:r w:rsidRPr="00493E39">
        <w:rPr>
          <w:rFonts w:cs="Arial"/>
          <w:sz w:val="22"/>
          <w:lang w:val="pt-BR"/>
        </w:rPr>
        <w:t xml:space="preserve">*_pós(h) − </w:t>
      </w:r>
      <w:r w:rsidRPr="00493E39">
        <w:rPr>
          <w:rFonts w:cs="Arial"/>
          <w:sz w:val="22"/>
        </w:rPr>
        <w:t>β</w:t>
      </w:r>
      <w:r w:rsidRPr="00493E39">
        <w:rPr>
          <w:rFonts w:cs="Arial"/>
          <w:sz w:val="22"/>
          <w:lang w:val="pt-BR"/>
        </w:rPr>
        <w:t>*_</w:t>
      </w:r>
      <w:proofErr w:type="spellStart"/>
      <w:r w:rsidRPr="00493E39">
        <w:rPr>
          <w:rFonts w:cs="Arial"/>
          <w:sz w:val="22"/>
          <w:lang w:val="pt-BR"/>
        </w:rPr>
        <w:t>pré</w:t>
      </w:r>
      <w:proofErr w:type="spellEnd"/>
      <w:r w:rsidRPr="00493E39">
        <w:rPr>
          <w:rFonts w:cs="Arial"/>
          <w:sz w:val="22"/>
          <w:lang w:val="pt-BR"/>
        </w:rPr>
        <w:t>(h)] = [</w:t>
      </w:r>
      <w:r w:rsidRPr="00493E39">
        <w:rPr>
          <w:rFonts w:cs="Arial"/>
          <w:sz w:val="22"/>
        </w:rPr>
        <w:t>β</w:t>
      </w:r>
      <w:r w:rsidRPr="00493E39">
        <w:rPr>
          <w:rFonts w:cs="Arial"/>
          <w:sz w:val="22"/>
          <w:lang w:val="pt-BR"/>
        </w:rPr>
        <w:t xml:space="preserve">_pós(h) − </w:t>
      </w:r>
      <w:r w:rsidRPr="00493E39">
        <w:rPr>
          <w:rFonts w:cs="Arial"/>
          <w:sz w:val="22"/>
        </w:rPr>
        <w:t>β</w:t>
      </w:r>
      <w:r w:rsidRPr="00493E39">
        <w:rPr>
          <w:rFonts w:cs="Arial"/>
          <w:sz w:val="22"/>
          <w:lang w:val="pt-BR"/>
        </w:rPr>
        <w:t>_</w:t>
      </w:r>
      <w:proofErr w:type="spellStart"/>
      <w:r w:rsidRPr="00493E39">
        <w:rPr>
          <w:rFonts w:cs="Arial"/>
          <w:sz w:val="22"/>
          <w:lang w:val="pt-BR"/>
        </w:rPr>
        <w:t>pré</w:t>
      </w:r>
      <w:proofErr w:type="spellEnd"/>
      <w:r w:rsidRPr="00493E39">
        <w:rPr>
          <w:rFonts w:cs="Arial"/>
          <w:sz w:val="22"/>
          <w:lang w:val="pt-BR"/>
        </w:rPr>
        <w:t>(h)] + [</w:t>
      </w:r>
      <w:proofErr w:type="spellStart"/>
      <w:r w:rsidRPr="00493E39">
        <w:rPr>
          <w:rFonts w:cs="Arial"/>
          <w:sz w:val="22"/>
          <w:lang w:val="pt-BR"/>
        </w:rPr>
        <w:t>v_pós</w:t>
      </w:r>
      <w:proofErr w:type="spellEnd"/>
      <w:r w:rsidRPr="00493E39">
        <w:rPr>
          <w:rFonts w:cs="Arial"/>
          <w:sz w:val="22"/>
          <w:lang w:val="pt-BR"/>
        </w:rPr>
        <w:t xml:space="preserve">(h) − </w:t>
      </w:r>
      <w:proofErr w:type="spellStart"/>
      <w:r w:rsidRPr="00493E39">
        <w:rPr>
          <w:rFonts w:cs="Arial"/>
          <w:sz w:val="22"/>
          <w:lang w:val="pt-BR"/>
        </w:rPr>
        <w:t>v_pré</w:t>
      </w:r>
      <w:proofErr w:type="spellEnd"/>
      <w:r w:rsidRPr="00493E39">
        <w:rPr>
          <w:rFonts w:cs="Arial"/>
          <w:sz w:val="22"/>
          <w:lang w:val="pt-BR"/>
        </w:rPr>
        <w:t>(h)]</w:t>
      </w:r>
      <w:r w:rsidRPr="00493E39">
        <w:rPr>
          <w:rFonts w:cs="Arial"/>
          <w:sz w:val="22"/>
          <w:lang w:val="pt-BR"/>
        </w:rPr>
        <w:tab/>
        <w:t>(4)</w:t>
      </w:r>
    </w:p>
    <w:p w14:paraId="5AFAB9ED" w14:textId="77777777" w:rsidR="00D64459" w:rsidRPr="00493E39" w:rsidRDefault="008B2120">
      <w:pPr>
        <w:ind w:firstLine="709"/>
        <w:jc w:val="both"/>
        <w:rPr>
          <w:rFonts w:cs="Arial"/>
          <w:lang w:val="pt-BR"/>
        </w:rPr>
      </w:pPr>
      <w:r w:rsidRPr="00493E39">
        <w:rPr>
          <w:rFonts w:cs="Arial"/>
          <w:lang w:val="pt-BR"/>
        </w:rPr>
        <w:t xml:space="preserve">O asterisco denota estimador, e a sua ausência, o parâmetro populacional. Se o viés for o mesmo nos dois regimes, os dois últimos termos se cancelam e a diferença é estimada de forma consistente, ainda que nenhum dos dois níveis o seja. É a mesma lógica que sustenta o estimador de diferenças em diferenças: a contaminação sobrevive em cada termo isolado e desaparece no contraste, desde que seja comum. A hipótese de identificação é, portanto, mais fraca do que a </w:t>
      </w:r>
      <w:proofErr w:type="spellStart"/>
      <w:r w:rsidRPr="00493E39">
        <w:rPr>
          <w:rFonts w:cs="Arial"/>
          <w:lang w:val="pt-BR"/>
        </w:rPr>
        <w:t>exogeneidade</w:t>
      </w:r>
      <w:proofErr w:type="spellEnd"/>
      <w:r w:rsidRPr="00493E39">
        <w:rPr>
          <w:rFonts w:cs="Arial"/>
          <w:lang w:val="pt-BR"/>
        </w:rPr>
        <w:t xml:space="preserve"> do choque: não se </w:t>
      </w:r>
      <w:proofErr w:type="spellStart"/>
      <w:r w:rsidRPr="00493E39">
        <w:rPr>
          <w:rFonts w:cs="Arial"/>
          <w:lang w:val="pt-BR"/>
        </w:rPr>
        <w:t>afirma</w:t>
      </w:r>
      <w:proofErr w:type="spellEnd"/>
      <w:r w:rsidRPr="00493E39">
        <w:rPr>
          <w:rFonts w:cs="Arial"/>
          <w:lang w:val="pt-BR"/>
        </w:rPr>
        <w:t xml:space="preserve"> que o choque seja exógeno, e sim que a endogeneidade que porventura exista não se alterou na data de corte.</w:t>
      </w:r>
    </w:p>
    <w:p w14:paraId="5FBB9A47" w14:textId="77777777" w:rsidR="00D64459" w:rsidRPr="00493E39" w:rsidRDefault="008B2120">
      <w:pPr>
        <w:ind w:firstLine="709"/>
        <w:jc w:val="both"/>
        <w:rPr>
          <w:rFonts w:cs="Arial"/>
          <w:lang w:val="pt-BR"/>
        </w:rPr>
      </w:pPr>
      <w:r w:rsidRPr="00493E39">
        <w:rPr>
          <w:rFonts w:cs="Arial"/>
          <w:lang w:val="pt-BR"/>
        </w:rPr>
        <w:t xml:space="preserve">Essa hipótese tem conteúdo empírico e não é postulada. O viés é comum aos dois regimes quando o processo gerador do choque não muda em τ, e duas evidências incidem sobre essa condição. O Apêndice K.3 examina a composição da amostra por sinal: meses de alta representam 59,8% do regime anterior e 54,4% do posterior, resultado que opera contra a hipótese alternativa, pois o regime em que o repasse é maior é o que contém proporcionalmente menos altas. Ele não é, porém, teste da composição no sentido de </w:t>
      </w:r>
      <w:proofErr w:type="spellStart"/>
      <w:r w:rsidRPr="00493E39">
        <w:rPr>
          <w:rFonts w:cs="Arial"/>
          <w:lang w:val="pt-BR"/>
        </w:rPr>
        <w:t>Kilian</w:t>
      </w:r>
      <w:proofErr w:type="spellEnd"/>
      <w:r w:rsidRPr="00493E39">
        <w:rPr>
          <w:rFonts w:cs="Arial"/>
          <w:lang w:val="pt-BR"/>
        </w:rPr>
        <w:t xml:space="preserve"> (2009), que é a partição entre oferta, demanda agregada e demanda precaucional: essa mistura pode alterar-se sem que a proporção de sinais mude. A evidência que enfrenta essa versão é institucional e está na seção 4.7.3: a parcela de meses sem reajuste na refinaria cai de 16,6% para zero, mudança de comportamento de preço doméstico que composição de choque internacional não produz.</w:t>
      </w:r>
    </w:p>
    <w:p w14:paraId="3B1A8630" w14:textId="77777777" w:rsidR="00D64459" w:rsidRPr="00493E39" w:rsidRDefault="008B2120">
      <w:pPr>
        <w:ind w:firstLine="709"/>
        <w:jc w:val="both"/>
        <w:rPr>
          <w:rFonts w:cs="Arial"/>
          <w:lang w:val="pt-BR"/>
        </w:rPr>
      </w:pPr>
      <w:r w:rsidRPr="00493E39">
        <w:rPr>
          <w:rFonts w:cs="Arial"/>
          <w:lang w:val="pt-BR"/>
        </w:rPr>
        <w:t xml:space="preserve">Resta registrar o que a hipótese não cobre. Ela seria violada caso a mudança de regra houvesse coincidido com alteração na forma pela qual condições brasileiras retroalimentam a cotação internacional, canal cuja relevância é limitada pela condição de tomador de preço da economia brasileira, ou caso a composição dos choques por </w:t>
      </w:r>
      <w:r w:rsidRPr="00493E39">
        <w:rPr>
          <w:rFonts w:cs="Arial"/>
          <w:lang w:val="pt-BR"/>
        </w:rPr>
        <w:lastRenderedPageBreak/>
        <w:t>natureza houvesse se deslocado na data de corte. O primeiro é implausível por ordem de grandeza; o segundo é parcialmente endereçado pelo Apêndice K.1. Quanto ao nível dos coeficientes, que a estratégia não identifica com a mesma força que a diferença, a seção 4.8 oferece aferição externa de magnitude por comparação internacional.</w:t>
      </w:r>
    </w:p>
    <w:p w14:paraId="039AA49A" w14:textId="77777777" w:rsidR="00D64459" w:rsidRPr="00493E39" w:rsidRDefault="008B2120">
      <w:pPr>
        <w:pStyle w:val="Heading2"/>
        <w:spacing w:before="280" w:after="160"/>
        <w:rPr>
          <w:rFonts w:ascii="Arial" w:hAnsi="Arial" w:cs="Arial"/>
          <w:lang w:val="pt-BR"/>
        </w:rPr>
      </w:pPr>
      <w:bookmarkStart w:id="13" w:name="_Toc239713562"/>
      <w:r w:rsidRPr="00493E39">
        <w:rPr>
          <w:rFonts w:ascii="Arial" w:hAnsi="Arial" w:cs="Arial"/>
          <w:sz w:val="24"/>
          <w:lang w:val="pt-BR"/>
        </w:rPr>
        <w:t>3.5 Inferência</w:t>
      </w:r>
      <w:bookmarkEnd w:id="13"/>
    </w:p>
    <w:p w14:paraId="5EA94E28" w14:textId="77777777" w:rsidR="00D64459" w:rsidRPr="00493E39" w:rsidRDefault="008B2120">
      <w:pPr>
        <w:ind w:firstLine="709"/>
        <w:jc w:val="both"/>
        <w:rPr>
          <w:rFonts w:cs="Arial"/>
          <w:lang w:val="pt-BR"/>
        </w:rPr>
      </w:pPr>
      <w:r w:rsidRPr="00493E39">
        <w:rPr>
          <w:rFonts w:cs="Arial"/>
          <w:lang w:val="pt-BR"/>
        </w:rPr>
        <w:t>O trabalho emprega dois procedimentos de inferência, escolhidos de modo que os resultados sejam diretamente comparáveis entre si.</w:t>
      </w:r>
    </w:p>
    <w:p w14:paraId="202846CD" w14:textId="77777777" w:rsidR="00D64459" w:rsidRPr="00493E39" w:rsidRDefault="008B2120">
      <w:pPr>
        <w:ind w:firstLine="709"/>
        <w:jc w:val="both"/>
        <w:rPr>
          <w:rFonts w:cs="Arial"/>
          <w:lang w:val="pt-BR"/>
        </w:rPr>
      </w:pPr>
      <w:r w:rsidRPr="00493E39">
        <w:rPr>
          <w:rFonts w:cs="Arial"/>
          <w:lang w:val="pt-BR"/>
        </w:rPr>
        <w:t>O primeiro é o estimador de covariância robusto à heterocedasticidade e à autocorrelação de Newey e West (1987), com núcleo de Bartlett, largura de banda igual a h+1 e correção de amostra finita T/(T−K). A banda acompanha o horizonte porque a acumulação de h períodos induz autocorrelação de ordem h nos resíduos por construção. Esse é o único erro-padrão de coeficiente utilizado no trabalho.</w:t>
      </w:r>
    </w:p>
    <w:p w14:paraId="4430DA06" w14:textId="77777777" w:rsidR="00D64459" w:rsidRPr="00493E39" w:rsidRDefault="008B2120">
      <w:pPr>
        <w:ind w:firstLine="709"/>
        <w:jc w:val="both"/>
        <w:rPr>
          <w:rFonts w:cs="Arial"/>
          <w:lang w:val="pt-BR"/>
        </w:rPr>
      </w:pPr>
      <w:r w:rsidRPr="00493E39">
        <w:rPr>
          <w:rFonts w:cs="Arial"/>
          <w:lang w:val="pt-BR"/>
        </w:rPr>
        <w:t xml:space="preserve">Dele derivam duas bandas de confiança, ambas de 90%, nível que segue a prática da literatura de referência. A pontual usa o valor crítico normal de 1,645; a uniforme usa o valor crítico do tipo </w:t>
      </w:r>
      <w:proofErr w:type="spellStart"/>
      <w:r w:rsidRPr="00493E39">
        <w:rPr>
          <w:rFonts w:cs="Arial"/>
          <w:lang w:val="pt-BR"/>
        </w:rPr>
        <w:t>sup</w:t>
      </w:r>
      <w:proofErr w:type="spellEnd"/>
      <w:r w:rsidRPr="00493E39">
        <w:rPr>
          <w:rFonts w:cs="Arial"/>
          <w:lang w:val="pt-BR"/>
        </w:rPr>
        <w:t xml:space="preserve">-t de Montiel </w:t>
      </w:r>
      <w:proofErr w:type="spellStart"/>
      <w:r w:rsidRPr="00493E39">
        <w:rPr>
          <w:rFonts w:cs="Arial"/>
          <w:lang w:val="pt-BR"/>
        </w:rPr>
        <w:t>Olea</w:t>
      </w:r>
      <w:proofErr w:type="spellEnd"/>
      <w:r w:rsidRPr="00493E39">
        <w:rPr>
          <w:rFonts w:cs="Arial"/>
          <w:lang w:val="pt-BR"/>
        </w:rPr>
        <w:t xml:space="preserve"> e </w:t>
      </w:r>
      <w:proofErr w:type="spellStart"/>
      <w:r w:rsidRPr="00493E39">
        <w:rPr>
          <w:rFonts w:cs="Arial"/>
          <w:lang w:val="pt-BR"/>
        </w:rPr>
        <w:t>Plagborg-Møller</w:t>
      </w:r>
      <w:proofErr w:type="spellEnd"/>
      <w:r w:rsidRPr="00493E39">
        <w:rPr>
          <w:rFonts w:cs="Arial"/>
          <w:lang w:val="pt-BR"/>
        </w:rPr>
        <w:t xml:space="preserve"> (2019), obtido da matriz de correlação implicada pela covariância conjunta entre horizontes. A banda uniforme não constitui um segundo erro-padrão: é o mesmo erro-padrão com outro valor crítico, e responde à questão de que uma função avaliada em treze horizontes tem cobertura conjunta muito inferior ao nível nominal se cada horizonte for julgado isoladamente.</w:t>
      </w:r>
    </w:p>
    <w:p w14:paraId="2128F0D2" w14:textId="77777777" w:rsidR="00D64459" w:rsidRPr="00493E39" w:rsidRDefault="008B2120">
      <w:pPr>
        <w:ind w:firstLine="709"/>
        <w:jc w:val="both"/>
        <w:rPr>
          <w:rFonts w:cs="Arial"/>
          <w:lang w:val="pt-BR"/>
        </w:rPr>
      </w:pPr>
      <w:r w:rsidRPr="00493E39">
        <w:rPr>
          <w:rFonts w:cs="Arial"/>
          <w:lang w:val="pt-BR"/>
        </w:rPr>
        <w:t xml:space="preserve">O nível de 90% adotado nas bandas segue a prática dominante na literatura de referência: Choi et al. (2018), Baba e Lee (2022), </w:t>
      </w:r>
      <w:proofErr w:type="spellStart"/>
      <w:r w:rsidRPr="00493E39">
        <w:rPr>
          <w:rFonts w:cs="Arial"/>
          <w:lang w:val="pt-BR"/>
        </w:rPr>
        <w:t>Känzig</w:t>
      </w:r>
      <w:proofErr w:type="spellEnd"/>
      <w:r w:rsidRPr="00493E39">
        <w:rPr>
          <w:rFonts w:cs="Arial"/>
          <w:lang w:val="pt-BR"/>
        </w:rPr>
        <w:t xml:space="preserve"> (2021) e </w:t>
      </w:r>
      <w:proofErr w:type="spellStart"/>
      <w:r w:rsidRPr="00493E39">
        <w:rPr>
          <w:rFonts w:cs="Arial"/>
          <w:lang w:val="pt-BR"/>
        </w:rPr>
        <w:t>Ramey</w:t>
      </w:r>
      <w:proofErr w:type="spellEnd"/>
      <w:r w:rsidRPr="00493E39">
        <w:rPr>
          <w:rFonts w:cs="Arial"/>
          <w:lang w:val="pt-BR"/>
        </w:rPr>
        <w:t xml:space="preserve"> (2016) reportam bandas de 90% em suas funções de resposta.</w:t>
      </w:r>
    </w:p>
    <w:p w14:paraId="3AAB7D8F" w14:textId="77777777" w:rsidR="00D64459" w:rsidRPr="00493E39" w:rsidRDefault="008B2120">
      <w:pPr>
        <w:ind w:firstLine="709"/>
        <w:jc w:val="both"/>
        <w:rPr>
          <w:rFonts w:cs="Arial"/>
          <w:lang w:val="pt-BR"/>
        </w:rPr>
      </w:pPr>
      <w:r w:rsidRPr="00493E39">
        <w:rPr>
          <w:rFonts w:cs="Arial"/>
          <w:lang w:val="pt-BR"/>
        </w:rPr>
        <w:t>Da mesma covariância deriva o teste de Wald empregado nas tabelas do capítulo seguinte, que na especificação por regime testa a hipótese de que o coeficiente do período anterior seja igual ao do posterior. É pergunta distinta da que os asteriscos respondem: aqueles testam se cada coeficiente difere de zero, ao passo que o Wald testa se os dois diferem entre si, que é a hipótese central do trabalho.</w:t>
      </w:r>
    </w:p>
    <w:p w14:paraId="5FFCA58C" w14:textId="77777777" w:rsidR="00D64459" w:rsidRPr="00493E39" w:rsidRDefault="008B2120">
      <w:pPr>
        <w:ind w:firstLine="709"/>
        <w:jc w:val="both"/>
        <w:rPr>
          <w:rFonts w:cs="Arial"/>
          <w:lang w:val="pt-BR"/>
        </w:rPr>
      </w:pPr>
      <w:r w:rsidRPr="00493E39">
        <w:rPr>
          <w:rFonts w:cs="Arial"/>
          <w:lang w:val="pt-BR"/>
        </w:rPr>
        <w:lastRenderedPageBreak/>
        <w:t xml:space="preserve">O segundo procedimento é o </w:t>
      </w:r>
      <w:proofErr w:type="spellStart"/>
      <w:r w:rsidRPr="00493E39">
        <w:rPr>
          <w:rFonts w:cs="Arial"/>
          <w:lang w:val="pt-BR"/>
        </w:rPr>
        <w:t>bootstrap</w:t>
      </w:r>
      <w:proofErr w:type="spellEnd"/>
      <w:r w:rsidRPr="00493E39">
        <w:rPr>
          <w:rFonts w:cs="Arial"/>
          <w:lang w:val="pt-BR"/>
        </w:rPr>
        <w:t xml:space="preserve"> selvagem em blocos, com blocos de doze meses, pesos de </w:t>
      </w:r>
      <w:proofErr w:type="spellStart"/>
      <w:r w:rsidRPr="00493E39">
        <w:rPr>
          <w:rFonts w:cs="Arial"/>
          <w:lang w:val="pt-BR"/>
        </w:rPr>
        <w:t>Rademacher</w:t>
      </w:r>
      <w:proofErr w:type="spellEnd"/>
      <w:r w:rsidRPr="00493E39">
        <w:rPr>
          <w:rFonts w:cs="Arial"/>
          <w:lang w:val="pt-BR"/>
        </w:rPr>
        <w:t xml:space="preserve"> e resíduos corrigidos por alavancagem conforme Davidson e </w:t>
      </w:r>
      <w:proofErr w:type="spellStart"/>
      <w:r w:rsidRPr="00493E39">
        <w:rPr>
          <w:rFonts w:cs="Arial"/>
          <w:lang w:val="pt-BR"/>
        </w:rPr>
        <w:t>Flachaire</w:t>
      </w:r>
      <w:proofErr w:type="spellEnd"/>
      <w:r w:rsidRPr="00493E39">
        <w:rPr>
          <w:rFonts w:cs="Arial"/>
          <w:lang w:val="pt-BR"/>
        </w:rPr>
        <w:t xml:space="preserve"> (2008). Ele é empregado exclusivamente onde não existe distribuição assintótica utilizável: no valor crítico do teste de quebra em data desconhecida, no p-valor ajustado por seleção, no valor crítico dos testes conjuntos entre horizontes e no intervalo da parcela atribuída ao canal dos combustíveis. Fora desses casos, a inferência é analítica.</w:t>
      </w:r>
    </w:p>
    <w:p w14:paraId="7A67DA73"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W(h) = [</w:t>
      </w:r>
      <w:r w:rsidRPr="00493E39">
        <w:rPr>
          <w:rFonts w:cs="Arial"/>
          <w:sz w:val="22"/>
        </w:rPr>
        <w:t>β</w:t>
      </w:r>
      <w:r w:rsidRPr="00493E39">
        <w:rPr>
          <w:rFonts w:cs="Arial"/>
          <w:sz w:val="22"/>
          <w:lang w:val="pt-BR"/>
        </w:rPr>
        <w:t xml:space="preserve">*_pós(h) − </w:t>
      </w:r>
      <w:r w:rsidRPr="00493E39">
        <w:rPr>
          <w:rFonts w:cs="Arial"/>
          <w:sz w:val="22"/>
        </w:rPr>
        <w:t>β</w:t>
      </w:r>
      <w:r w:rsidRPr="00493E39">
        <w:rPr>
          <w:rFonts w:cs="Arial"/>
          <w:sz w:val="22"/>
          <w:lang w:val="pt-BR"/>
        </w:rPr>
        <w:t>*_</w:t>
      </w:r>
      <w:proofErr w:type="spellStart"/>
      <w:r w:rsidRPr="00493E39">
        <w:rPr>
          <w:rFonts w:cs="Arial"/>
          <w:sz w:val="22"/>
          <w:lang w:val="pt-BR"/>
        </w:rPr>
        <w:t>pré</w:t>
      </w:r>
      <w:proofErr w:type="spellEnd"/>
      <w:r w:rsidRPr="00493E39">
        <w:rPr>
          <w:rFonts w:cs="Arial"/>
          <w:sz w:val="22"/>
          <w:lang w:val="pt-BR"/>
        </w:rPr>
        <w:t>(h</w:t>
      </w:r>
      <w:proofErr w:type="gramStart"/>
      <w:r w:rsidRPr="00493E39">
        <w:rPr>
          <w:rFonts w:cs="Arial"/>
          <w:sz w:val="22"/>
          <w:lang w:val="pt-BR"/>
        </w:rPr>
        <w:t>)]²</w:t>
      </w:r>
      <w:proofErr w:type="gramEnd"/>
      <w:r w:rsidRPr="00493E39">
        <w:rPr>
          <w:rFonts w:cs="Arial"/>
          <w:sz w:val="22"/>
          <w:lang w:val="pt-BR"/>
        </w:rPr>
        <w:t xml:space="preserve"> / V*[</w:t>
      </w:r>
      <w:r w:rsidRPr="00493E39">
        <w:rPr>
          <w:rFonts w:cs="Arial"/>
          <w:sz w:val="22"/>
        </w:rPr>
        <w:t>β</w:t>
      </w:r>
      <w:r w:rsidRPr="00493E39">
        <w:rPr>
          <w:rFonts w:cs="Arial"/>
          <w:sz w:val="22"/>
          <w:lang w:val="pt-BR"/>
        </w:rPr>
        <w:t xml:space="preserve">*_pós(h) − </w:t>
      </w:r>
      <w:r w:rsidRPr="00493E39">
        <w:rPr>
          <w:rFonts w:cs="Arial"/>
          <w:sz w:val="22"/>
        </w:rPr>
        <w:t>β</w:t>
      </w:r>
      <w:r w:rsidRPr="00493E39">
        <w:rPr>
          <w:rFonts w:cs="Arial"/>
          <w:sz w:val="22"/>
          <w:lang w:val="pt-BR"/>
        </w:rPr>
        <w:t>*_</w:t>
      </w:r>
      <w:proofErr w:type="spellStart"/>
      <w:r w:rsidRPr="00493E39">
        <w:rPr>
          <w:rFonts w:cs="Arial"/>
          <w:sz w:val="22"/>
          <w:lang w:val="pt-BR"/>
        </w:rPr>
        <w:t>pré</w:t>
      </w:r>
      <w:proofErr w:type="spellEnd"/>
      <w:r w:rsidRPr="00493E39">
        <w:rPr>
          <w:rFonts w:cs="Arial"/>
          <w:sz w:val="22"/>
          <w:lang w:val="pt-BR"/>
        </w:rPr>
        <w:t>(h</w:t>
      </w:r>
      <w:proofErr w:type="gramStart"/>
      <w:r w:rsidRPr="00493E39">
        <w:rPr>
          <w:rFonts w:cs="Arial"/>
          <w:sz w:val="22"/>
          <w:lang w:val="pt-BR"/>
        </w:rPr>
        <w:t>)]  ~</w:t>
      </w:r>
      <w:proofErr w:type="gramEnd"/>
      <w:r w:rsidRPr="00493E39">
        <w:rPr>
          <w:rFonts w:cs="Arial"/>
          <w:sz w:val="22"/>
          <w:lang w:val="pt-BR"/>
        </w:rPr>
        <w:t xml:space="preserve">  </w:t>
      </w:r>
      <w:r w:rsidRPr="00493E39">
        <w:rPr>
          <w:rFonts w:cs="Arial"/>
          <w:sz w:val="22"/>
        </w:rPr>
        <w:t>χ</w:t>
      </w:r>
      <w:proofErr w:type="gramStart"/>
      <w:r w:rsidRPr="00493E39">
        <w:rPr>
          <w:rFonts w:cs="Arial"/>
          <w:sz w:val="22"/>
          <w:lang w:val="pt-BR"/>
        </w:rPr>
        <w:t>²(</w:t>
      </w:r>
      <w:proofErr w:type="gramEnd"/>
      <w:r w:rsidRPr="00493E39">
        <w:rPr>
          <w:rFonts w:cs="Arial"/>
          <w:sz w:val="22"/>
          <w:lang w:val="pt-BR"/>
        </w:rPr>
        <w:t>1)</w:t>
      </w:r>
      <w:r w:rsidRPr="00493E39">
        <w:rPr>
          <w:rFonts w:cs="Arial"/>
          <w:sz w:val="22"/>
          <w:lang w:val="pt-BR"/>
        </w:rPr>
        <w:br/>
      </w:r>
      <w:r w:rsidRPr="00493E39">
        <w:rPr>
          <w:rFonts w:cs="Arial"/>
          <w:sz w:val="22"/>
          <w:lang w:val="pt-BR"/>
        </w:rPr>
        <w:tab/>
        <w:t>sob H</w:t>
      </w:r>
      <w:r w:rsidRPr="00493E39">
        <w:rPr>
          <w:rFonts w:ascii="Cambria Math" w:hAnsi="Cambria Math" w:cs="Cambria Math"/>
          <w:sz w:val="22"/>
          <w:lang w:val="pt-BR"/>
        </w:rPr>
        <w:t>₀</w:t>
      </w:r>
      <w:r w:rsidRPr="00493E39">
        <w:rPr>
          <w:rFonts w:cs="Arial"/>
          <w:sz w:val="22"/>
          <w:lang w:val="pt-BR"/>
        </w:rPr>
        <w:t xml:space="preserve">: </w:t>
      </w:r>
      <w:r w:rsidRPr="00493E39">
        <w:rPr>
          <w:rFonts w:cs="Arial"/>
          <w:sz w:val="22"/>
        </w:rPr>
        <w:t>β</w:t>
      </w:r>
      <w:r w:rsidRPr="00493E39">
        <w:rPr>
          <w:rFonts w:cs="Arial"/>
          <w:sz w:val="22"/>
          <w:lang w:val="pt-BR"/>
        </w:rPr>
        <w:t>_</w:t>
      </w:r>
      <w:proofErr w:type="spellStart"/>
      <w:r w:rsidRPr="00493E39">
        <w:rPr>
          <w:rFonts w:cs="Arial"/>
          <w:sz w:val="22"/>
          <w:lang w:val="pt-BR"/>
        </w:rPr>
        <w:t>pré</w:t>
      </w:r>
      <w:proofErr w:type="spellEnd"/>
      <w:r w:rsidRPr="00493E39">
        <w:rPr>
          <w:rFonts w:cs="Arial"/>
          <w:sz w:val="22"/>
          <w:lang w:val="pt-BR"/>
        </w:rPr>
        <w:t xml:space="preserve">(h) = </w:t>
      </w:r>
      <w:r w:rsidRPr="00493E39">
        <w:rPr>
          <w:rFonts w:cs="Arial"/>
          <w:sz w:val="22"/>
        </w:rPr>
        <w:t>β</w:t>
      </w:r>
      <w:r w:rsidRPr="00493E39">
        <w:rPr>
          <w:rFonts w:cs="Arial"/>
          <w:sz w:val="22"/>
          <w:lang w:val="pt-BR"/>
        </w:rPr>
        <w:t>_pós(h</w:t>
      </w:r>
      <w:proofErr w:type="gramStart"/>
      <w:r w:rsidRPr="00493E39">
        <w:rPr>
          <w:rFonts w:cs="Arial"/>
          <w:sz w:val="22"/>
          <w:lang w:val="pt-BR"/>
        </w:rPr>
        <w:t>),  com</w:t>
      </w:r>
      <w:proofErr w:type="gramEnd"/>
      <w:r w:rsidRPr="00493E39">
        <w:rPr>
          <w:rFonts w:cs="Arial"/>
          <w:sz w:val="22"/>
          <w:lang w:val="pt-BR"/>
        </w:rPr>
        <w:t xml:space="preserve"> V* extraída da covariância HAC</w:t>
      </w:r>
      <w:r w:rsidRPr="00493E39">
        <w:rPr>
          <w:rFonts w:cs="Arial"/>
          <w:sz w:val="22"/>
          <w:lang w:val="pt-BR"/>
        </w:rPr>
        <w:tab/>
        <w:t>(5)</w:t>
      </w:r>
    </w:p>
    <w:p w14:paraId="7D3471DF" w14:textId="77777777" w:rsidR="00D64459" w:rsidRPr="00493E39" w:rsidRDefault="008B2120">
      <w:pPr>
        <w:ind w:firstLine="709"/>
        <w:jc w:val="both"/>
        <w:rPr>
          <w:rFonts w:cs="Arial"/>
          <w:lang w:val="pt-BR"/>
        </w:rPr>
      </w:pPr>
      <w:r w:rsidRPr="00493E39">
        <w:rPr>
          <w:rFonts w:cs="Arial"/>
          <w:lang w:val="pt-BR"/>
        </w:rPr>
        <w:t xml:space="preserve">A variância no denominador é a da diferença, e não a soma das variâncias individuais, de modo que a covariância entre os dois coeficientes é levada em conta. Reporta-se o p-valor dessa estatística em cada horizonte, </w:t>
      </w:r>
      <w:proofErr w:type="gramStart"/>
      <w:r w:rsidRPr="00493E39">
        <w:rPr>
          <w:rFonts w:cs="Arial"/>
          <w:lang w:val="pt-BR"/>
        </w:rPr>
        <w:t>e também</w:t>
      </w:r>
      <w:proofErr w:type="gramEnd"/>
      <w:r w:rsidRPr="00493E39">
        <w:rPr>
          <w:rFonts w:cs="Arial"/>
          <w:lang w:val="pt-BR"/>
        </w:rPr>
        <w:t xml:space="preserve"> o de sua versão conjunta para os horizontes de zero a seis, cuja distribuição sob a nula é aproximada por reamostragem.</w:t>
      </w:r>
    </w:p>
    <w:p w14:paraId="60018134" w14:textId="77777777" w:rsidR="00D64459" w:rsidRPr="00493E39" w:rsidRDefault="008B2120">
      <w:pPr>
        <w:pStyle w:val="Heading2"/>
        <w:spacing w:before="280" w:after="160"/>
        <w:rPr>
          <w:rFonts w:ascii="Arial" w:hAnsi="Arial" w:cs="Arial"/>
          <w:lang w:val="pt-BR"/>
        </w:rPr>
      </w:pPr>
      <w:bookmarkStart w:id="14" w:name="_Toc239713563"/>
      <w:r w:rsidRPr="00493E39">
        <w:rPr>
          <w:rFonts w:ascii="Arial" w:hAnsi="Arial" w:cs="Arial"/>
          <w:sz w:val="24"/>
          <w:lang w:val="pt-BR"/>
        </w:rPr>
        <w:t>3.6 Datação da mudança de regime</w:t>
      </w:r>
      <w:bookmarkEnd w:id="14"/>
    </w:p>
    <w:p w14:paraId="34C69836" w14:textId="77777777" w:rsidR="00D64459" w:rsidRPr="00493E39" w:rsidRDefault="008B2120">
      <w:pPr>
        <w:ind w:firstLine="709"/>
        <w:jc w:val="both"/>
        <w:rPr>
          <w:rFonts w:cs="Arial"/>
          <w:lang w:val="pt-BR"/>
        </w:rPr>
      </w:pPr>
      <w:r w:rsidRPr="00493E39">
        <w:rPr>
          <w:rFonts w:cs="Arial"/>
          <w:lang w:val="pt-BR"/>
        </w:rPr>
        <w:t>A data que separa os regimes é estimada, e não imposta pela cronologia institucional. Aplica-se o teste de instabilidade com ponto de quebra desconhecido de Andrews (1993) em versão multivariada: para cada mês candidato calcula-se a estatística de igualdade de repasse, somam-se as estatísticas das séries do conjunto e toma-se o máximo sobre as datas candidatas, descartadas 15% de observações em cada extremidade.</w:t>
      </w:r>
    </w:p>
    <w:p w14:paraId="41CA0DCF"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r>
      <w:r w:rsidRPr="00493E39">
        <w:rPr>
          <w:rFonts w:cs="Arial"/>
          <w:sz w:val="22"/>
        </w:rPr>
        <w:t>τ</w:t>
      </w:r>
      <w:r w:rsidRPr="00493E39">
        <w:rPr>
          <w:rFonts w:cs="Arial"/>
          <w:sz w:val="22"/>
          <w:lang w:val="pt-BR"/>
        </w:rPr>
        <w:t xml:space="preserve">* = </w:t>
      </w:r>
      <w:proofErr w:type="spellStart"/>
      <w:r w:rsidRPr="00493E39">
        <w:rPr>
          <w:rFonts w:cs="Arial"/>
          <w:sz w:val="22"/>
          <w:lang w:val="pt-BR"/>
        </w:rPr>
        <w:t>arg</w:t>
      </w:r>
      <w:proofErr w:type="spellEnd"/>
      <w:r w:rsidRPr="00493E39">
        <w:rPr>
          <w:rFonts w:cs="Arial"/>
          <w:sz w:val="22"/>
          <w:lang w:val="pt-BR"/>
        </w:rPr>
        <w:t xml:space="preserve"> </w:t>
      </w:r>
      <w:proofErr w:type="spellStart"/>
      <w:r w:rsidRPr="00493E39">
        <w:rPr>
          <w:rFonts w:cs="Arial"/>
          <w:sz w:val="22"/>
          <w:lang w:val="pt-BR"/>
        </w:rPr>
        <w:t>max</w:t>
      </w:r>
      <w:proofErr w:type="spellEnd"/>
      <w:r w:rsidRPr="00493E39">
        <w:rPr>
          <w:rFonts w:cs="Arial"/>
          <w:sz w:val="22"/>
          <w:lang w:val="pt-BR"/>
        </w:rPr>
        <w:t xml:space="preserve"> (</w:t>
      </w:r>
      <w:r w:rsidRPr="00493E39">
        <w:rPr>
          <w:rFonts w:cs="Arial"/>
          <w:sz w:val="22"/>
        </w:rPr>
        <w:t>τ</w:t>
      </w:r>
      <w:r w:rsidRPr="00493E39">
        <w:rPr>
          <w:rFonts w:cs="Arial"/>
          <w:sz w:val="22"/>
          <w:lang w:val="pt-BR"/>
        </w:rPr>
        <w:t xml:space="preserve"> </w:t>
      </w:r>
      <w:r w:rsidRPr="00493E39">
        <w:rPr>
          <w:rFonts w:ascii="Cambria Math" w:hAnsi="Cambria Math" w:cs="Cambria Math"/>
          <w:sz w:val="22"/>
          <w:lang w:val="pt-BR"/>
        </w:rPr>
        <w:t>∈</w:t>
      </w:r>
      <w:r w:rsidRPr="00493E39">
        <w:rPr>
          <w:rFonts w:cs="Arial"/>
          <w:sz w:val="22"/>
          <w:lang w:val="pt-BR"/>
        </w:rPr>
        <w:t xml:space="preserve"> C) </w:t>
      </w:r>
      <w:r w:rsidRPr="00493E39">
        <w:rPr>
          <w:rFonts w:cs="Arial"/>
          <w:sz w:val="22"/>
        </w:rPr>
        <w:t>Σ</w:t>
      </w:r>
      <w:r w:rsidRPr="00493E39">
        <w:rPr>
          <w:rFonts w:cs="Arial"/>
          <w:sz w:val="22"/>
          <w:lang w:val="pt-BR"/>
        </w:rPr>
        <w:t xml:space="preserve">(k) </w:t>
      </w:r>
      <w:proofErr w:type="spellStart"/>
      <w:r w:rsidRPr="00493E39">
        <w:rPr>
          <w:rFonts w:cs="Arial"/>
          <w:sz w:val="22"/>
          <w:lang w:val="pt-BR"/>
        </w:rPr>
        <w:t>W_k</w:t>
      </w:r>
      <w:proofErr w:type="spellEnd"/>
      <w:r w:rsidRPr="00493E39">
        <w:rPr>
          <w:rFonts w:cs="Arial"/>
          <w:sz w:val="22"/>
          <w:lang w:val="pt-BR"/>
        </w:rPr>
        <w:t>(</w:t>
      </w:r>
      <w:r w:rsidRPr="00493E39">
        <w:rPr>
          <w:rFonts w:cs="Arial"/>
          <w:sz w:val="22"/>
        </w:rPr>
        <w:t>τ</w:t>
      </w:r>
      <w:proofErr w:type="gramStart"/>
      <w:r w:rsidRPr="00493E39">
        <w:rPr>
          <w:rFonts w:cs="Arial"/>
          <w:sz w:val="22"/>
          <w:lang w:val="pt-BR"/>
        </w:rPr>
        <w:t xml:space="preserve">),   </w:t>
      </w:r>
      <w:proofErr w:type="gramEnd"/>
      <w:r w:rsidRPr="00493E39">
        <w:rPr>
          <w:rFonts w:cs="Arial"/>
          <w:sz w:val="22"/>
          <w:lang w:val="pt-BR"/>
        </w:rPr>
        <w:t xml:space="preserve">C = </w:t>
      </w:r>
      <w:proofErr w:type="gramStart"/>
      <w:r w:rsidRPr="00493E39">
        <w:rPr>
          <w:rFonts w:cs="Arial"/>
          <w:sz w:val="22"/>
          <w:lang w:val="pt-BR"/>
        </w:rPr>
        <w:t xml:space="preserve">{ </w:t>
      </w:r>
      <w:r w:rsidRPr="00493E39">
        <w:rPr>
          <w:rFonts w:cs="Arial"/>
          <w:sz w:val="22"/>
        </w:rPr>
        <w:t>τ</w:t>
      </w:r>
      <w:proofErr w:type="gramEnd"/>
      <w:r w:rsidRPr="00493E39">
        <w:rPr>
          <w:rFonts w:cs="Arial"/>
          <w:sz w:val="22"/>
          <w:lang w:val="pt-BR"/>
        </w:rPr>
        <w:t xml:space="preserve"> : 0,15·T ≤ </w:t>
      </w:r>
      <w:r w:rsidRPr="00493E39">
        <w:rPr>
          <w:rFonts w:cs="Arial"/>
          <w:sz w:val="22"/>
        </w:rPr>
        <w:t>τ</w:t>
      </w:r>
      <w:r w:rsidRPr="00493E39">
        <w:rPr>
          <w:rFonts w:cs="Arial"/>
          <w:sz w:val="22"/>
          <w:lang w:val="pt-BR"/>
        </w:rPr>
        <w:t xml:space="preserve"> ≤ 0,85·</w:t>
      </w:r>
      <w:proofErr w:type="gramStart"/>
      <w:r w:rsidRPr="00493E39">
        <w:rPr>
          <w:rFonts w:cs="Arial"/>
          <w:sz w:val="22"/>
          <w:lang w:val="pt-BR"/>
        </w:rPr>
        <w:t>T }</w:t>
      </w:r>
      <w:proofErr w:type="gramEnd"/>
      <w:r w:rsidRPr="00493E39">
        <w:rPr>
          <w:rFonts w:cs="Arial"/>
          <w:sz w:val="22"/>
          <w:lang w:val="pt-BR"/>
        </w:rPr>
        <w:tab/>
        <w:t>(6)</w:t>
      </w:r>
    </w:p>
    <w:p w14:paraId="7F808EE5" w14:textId="77777777" w:rsidR="00D64459" w:rsidRPr="00493E39" w:rsidRDefault="008B2120">
      <w:pPr>
        <w:ind w:firstLine="709"/>
        <w:jc w:val="both"/>
        <w:rPr>
          <w:rFonts w:cs="Arial"/>
          <w:lang w:val="pt-BR"/>
        </w:rPr>
      </w:pPr>
      <w:r w:rsidRPr="00493E39">
        <w:rPr>
          <w:rFonts w:cs="Arial"/>
          <w:lang w:val="pt-BR"/>
        </w:rPr>
        <w:t xml:space="preserve">O índice k percorre as séries do conjunto, de sorte que a data estimada é comum ao sistema e não a uma série isolada, no espírito de </w:t>
      </w:r>
      <w:proofErr w:type="spellStart"/>
      <w:r w:rsidRPr="00493E39">
        <w:rPr>
          <w:rFonts w:cs="Arial"/>
          <w:lang w:val="pt-BR"/>
        </w:rPr>
        <w:t>Bai</w:t>
      </w:r>
      <w:proofErr w:type="spellEnd"/>
      <w:r w:rsidRPr="00493E39">
        <w:rPr>
          <w:rFonts w:cs="Arial"/>
          <w:lang w:val="pt-BR"/>
        </w:rPr>
        <w:t xml:space="preserve">, </w:t>
      </w:r>
      <w:proofErr w:type="spellStart"/>
      <w:r w:rsidRPr="00493E39">
        <w:rPr>
          <w:rFonts w:cs="Arial"/>
          <w:lang w:val="pt-BR"/>
        </w:rPr>
        <w:t>Lumsdaine</w:t>
      </w:r>
      <w:proofErr w:type="spellEnd"/>
      <w:r w:rsidRPr="00493E39">
        <w:rPr>
          <w:rFonts w:cs="Arial"/>
          <w:lang w:val="pt-BR"/>
        </w:rPr>
        <w:t xml:space="preserve"> e Stock (1998). A distribuição assintótica dessa estatística não é </w:t>
      </w:r>
      <w:proofErr w:type="spellStart"/>
      <w:r w:rsidRPr="00493E39">
        <w:rPr>
          <w:rFonts w:cs="Arial"/>
          <w:lang w:val="pt-BR"/>
        </w:rPr>
        <w:t>qui</w:t>
      </w:r>
      <w:proofErr w:type="spellEnd"/>
      <w:r w:rsidRPr="00493E39">
        <w:rPr>
          <w:rFonts w:cs="Arial"/>
          <w:lang w:val="pt-BR"/>
        </w:rPr>
        <w:t>-quadrado, uma vez que o parâmetro que indexa a data não é identificado sob a nula, e por isso o valor crítico vem de reamostragem.</w:t>
      </w:r>
    </w:p>
    <w:p w14:paraId="01F6D916" w14:textId="77777777" w:rsidR="00D64459" w:rsidRPr="00493E39" w:rsidRDefault="008B2120">
      <w:pPr>
        <w:ind w:firstLine="709"/>
        <w:jc w:val="both"/>
        <w:rPr>
          <w:rFonts w:cs="Arial"/>
          <w:lang w:val="pt-BR"/>
        </w:rPr>
      </w:pPr>
      <w:r w:rsidRPr="00493E39">
        <w:rPr>
          <w:rFonts w:cs="Arial"/>
          <w:lang w:val="pt-BR"/>
        </w:rPr>
        <w:t xml:space="preserve">Como a data é escolhida maximizando uma estatística, avaliá-la naquela data com p-valor convencional é circular. Reporta-se, por isso, p-valor ajustado por seleção, </w:t>
      </w:r>
      <w:r w:rsidRPr="00493E39">
        <w:rPr>
          <w:rFonts w:cs="Arial"/>
          <w:lang w:val="pt-BR"/>
        </w:rPr>
        <w:lastRenderedPageBreak/>
        <w:t>em que cada réplica de reamostragem refaz integralmente a busca sob a hipótese nula e a estatística é comparada ao máximo daquela réplica. Reporta-se também a faixa de datas cuja estatística supera o valor crítico, em lugar de apresentar a data estimada como se fosse conhecida com precisão mensal.</w:t>
      </w:r>
    </w:p>
    <w:p w14:paraId="75F2D810" w14:textId="77777777" w:rsidR="00D64459" w:rsidRPr="00493E39" w:rsidRDefault="008B2120">
      <w:pPr>
        <w:pStyle w:val="Heading2"/>
        <w:spacing w:before="280" w:after="160"/>
        <w:rPr>
          <w:rFonts w:ascii="Arial" w:hAnsi="Arial" w:cs="Arial"/>
          <w:lang w:val="pt-BR"/>
        </w:rPr>
      </w:pPr>
      <w:bookmarkStart w:id="15" w:name="_Toc239713564"/>
      <w:r w:rsidRPr="00493E39">
        <w:rPr>
          <w:rFonts w:ascii="Arial" w:hAnsi="Arial" w:cs="Arial"/>
          <w:sz w:val="24"/>
          <w:lang w:val="pt-BR"/>
        </w:rPr>
        <w:t>3.7 Decomposição do canal e efeitos de segunda volta</w:t>
      </w:r>
      <w:bookmarkEnd w:id="15"/>
    </w:p>
    <w:p w14:paraId="0057CB11" w14:textId="77777777" w:rsidR="00D64459" w:rsidRPr="00493E39" w:rsidRDefault="008B2120">
      <w:pPr>
        <w:ind w:firstLine="709"/>
        <w:jc w:val="both"/>
        <w:rPr>
          <w:rFonts w:cs="Arial"/>
          <w:lang w:val="pt-BR"/>
        </w:rPr>
      </w:pPr>
      <w:r w:rsidRPr="00493E39">
        <w:rPr>
          <w:rFonts w:cs="Arial"/>
          <w:lang w:val="pt-BR"/>
        </w:rPr>
        <w:t>Para medir quanto do efeito do petróleo sobre a inflação transita pelos preços domésticos de combustíveis, aplica-se o teorema de Frisch-Waugh-</w:t>
      </w:r>
      <w:proofErr w:type="spellStart"/>
      <w:r w:rsidRPr="00493E39">
        <w:rPr>
          <w:rFonts w:cs="Arial"/>
          <w:lang w:val="pt-BR"/>
        </w:rPr>
        <w:t>Lovell</w:t>
      </w:r>
      <w:proofErr w:type="spellEnd"/>
      <w:r w:rsidRPr="00493E39">
        <w:rPr>
          <w:rFonts w:cs="Arial"/>
          <w:lang w:val="pt-BR"/>
        </w:rPr>
        <w:t>. Estima-se o efeito total do choque e, em seguida, o efeito remanescente quando se condiciona nos preços de gasolina, diesel e etanol acumulados na mesma janela. A diferença entre os dois mede a parcela que atravessa esses preços.</w:t>
      </w:r>
    </w:p>
    <w:p w14:paraId="4315E8EC"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100</w:t>
      </w:r>
      <w:proofErr w:type="gramStart"/>
      <w:r w:rsidRPr="00493E39">
        <w:rPr>
          <w:rFonts w:cs="Arial"/>
          <w:sz w:val="22"/>
          <w:lang w:val="pt-BR"/>
        </w:rPr>
        <w:t>·[</w:t>
      </w:r>
      <w:proofErr w:type="spellStart"/>
      <w:proofErr w:type="gramEnd"/>
      <w:r w:rsidRPr="00493E39">
        <w:rPr>
          <w:rFonts w:cs="Arial"/>
          <w:sz w:val="22"/>
          <w:lang w:val="pt-BR"/>
        </w:rPr>
        <w:t>ln</w:t>
      </w:r>
      <w:proofErr w:type="spellEnd"/>
      <w:r w:rsidRPr="00493E39">
        <w:rPr>
          <w:rFonts w:cs="Arial"/>
          <w:sz w:val="22"/>
          <w:lang w:val="pt-BR"/>
        </w:rPr>
        <w:t xml:space="preserve"> P(</w:t>
      </w:r>
      <w:proofErr w:type="spellStart"/>
      <w:r w:rsidRPr="00493E39">
        <w:rPr>
          <w:rFonts w:cs="Arial"/>
          <w:sz w:val="22"/>
          <w:lang w:val="pt-BR"/>
        </w:rPr>
        <w:t>t+h</w:t>
      </w:r>
      <w:proofErr w:type="spellEnd"/>
      <w:r w:rsidRPr="00493E39">
        <w:rPr>
          <w:rFonts w:cs="Arial"/>
          <w:sz w:val="22"/>
          <w:lang w:val="pt-BR"/>
        </w:rPr>
        <w:t xml:space="preserve">) − </w:t>
      </w:r>
      <w:proofErr w:type="spellStart"/>
      <w:r w:rsidRPr="00493E39">
        <w:rPr>
          <w:rFonts w:cs="Arial"/>
          <w:sz w:val="22"/>
          <w:lang w:val="pt-BR"/>
        </w:rPr>
        <w:t>ln</w:t>
      </w:r>
      <w:proofErr w:type="spellEnd"/>
      <w:r w:rsidRPr="00493E39">
        <w:rPr>
          <w:rFonts w:cs="Arial"/>
          <w:sz w:val="22"/>
          <w:lang w:val="pt-BR"/>
        </w:rPr>
        <w:t xml:space="preserve"> P(t−1)] = </w:t>
      </w:r>
      <w:r w:rsidRPr="00493E39">
        <w:rPr>
          <w:rFonts w:cs="Arial"/>
          <w:sz w:val="22"/>
        </w:rPr>
        <w:t>α</w:t>
      </w:r>
      <w:r w:rsidRPr="00493E39">
        <w:rPr>
          <w:rFonts w:cs="Arial"/>
          <w:sz w:val="22"/>
          <w:lang w:val="pt-BR"/>
        </w:rPr>
        <w:t xml:space="preserve"> + </w:t>
      </w:r>
      <w:r w:rsidRPr="00493E39">
        <w:rPr>
          <w:rFonts w:cs="Arial"/>
          <w:sz w:val="22"/>
        </w:rPr>
        <w:t>β</w:t>
      </w:r>
      <w:r w:rsidRPr="00493E39">
        <w:rPr>
          <w:rFonts w:cs="Arial"/>
          <w:sz w:val="22"/>
          <w:lang w:val="pt-BR"/>
        </w:rPr>
        <w:t>(h)·choque(t) + controles + u(</w:t>
      </w:r>
      <w:proofErr w:type="spellStart"/>
      <w:proofErr w:type="gramStart"/>
      <w:r w:rsidRPr="00493E39">
        <w:rPr>
          <w:rFonts w:cs="Arial"/>
          <w:sz w:val="22"/>
          <w:lang w:val="pt-BR"/>
        </w:rPr>
        <w:t>t,h</w:t>
      </w:r>
      <w:proofErr w:type="spellEnd"/>
      <w:proofErr w:type="gramEnd"/>
      <w:r w:rsidRPr="00493E39">
        <w:rPr>
          <w:rFonts w:cs="Arial"/>
          <w:sz w:val="22"/>
          <w:lang w:val="pt-BR"/>
        </w:rPr>
        <w:t>)</w:t>
      </w:r>
      <w:r w:rsidRPr="00493E39">
        <w:rPr>
          <w:rFonts w:cs="Arial"/>
          <w:sz w:val="22"/>
          <w:lang w:val="pt-BR"/>
        </w:rPr>
        <w:tab/>
        <w:t>(7)</w:t>
      </w:r>
      <w:r w:rsidRPr="00493E39">
        <w:rPr>
          <w:rFonts w:cs="Arial"/>
          <w:sz w:val="22"/>
          <w:lang w:val="pt-BR"/>
        </w:rPr>
        <w:br/>
      </w:r>
      <w:r w:rsidRPr="00493E39">
        <w:rPr>
          <w:rFonts w:cs="Arial"/>
          <w:sz w:val="22"/>
          <w:lang w:val="pt-BR"/>
        </w:rPr>
        <w:tab/>
        <w:t>100</w:t>
      </w:r>
      <w:proofErr w:type="gramStart"/>
      <w:r w:rsidRPr="00493E39">
        <w:rPr>
          <w:rFonts w:cs="Arial"/>
          <w:sz w:val="22"/>
          <w:lang w:val="pt-BR"/>
        </w:rPr>
        <w:t>·[</w:t>
      </w:r>
      <w:proofErr w:type="spellStart"/>
      <w:proofErr w:type="gramEnd"/>
      <w:r w:rsidRPr="00493E39">
        <w:rPr>
          <w:rFonts w:cs="Arial"/>
          <w:sz w:val="22"/>
          <w:lang w:val="pt-BR"/>
        </w:rPr>
        <w:t>ln</w:t>
      </w:r>
      <w:proofErr w:type="spellEnd"/>
      <w:r w:rsidRPr="00493E39">
        <w:rPr>
          <w:rFonts w:cs="Arial"/>
          <w:sz w:val="22"/>
          <w:lang w:val="pt-BR"/>
        </w:rPr>
        <w:t xml:space="preserve"> P(</w:t>
      </w:r>
      <w:proofErr w:type="spellStart"/>
      <w:r w:rsidRPr="00493E39">
        <w:rPr>
          <w:rFonts w:cs="Arial"/>
          <w:sz w:val="22"/>
          <w:lang w:val="pt-BR"/>
        </w:rPr>
        <w:t>t+h</w:t>
      </w:r>
      <w:proofErr w:type="spellEnd"/>
      <w:r w:rsidRPr="00493E39">
        <w:rPr>
          <w:rFonts w:cs="Arial"/>
          <w:sz w:val="22"/>
          <w:lang w:val="pt-BR"/>
        </w:rPr>
        <w:t xml:space="preserve">) − </w:t>
      </w:r>
      <w:proofErr w:type="spellStart"/>
      <w:r w:rsidRPr="00493E39">
        <w:rPr>
          <w:rFonts w:cs="Arial"/>
          <w:sz w:val="22"/>
          <w:lang w:val="pt-BR"/>
        </w:rPr>
        <w:t>ln</w:t>
      </w:r>
      <w:proofErr w:type="spellEnd"/>
      <w:r w:rsidRPr="00493E39">
        <w:rPr>
          <w:rFonts w:cs="Arial"/>
          <w:sz w:val="22"/>
          <w:lang w:val="pt-BR"/>
        </w:rPr>
        <w:t xml:space="preserve"> P(t−1)] = </w:t>
      </w:r>
      <w:r w:rsidRPr="00493E39">
        <w:rPr>
          <w:rFonts w:cs="Arial"/>
          <w:sz w:val="22"/>
        </w:rPr>
        <w:t>α</w:t>
      </w:r>
      <w:r w:rsidRPr="00493E39">
        <w:rPr>
          <w:rFonts w:cs="Arial"/>
          <w:sz w:val="22"/>
          <w:lang w:val="pt-BR"/>
        </w:rPr>
        <w:t xml:space="preserve"> + </w:t>
      </w:r>
      <w:r w:rsidRPr="00493E39">
        <w:rPr>
          <w:rFonts w:cs="Arial"/>
          <w:sz w:val="22"/>
        </w:rPr>
        <w:t>β</w:t>
      </w:r>
      <w:r w:rsidRPr="00493E39">
        <w:rPr>
          <w:rFonts w:cs="Arial"/>
          <w:sz w:val="22"/>
          <w:lang w:val="pt-BR"/>
        </w:rPr>
        <w:t>_</w:t>
      </w:r>
      <w:proofErr w:type="spellStart"/>
      <w:r w:rsidRPr="00493E39">
        <w:rPr>
          <w:rFonts w:cs="Arial"/>
          <w:sz w:val="22"/>
          <w:lang w:val="pt-BR"/>
        </w:rPr>
        <w:t>dir</w:t>
      </w:r>
      <w:proofErr w:type="spellEnd"/>
      <w:r w:rsidRPr="00493E39">
        <w:rPr>
          <w:rFonts w:cs="Arial"/>
          <w:sz w:val="22"/>
          <w:lang w:val="pt-BR"/>
        </w:rPr>
        <w:t>(h)·choque(t)</w:t>
      </w:r>
      <w:r w:rsidRPr="00493E39">
        <w:rPr>
          <w:rFonts w:cs="Arial"/>
          <w:sz w:val="22"/>
          <w:lang w:val="pt-BR"/>
        </w:rPr>
        <w:br/>
      </w:r>
      <w:r w:rsidRPr="00493E39">
        <w:rPr>
          <w:rFonts w:cs="Arial"/>
          <w:sz w:val="22"/>
          <w:lang w:val="pt-BR"/>
        </w:rPr>
        <w:tab/>
        <w:t xml:space="preserve">                                      + </w:t>
      </w:r>
      <w:r w:rsidRPr="00493E39">
        <w:rPr>
          <w:rFonts w:cs="Arial"/>
          <w:sz w:val="22"/>
        </w:rPr>
        <w:t>Σ</w:t>
      </w:r>
      <w:r w:rsidRPr="00493E39">
        <w:rPr>
          <w:rFonts w:cs="Arial"/>
          <w:sz w:val="22"/>
          <w:lang w:val="pt-BR"/>
        </w:rPr>
        <w:t xml:space="preserve">(j) </w:t>
      </w:r>
      <w:r w:rsidRPr="00493E39">
        <w:rPr>
          <w:rFonts w:cs="Arial"/>
          <w:sz w:val="22"/>
        </w:rPr>
        <w:t>δⱼ</w:t>
      </w:r>
      <w:r w:rsidRPr="00493E39">
        <w:rPr>
          <w:rFonts w:cs="Arial"/>
          <w:sz w:val="22"/>
          <w:lang w:val="pt-BR"/>
        </w:rPr>
        <w:t>(h)·F</w:t>
      </w:r>
      <w:r w:rsidRPr="00493E39">
        <w:rPr>
          <w:rFonts w:cs="Arial"/>
          <w:sz w:val="22"/>
        </w:rPr>
        <w:t>ⱼ</w:t>
      </w:r>
      <w:r w:rsidRPr="00493E39">
        <w:rPr>
          <w:rFonts w:cs="Arial"/>
          <w:sz w:val="22"/>
          <w:lang w:val="pt-BR"/>
        </w:rPr>
        <w:t>(</w:t>
      </w:r>
      <w:proofErr w:type="spellStart"/>
      <w:proofErr w:type="gramStart"/>
      <w:r w:rsidRPr="00493E39">
        <w:rPr>
          <w:rFonts w:cs="Arial"/>
          <w:sz w:val="22"/>
          <w:lang w:val="pt-BR"/>
        </w:rPr>
        <w:t>t,h</w:t>
      </w:r>
      <w:proofErr w:type="spellEnd"/>
      <w:proofErr w:type="gramEnd"/>
      <w:r w:rsidRPr="00493E39">
        <w:rPr>
          <w:rFonts w:cs="Arial"/>
          <w:sz w:val="22"/>
          <w:lang w:val="pt-BR"/>
        </w:rPr>
        <w:t>) + controles + ũ(</w:t>
      </w:r>
      <w:proofErr w:type="spellStart"/>
      <w:proofErr w:type="gramStart"/>
      <w:r w:rsidRPr="00493E39">
        <w:rPr>
          <w:rFonts w:cs="Arial"/>
          <w:sz w:val="22"/>
          <w:lang w:val="pt-BR"/>
        </w:rPr>
        <w:t>t,h</w:t>
      </w:r>
      <w:proofErr w:type="spellEnd"/>
      <w:proofErr w:type="gramEnd"/>
      <w:r w:rsidRPr="00493E39">
        <w:rPr>
          <w:rFonts w:cs="Arial"/>
          <w:sz w:val="22"/>
          <w:lang w:val="pt-BR"/>
        </w:rPr>
        <w:t>)</w:t>
      </w:r>
      <w:r w:rsidRPr="00493E39">
        <w:rPr>
          <w:rFonts w:cs="Arial"/>
          <w:sz w:val="22"/>
          <w:lang w:val="pt-BR"/>
        </w:rPr>
        <w:tab/>
        <w:t>(8)</w:t>
      </w:r>
      <w:r w:rsidRPr="00493E39">
        <w:rPr>
          <w:rFonts w:cs="Arial"/>
          <w:sz w:val="22"/>
          <w:lang w:val="pt-BR"/>
        </w:rPr>
        <w:br/>
      </w:r>
      <w:r w:rsidRPr="00493E39">
        <w:rPr>
          <w:rFonts w:cs="Arial"/>
          <w:sz w:val="22"/>
          <w:lang w:val="pt-BR"/>
        </w:rPr>
        <w:tab/>
        <w:t xml:space="preserve">canal(h) = </w:t>
      </w:r>
      <w:r w:rsidRPr="00493E39">
        <w:rPr>
          <w:rFonts w:cs="Arial"/>
          <w:sz w:val="22"/>
        </w:rPr>
        <w:t>β</w:t>
      </w:r>
      <w:r w:rsidRPr="00493E39">
        <w:rPr>
          <w:rFonts w:cs="Arial"/>
          <w:sz w:val="22"/>
          <w:lang w:val="pt-BR"/>
        </w:rPr>
        <w:t xml:space="preserve">(h) − </w:t>
      </w:r>
      <w:r w:rsidRPr="00493E39">
        <w:rPr>
          <w:rFonts w:cs="Arial"/>
          <w:sz w:val="22"/>
        </w:rPr>
        <w:t>β</w:t>
      </w:r>
      <w:r w:rsidRPr="00493E39">
        <w:rPr>
          <w:rFonts w:cs="Arial"/>
          <w:sz w:val="22"/>
          <w:lang w:val="pt-BR"/>
        </w:rPr>
        <w:t>_</w:t>
      </w:r>
      <w:proofErr w:type="spellStart"/>
      <w:r w:rsidRPr="00493E39">
        <w:rPr>
          <w:rFonts w:cs="Arial"/>
          <w:sz w:val="22"/>
          <w:lang w:val="pt-BR"/>
        </w:rPr>
        <w:t>dir</w:t>
      </w:r>
      <w:proofErr w:type="spellEnd"/>
      <w:r w:rsidRPr="00493E39">
        <w:rPr>
          <w:rFonts w:cs="Arial"/>
          <w:sz w:val="22"/>
          <w:lang w:val="pt-BR"/>
        </w:rPr>
        <w:t xml:space="preserve">(h) = </w:t>
      </w:r>
      <w:r w:rsidRPr="00493E39">
        <w:rPr>
          <w:rFonts w:cs="Arial"/>
          <w:sz w:val="22"/>
        </w:rPr>
        <w:t>Σ</w:t>
      </w:r>
      <w:r w:rsidRPr="00493E39">
        <w:rPr>
          <w:rFonts w:cs="Arial"/>
          <w:sz w:val="22"/>
          <w:lang w:val="pt-BR"/>
        </w:rPr>
        <w:t xml:space="preserve">(j) </w:t>
      </w:r>
      <w:r w:rsidRPr="00493E39">
        <w:rPr>
          <w:rFonts w:cs="Arial"/>
          <w:sz w:val="22"/>
        </w:rPr>
        <w:t>δⱼ</w:t>
      </w:r>
      <w:r w:rsidRPr="00493E39">
        <w:rPr>
          <w:rFonts w:cs="Arial"/>
          <w:sz w:val="22"/>
          <w:lang w:val="pt-BR"/>
        </w:rPr>
        <w:t>(h)·b</w:t>
      </w:r>
      <w:r w:rsidRPr="00493E39">
        <w:rPr>
          <w:rFonts w:cs="Arial"/>
          <w:sz w:val="22"/>
        </w:rPr>
        <w:t>ⱼ</w:t>
      </w:r>
      <w:r w:rsidRPr="00493E39">
        <w:rPr>
          <w:rFonts w:cs="Arial"/>
          <w:sz w:val="22"/>
          <w:lang w:val="pt-BR"/>
        </w:rPr>
        <w:t>(h)</w:t>
      </w:r>
      <w:r w:rsidRPr="00493E39">
        <w:rPr>
          <w:rFonts w:cs="Arial"/>
          <w:sz w:val="22"/>
          <w:lang w:val="pt-BR"/>
        </w:rPr>
        <w:tab/>
        <w:t>(9)</w:t>
      </w:r>
    </w:p>
    <w:p w14:paraId="3A9583D9" w14:textId="77777777" w:rsidR="00D64459" w:rsidRPr="00493E39" w:rsidRDefault="008B2120">
      <w:pPr>
        <w:ind w:firstLine="709"/>
        <w:jc w:val="both"/>
        <w:rPr>
          <w:rFonts w:cs="Arial"/>
          <w:lang w:val="pt-BR"/>
        </w:rPr>
      </w:pPr>
      <w:r w:rsidRPr="00493E39">
        <w:rPr>
          <w:rFonts w:cs="Arial"/>
          <w:lang w:val="pt-BR"/>
        </w:rPr>
        <w:t>Em (8), F</w:t>
      </w:r>
      <w:r w:rsidRPr="00493E39">
        <w:rPr>
          <w:rFonts w:cs="Arial"/>
        </w:rPr>
        <w:t>ⱼ</w:t>
      </w:r>
      <w:r w:rsidRPr="00493E39">
        <w:rPr>
          <w:rFonts w:cs="Arial"/>
          <w:lang w:val="pt-BR"/>
        </w:rPr>
        <w:t>(</w:t>
      </w:r>
      <w:proofErr w:type="spellStart"/>
      <w:proofErr w:type="gramStart"/>
      <w:r w:rsidRPr="00493E39">
        <w:rPr>
          <w:rFonts w:cs="Arial"/>
          <w:lang w:val="pt-BR"/>
        </w:rPr>
        <w:t>t,h</w:t>
      </w:r>
      <w:proofErr w:type="spellEnd"/>
      <w:proofErr w:type="gramEnd"/>
      <w:r w:rsidRPr="00493E39">
        <w:rPr>
          <w:rFonts w:cs="Arial"/>
          <w:lang w:val="pt-BR"/>
        </w:rPr>
        <w:t>) é a variação acumulada do preço do combustível j na mesma janela do desfecho e b</w:t>
      </w:r>
      <w:r w:rsidRPr="00493E39">
        <w:rPr>
          <w:rFonts w:cs="Arial"/>
        </w:rPr>
        <w:t>ⱼ</w:t>
      </w:r>
      <w:r w:rsidRPr="00493E39">
        <w:rPr>
          <w:rFonts w:cs="Arial"/>
          <w:lang w:val="pt-BR"/>
        </w:rPr>
        <w:t>(h) é a resposta desse preço ao choque. A segunda igualdade é o teorema de Frisch-Waugh-</w:t>
      </w:r>
      <w:proofErr w:type="spellStart"/>
      <w:r w:rsidRPr="00493E39">
        <w:rPr>
          <w:rFonts w:cs="Arial"/>
          <w:lang w:val="pt-BR"/>
        </w:rPr>
        <w:t>Lovell</w:t>
      </w:r>
      <w:proofErr w:type="spellEnd"/>
      <w:r w:rsidRPr="00493E39">
        <w:rPr>
          <w:rFonts w:cs="Arial"/>
          <w:lang w:val="pt-BR"/>
        </w:rPr>
        <w:t>: o canal pode ser lido como a diferença entre os dois coeficientes do choque ou como a soma dos produtos entre a resposta de cada combustível e o coeficiente desse combustível na equação condicionada. As duas leituras são reportadas e a rotina verifica que coincidem. Apenas os níveis contemporâneos dos combustíveis são omitidos de (7), pois são pós-tratamento e fechariam o canal que se quer medir.</w:t>
      </w:r>
    </w:p>
    <w:p w14:paraId="14EFE317" w14:textId="77777777" w:rsidR="00D64459" w:rsidRPr="00493E39" w:rsidRDefault="008B2120">
      <w:pPr>
        <w:ind w:firstLine="709"/>
        <w:jc w:val="both"/>
        <w:rPr>
          <w:rFonts w:cs="Arial"/>
          <w:lang w:val="pt-BR"/>
        </w:rPr>
      </w:pPr>
      <w:r w:rsidRPr="00493E39">
        <w:rPr>
          <w:rFonts w:cs="Arial"/>
          <w:lang w:val="pt-BR"/>
        </w:rPr>
        <w:t xml:space="preserve">Essa decomposição não separa, por si só, o efeito aritmético do econômico. Como gasolina, diesel e etanol integram a cesta, parte do canal medido resulta da composição do índice. A primeira volta é exclusivamente a contribuição de composição da cesta; o encarecimento de frete, transporte e insumos é segunda volta, por atingir preços que não são combustível. A contribuição aritmética é calculável como a soma dos pesos multiplicados pelas respostas estimadas, e subtraí-la do índice permite estimar diretamente a segunda volta, com erro-padrão vindo da própria regressão. </w:t>
      </w:r>
      <w:r w:rsidRPr="00493E39">
        <w:rPr>
          <w:rFonts w:cs="Arial"/>
          <w:lang w:val="pt-BR"/>
        </w:rPr>
        <w:lastRenderedPageBreak/>
        <w:t>Como os pesos variam, o exercício é conduzido em três cenários, reportados no Apêndice J.</w:t>
      </w:r>
    </w:p>
    <w:p w14:paraId="51E7B93A" w14:textId="77777777"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t xml:space="preserve">primeira volta:  </w:t>
      </w:r>
      <w:r w:rsidRPr="00493E39">
        <w:rPr>
          <w:rFonts w:cs="Arial"/>
          <w:sz w:val="22"/>
        </w:rPr>
        <w:t>β</w:t>
      </w:r>
      <w:r w:rsidRPr="00493E39">
        <w:rPr>
          <w:rFonts w:ascii="Cambria Math" w:hAnsi="Cambria Math" w:cs="Cambria Math"/>
          <w:sz w:val="22"/>
          <w:lang w:val="pt-BR"/>
        </w:rPr>
        <w:t>₁</w:t>
      </w:r>
      <w:r w:rsidRPr="00493E39">
        <w:rPr>
          <w:rFonts w:cs="Arial"/>
          <w:sz w:val="22"/>
          <w:lang w:val="pt-BR"/>
        </w:rPr>
        <w:t xml:space="preserve">ª(h) = </w:t>
      </w:r>
      <w:r w:rsidRPr="00493E39">
        <w:rPr>
          <w:rFonts w:cs="Arial"/>
          <w:sz w:val="22"/>
        </w:rPr>
        <w:t>Σ</w:t>
      </w:r>
      <w:r w:rsidRPr="00493E39">
        <w:rPr>
          <w:rFonts w:cs="Arial"/>
          <w:sz w:val="22"/>
          <w:lang w:val="pt-BR"/>
        </w:rPr>
        <w:t>(j) w</w:t>
      </w:r>
      <w:r w:rsidRPr="00493E39">
        <w:rPr>
          <w:rFonts w:cs="Arial"/>
          <w:sz w:val="22"/>
        </w:rPr>
        <w:t>ⱼ</w:t>
      </w:r>
      <w:r w:rsidRPr="00493E39">
        <w:rPr>
          <w:rFonts w:cs="Arial"/>
          <w:sz w:val="22"/>
          <w:lang w:val="pt-BR"/>
        </w:rPr>
        <w:t xml:space="preserve"> · b</w:t>
      </w:r>
      <w:r w:rsidRPr="00493E39">
        <w:rPr>
          <w:rFonts w:cs="Arial"/>
          <w:sz w:val="22"/>
        </w:rPr>
        <w:t>ⱼ</w:t>
      </w:r>
      <w:r w:rsidRPr="00493E39">
        <w:rPr>
          <w:rFonts w:cs="Arial"/>
          <w:sz w:val="22"/>
          <w:lang w:val="pt-BR"/>
        </w:rPr>
        <w:t>(h)</w:t>
      </w:r>
      <w:r w:rsidRPr="00493E39">
        <w:rPr>
          <w:rFonts w:cs="Arial"/>
          <w:sz w:val="22"/>
          <w:lang w:val="pt-BR"/>
        </w:rPr>
        <w:tab/>
        <w:t>(10)</w:t>
      </w:r>
      <w:r w:rsidRPr="00493E39">
        <w:rPr>
          <w:rFonts w:cs="Arial"/>
          <w:sz w:val="22"/>
          <w:lang w:val="pt-BR"/>
        </w:rPr>
        <w:br/>
      </w:r>
      <w:r w:rsidRPr="00493E39">
        <w:rPr>
          <w:rFonts w:cs="Arial"/>
          <w:sz w:val="22"/>
          <w:lang w:val="pt-BR"/>
        </w:rPr>
        <w:tab/>
        <w:t xml:space="preserve">segunda volta:   </w:t>
      </w:r>
      <w:r w:rsidRPr="00493E39">
        <w:rPr>
          <w:rFonts w:cs="Arial"/>
          <w:sz w:val="22"/>
        </w:rPr>
        <w:t>β</w:t>
      </w:r>
      <w:r w:rsidRPr="00493E39">
        <w:rPr>
          <w:rFonts w:ascii="Cambria Math" w:hAnsi="Cambria Math" w:cs="Cambria Math"/>
          <w:sz w:val="22"/>
          <w:lang w:val="pt-BR"/>
        </w:rPr>
        <w:t>₂</w:t>
      </w:r>
      <w:r w:rsidRPr="00493E39">
        <w:rPr>
          <w:rFonts w:cs="Arial"/>
          <w:sz w:val="22"/>
          <w:lang w:val="pt-BR"/>
        </w:rPr>
        <w:t xml:space="preserve">ª(h) = </w:t>
      </w:r>
      <w:r w:rsidRPr="00493E39">
        <w:rPr>
          <w:rFonts w:cs="Arial"/>
          <w:sz w:val="22"/>
        </w:rPr>
        <w:t>β</w:t>
      </w:r>
      <w:r w:rsidRPr="00493E39">
        <w:rPr>
          <w:rFonts w:cs="Arial"/>
          <w:sz w:val="22"/>
          <w:lang w:val="pt-BR"/>
        </w:rPr>
        <w:t xml:space="preserve">(h) − </w:t>
      </w:r>
      <w:r w:rsidRPr="00493E39">
        <w:rPr>
          <w:rFonts w:cs="Arial"/>
          <w:sz w:val="22"/>
        </w:rPr>
        <w:t>Σ</w:t>
      </w:r>
      <w:r w:rsidRPr="00493E39">
        <w:rPr>
          <w:rFonts w:cs="Arial"/>
          <w:sz w:val="22"/>
          <w:lang w:val="pt-BR"/>
        </w:rPr>
        <w:t>(j) w</w:t>
      </w:r>
      <w:r w:rsidRPr="00493E39">
        <w:rPr>
          <w:rFonts w:cs="Arial"/>
          <w:sz w:val="22"/>
        </w:rPr>
        <w:t>ⱼ</w:t>
      </w:r>
      <w:r w:rsidRPr="00493E39">
        <w:rPr>
          <w:rFonts w:cs="Arial"/>
          <w:sz w:val="22"/>
          <w:lang w:val="pt-BR"/>
        </w:rPr>
        <w:t xml:space="preserve"> · b</w:t>
      </w:r>
      <w:r w:rsidRPr="00493E39">
        <w:rPr>
          <w:rFonts w:cs="Arial"/>
          <w:sz w:val="22"/>
        </w:rPr>
        <w:t>ⱼ</w:t>
      </w:r>
      <w:r w:rsidRPr="00493E39">
        <w:rPr>
          <w:rFonts w:cs="Arial"/>
          <w:sz w:val="22"/>
          <w:lang w:val="pt-BR"/>
        </w:rPr>
        <w:t>(h)</w:t>
      </w:r>
      <w:r w:rsidRPr="00493E39">
        <w:rPr>
          <w:rFonts w:cs="Arial"/>
          <w:sz w:val="22"/>
          <w:lang w:val="pt-BR"/>
        </w:rPr>
        <w:tab/>
        <w:t>(11)</w:t>
      </w:r>
      <w:r w:rsidRPr="00493E39">
        <w:rPr>
          <w:rFonts w:cs="Arial"/>
          <w:sz w:val="22"/>
          <w:lang w:val="pt-BR"/>
        </w:rPr>
        <w:br/>
      </w:r>
      <w:r w:rsidRPr="00493E39">
        <w:rPr>
          <w:rFonts w:cs="Arial"/>
          <w:sz w:val="22"/>
          <w:lang w:val="pt-BR"/>
        </w:rPr>
        <w:tab/>
        <w:t xml:space="preserve">equivalentemente:  </w:t>
      </w:r>
      <w:r w:rsidRPr="00493E39">
        <w:rPr>
          <w:rFonts w:cs="Arial"/>
          <w:sz w:val="22"/>
        </w:rPr>
        <w:t>Δ</w:t>
      </w:r>
      <w:proofErr w:type="spellStart"/>
      <w:r w:rsidRPr="00493E39">
        <w:rPr>
          <w:rFonts w:cs="Arial"/>
          <w:sz w:val="22"/>
          <w:lang w:val="pt-BR"/>
        </w:rPr>
        <w:t>ln</w:t>
      </w:r>
      <w:proofErr w:type="spellEnd"/>
      <w:r w:rsidRPr="00493E39">
        <w:rPr>
          <w:rFonts w:cs="Arial"/>
          <w:sz w:val="22"/>
          <w:lang w:val="pt-BR"/>
        </w:rPr>
        <w:t xml:space="preserve"> </w:t>
      </w:r>
      <w:proofErr w:type="spellStart"/>
      <w:r w:rsidRPr="00493E39">
        <w:rPr>
          <w:rFonts w:cs="Arial"/>
          <w:sz w:val="22"/>
          <w:lang w:val="pt-BR"/>
        </w:rPr>
        <w:t>IPCA^ex</w:t>
      </w:r>
      <w:proofErr w:type="spellEnd"/>
      <w:r w:rsidRPr="00493E39">
        <w:rPr>
          <w:rFonts w:cs="Arial"/>
          <w:sz w:val="22"/>
          <w:lang w:val="pt-BR"/>
        </w:rPr>
        <w:t xml:space="preserve">(t) = </w:t>
      </w:r>
      <w:r w:rsidRPr="00493E39">
        <w:rPr>
          <w:rFonts w:cs="Arial"/>
          <w:sz w:val="22"/>
        </w:rPr>
        <w:t>Δ</w:t>
      </w:r>
      <w:proofErr w:type="spellStart"/>
      <w:r w:rsidRPr="00493E39">
        <w:rPr>
          <w:rFonts w:cs="Arial"/>
          <w:sz w:val="22"/>
          <w:lang w:val="pt-BR"/>
        </w:rPr>
        <w:t>ln</w:t>
      </w:r>
      <w:proofErr w:type="spellEnd"/>
      <w:r w:rsidRPr="00493E39">
        <w:rPr>
          <w:rFonts w:cs="Arial"/>
          <w:sz w:val="22"/>
          <w:lang w:val="pt-BR"/>
        </w:rPr>
        <w:t xml:space="preserve"> IPCA(t) − </w:t>
      </w:r>
      <w:r w:rsidRPr="00493E39">
        <w:rPr>
          <w:rFonts w:cs="Arial"/>
          <w:sz w:val="22"/>
        </w:rPr>
        <w:t>Σ</w:t>
      </w:r>
      <w:r w:rsidRPr="00493E39">
        <w:rPr>
          <w:rFonts w:cs="Arial"/>
          <w:sz w:val="22"/>
          <w:lang w:val="pt-BR"/>
        </w:rPr>
        <w:t>(j) w</w:t>
      </w:r>
      <w:r w:rsidRPr="00493E39">
        <w:rPr>
          <w:rFonts w:cs="Arial"/>
          <w:sz w:val="22"/>
        </w:rPr>
        <w:t>ⱼ</w:t>
      </w:r>
      <w:r w:rsidRPr="00493E39">
        <w:rPr>
          <w:rFonts w:cs="Arial"/>
          <w:sz w:val="22"/>
          <w:lang w:val="pt-BR"/>
        </w:rPr>
        <w:t xml:space="preserve"> · </w:t>
      </w:r>
      <w:r w:rsidRPr="00493E39">
        <w:rPr>
          <w:rFonts w:cs="Arial"/>
          <w:sz w:val="22"/>
        </w:rPr>
        <w:t>Δ</w:t>
      </w:r>
      <w:proofErr w:type="spellStart"/>
      <w:r w:rsidRPr="00493E39">
        <w:rPr>
          <w:rFonts w:cs="Arial"/>
          <w:sz w:val="22"/>
          <w:lang w:val="pt-BR"/>
        </w:rPr>
        <w:t>ln</w:t>
      </w:r>
      <w:proofErr w:type="spellEnd"/>
      <w:r w:rsidRPr="00493E39">
        <w:rPr>
          <w:rFonts w:cs="Arial"/>
          <w:sz w:val="22"/>
          <w:lang w:val="pt-BR"/>
        </w:rPr>
        <w:t xml:space="preserve"> P</w:t>
      </w:r>
      <w:r w:rsidRPr="00493E39">
        <w:rPr>
          <w:rFonts w:cs="Arial"/>
          <w:sz w:val="22"/>
        </w:rPr>
        <w:t>ⱼ</w:t>
      </w:r>
      <w:r w:rsidRPr="00493E39">
        <w:rPr>
          <w:rFonts w:cs="Arial"/>
          <w:sz w:val="22"/>
          <w:lang w:val="pt-BR"/>
        </w:rPr>
        <w:t>(t)</w:t>
      </w:r>
      <w:r w:rsidRPr="00493E39">
        <w:rPr>
          <w:rFonts w:cs="Arial"/>
          <w:sz w:val="22"/>
          <w:lang w:val="pt-BR"/>
        </w:rPr>
        <w:tab/>
        <w:t>(12)</w:t>
      </w:r>
    </w:p>
    <w:p w14:paraId="41B9D809" w14:textId="77777777" w:rsidR="00D64459" w:rsidRPr="00493E39" w:rsidRDefault="008B2120">
      <w:pPr>
        <w:ind w:firstLine="709"/>
        <w:jc w:val="both"/>
        <w:rPr>
          <w:rFonts w:cs="Arial"/>
          <w:lang w:val="pt-BR"/>
        </w:rPr>
      </w:pPr>
      <w:r w:rsidRPr="00493E39">
        <w:rPr>
          <w:rFonts w:cs="Arial"/>
          <w:lang w:val="pt-BR"/>
        </w:rPr>
        <w:t>O peso w</w:t>
      </w:r>
      <w:r w:rsidRPr="00493E39">
        <w:rPr>
          <w:rFonts w:cs="Arial"/>
        </w:rPr>
        <w:t>ⱼ</w:t>
      </w:r>
      <w:r w:rsidRPr="00493E39">
        <w:rPr>
          <w:rFonts w:cs="Arial"/>
          <w:lang w:val="pt-BR"/>
        </w:rPr>
        <w:t xml:space="preserve"> é o do subitem j na cesta e b</w:t>
      </w:r>
      <w:r w:rsidRPr="00493E39">
        <w:rPr>
          <w:rFonts w:cs="Arial"/>
        </w:rPr>
        <w:t>ⱼ</w:t>
      </w:r>
      <w:r w:rsidRPr="00493E39">
        <w:rPr>
          <w:rFonts w:cs="Arial"/>
          <w:lang w:val="pt-BR"/>
        </w:rPr>
        <w:t>(h) é a resposta já definida. A primeira linha é aritmética de índice e não contém comportamento algum; a segunda obtém o efeito de segunda volta por resíduo; a terceira mostra que o mesmo número pode ser obtido construindo um índice líquido da contribuição mecânica e estimando sobre ele a projeção de (7), o que produz erro-padrão vindo da regressão em vez de propagação. Os dois caminhos são conduzidos e comparados.</w:t>
      </w:r>
    </w:p>
    <w:p w14:paraId="11A1B5AD" w14:textId="77777777" w:rsidR="00D64459" w:rsidRPr="00493E39" w:rsidRDefault="008B2120">
      <w:pPr>
        <w:ind w:firstLine="709"/>
        <w:jc w:val="both"/>
        <w:rPr>
          <w:rFonts w:cs="Arial"/>
          <w:lang w:val="pt-BR"/>
        </w:rPr>
      </w:pPr>
      <w:r w:rsidRPr="00493E39">
        <w:rPr>
          <w:rFonts w:cs="Arial"/>
          <w:lang w:val="pt-BR"/>
        </w:rPr>
        <w:t>Um segundo caminho, independente do primeiro, usa como variável dependente os subgrupos de comercializáveis e não comercializáveis, que excluem combustíveis por construção. Qualquer resposta ali estimada é necessariamente de segunda ordem, sem que seja preciso subtrair coisa alguma. A convergência entre os dois caminhos, que não compartilham elemento metodológico, é o critério de validação adotado.</w:t>
      </w:r>
    </w:p>
    <w:p w14:paraId="03C3709D" w14:textId="77777777" w:rsidR="00D64459" w:rsidRPr="00493E39" w:rsidRDefault="008B2120">
      <w:pPr>
        <w:ind w:firstLine="709"/>
        <w:jc w:val="both"/>
        <w:rPr>
          <w:rFonts w:cs="Arial"/>
          <w:lang w:val="pt-BR"/>
        </w:rPr>
      </w:pPr>
      <w:r w:rsidRPr="00493E39">
        <w:rPr>
          <w:rFonts w:cs="Arial"/>
          <w:lang w:val="pt-BR"/>
        </w:rPr>
        <w:t>Registre-se a limitação de identificação. A etapa que condiciona no preço do combustível não é causalmente identificada, pois não se dispõe de instrumento específico para esse preço. A leitura defensável é contábil, isto é, quanto da resposta estimada desaparece ao condicionar no mediador, e não uma afirmação causal sobre o mediador.</w:t>
      </w:r>
    </w:p>
    <w:p w14:paraId="7BC3E470" w14:textId="77777777" w:rsidR="00D64459" w:rsidRPr="00493E39" w:rsidRDefault="008B2120">
      <w:pPr>
        <w:pStyle w:val="Heading2"/>
        <w:spacing w:before="280" w:after="160"/>
        <w:rPr>
          <w:rFonts w:ascii="Arial" w:hAnsi="Arial" w:cs="Arial"/>
          <w:lang w:val="pt-BR"/>
        </w:rPr>
      </w:pPr>
      <w:bookmarkStart w:id="16" w:name="_Toc239713565"/>
      <w:r w:rsidRPr="00493E39">
        <w:rPr>
          <w:rFonts w:ascii="Arial" w:hAnsi="Arial" w:cs="Arial"/>
          <w:sz w:val="24"/>
          <w:lang w:val="pt-BR"/>
        </w:rPr>
        <w:t>3.8 Verificações</w:t>
      </w:r>
      <w:bookmarkEnd w:id="16"/>
    </w:p>
    <w:p w14:paraId="251F9FBD" w14:textId="77777777" w:rsidR="00D64459" w:rsidRPr="00493E39" w:rsidRDefault="008B2120">
      <w:pPr>
        <w:ind w:firstLine="709"/>
        <w:jc w:val="both"/>
        <w:rPr>
          <w:rFonts w:cs="Arial"/>
          <w:lang w:val="pt-BR"/>
        </w:rPr>
      </w:pPr>
      <w:r w:rsidRPr="00493E39">
        <w:rPr>
          <w:rFonts w:cs="Arial"/>
          <w:lang w:val="pt-BR"/>
        </w:rPr>
        <w:t xml:space="preserve">Três exercícios de verificação acompanham as estimativas. O primeiro é um teste de placebo: se a identificação for válida, o choque de um mês não pode ajudar a prever a inflação dos meses anteriores, de modo que se estima a mesma equação tendo como dependente a inflação de um a três meses antes do choque, com os controles ajustados para que nenhum seja posterior à dependente. O segundo é a sensibilidade ao número de defasagens, entre uma e seis. O terceiro é a correção de </w:t>
      </w:r>
      <w:proofErr w:type="spellStart"/>
      <w:r w:rsidRPr="00493E39">
        <w:rPr>
          <w:rFonts w:cs="Arial"/>
          <w:lang w:val="pt-BR"/>
        </w:rPr>
        <w:t>Teulings</w:t>
      </w:r>
      <w:proofErr w:type="spellEnd"/>
      <w:r w:rsidRPr="00493E39">
        <w:rPr>
          <w:rFonts w:cs="Arial"/>
          <w:lang w:val="pt-BR"/>
        </w:rPr>
        <w:t xml:space="preserve"> e </w:t>
      </w:r>
      <w:proofErr w:type="spellStart"/>
      <w:r w:rsidRPr="00493E39">
        <w:rPr>
          <w:rFonts w:cs="Arial"/>
          <w:lang w:val="pt-BR"/>
        </w:rPr>
        <w:t>Zubanov</w:t>
      </w:r>
      <w:proofErr w:type="spellEnd"/>
      <w:r w:rsidRPr="00493E39">
        <w:rPr>
          <w:rFonts w:cs="Arial"/>
          <w:lang w:val="pt-BR"/>
        </w:rPr>
        <w:t xml:space="preserve"> (2014), que inclui como controles os choques ocorridos entre t e </w:t>
      </w:r>
      <w:proofErr w:type="spellStart"/>
      <w:r w:rsidRPr="00493E39">
        <w:rPr>
          <w:rFonts w:cs="Arial"/>
          <w:lang w:val="pt-BR"/>
        </w:rPr>
        <w:lastRenderedPageBreak/>
        <w:t>t+h</w:t>
      </w:r>
      <w:proofErr w:type="spellEnd"/>
      <w:r w:rsidRPr="00493E39">
        <w:rPr>
          <w:rFonts w:cs="Arial"/>
          <w:lang w:val="pt-BR"/>
        </w:rPr>
        <w:t>, cabível porque o choque apresenta autocorrelação de primeira ordem não desprezível.</w:t>
      </w:r>
    </w:p>
    <w:p w14:paraId="493FE3A9" w14:textId="77777777" w:rsidR="00D64459" w:rsidRPr="00493E39" w:rsidRDefault="008B2120">
      <w:pPr>
        <w:ind w:firstLine="709"/>
        <w:jc w:val="both"/>
        <w:rPr>
          <w:rFonts w:cs="Arial"/>
          <w:lang w:val="pt-BR"/>
        </w:rPr>
      </w:pPr>
      <w:r w:rsidRPr="00493E39">
        <w:rPr>
          <w:rFonts w:cs="Arial"/>
          <w:lang w:val="pt-BR"/>
        </w:rPr>
        <w:t xml:space="preserve">Todos os resultados são obtidos em Python 3.13, com </w:t>
      </w:r>
      <w:proofErr w:type="spellStart"/>
      <w:r w:rsidRPr="00493E39">
        <w:rPr>
          <w:rFonts w:cs="Arial"/>
          <w:lang w:val="pt-BR"/>
        </w:rPr>
        <w:t>NumPy</w:t>
      </w:r>
      <w:proofErr w:type="spellEnd"/>
      <w:r w:rsidRPr="00493E39">
        <w:rPr>
          <w:rFonts w:cs="Arial"/>
          <w:lang w:val="pt-BR"/>
        </w:rPr>
        <w:t xml:space="preserve">, pandas, </w:t>
      </w:r>
      <w:proofErr w:type="spellStart"/>
      <w:r w:rsidRPr="00493E39">
        <w:rPr>
          <w:rFonts w:cs="Arial"/>
          <w:lang w:val="pt-BR"/>
        </w:rPr>
        <w:t>statsmodels</w:t>
      </w:r>
      <w:proofErr w:type="spellEnd"/>
      <w:r w:rsidRPr="00493E39">
        <w:rPr>
          <w:rFonts w:cs="Arial"/>
          <w:lang w:val="pt-BR"/>
        </w:rPr>
        <w:t xml:space="preserve">, </w:t>
      </w:r>
      <w:proofErr w:type="spellStart"/>
      <w:r w:rsidRPr="00493E39">
        <w:rPr>
          <w:rFonts w:cs="Arial"/>
          <w:lang w:val="pt-BR"/>
        </w:rPr>
        <w:t>SciPy</w:t>
      </w:r>
      <w:proofErr w:type="spellEnd"/>
      <w:r w:rsidRPr="00493E39">
        <w:rPr>
          <w:rFonts w:cs="Arial"/>
          <w:lang w:val="pt-BR"/>
        </w:rPr>
        <w:t xml:space="preserve"> e </w:t>
      </w:r>
      <w:proofErr w:type="spellStart"/>
      <w:r w:rsidRPr="00493E39">
        <w:rPr>
          <w:rFonts w:cs="Arial"/>
          <w:lang w:val="pt-BR"/>
        </w:rPr>
        <w:t>Matplotlib</w:t>
      </w:r>
      <w:proofErr w:type="spellEnd"/>
      <w:r w:rsidRPr="00493E39">
        <w:rPr>
          <w:rFonts w:cs="Arial"/>
          <w:lang w:val="pt-BR"/>
        </w:rPr>
        <w:t xml:space="preserve">, e as rotinas incluem verificações internas de consistência, entre as quais a identidade entre a resposta acumulada e a soma das respostas mensais. Os procedimentos de reamostragem empregam semente fixa, declarada em cada rotina, de modo que valores críticos e p-valores por </w:t>
      </w:r>
      <w:proofErr w:type="spellStart"/>
      <w:r w:rsidRPr="00493E39">
        <w:rPr>
          <w:rFonts w:cs="Arial"/>
          <w:lang w:val="pt-BR"/>
        </w:rPr>
        <w:t>bootstrap</w:t>
      </w:r>
      <w:proofErr w:type="spellEnd"/>
      <w:r w:rsidRPr="00493E39">
        <w:rPr>
          <w:rFonts w:cs="Arial"/>
          <w:lang w:val="pt-BR"/>
        </w:rPr>
        <w:t xml:space="preserve"> são exatamente reproduzíveis. As séries são de acesso público e estão identificadas por código no Apêndice M. O código de estimação e a base montada estão disponíveis mediante solicitação ao autor.</w:t>
      </w:r>
    </w:p>
    <w:p w14:paraId="330DA79B" w14:textId="77777777" w:rsidR="00D64459" w:rsidRPr="00493E39" w:rsidRDefault="008B2120">
      <w:pPr>
        <w:pStyle w:val="Heading1"/>
        <w:spacing w:before="280" w:after="160"/>
        <w:rPr>
          <w:rFonts w:ascii="Arial" w:hAnsi="Arial" w:cs="Arial"/>
          <w:lang w:val="pt-BR"/>
        </w:rPr>
      </w:pPr>
      <w:bookmarkStart w:id="17" w:name="_Toc239713566"/>
      <w:r w:rsidRPr="00493E39">
        <w:rPr>
          <w:rFonts w:ascii="Arial" w:hAnsi="Arial" w:cs="Arial"/>
          <w:lang w:val="pt-BR"/>
        </w:rPr>
        <w:t>4 RESULTADOS</w:t>
      </w:r>
      <w:bookmarkEnd w:id="17"/>
    </w:p>
    <w:p w14:paraId="2DE3BDA7" w14:textId="77777777" w:rsidR="00D64459" w:rsidRPr="00493E39" w:rsidRDefault="008B2120">
      <w:pPr>
        <w:pStyle w:val="Heading2"/>
        <w:spacing w:before="280" w:after="160"/>
        <w:rPr>
          <w:rFonts w:ascii="Arial" w:hAnsi="Arial" w:cs="Arial"/>
          <w:lang w:val="pt-BR"/>
        </w:rPr>
      </w:pPr>
      <w:bookmarkStart w:id="18" w:name="_Toc239713567"/>
      <w:r w:rsidRPr="00493E39">
        <w:rPr>
          <w:rFonts w:ascii="Arial" w:hAnsi="Arial" w:cs="Arial"/>
          <w:sz w:val="24"/>
          <w:lang w:val="pt-BR"/>
        </w:rPr>
        <w:t>4.1 O que este capítulo estabelece</w:t>
      </w:r>
      <w:bookmarkEnd w:id="18"/>
    </w:p>
    <w:p w14:paraId="14EF6911" w14:textId="77777777" w:rsidR="00D64459" w:rsidRPr="00493E39" w:rsidRDefault="008B2120">
      <w:pPr>
        <w:ind w:firstLine="709"/>
        <w:jc w:val="both"/>
        <w:rPr>
          <w:rFonts w:cs="Arial"/>
          <w:lang w:val="pt-BR"/>
        </w:rPr>
      </w:pPr>
      <w:r w:rsidRPr="00493E39">
        <w:rPr>
          <w:rFonts w:cs="Arial"/>
          <w:lang w:val="pt-BR"/>
        </w:rPr>
        <w:t xml:space="preserve">Este capítulo responde a quatro perguntas: quanto do choque internacional chega à inflação brasileira, quando o efeito se materializa, por qual canal ele transita e desde quando a transmissão assumiu a forma atual. As estimativas seguem a especificação de referência do capítulo anterior, com erros-padrão de Newey-West, bandas uniformes </w:t>
      </w:r>
      <w:proofErr w:type="spellStart"/>
      <w:r w:rsidRPr="00493E39">
        <w:rPr>
          <w:rFonts w:cs="Arial"/>
          <w:lang w:val="pt-BR"/>
        </w:rPr>
        <w:t>sup</w:t>
      </w:r>
      <w:proofErr w:type="spellEnd"/>
      <w:r w:rsidRPr="00493E39">
        <w:rPr>
          <w:rFonts w:cs="Arial"/>
          <w:lang w:val="pt-BR"/>
        </w:rPr>
        <w:t>-t quando a função de resposta é avaliada como um todo, e coeficientes correspondentes a um choque de um desvio-padrão no Brent, equivalente a uma elevação de 10,7% no preço do barril.</w:t>
      </w:r>
    </w:p>
    <w:p w14:paraId="3F9E69E6" w14:textId="77777777" w:rsidR="00D64459" w:rsidRPr="00493E39" w:rsidRDefault="008B2120">
      <w:pPr>
        <w:pStyle w:val="Heading2"/>
        <w:spacing w:before="280" w:after="160"/>
        <w:rPr>
          <w:rFonts w:ascii="Arial" w:hAnsi="Arial" w:cs="Arial"/>
          <w:lang w:val="pt-BR"/>
        </w:rPr>
      </w:pPr>
      <w:bookmarkStart w:id="19" w:name="_Toc239713568"/>
      <w:r w:rsidRPr="00493E39">
        <w:rPr>
          <w:rFonts w:ascii="Arial" w:hAnsi="Arial" w:cs="Arial"/>
          <w:sz w:val="24"/>
          <w:lang w:val="pt-BR"/>
        </w:rPr>
        <w:t>4.2 Por que a resposta média não é o objeto de interesse</w:t>
      </w:r>
      <w:bookmarkEnd w:id="19"/>
    </w:p>
    <w:p w14:paraId="3B51634A" w14:textId="77777777" w:rsidR="00D64459" w:rsidRPr="00493E39" w:rsidRDefault="008B2120">
      <w:pPr>
        <w:ind w:firstLine="709"/>
        <w:jc w:val="both"/>
        <w:rPr>
          <w:rFonts w:cs="Arial"/>
          <w:lang w:val="pt-BR"/>
        </w:rPr>
      </w:pPr>
      <w:r w:rsidRPr="00493E39">
        <w:rPr>
          <w:rFonts w:cs="Arial"/>
          <w:lang w:val="pt-BR"/>
        </w:rPr>
        <w:t xml:space="preserve">Convém começar pelo contraste que organiza todo o capítulo, porque ele é o resultado e não o preâmbulo. Sobre os mesmos dados, o mesmo choque e </w:t>
      </w:r>
      <w:proofErr w:type="gramStart"/>
      <w:r w:rsidRPr="00493E39">
        <w:rPr>
          <w:rFonts w:cs="Arial"/>
          <w:lang w:val="pt-BR"/>
        </w:rPr>
        <w:t>a mesma</w:t>
      </w:r>
      <w:proofErr w:type="gramEnd"/>
      <w:r w:rsidRPr="00493E39">
        <w:rPr>
          <w:rFonts w:cs="Arial"/>
          <w:lang w:val="pt-BR"/>
        </w:rPr>
        <w:t xml:space="preserve"> </w:t>
      </w:r>
      <w:proofErr w:type="gramStart"/>
      <w:r w:rsidRPr="00493E39">
        <w:rPr>
          <w:rFonts w:cs="Arial"/>
          <w:lang w:val="pt-BR"/>
        </w:rPr>
        <w:t>amostra</w:t>
      </w:r>
      <w:proofErr w:type="gramEnd"/>
      <w:r w:rsidRPr="00493E39">
        <w:rPr>
          <w:rFonts w:cs="Arial"/>
          <w:lang w:val="pt-BR"/>
        </w:rPr>
        <w:t xml:space="preserve">, duas especificações dão respostas opostas. A convencional, que impõe um único coeficiente para todo o período, produz resposta acumulada do IPCA Geral de 0,057 ponto percentual no mês do choque e de 0,172 em três meses, e o teste conjunto de nulidade entre os horizontes zero e seis não rejeita a hipótese de ausência de efeito, com estatística de 12,84 e p-valor de 0,194. Pela via convencional, portanto, não se poderia afirmar que o petróleo afeta a inflação brasileira. A especificação por regime, </w:t>
      </w:r>
      <w:r w:rsidRPr="00493E39">
        <w:rPr>
          <w:rFonts w:cs="Arial"/>
          <w:lang w:val="pt-BR"/>
        </w:rPr>
        <w:lastRenderedPageBreak/>
        <w:t>sobre o mesmo material, rejeita a igualdade entre períodos nas seis séries examinadas, com p entre 0,000 e 0,031.</w:t>
      </w:r>
    </w:p>
    <w:p w14:paraId="3C5AD358" w14:textId="77777777" w:rsidR="00D64459" w:rsidRPr="00493E39" w:rsidRDefault="008B2120">
      <w:pPr>
        <w:ind w:firstLine="709"/>
        <w:jc w:val="both"/>
        <w:rPr>
          <w:rFonts w:cs="Arial"/>
          <w:lang w:val="pt-BR"/>
        </w:rPr>
      </w:pPr>
      <w:r w:rsidRPr="00493E39">
        <w:rPr>
          <w:rFonts w:cs="Arial"/>
          <w:lang w:val="pt-BR"/>
        </w:rPr>
        <w:t>Convém separar os critérios, porque respondem a perguntas diferentes e podem divergir. Os asteriscos vêm do teste pontual, que pergunta se o coeficiente daquele horizonte difere de zero. O teste conjunto pergunta se os sete horizontes de zero a seis são simultaneamente nulos, em uma única hipótese, e incorpora a correlação entre horizontes e a imprecisão dos mais longos. É possível que cada coeficiente seja individualmente distinguível de zero e que o vetor como um todo não rejeite.</w:t>
      </w:r>
    </w:p>
    <w:p w14:paraId="036A990F" w14:textId="77777777" w:rsidR="00D64459" w:rsidRPr="00493E39" w:rsidRDefault="008B2120">
      <w:pPr>
        <w:ind w:firstLine="709"/>
        <w:jc w:val="both"/>
        <w:rPr>
          <w:rFonts w:cs="Arial"/>
          <w:lang w:val="pt-BR"/>
        </w:rPr>
      </w:pPr>
      <w:r w:rsidRPr="00493E39">
        <w:rPr>
          <w:rFonts w:cs="Arial"/>
          <w:lang w:val="pt-BR"/>
        </w:rPr>
        <w:t xml:space="preserve">A diferença entre as duas não está na potência da amostra. Se fosse </w:t>
      </w:r>
      <w:proofErr w:type="gramStart"/>
      <w:r w:rsidRPr="00493E39">
        <w:rPr>
          <w:rFonts w:cs="Arial"/>
          <w:lang w:val="pt-BR"/>
        </w:rPr>
        <w:t>falta</w:t>
      </w:r>
      <w:proofErr w:type="gramEnd"/>
      <w:r w:rsidRPr="00493E39">
        <w:rPr>
          <w:rFonts w:cs="Arial"/>
          <w:lang w:val="pt-BR"/>
        </w:rPr>
        <w:t xml:space="preserve"> de potência, nenhuma das duas rejeitaria; o que ocorre é que a mesma amostra rejeita com folga assim que se permite ao coeficiente diferir entre regras de precificação. O resultado da via convencional é sintoma de agregação indevida: a média de amostra cheia combina um período em que os preços domésticos eram administrados com outro em que passaram a seguir a cotação internacional, e o número resultante não descreve nenhum dos dois. Este é o primeiro achado do trabalho, e não uma justificativa para a especificação adotada a seguir.</w:t>
      </w:r>
    </w:p>
    <w:p w14:paraId="2B7E8FDE" w14:textId="77777777" w:rsidR="00D64459" w:rsidRPr="00493E39" w:rsidRDefault="008B2120">
      <w:pPr>
        <w:ind w:firstLine="709"/>
        <w:jc w:val="both"/>
        <w:rPr>
          <w:rFonts w:cs="Arial"/>
          <w:lang w:val="pt-BR"/>
        </w:rPr>
      </w:pPr>
      <w:r w:rsidRPr="00493E39">
        <w:rPr>
          <w:rFonts w:cs="Arial"/>
          <w:lang w:val="pt-BR"/>
        </w:rPr>
        <w:t>A comparação internacional reforça a leitura. Choi et al. (2018) estimam que uma alta de 10% no petróleo eleva a inflação em cerca de 0,4 ponto percentual no ano do choque; o análogo desta amostra, reescalado, é de 0,100. A amostra daqueles autores começa em 1970 e atravessa décadas de expectativas desancoradas, ao passo que a janela aqui é o Brasil sob metas: a magnitude menor é a previsão da literatura, não uma anomalia.</w:t>
      </w:r>
    </w:p>
    <w:p w14:paraId="31621310" w14:textId="77777777" w:rsidR="00D64459" w:rsidRPr="00493E39" w:rsidRDefault="008B2120">
      <w:pPr>
        <w:pStyle w:val="Heading2"/>
        <w:spacing w:before="280" w:after="160"/>
        <w:rPr>
          <w:rFonts w:ascii="Arial" w:hAnsi="Arial" w:cs="Arial"/>
          <w:lang w:val="pt-BR"/>
        </w:rPr>
      </w:pPr>
      <w:bookmarkStart w:id="20" w:name="_Toc239713569"/>
      <w:r w:rsidRPr="00493E39">
        <w:rPr>
          <w:rFonts w:ascii="Arial" w:hAnsi="Arial" w:cs="Arial"/>
          <w:sz w:val="24"/>
          <w:lang w:val="pt-BR"/>
        </w:rPr>
        <w:t>4.3 O repasse antes e depois da paridade de importação</w:t>
      </w:r>
      <w:bookmarkEnd w:id="20"/>
    </w:p>
    <w:p w14:paraId="1A82175E" w14:textId="77777777" w:rsidR="00D64459" w:rsidRPr="00493E39" w:rsidRDefault="008B2120">
      <w:pPr>
        <w:ind w:firstLine="709"/>
        <w:jc w:val="both"/>
        <w:rPr>
          <w:rFonts w:cs="Arial"/>
          <w:lang w:val="pt-BR"/>
        </w:rPr>
      </w:pPr>
      <w:r w:rsidRPr="00493E39">
        <w:rPr>
          <w:rFonts w:cs="Arial"/>
          <w:lang w:val="pt-BR"/>
        </w:rPr>
        <w:t>A Tabela 2 apresenta o resultado central. Permite-se que o coeficiente do choque difira entre os períodos anterior e posterior a março de 2017, mantendo-se comum toda a demais dinâmica.</w:t>
      </w:r>
    </w:p>
    <w:p w14:paraId="0BC740BA" w14:textId="77777777" w:rsidR="00D64459" w:rsidRPr="00493E39" w:rsidRDefault="008B2120">
      <w:pPr>
        <w:keepNext/>
        <w:spacing w:before="200" w:after="40" w:line="240" w:lineRule="auto"/>
        <w:rPr>
          <w:rFonts w:cs="Arial"/>
          <w:lang w:val="pt-BR"/>
        </w:rPr>
      </w:pPr>
      <w:r w:rsidRPr="00493E39">
        <w:rPr>
          <w:rFonts w:cs="Arial"/>
          <w:sz w:val="20"/>
          <w:lang w:val="pt-BR"/>
        </w:rPr>
        <w:t>Tabela 2 – Repasse do choque do petróleo antes e depois de março de 2017</w:t>
      </w:r>
    </w:p>
    <w:tbl>
      <w:tblPr>
        <w:tblW w:w="0" w:type="auto"/>
        <w:jc w:val="center"/>
        <w:tblLook w:val="04A0" w:firstRow="1" w:lastRow="0" w:firstColumn="1" w:lastColumn="0" w:noHBand="0" w:noVBand="1"/>
      </w:tblPr>
      <w:tblGrid>
        <w:gridCol w:w="2268"/>
        <w:gridCol w:w="454"/>
        <w:gridCol w:w="1191"/>
        <w:gridCol w:w="907"/>
        <w:gridCol w:w="1191"/>
        <w:gridCol w:w="907"/>
        <w:gridCol w:w="1133"/>
      </w:tblGrid>
      <w:tr w:rsidR="00D64459" w:rsidRPr="00493E39" w14:paraId="172AD521" w14:textId="77777777">
        <w:trPr>
          <w:cantSplit/>
          <w:tblHeader/>
          <w:jc w:val="center"/>
        </w:trPr>
        <w:tc>
          <w:tcPr>
            <w:tcW w:w="2268" w:type="dxa"/>
            <w:tcBorders>
              <w:top w:val="single" w:sz="12" w:space="0" w:color="000000"/>
              <w:left w:val="nil"/>
              <w:bottom w:val="single" w:sz="6" w:space="0" w:color="000000"/>
              <w:right w:val="nil"/>
            </w:tcBorders>
          </w:tcPr>
          <w:p w14:paraId="760ACF4C" w14:textId="77777777" w:rsidR="00D64459" w:rsidRPr="00493E39" w:rsidRDefault="008B2120">
            <w:pPr>
              <w:spacing w:after="20" w:line="240" w:lineRule="auto"/>
              <w:rPr>
                <w:rFonts w:cs="Arial"/>
              </w:rPr>
            </w:pPr>
            <w:proofErr w:type="spellStart"/>
            <w:r w:rsidRPr="00493E39">
              <w:rPr>
                <w:rFonts w:cs="Arial"/>
                <w:b/>
                <w:sz w:val="18"/>
              </w:rPr>
              <w:t>Variável</w:t>
            </w:r>
            <w:proofErr w:type="spellEnd"/>
          </w:p>
        </w:tc>
        <w:tc>
          <w:tcPr>
            <w:tcW w:w="454" w:type="dxa"/>
            <w:tcBorders>
              <w:top w:val="single" w:sz="12" w:space="0" w:color="000000"/>
              <w:left w:val="nil"/>
              <w:bottom w:val="single" w:sz="6" w:space="0" w:color="000000"/>
              <w:right w:val="nil"/>
            </w:tcBorders>
          </w:tcPr>
          <w:p w14:paraId="17BF8B80" w14:textId="77777777" w:rsidR="00D64459" w:rsidRPr="00493E39" w:rsidRDefault="008B2120">
            <w:pPr>
              <w:spacing w:after="20" w:line="240" w:lineRule="auto"/>
              <w:jc w:val="center"/>
              <w:rPr>
                <w:rFonts w:cs="Arial"/>
              </w:rPr>
            </w:pPr>
            <w:r w:rsidRPr="00493E39">
              <w:rPr>
                <w:rFonts w:cs="Arial"/>
                <w:b/>
                <w:sz w:val="18"/>
              </w:rPr>
              <w:t>h</w:t>
            </w:r>
          </w:p>
        </w:tc>
        <w:tc>
          <w:tcPr>
            <w:tcW w:w="1191" w:type="dxa"/>
            <w:tcBorders>
              <w:top w:val="single" w:sz="12" w:space="0" w:color="000000"/>
              <w:left w:val="nil"/>
              <w:bottom w:val="single" w:sz="6" w:space="0" w:color="000000"/>
              <w:right w:val="nil"/>
            </w:tcBorders>
          </w:tcPr>
          <w:p w14:paraId="2A576EC4" w14:textId="77777777" w:rsidR="00D64459" w:rsidRPr="00493E39" w:rsidRDefault="008B2120">
            <w:pPr>
              <w:spacing w:after="20" w:line="240" w:lineRule="auto"/>
              <w:jc w:val="center"/>
              <w:rPr>
                <w:rFonts w:cs="Arial"/>
              </w:rPr>
            </w:pPr>
            <w:r w:rsidRPr="00493E39">
              <w:rPr>
                <w:rFonts w:cs="Arial"/>
                <w:b/>
                <w:sz w:val="18"/>
              </w:rPr>
              <w:t>Regime anterior</w:t>
            </w:r>
          </w:p>
        </w:tc>
        <w:tc>
          <w:tcPr>
            <w:tcW w:w="907" w:type="dxa"/>
            <w:tcBorders>
              <w:top w:val="single" w:sz="12" w:space="0" w:color="000000"/>
              <w:left w:val="nil"/>
              <w:bottom w:val="single" w:sz="6" w:space="0" w:color="000000"/>
              <w:right w:val="nil"/>
            </w:tcBorders>
          </w:tcPr>
          <w:p w14:paraId="774110B1" w14:textId="77777777" w:rsidR="00D64459" w:rsidRPr="00493E39" w:rsidRDefault="008B2120">
            <w:pPr>
              <w:spacing w:after="20" w:line="240" w:lineRule="auto"/>
              <w:jc w:val="center"/>
              <w:rPr>
                <w:rFonts w:cs="Arial"/>
              </w:rPr>
            </w:pPr>
            <w:r w:rsidRPr="00493E39">
              <w:rPr>
                <w:rFonts w:cs="Arial"/>
                <w:b/>
                <w:sz w:val="18"/>
              </w:rPr>
              <w:t>(EP)</w:t>
            </w:r>
          </w:p>
        </w:tc>
        <w:tc>
          <w:tcPr>
            <w:tcW w:w="1191" w:type="dxa"/>
            <w:tcBorders>
              <w:top w:val="single" w:sz="12" w:space="0" w:color="000000"/>
              <w:left w:val="nil"/>
              <w:bottom w:val="single" w:sz="6" w:space="0" w:color="000000"/>
              <w:right w:val="nil"/>
            </w:tcBorders>
          </w:tcPr>
          <w:p w14:paraId="162A5F0C" w14:textId="77777777" w:rsidR="00D64459" w:rsidRPr="00493E39" w:rsidRDefault="008B2120">
            <w:pPr>
              <w:spacing w:after="20" w:line="240" w:lineRule="auto"/>
              <w:jc w:val="center"/>
              <w:rPr>
                <w:rFonts w:cs="Arial"/>
              </w:rPr>
            </w:pPr>
            <w:r w:rsidRPr="00493E39">
              <w:rPr>
                <w:rFonts w:cs="Arial"/>
                <w:b/>
                <w:sz w:val="18"/>
              </w:rPr>
              <w:t>Regime posterior</w:t>
            </w:r>
          </w:p>
        </w:tc>
        <w:tc>
          <w:tcPr>
            <w:tcW w:w="907" w:type="dxa"/>
            <w:tcBorders>
              <w:top w:val="single" w:sz="12" w:space="0" w:color="000000"/>
              <w:left w:val="nil"/>
              <w:bottom w:val="single" w:sz="6" w:space="0" w:color="000000"/>
              <w:right w:val="nil"/>
            </w:tcBorders>
          </w:tcPr>
          <w:p w14:paraId="728D15DD" w14:textId="77777777" w:rsidR="00D64459" w:rsidRPr="00493E39" w:rsidRDefault="008B2120">
            <w:pPr>
              <w:spacing w:after="20" w:line="240" w:lineRule="auto"/>
              <w:jc w:val="center"/>
              <w:rPr>
                <w:rFonts w:cs="Arial"/>
              </w:rPr>
            </w:pPr>
            <w:r w:rsidRPr="00493E39">
              <w:rPr>
                <w:rFonts w:cs="Arial"/>
                <w:b/>
                <w:sz w:val="18"/>
              </w:rPr>
              <w:t>(EP)</w:t>
            </w:r>
          </w:p>
        </w:tc>
        <w:tc>
          <w:tcPr>
            <w:tcW w:w="1133" w:type="dxa"/>
            <w:tcBorders>
              <w:top w:val="single" w:sz="12" w:space="0" w:color="000000"/>
              <w:left w:val="nil"/>
              <w:bottom w:val="single" w:sz="6" w:space="0" w:color="000000"/>
              <w:right w:val="nil"/>
            </w:tcBorders>
          </w:tcPr>
          <w:p w14:paraId="298CBC91" w14:textId="77777777" w:rsidR="00D64459" w:rsidRPr="00493E39" w:rsidRDefault="008B2120">
            <w:pPr>
              <w:spacing w:after="20" w:line="240" w:lineRule="auto"/>
              <w:jc w:val="center"/>
              <w:rPr>
                <w:rFonts w:cs="Arial"/>
              </w:rPr>
            </w:pPr>
            <w:r w:rsidRPr="00493E39">
              <w:rPr>
                <w:rFonts w:cs="Arial"/>
                <w:b/>
                <w:sz w:val="18"/>
              </w:rPr>
              <w:t>Wald (p)</w:t>
            </w:r>
          </w:p>
        </w:tc>
      </w:tr>
      <w:tr w:rsidR="00D64459" w:rsidRPr="00493E39" w14:paraId="402FC60A" w14:textId="77777777">
        <w:trPr>
          <w:cantSplit/>
          <w:jc w:val="center"/>
        </w:trPr>
        <w:tc>
          <w:tcPr>
            <w:tcW w:w="2268" w:type="dxa"/>
            <w:tcBorders>
              <w:top w:val="nil"/>
              <w:left w:val="nil"/>
              <w:bottom w:val="nil"/>
              <w:right w:val="nil"/>
            </w:tcBorders>
          </w:tcPr>
          <w:p w14:paraId="613F0D48" w14:textId="77777777" w:rsidR="00D64459" w:rsidRPr="00493E39" w:rsidRDefault="008B2120">
            <w:pPr>
              <w:spacing w:line="240" w:lineRule="auto"/>
              <w:rPr>
                <w:rFonts w:cs="Arial"/>
              </w:rPr>
            </w:pPr>
            <w:r w:rsidRPr="00493E39">
              <w:rPr>
                <w:rFonts w:cs="Arial"/>
                <w:sz w:val="18"/>
              </w:rPr>
              <w:t>IPCA Geral</w:t>
            </w:r>
          </w:p>
        </w:tc>
        <w:tc>
          <w:tcPr>
            <w:tcW w:w="454" w:type="dxa"/>
            <w:tcBorders>
              <w:top w:val="nil"/>
              <w:left w:val="nil"/>
              <w:bottom w:val="nil"/>
              <w:right w:val="nil"/>
            </w:tcBorders>
          </w:tcPr>
          <w:p w14:paraId="4AED6922" w14:textId="77777777" w:rsidR="00D64459" w:rsidRPr="00493E39" w:rsidRDefault="008B2120">
            <w:pPr>
              <w:spacing w:line="240" w:lineRule="auto"/>
              <w:jc w:val="center"/>
              <w:rPr>
                <w:rFonts w:cs="Arial"/>
              </w:rPr>
            </w:pPr>
            <w:r w:rsidRPr="00493E39">
              <w:rPr>
                <w:rFonts w:cs="Arial"/>
                <w:sz w:val="18"/>
              </w:rPr>
              <w:t>0</w:t>
            </w:r>
          </w:p>
        </w:tc>
        <w:tc>
          <w:tcPr>
            <w:tcW w:w="1191" w:type="dxa"/>
            <w:tcBorders>
              <w:top w:val="nil"/>
              <w:left w:val="nil"/>
              <w:bottom w:val="nil"/>
              <w:right w:val="nil"/>
            </w:tcBorders>
          </w:tcPr>
          <w:p w14:paraId="10E71F5C" w14:textId="77777777" w:rsidR="00D64459" w:rsidRPr="00493E39" w:rsidRDefault="008B2120">
            <w:pPr>
              <w:spacing w:line="240" w:lineRule="auto"/>
              <w:jc w:val="center"/>
              <w:rPr>
                <w:rFonts w:cs="Arial"/>
              </w:rPr>
            </w:pPr>
            <w:r w:rsidRPr="00493E39">
              <w:rPr>
                <w:rFonts w:cs="Arial"/>
                <w:sz w:val="18"/>
              </w:rPr>
              <w:t>0,005</w:t>
            </w:r>
          </w:p>
        </w:tc>
        <w:tc>
          <w:tcPr>
            <w:tcW w:w="907" w:type="dxa"/>
            <w:tcBorders>
              <w:top w:val="nil"/>
              <w:left w:val="nil"/>
              <w:bottom w:val="nil"/>
              <w:right w:val="nil"/>
            </w:tcBorders>
          </w:tcPr>
          <w:p w14:paraId="0DAAD661" w14:textId="77777777" w:rsidR="00D64459" w:rsidRPr="00493E39" w:rsidRDefault="008B2120">
            <w:pPr>
              <w:spacing w:line="240" w:lineRule="auto"/>
              <w:jc w:val="center"/>
              <w:rPr>
                <w:rFonts w:cs="Arial"/>
              </w:rPr>
            </w:pPr>
            <w:r w:rsidRPr="00493E39">
              <w:rPr>
                <w:rFonts w:cs="Arial"/>
                <w:sz w:val="18"/>
              </w:rPr>
              <w:t>(0,024)</w:t>
            </w:r>
          </w:p>
        </w:tc>
        <w:tc>
          <w:tcPr>
            <w:tcW w:w="1191" w:type="dxa"/>
            <w:tcBorders>
              <w:top w:val="nil"/>
              <w:left w:val="nil"/>
              <w:bottom w:val="nil"/>
              <w:right w:val="nil"/>
            </w:tcBorders>
          </w:tcPr>
          <w:p w14:paraId="6DEF056D" w14:textId="77777777" w:rsidR="00D64459" w:rsidRPr="00493E39" w:rsidRDefault="008B2120">
            <w:pPr>
              <w:spacing w:line="240" w:lineRule="auto"/>
              <w:jc w:val="center"/>
              <w:rPr>
                <w:rFonts w:cs="Arial"/>
              </w:rPr>
            </w:pPr>
            <w:r w:rsidRPr="00493E39">
              <w:rPr>
                <w:rFonts w:cs="Arial"/>
                <w:sz w:val="18"/>
              </w:rPr>
              <w:t>0,176***</w:t>
            </w:r>
          </w:p>
        </w:tc>
        <w:tc>
          <w:tcPr>
            <w:tcW w:w="907" w:type="dxa"/>
            <w:tcBorders>
              <w:top w:val="nil"/>
              <w:left w:val="nil"/>
              <w:bottom w:val="nil"/>
              <w:right w:val="nil"/>
            </w:tcBorders>
          </w:tcPr>
          <w:p w14:paraId="05B01DAA" w14:textId="77777777" w:rsidR="00D64459" w:rsidRPr="00493E39" w:rsidRDefault="008B2120">
            <w:pPr>
              <w:spacing w:line="240" w:lineRule="auto"/>
              <w:jc w:val="center"/>
              <w:rPr>
                <w:rFonts w:cs="Arial"/>
              </w:rPr>
            </w:pPr>
            <w:r w:rsidRPr="00493E39">
              <w:rPr>
                <w:rFonts w:cs="Arial"/>
                <w:sz w:val="18"/>
              </w:rPr>
              <w:t>(0,046)</w:t>
            </w:r>
          </w:p>
        </w:tc>
        <w:tc>
          <w:tcPr>
            <w:tcW w:w="1133" w:type="dxa"/>
            <w:tcBorders>
              <w:top w:val="nil"/>
              <w:left w:val="nil"/>
              <w:bottom w:val="nil"/>
              <w:right w:val="nil"/>
            </w:tcBorders>
          </w:tcPr>
          <w:p w14:paraId="506EA7FF" w14:textId="77777777" w:rsidR="00D64459" w:rsidRPr="00493E39" w:rsidRDefault="008B2120">
            <w:pPr>
              <w:spacing w:line="240" w:lineRule="auto"/>
              <w:jc w:val="center"/>
              <w:rPr>
                <w:rFonts w:cs="Arial"/>
              </w:rPr>
            </w:pPr>
            <w:r w:rsidRPr="00493E39">
              <w:rPr>
                <w:rFonts w:cs="Arial"/>
                <w:sz w:val="18"/>
              </w:rPr>
              <w:t>0,001</w:t>
            </w:r>
          </w:p>
        </w:tc>
      </w:tr>
      <w:tr w:rsidR="00D64459" w:rsidRPr="00493E39" w14:paraId="6906BF1B" w14:textId="77777777">
        <w:trPr>
          <w:cantSplit/>
          <w:jc w:val="center"/>
        </w:trPr>
        <w:tc>
          <w:tcPr>
            <w:tcW w:w="2268" w:type="dxa"/>
            <w:tcBorders>
              <w:top w:val="nil"/>
              <w:left w:val="nil"/>
              <w:bottom w:val="nil"/>
              <w:right w:val="nil"/>
            </w:tcBorders>
          </w:tcPr>
          <w:p w14:paraId="03CD56C3" w14:textId="77777777" w:rsidR="00D64459" w:rsidRPr="00493E39" w:rsidRDefault="00D64459">
            <w:pPr>
              <w:spacing w:line="240" w:lineRule="auto"/>
              <w:rPr>
                <w:rFonts w:cs="Arial"/>
              </w:rPr>
            </w:pPr>
          </w:p>
        </w:tc>
        <w:tc>
          <w:tcPr>
            <w:tcW w:w="454" w:type="dxa"/>
            <w:tcBorders>
              <w:top w:val="nil"/>
              <w:left w:val="nil"/>
              <w:bottom w:val="nil"/>
              <w:right w:val="nil"/>
            </w:tcBorders>
          </w:tcPr>
          <w:p w14:paraId="7786243E" w14:textId="77777777" w:rsidR="00D64459" w:rsidRPr="00493E39" w:rsidRDefault="008B2120">
            <w:pPr>
              <w:spacing w:line="240" w:lineRule="auto"/>
              <w:jc w:val="center"/>
              <w:rPr>
                <w:rFonts w:cs="Arial"/>
              </w:rPr>
            </w:pPr>
            <w:r w:rsidRPr="00493E39">
              <w:rPr>
                <w:rFonts w:cs="Arial"/>
                <w:sz w:val="18"/>
              </w:rPr>
              <w:t>1</w:t>
            </w:r>
          </w:p>
        </w:tc>
        <w:tc>
          <w:tcPr>
            <w:tcW w:w="1191" w:type="dxa"/>
            <w:tcBorders>
              <w:top w:val="nil"/>
              <w:left w:val="nil"/>
              <w:bottom w:val="nil"/>
              <w:right w:val="nil"/>
            </w:tcBorders>
          </w:tcPr>
          <w:p w14:paraId="70296192" w14:textId="77777777" w:rsidR="00D64459" w:rsidRPr="00493E39" w:rsidRDefault="008B2120">
            <w:pPr>
              <w:spacing w:line="240" w:lineRule="auto"/>
              <w:jc w:val="center"/>
              <w:rPr>
                <w:rFonts w:cs="Arial"/>
              </w:rPr>
            </w:pPr>
            <w:r w:rsidRPr="00493E39">
              <w:rPr>
                <w:rFonts w:cs="Arial"/>
                <w:sz w:val="18"/>
              </w:rPr>
              <w:t>0,034</w:t>
            </w:r>
          </w:p>
        </w:tc>
        <w:tc>
          <w:tcPr>
            <w:tcW w:w="907" w:type="dxa"/>
            <w:tcBorders>
              <w:top w:val="nil"/>
              <w:left w:val="nil"/>
              <w:bottom w:val="nil"/>
              <w:right w:val="nil"/>
            </w:tcBorders>
          </w:tcPr>
          <w:p w14:paraId="7E911266" w14:textId="77777777" w:rsidR="00D64459" w:rsidRPr="00493E39" w:rsidRDefault="008B2120">
            <w:pPr>
              <w:spacing w:line="240" w:lineRule="auto"/>
              <w:jc w:val="center"/>
              <w:rPr>
                <w:rFonts w:cs="Arial"/>
              </w:rPr>
            </w:pPr>
            <w:r w:rsidRPr="00493E39">
              <w:rPr>
                <w:rFonts w:cs="Arial"/>
                <w:sz w:val="18"/>
              </w:rPr>
              <w:t>(0,043)</w:t>
            </w:r>
          </w:p>
        </w:tc>
        <w:tc>
          <w:tcPr>
            <w:tcW w:w="1191" w:type="dxa"/>
            <w:tcBorders>
              <w:top w:val="nil"/>
              <w:left w:val="nil"/>
              <w:bottom w:val="nil"/>
              <w:right w:val="nil"/>
            </w:tcBorders>
          </w:tcPr>
          <w:p w14:paraId="1E7BD6B5" w14:textId="77777777" w:rsidR="00D64459" w:rsidRPr="00493E39" w:rsidRDefault="008B2120">
            <w:pPr>
              <w:spacing w:line="240" w:lineRule="auto"/>
              <w:jc w:val="center"/>
              <w:rPr>
                <w:rFonts w:cs="Arial"/>
              </w:rPr>
            </w:pPr>
            <w:r w:rsidRPr="00493E39">
              <w:rPr>
                <w:rFonts w:cs="Arial"/>
                <w:sz w:val="18"/>
              </w:rPr>
              <w:t>0,356***</w:t>
            </w:r>
          </w:p>
        </w:tc>
        <w:tc>
          <w:tcPr>
            <w:tcW w:w="907" w:type="dxa"/>
            <w:tcBorders>
              <w:top w:val="nil"/>
              <w:left w:val="nil"/>
              <w:bottom w:val="nil"/>
              <w:right w:val="nil"/>
            </w:tcBorders>
          </w:tcPr>
          <w:p w14:paraId="0FE896C7" w14:textId="77777777" w:rsidR="00D64459" w:rsidRPr="00493E39" w:rsidRDefault="008B2120">
            <w:pPr>
              <w:spacing w:line="240" w:lineRule="auto"/>
              <w:jc w:val="center"/>
              <w:rPr>
                <w:rFonts w:cs="Arial"/>
              </w:rPr>
            </w:pPr>
            <w:r w:rsidRPr="00493E39">
              <w:rPr>
                <w:rFonts w:cs="Arial"/>
                <w:sz w:val="18"/>
              </w:rPr>
              <w:t>(0,075)</w:t>
            </w:r>
          </w:p>
        </w:tc>
        <w:tc>
          <w:tcPr>
            <w:tcW w:w="1133" w:type="dxa"/>
            <w:tcBorders>
              <w:top w:val="nil"/>
              <w:left w:val="nil"/>
              <w:bottom w:val="nil"/>
              <w:right w:val="nil"/>
            </w:tcBorders>
          </w:tcPr>
          <w:p w14:paraId="68ED0C88"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49D6E0C3" w14:textId="77777777">
        <w:trPr>
          <w:cantSplit/>
          <w:jc w:val="center"/>
        </w:trPr>
        <w:tc>
          <w:tcPr>
            <w:tcW w:w="2268" w:type="dxa"/>
            <w:tcBorders>
              <w:top w:val="nil"/>
              <w:left w:val="nil"/>
              <w:bottom w:val="nil"/>
              <w:right w:val="nil"/>
            </w:tcBorders>
          </w:tcPr>
          <w:p w14:paraId="42DE58C2" w14:textId="77777777" w:rsidR="00D64459" w:rsidRPr="00493E39" w:rsidRDefault="00D64459">
            <w:pPr>
              <w:spacing w:line="240" w:lineRule="auto"/>
              <w:rPr>
                <w:rFonts w:cs="Arial"/>
              </w:rPr>
            </w:pPr>
          </w:p>
        </w:tc>
        <w:tc>
          <w:tcPr>
            <w:tcW w:w="454" w:type="dxa"/>
            <w:tcBorders>
              <w:top w:val="nil"/>
              <w:left w:val="nil"/>
              <w:bottom w:val="nil"/>
              <w:right w:val="nil"/>
            </w:tcBorders>
          </w:tcPr>
          <w:p w14:paraId="66FFDE2B" w14:textId="77777777" w:rsidR="00D64459" w:rsidRPr="00493E39" w:rsidRDefault="008B2120">
            <w:pPr>
              <w:spacing w:line="240" w:lineRule="auto"/>
              <w:jc w:val="center"/>
              <w:rPr>
                <w:rFonts w:cs="Arial"/>
              </w:rPr>
            </w:pPr>
            <w:r w:rsidRPr="00493E39">
              <w:rPr>
                <w:rFonts w:cs="Arial"/>
                <w:sz w:val="18"/>
              </w:rPr>
              <w:t>3</w:t>
            </w:r>
          </w:p>
        </w:tc>
        <w:tc>
          <w:tcPr>
            <w:tcW w:w="1191" w:type="dxa"/>
            <w:tcBorders>
              <w:top w:val="nil"/>
              <w:left w:val="nil"/>
              <w:bottom w:val="nil"/>
              <w:right w:val="nil"/>
            </w:tcBorders>
          </w:tcPr>
          <w:p w14:paraId="00FB13B5" w14:textId="77777777" w:rsidR="00D64459" w:rsidRPr="00493E39" w:rsidRDefault="008B2120">
            <w:pPr>
              <w:spacing w:line="240" w:lineRule="auto"/>
              <w:jc w:val="center"/>
              <w:rPr>
                <w:rFonts w:cs="Arial"/>
              </w:rPr>
            </w:pPr>
            <w:r w:rsidRPr="00493E39">
              <w:rPr>
                <w:rFonts w:cs="Arial"/>
                <w:sz w:val="18"/>
              </w:rPr>
              <w:t>0,101</w:t>
            </w:r>
          </w:p>
        </w:tc>
        <w:tc>
          <w:tcPr>
            <w:tcW w:w="907" w:type="dxa"/>
            <w:tcBorders>
              <w:top w:val="nil"/>
              <w:left w:val="nil"/>
              <w:bottom w:val="nil"/>
              <w:right w:val="nil"/>
            </w:tcBorders>
          </w:tcPr>
          <w:p w14:paraId="3B2FB270" w14:textId="77777777" w:rsidR="00D64459" w:rsidRPr="00493E39" w:rsidRDefault="008B2120">
            <w:pPr>
              <w:spacing w:line="240" w:lineRule="auto"/>
              <w:jc w:val="center"/>
              <w:rPr>
                <w:rFonts w:cs="Arial"/>
              </w:rPr>
            </w:pPr>
            <w:r w:rsidRPr="00493E39">
              <w:rPr>
                <w:rFonts w:cs="Arial"/>
                <w:sz w:val="18"/>
              </w:rPr>
              <w:t>(0,084)</w:t>
            </w:r>
          </w:p>
        </w:tc>
        <w:tc>
          <w:tcPr>
            <w:tcW w:w="1191" w:type="dxa"/>
            <w:tcBorders>
              <w:top w:val="nil"/>
              <w:left w:val="nil"/>
              <w:bottom w:val="nil"/>
              <w:right w:val="nil"/>
            </w:tcBorders>
          </w:tcPr>
          <w:p w14:paraId="2FDD488F" w14:textId="77777777" w:rsidR="00D64459" w:rsidRPr="00493E39" w:rsidRDefault="008B2120">
            <w:pPr>
              <w:spacing w:line="240" w:lineRule="auto"/>
              <w:jc w:val="center"/>
              <w:rPr>
                <w:rFonts w:cs="Arial"/>
              </w:rPr>
            </w:pPr>
            <w:r w:rsidRPr="00493E39">
              <w:rPr>
                <w:rFonts w:cs="Arial"/>
                <w:sz w:val="18"/>
              </w:rPr>
              <w:t>0,314**</w:t>
            </w:r>
          </w:p>
        </w:tc>
        <w:tc>
          <w:tcPr>
            <w:tcW w:w="907" w:type="dxa"/>
            <w:tcBorders>
              <w:top w:val="nil"/>
              <w:left w:val="nil"/>
              <w:bottom w:val="nil"/>
              <w:right w:val="nil"/>
            </w:tcBorders>
          </w:tcPr>
          <w:p w14:paraId="57355B08" w14:textId="77777777" w:rsidR="00D64459" w:rsidRPr="00493E39" w:rsidRDefault="008B2120">
            <w:pPr>
              <w:spacing w:line="240" w:lineRule="auto"/>
              <w:jc w:val="center"/>
              <w:rPr>
                <w:rFonts w:cs="Arial"/>
              </w:rPr>
            </w:pPr>
            <w:r w:rsidRPr="00493E39">
              <w:rPr>
                <w:rFonts w:cs="Arial"/>
                <w:sz w:val="18"/>
              </w:rPr>
              <w:t>(0,123)</w:t>
            </w:r>
          </w:p>
        </w:tc>
        <w:tc>
          <w:tcPr>
            <w:tcW w:w="1133" w:type="dxa"/>
            <w:tcBorders>
              <w:top w:val="nil"/>
              <w:left w:val="nil"/>
              <w:bottom w:val="nil"/>
              <w:right w:val="nil"/>
            </w:tcBorders>
          </w:tcPr>
          <w:p w14:paraId="34F22DE1" w14:textId="77777777" w:rsidR="00D64459" w:rsidRPr="00493E39" w:rsidRDefault="008B2120">
            <w:pPr>
              <w:spacing w:line="240" w:lineRule="auto"/>
              <w:jc w:val="center"/>
              <w:rPr>
                <w:rFonts w:cs="Arial"/>
              </w:rPr>
            </w:pPr>
            <w:r w:rsidRPr="00493E39">
              <w:rPr>
                <w:rFonts w:cs="Arial"/>
                <w:sz w:val="18"/>
              </w:rPr>
              <w:t>0,160</w:t>
            </w:r>
          </w:p>
        </w:tc>
      </w:tr>
      <w:tr w:rsidR="00D64459" w:rsidRPr="00493E39" w14:paraId="3CAC6B5B" w14:textId="77777777">
        <w:trPr>
          <w:cantSplit/>
          <w:jc w:val="center"/>
        </w:trPr>
        <w:tc>
          <w:tcPr>
            <w:tcW w:w="2268" w:type="dxa"/>
            <w:tcBorders>
              <w:top w:val="nil"/>
              <w:left w:val="nil"/>
              <w:bottom w:val="nil"/>
              <w:right w:val="nil"/>
            </w:tcBorders>
          </w:tcPr>
          <w:p w14:paraId="53797261" w14:textId="77777777" w:rsidR="00D64459" w:rsidRPr="00493E39" w:rsidRDefault="00D64459">
            <w:pPr>
              <w:spacing w:line="240" w:lineRule="auto"/>
              <w:rPr>
                <w:rFonts w:cs="Arial"/>
              </w:rPr>
            </w:pPr>
          </w:p>
        </w:tc>
        <w:tc>
          <w:tcPr>
            <w:tcW w:w="454" w:type="dxa"/>
            <w:tcBorders>
              <w:top w:val="nil"/>
              <w:left w:val="nil"/>
              <w:bottom w:val="nil"/>
              <w:right w:val="nil"/>
            </w:tcBorders>
          </w:tcPr>
          <w:p w14:paraId="7525CF66" w14:textId="77777777" w:rsidR="00D64459" w:rsidRPr="00493E39" w:rsidRDefault="008B2120">
            <w:pPr>
              <w:spacing w:line="240" w:lineRule="auto"/>
              <w:jc w:val="center"/>
              <w:rPr>
                <w:rFonts w:cs="Arial"/>
              </w:rPr>
            </w:pPr>
            <w:r w:rsidRPr="00493E39">
              <w:rPr>
                <w:rFonts w:cs="Arial"/>
                <w:sz w:val="18"/>
              </w:rPr>
              <w:t>6</w:t>
            </w:r>
          </w:p>
        </w:tc>
        <w:tc>
          <w:tcPr>
            <w:tcW w:w="1191" w:type="dxa"/>
            <w:tcBorders>
              <w:top w:val="nil"/>
              <w:left w:val="nil"/>
              <w:bottom w:val="nil"/>
              <w:right w:val="nil"/>
            </w:tcBorders>
          </w:tcPr>
          <w:p w14:paraId="469265EE" w14:textId="77777777" w:rsidR="00D64459" w:rsidRPr="00493E39" w:rsidRDefault="008B2120">
            <w:pPr>
              <w:spacing w:line="240" w:lineRule="auto"/>
              <w:jc w:val="center"/>
              <w:rPr>
                <w:rFonts w:cs="Arial"/>
              </w:rPr>
            </w:pPr>
            <w:r w:rsidRPr="00493E39">
              <w:rPr>
                <w:rFonts w:cs="Arial"/>
                <w:sz w:val="18"/>
              </w:rPr>
              <w:t>0,065</w:t>
            </w:r>
          </w:p>
        </w:tc>
        <w:tc>
          <w:tcPr>
            <w:tcW w:w="907" w:type="dxa"/>
            <w:tcBorders>
              <w:top w:val="nil"/>
              <w:left w:val="nil"/>
              <w:bottom w:val="nil"/>
              <w:right w:val="nil"/>
            </w:tcBorders>
          </w:tcPr>
          <w:p w14:paraId="795D2842" w14:textId="77777777" w:rsidR="00D64459" w:rsidRPr="00493E39" w:rsidRDefault="008B2120">
            <w:pPr>
              <w:spacing w:line="240" w:lineRule="auto"/>
              <w:jc w:val="center"/>
              <w:rPr>
                <w:rFonts w:cs="Arial"/>
              </w:rPr>
            </w:pPr>
            <w:r w:rsidRPr="00493E39">
              <w:rPr>
                <w:rFonts w:cs="Arial"/>
                <w:sz w:val="18"/>
              </w:rPr>
              <w:t>(0,156)</w:t>
            </w:r>
          </w:p>
        </w:tc>
        <w:tc>
          <w:tcPr>
            <w:tcW w:w="1191" w:type="dxa"/>
            <w:tcBorders>
              <w:top w:val="nil"/>
              <w:left w:val="nil"/>
              <w:bottom w:val="nil"/>
              <w:right w:val="nil"/>
            </w:tcBorders>
          </w:tcPr>
          <w:p w14:paraId="05DE7327" w14:textId="77777777" w:rsidR="00D64459" w:rsidRPr="00493E39" w:rsidRDefault="008B2120">
            <w:pPr>
              <w:spacing w:line="240" w:lineRule="auto"/>
              <w:jc w:val="center"/>
              <w:rPr>
                <w:rFonts w:cs="Arial"/>
              </w:rPr>
            </w:pPr>
            <w:r w:rsidRPr="00493E39">
              <w:rPr>
                <w:rFonts w:cs="Arial"/>
                <w:sz w:val="18"/>
              </w:rPr>
              <w:t>0,189**</w:t>
            </w:r>
          </w:p>
        </w:tc>
        <w:tc>
          <w:tcPr>
            <w:tcW w:w="907" w:type="dxa"/>
            <w:tcBorders>
              <w:top w:val="nil"/>
              <w:left w:val="nil"/>
              <w:bottom w:val="nil"/>
              <w:right w:val="nil"/>
            </w:tcBorders>
          </w:tcPr>
          <w:p w14:paraId="41F4465B" w14:textId="77777777" w:rsidR="00D64459" w:rsidRPr="00493E39" w:rsidRDefault="008B2120">
            <w:pPr>
              <w:spacing w:line="240" w:lineRule="auto"/>
              <w:jc w:val="center"/>
              <w:rPr>
                <w:rFonts w:cs="Arial"/>
              </w:rPr>
            </w:pPr>
            <w:r w:rsidRPr="00493E39">
              <w:rPr>
                <w:rFonts w:cs="Arial"/>
                <w:sz w:val="18"/>
              </w:rPr>
              <w:t>(0,091)</w:t>
            </w:r>
          </w:p>
        </w:tc>
        <w:tc>
          <w:tcPr>
            <w:tcW w:w="1133" w:type="dxa"/>
            <w:tcBorders>
              <w:top w:val="nil"/>
              <w:left w:val="nil"/>
              <w:bottom w:val="nil"/>
              <w:right w:val="nil"/>
            </w:tcBorders>
          </w:tcPr>
          <w:p w14:paraId="533BEAD2" w14:textId="77777777" w:rsidR="00D64459" w:rsidRPr="00493E39" w:rsidRDefault="008B2120">
            <w:pPr>
              <w:spacing w:line="240" w:lineRule="auto"/>
              <w:jc w:val="center"/>
              <w:rPr>
                <w:rFonts w:cs="Arial"/>
              </w:rPr>
            </w:pPr>
            <w:r w:rsidRPr="00493E39">
              <w:rPr>
                <w:rFonts w:cs="Arial"/>
                <w:sz w:val="18"/>
              </w:rPr>
              <w:t>0,524</w:t>
            </w:r>
          </w:p>
        </w:tc>
      </w:tr>
      <w:tr w:rsidR="00D64459" w:rsidRPr="00493E39" w14:paraId="3C5ECA81" w14:textId="77777777">
        <w:trPr>
          <w:cantSplit/>
          <w:jc w:val="center"/>
        </w:trPr>
        <w:tc>
          <w:tcPr>
            <w:tcW w:w="2268" w:type="dxa"/>
            <w:tcBorders>
              <w:top w:val="nil"/>
              <w:left w:val="nil"/>
              <w:bottom w:val="nil"/>
              <w:right w:val="nil"/>
            </w:tcBorders>
          </w:tcPr>
          <w:p w14:paraId="3D9F5F92" w14:textId="77777777" w:rsidR="00D64459" w:rsidRPr="00493E39" w:rsidRDefault="00D64459">
            <w:pPr>
              <w:spacing w:line="240" w:lineRule="auto"/>
              <w:rPr>
                <w:rFonts w:cs="Arial"/>
              </w:rPr>
            </w:pPr>
          </w:p>
        </w:tc>
        <w:tc>
          <w:tcPr>
            <w:tcW w:w="454" w:type="dxa"/>
            <w:tcBorders>
              <w:top w:val="nil"/>
              <w:left w:val="nil"/>
              <w:bottom w:val="nil"/>
              <w:right w:val="nil"/>
            </w:tcBorders>
          </w:tcPr>
          <w:p w14:paraId="262231E4" w14:textId="77777777" w:rsidR="00D64459" w:rsidRPr="00493E39" w:rsidRDefault="008B2120">
            <w:pPr>
              <w:spacing w:line="240" w:lineRule="auto"/>
              <w:jc w:val="center"/>
              <w:rPr>
                <w:rFonts w:cs="Arial"/>
              </w:rPr>
            </w:pPr>
            <w:r w:rsidRPr="00493E39">
              <w:rPr>
                <w:rFonts w:cs="Arial"/>
                <w:sz w:val="18"/>
              </w:rPr>
              <w:t>12</w:t>
            </w:r>
          </w:p>
        </w:tc>
        <w:tc>
          <w:tcPr>
            <w:tcW w:w="1191" w:type="dxa"/>
            <w:tcBorders>
              <w:top w:val="nil"/>
              <w:left w:val="nil"/>
              <w:bottom w:val="nil"/>
              <w:right w:val="nil"/>
            </w:tcBorders>
          </w:tcPr>
          <w:p w14:paraId="08E0C71B" w14:textId="77777777" w:rsidR="00D64459" w:rsidRPr="00493E39" w:rsidRDefault="008B2120">
            <w:pPr>
              <w:spacing w:line="240" w:lineRule="auto"/>
              <w:jc w:val="center"/>
              <w:rPr>
                <w:rFonts w:cs="Arial"/>
              </w:rPr>
            </w:pPr>
            <w:r w:rsidRPr="00493E39">
              <w:rPr>
                <w:rFonts w:cs="Arial"/>
                <w:sz w:val="18"/>
              </w:rPr>
              <w:t>−0,065</w:t>
            </w:r>
          </w:p>
        </w:tc>
        <w:tc>
          <w:tcPr>
            <w:tcW w:w="907" w:type="dxa"/>
            <w:tcBorders>
              <w:top w:val="nil"/>
              <w:left w:val="nil"/>
              <w:bottom w:val="nil"/>
              <w:right w:val="nil"/>
            </w:tcBorders>
          </w:tcPr>
          <w:p w14:paraId="32431107" w14:textId="77777777" w:rsidR="00D64459" w:rsidRPr="00493E39" w:rsidRDefault="008B2120">
            <w:pPr>
              <w:spacing w:line="240" w:lineRule="auto"/>
              <w:jc w:val="center"/>
              <w:rPr>
                <w:rFonts w:cs="Arial"/>
              </w:rPr>
            </w:pPr>
            <w:r w:rsidRPr="00493E39">
              <w:rPr>
                <w:rFonts w:cs="Arial"/>
                <w:sz w:val="18"/>
              </w:rPr>
              <w:t>(0,222)</w:t>
            </w:r>
          </w:p>
        </w:tc>
        <w:tc>
          <w:tcPr>
            <w:tcW w:w="1191" w:type="dxa"/>
            <w:tcBorders>
              <w:top w:val="nil"/>
              <w:left w:val="nil"/>
              <w:bottom w:val="nil"/>
              <w:right w:val="nil"/>
            </w:tcBorders>
          </w:tcPr>
          <w:p w14:paraId="51F1188D" w14:textId="77777777" w:rsidR="00D64459" w:rsidRPr="00493E39" w:rsidRDefault="008B2120">
            <w:pPr>
              <w:spacing w:line="240" w:lineRule="auto"/>
              <w:jc w:val="center"/>
              <w:rPr>
                <w:rFonts w:cs="Arial"/>
              </w:rPr>
            </w:pPr>
            <w:r w:rsidRPr="00493E39">
              <w:rPr>
                <w:rFonts w:cs="Arial"/>
                <w:sz w:val="18"/>
              </w:rPr>
              <w:t>0,269**</w:t>
            </w:r>
          </w:p>
        </w:tc>
        <w:tc>
          <w:tcPr>
            <w:tcW w:w="907" w:type="dxa"/>
            <w:tcBorders>
              <w:top w:val="nil"/>
              <w:left w:val="nil"/>
              <w:bottom w:val="nil"/>
              <w:right w:val="nil"/>
            </w:tcBorders>
          </w:tcPr>
          <w:p w14:paraId="2947BF5A" w14:textId="77777777" w:rsidR="00D64459" w:rsidRPr="00493E39" w:rsidRDefault="008B2120">
            <w:pPr>
              <w:spacing w:line="240" w:lineRule="auto"/>
              <w:jc w:val="center"/>
              <w:rPr>
                <w:rFonts w:cs="Arial"/>
              </w:rPr>
            </w:pPr>
            <w:r w:rsidRPr="00493E39">
              <w:rPr>
                <w:rFonts w:cs="Arial"/>
                <w:sz w:val="18"/>
              </w:rPr>
              <w:t>(0,115)</w:t>
            </w:r>
          </w:p>
        </w:tc>
        <w:tc>
          <w:tcPr>
            <w:tcW w:w="1133" w:type="dxa"/>
            <w:tcBorders>
              <w:top w:val="nil"/>
              <w:left w:val="nil"/>
              <w:bottom w:val="nil"/>
              <w:right w:val="nil"/>
            </w:tcBorders>
          </w:tcPr>
          <w:p w14:paraId="4084A946" w14:textId="77777777" w:rsidR="00D64459" w:rsidRPr="00493E39" w:rsidRDefault="008B2120">
            <w:pPr>
              <w:spacing w:line="240" w:lineRule="auto"/>
              <w:jc w:val="center"/>
              <w:rPr>
                <w:rFonts w:cs="Arial"/>
              </w:rPr>
            </w:pPr>
            <w:r w:rsidRPr="00493E39">
              <w:rPr>
                <w:rFonts w:cs="Arial"/>
                <w:sz w:val="18"/>
              </w:rPr>
              <w:t>0,196</w:t>
            </w:r>
          </w:p>
        </w:tc>
      </w:tr>
      <w:tr w:rsidR="00D64459" w:rsidRPr="00493E39" w14:paraId="3868F168" w14:textId="77777777">
        <w:trPr>
          <w:cantSplit/>
          <w:jc w:val="center"/>
        </w:trPr>
        <w:tc>
          <w:tcPr>
            <w:tcW w:w="2268" w:type="dxa"/>
            <w:tcBorders>
              <w:top w:val="nil"/>
              <w:left w:val="nil"/>
              <w:bottom w:val="nil"/>
              <w:right w:val="nil"/>
            </w:tcBorders>
          </w:tcPr>
          <w:p w14:paraId="1B8B9C2B" w14:textId="77777777" w:rsidR="00D64459" w:rsidRPr="00493E39" w:rsidRDefault="008B2120">
            <w:pPr>
              <w:spacing w:line="240" w:lineRule="auto"/>
              <w:rPr>
                <w:rFonts w:cs="Arial"/>
              </w:rPr>
            </w:pPr>
            <w:r w:rsidRPr="00493E39">
              <w:rPr>
                <w:rFonts w:cs="Arial"/>
                <w:sz w:val="18"/>
              </w:rPr>
              <w:t xml:space="preserve">IPCA </w:t>
            </w:r>
            <w:proofErr w:type="spellStart"/>
            <w:r w:rsidRPr="00493E39">
              <w:rPr>
                <w:rFonts w:cs="Arial"/>
                <w:sz w:val="18"/>
              </w:rPr>
              <w:t>Transportes</w:t>
            </w:r>
            <w:proofErr w:type="spellEnd"/>
          </w:p>
        </w:tc>
        <w:tc>
          <w:tcPr>
            <w:tcW w:w="454" w:type="dxa"/>
            <w:tcBorders>
              <w:top w:val="nil"/>
              <w:left w:val="nil"/>
              <w:bottom w:val="nil"/>
              <w:right w:val="nil"/>
            </w:tcBorders>
          </w:tcPr>
          <w:p w14:paraId="55F2E746" w14:textId="77777777" w:rsidR="00D64459" w:rsidRPr="00493E39" w:rsidRDefault="008B2120">
            <w:pPr>
              <w:spacing w:line="240" w:lineRule="auto"/>
              <w:jc w:val="center"/>
              <w:rPr>
                <w:rFonts w:cs="Arial"/>
              </w:rPr>
            </w:pPr>
            <w:r w:rsidRPr="00493E39">
              <w:rPr>
                <w:rFonts w:cs="Arial"/>
                <w:sz w:val="18"/>
              </w:rPr>
              <w:t>0</w:t>
            </w:r>
          </w:p>
        </w:tc>
        <w:tc>
          <w:tcPr>
            <w:tcW w:w="1191" w:type="dxa"/>
            <w:tcBorders>
              <w:top w:val="nil"/>
              <w:left w:val="nil"/>
              <w:bottom w:val="nil"/>
              <w:right w:val="nil"/>
            </w:tcBorders>
          </w:tcPr>
          <w:p w14:paraId="629F5779" w14:textId="77777777" w:rsidR="00D64459" w:rsidRPr="00493E39" w:rsidRDefault="008B2120">
            <w:pPr>
              <w:spacing w:line="240" w:lineRule="auto"/>
              <w:jc w:val="center"/>
              <w:rPr>
                <w:rFonts w:cs="Arial"/>
              </w:rPr>
            </w:pPr>
            <w:r w:rsidRPr="00493E39">
              <w:rPr>
                <w:rFonts w:cs="Arial"/>
                <w:sz w:val="18"/>
              </w:rPr>
              <w:t>0,065</w:t>
            </w:r>
          </w:p>
        </w:tc>
        <w:tc>
          <w:tcPr>
            <w:tcW w:w="907" w:type="dxa"/>
            <w:tcBorders>
              <w:top w:val="nil"/>
              <w:left w:val="nil"/>
              <w:bottom w:val="nil"/>
              <w:right w:val="nil"/>
            </w:tcBorders>
          </w:tcPr>
          <w:p w14:paraId="15EB9E24" w14:textId="77777777" w:rsidR="00D64459" w:rsidRPr="00493E39" w:rsidRDefault="008B2120">
            <w:pPr>
              <w:spacing w:line="240" w:lineRule="auto"/>
              <w:jc w:val="center"/>
              <w:rPr>
                <w:rFonts w:cs="Arial"/>
              </w:rPr>
            </w:pPr>
            <w:r w:rsidRPr="00493E39">
              <w:rPr>
                <w:rFonts w:cs="Arial"/>
                <w:sz w:val="18"/>
              </w:rPr>
              <w:t>(0,068)</w:t>
            </w:r>
          </w:p>
        </w:tc>
        <w:tc>
          <w:tcPr>
            <w:tcW w:w="1191" w:type="dxa"/>
            <w:tcBorders>
              <w:top w:val="nil"/>
              <w:left w:val="nil"/>
              <w:bottom w:val="nil"/>
              <w:right w:val="nil"/>
            </w:tcBorders>
          </w:tcPr>
          <w:p w14:paraId="0B1E951C" w14:textId="77777777" w:rsidR="00D64459" w:rsidRPr="00493E39" w:rsidRDefault="008B2120">
            <w:pPr>
              <w:spacing w:line="240" w:lineRule="auto"/>
              <w:jc w:val="center"/>
              <w:rPr>
                <w:rFonts w:cs="Arial"/>
              </w:rPr>
            </w:pPr>
            <w:r w:rsidRPr="00493E39">
              <w:rPr>
                <w:rFonts w:cs="Arial"/>
                <w:sz w:val="18"/>
              </w:rPr>
              <w:t>0,675***</w:t>
            </w:r>
          </w:p>
        </w:tc>
        <w:tc>
          <w:tcPr>
            <w:tcW w:w="907" w:type="dxa"/>
            <w:tcBorders>
              <w:top w:val="nil"/>
              <w:left w:val="nil"/>
              <w:bottom w:val="nil"/>
              <w:right w:val="nil"/>
            </w:tcBorders>
          </w:tcPr>
          <w:p w14:paraId="2F4B1855" w14:textId="77777777" w:rsidR="00D64459" w:rsidRPr="00493E39" w:rsidRDefault="008B2120">
            <w:pPr>
              <w:spacing w:line="240" w:lineRule="auto"/>
              <w:jc w:val="center"/>
              <w:rPr>
                <w:rFonts w:cs="Arial"/>
              </w:rPr>
            </w:pPr>
            <w:r w:rsidRPr="00493E39">
              <w:rPr>
                <w:rFonts w:cs="Arial"/>
                <w:sz w:val="18"/>
              </w:rPr>
              <w:t>(0,142)</w:t>
            </w:r>
          </w:p>
        </w:tc>
        <w:tc>
          <w:tcPr>
            <w:tcW w:w="1133" w:type="dxa"/>
            <w:tcBorders>
              <w:top w:val="nil"/>
              <w:left w:val="nil"/>
              <w:bottom w:val="nil"/>
              <w:right w:val="nil"/>
            </w:tcBorders>
          </w:tcPr>
          <w:p w14:paraId="6EF14174"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72F4BB2F" w14:textId="77777777">
        <w:trPr>
          <w:cantSplit/>
          <w:jc w:val="center"/>
        </w:trPr>
        <w:tc>
          <w:tcPr>
            <w:tcW w:w="2268" w:type="dxa"/>
            <w:tcBorders>
              <w:top w:val="nil"/>
              <w:left w:val="nil"/>
              <w:bottom w:val="nil"/>
              <w:right w:val="nil"/>
            </w:tcBorders>
          </w:tcPr>
          <w:p w14:paraId="2D01FCC6" w14:textId="77777777" w:rsidR="00D64459" w:rsidRPr="00493E39" w:rsidRDefault="00D64459">
            <w:pPr>
              <w:spacing w:line="240" w:lineRule="auto"/>
              <w:rPr>
                <w:rFonts w:cs="Arial"/>
              </w:rPr>
            </w:pPr>
          </w:p>
        </w:tc>
        <w:tc>
          <w:tcPr>
            <w:tcW w:w="454" w:type="dxa"/>
            <w:tcBorders>
              <w:top w:val="nil"/>
              <w:left w:val="nil"/>
              <w:bottom w:val="nil"/>
              <w:right w:val="nil"/>
            </w:tcBorders>
          </w:tcPr>
          <w:p w14:paraId="404AF12D" w14:textId="77777777" w:rsidR="00D64459" w:rsidRPr="00493E39" w:rsidRDefault="008B2120">
            <w:pPr>
              <w:spacing w:line="240" w:lineRule="auto"/>
              <w:jc w:val="center"/>
              <w:rPr>
                <w:rFonts w:cs="Arial"/>
              </w:rPr>
            </w:pPr>
            <w:r w:rsidRPr="00493E39">
              <w:rPr>
                <w:rFonts w:cs="Arial"/>
                <w:sz w:val="18"/>
              </w:rPr>
              <w:t>1</w:t>
            </w:r>
          </w:p>
        </w:tc>
        <w:tc>
          <w:tcPr>
            <w:tcW w:w="1191" w:type="dxa"/>
            <w:tcBorders>
              <w:top w:val="nil"/>
              <w:left w:val="nil"/>
              <w:bottom w:val="nil"/>
              <w:right w:val="nil"/>
            </w:tcBorders>
          </w:tcPr>
          <w:p w14:paraId="16131C7F" w14:textId="77777777" w:rsidR="00D64459" w:rsidRPr="00493E39" w:rsidRDefault="008B2120">
            <w:pPr>
              <w:spacing w:line="240" w:lineRule="auto"/>
              <w:jc w:val="center"/>
              <w:rPr>
                <w:rFonts w:cs="Arial"/>
              </w:rPr>
            </w:pPr>
            <w:r w:rsidRPr="00493E39">
              <w:rPr>
                <w:rFonts w:cs="Arial"/>
                <w:sz w:val="18"/>
              </w:rPr>
              <w:t>0,090</w:t>
            </w:r>
          </w:p>
        </w:tc>
        <w:tc>
          <w:tcPr>
            <w:tcW w:w="907" w:type="dxa"/>
            <w:tcBorders>
              <w:top w:val="nil"/>
              <w:left w:val="nil"/>
              <w:bottom w:val="nil"/>
              <w:right w:val="nil"/>
            </w:tcBorders>
          </w:tcPr>
          <w:p w14:paraId="7639031C" w14:textId="77777777" w:rsidR="00D64459" w:rsidRPr="00493E39" w:rsidRDefault="008B2120">
            <w:pPr>
              <w:spacing w:line="240" w:lineRule="auto"/>
              <w:jc w:val="center"/>
              <w:rPr>
                <w:rFonts w:cs="Arial"/>
              </w:rPr>
            </w:pPr>
            <w:r w:rsidRPr="00493E39">
              <w:rPr>
                <w:rFonts w:cs="Arial"/>
                <w:sz w:val="18"/>
              </w:rPr>
              <w:t>(0,129)</w:t>
            </w:r>
          </w:p>
        </w:tc>
        <w:tc>
          <w:tcPr>
            <w:tcW w:w="1191" w:type="dxa"/>
            <w:tcBorders>
              <w:top w:val="nil"/>
              <w:left w:val="nil"/>
              <w:bottom w:val="nil"/>
              <w:right w:val="nil"/>
            </w:tcBorders>
          </w:tcPr>
          <w:p w14:paraId="04393440" w14:textId="77777777" w:rsidR="00D64459" w:rsidRPr="00493E39" w:rsidRDefault="008B2120">
            <w:pPr>
              <w:spacing w:line="240" w:lineRule="auto"/>
              <w:jc w:val="center"/>
              <w:rPr>
                <w:rFonts w:cs="Arial"/>
              </w:rPr>
            </w:pPr>
            <w:r w:rsidRPr="00493E39">
              <w:rPr>
                <w:rFonts w:cs="Arial"/>
                <w:sz w:val="18"/>
              </w:rPr>
              <w:t>1,366***</w:t>
            </w:r>
          </w:p>
        </w:tc>
        <w:tc>
          <w:tcPr>
            <w:tcW w:w="907" w:type="dxa"/>
            <w:tcBorders>
              <w:top w:val="nil"/>
              <w:left w:val="nil"/>
              <w:bottom w:val="nil"/>
              <w:right w:val="nil"/>
            </w:tcBorders>
          </w:tcPr>
          <w:p w14:paraId="21961E18" w14:textId="77777777" w:rsidR="00D64459" w:rsidRPr="00493E39" w:rsidRDefault="008B2120">
            <w:pPr>
              <w:spacing w:line="240" w:lineRule="auto"/>
              <w:jc w:val="center"/>
              <w:rPr>
                <w:rFonts w:cs="Arial"/>
              </w:rPr>
            </w:pPr>
            <w:r w:rsidRPr="00493E39">
              <w:rPr>
                <w:rFonts w:cs="Arial"/>
                <w:sz w:val="18"/>
              </w:rPr>
              <w:t>(0,240)</w:t>
            </w:r>
          </w:p>
        </w:tc>
        <w:tc>
          <w:tcPr>
            <w:tcW w:w="1133" w:type="dxa"/>
            <w:tcBorders>
              <w:top w:val="nil"/>
              <w:left w:val="nil"/>
              <w:bottom w:val="nil"/>
              <w:right w:val="nil"/>
            </w:tcBorders>
          </w:tcPr>
          <w:p w14:paraId="170D43F5"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60F5A459" w14:textId="77777777">
        <w:trPr>
          <w:cantSplit/>
          <w:jc w:val="center"/>
        </w:trPr>
        <w:tc>
          <w:tcPr>
            <w:tcW w:w="2268" w:type="dxa"/>
            <w:tcBorders>
              <w:top w:val="nil"/>
              <w:left w:val="nil"/>
              <w:bottom w:val="nil"/>
              <w:right w:val="nil"/>
            </w:tcBorders>
          </w:tcPr>
          <w:p w14:paraId="31BDE838" w14:textId="77777777" w:rsidR="00D64459" w:rsidRPr="00493E39" w:rsidRDefault="00D64459">
            <w:pPr>
              <w:spacing w:line="240" w:lineRule="auto"/>
              <w:rPr>
                <w:rFonts w:cs="Arial"/>
              </w:rPr>
            </w:pPr>
          </w:p>
        </w:tc>
        <w:tc>
          <w:tcPr>
            <w:tcW w:w="454" w:type="dxa"/>
            <w:tcBorders>
              <w:top w:val="nil"/>
              <w:left w:val="nil"/>
              <w:bottom w:val="nil"/>
              <w:right w:val="nil"/>
            </w:tcBorders>
          </w:tcPr>
          <w:p w14:paraId="5D8286C8" w14:textId="77777777" w:rsidR="00D64459" w:rsidRPr="00493E39" w:rsidRDefault="008B2120">
            <w:pPr>
              <w:spacing w:line="240" w:lineRule="auto"/>
              <w:jc w:val="center"/>
              <w:rPr>
                <w:rFonts w:cs="Arial"/>
              </w:rPr>
            </w:pPr>
            <w:r w:rsidRPr="00493E39">
              <w:rPr>
                <w:rFonts w:cs="Arial"/>
                <w:sz w:val="18"/>
              </w:rPr>
              <w:t>3</w:t>
            </w:r>
          </w:p>
        </w:tc>
        <w:tc>
          <w:tcPr>
            <w:tcW w:w="1191" w:type="dxa"/>
            <w:tcBorders>
              <w:top w:val="nil"/>
              <w:left w:val="nil"/>
              <w:bottom w:val="nil"/>
              <w:right w:val="nil"/>
            </w:tcBorders>
          </w:tcPr>
          <w:p w14:paraId="737989B5" w14:textId="77777777" w:rsidR="00D64459" w:rsidRPr="00493E39" w:rsidRDefault="008B2120">
            <w:pPr>
              <w:spacing w:line="240" w:lineRule="auto"/>
              <w:jc w:val="center"/>
              <w:rPr>
                <w:rFonts w:cs="Arial"/>
              </w:rPr>
            </w:pPr>
            <w:r w:rsidRPr="00493E39">
              <w:rPr>
                <w:rFonts w:cs="Arial"/>
                <w:sz w:val="18"/>
              </w:rPr>
              <w:t>0,115</w:t>
            </w:r>
          </w:p>
        </w:tc>
        <w:tc>
          <w:tcPr>
            <w:tcW w:w="907" w:type="dxa"/>
            <w:tcBorders>
              <w:top w:val="nil"/>
              <w:left w:val="nil"/>
              <w:bottom w:val="nil"/>
              <w:right w:val="nil"/>
            </w:tcBorders>
          </w:tcPr>
          <w:p w14:paraId="18A4E9E7" w14:textId="77777777" w:rsidR="00D64459" w:rsidRPr="00493E39" w:rsidRDefault="008B2120">
            <w:pPr>
              <w:spacing w:line="240" w:lineRule="auto"/>
              <w:jc w:val="center"/>
              <w:rPr>
                <w:rFonts w:cs="Arial"/>
              </w:rPr>
            </w:pPr>
            <w:r w:rsidRPr="00493E39">
              <w:rPr>
                <w:rFonts w:cs="Arial"/>
                <w:sz w:val="18"/>
              </w:rPr>
              <w:t>(0,201)</w:t>
            </w:r>
          </w:p>
        </w:tc>
        <w:tc>
          <w:tcPr>
            <w:tcW w:w="1191" w:type="dxa"/>
            <w:tcBorders>
              <w:top w:val="nil"/>
              <w:left w:val="nil"/>
              <w:bottom w:val="nil"/>
              <w:right w:val="nil"/>
            </w:tcBorders>
          </w:tcPr>
          <w:p w14:paraId="09AE1438" w14:textId="77777777" w:rsidR="00D64459" w:rsidRPr="00493E39" w:rsidRDefault="008B2120">
            <w:pPr>
              <w:spacing w:line="240" w:lineRule="auto"/>
              <w:jc w:val="center"/>
              <w:rPr>
                <w:rFonts w:cs="Arial"/>
              </w:rPr>
            </w:pPr>
            <w:r w:rsidRPr="00493E39">
              <w:rPr>
                <w:rFonts w:cs="Arial"/>
                <w:sz w:val="18"/>
              </w:rPr>
              <w:t>1,194***</w:t>
            </w:r>
          </w:p>
        </w:tc>
        <w:tc>
          <w:tcPr>
            <w:tcW w:w="907" w:type="dxa"/>
            <w:tcBorders>
              <w:top w:val="nil"/>
              <w:left w:val="nil"/>
              <w:bottom w:val="nil"/>
              <w:right w:val="nil"/>
            </w:tcBorders>
          </w:tcPr>
          <w:p w14:paraId="764A5EE3" w14:textId="77777777" w:rsidR="00D64459" w:rsidRPr="00493E39" w:rsidRDefault="008B2120">
            <w:pPr>
              <w:spacing w:line="240" w:lineRule="auto"/>
              <w:jc w:val="center"/>
              <w:rPr>
                <w:rFonts w:cs="Arial"/>
              </w:rPr>
            </w:pPr>
            <w:r w:rsidRPr="00493E39">
              <w:rPr>
                <w:rFonts w:cs="Arial"/>
                <w:sz w:val="18"/>
              </w:rPr>
              <w:t>(0,327)</w:t>
            </w:r>
          </w:p>
        </w:tc>
        <w:tc>
          <w:tcPr>
            <w:tcW w:w="1133" w:type="dxa"/>
            <w:tcBorders>
              <w:top w:val="nil"/>
              <w:left w:val="nil"/>
              <w:bottom w:val="nil"/>
              <w:right w:val="nil"/>
            </w:tcBorders>
          </w:tcPr>
          <w:p w14:paraId="1E2733A9" w14:textId="77777777" w:rsidR="00D64459" w:rsidRPr="00493E39" w:rsidRDefault="008B2120">
            <w:pPr>
              <w:spacing w:line="240" w:lineRule="auto"/>
              <w:jc w:val="center"/>
              <w:rPr>
                <w:rFonts w:cs="Arial"/>
              </w:rPr>
            </w:pPr>
            <w:r w:rsidRPr="00493E39">
              <w:rPr>
                <w:rFonts w:cs="Arial"/>
                <w:sz w:val="18"/>
              </w:rPr>
              <w:t>0,006</w:t>
            </w:r>
          </w:p>
        </w:tc>
      </w:tr>
      <w:tr w:rsidR="00D64459" w:rsidRPr="00493E39" w14:paraId="551E44CD" w14:textId="77777777">
        <w:trPr>
          <w:cantSplit/>
          <w:jc w:val="center"/>
        </w:trPr>
        <w:tc>
          <w:tcPr>
            <w:tcW w:w="2268" w:type="dxa"/>
            <w:tcBorders>
              <w:top w:val="nil"/>
              <w:left w:val="nil"/>
              <w:bottom w:val="nil"/>
              <w:right w:val="nil"/>
            </w:tcBorders>
          </w:tcPr>
          <w:p w14:paraId="4AAECEE3" w14:textId="77777777" w:rsidR="00D64459" w:rsidRPr="00493E39" w:rsidRDefault="00D64459">
            <w:pPr>
              <w:spacing w:line="240" w:lineRule="auto"/>
              <w:rPr>
                <w:rFonts w:cs="Arial"/>
              </w:rPr>
            </w:pPr>
          </w:p>
        </w:tc>
        <w:tc>
          <w:tcPr>
            <w:tcW w:w="454" w:type="dxa"/>
            <w:tcBorders>
              <w:top w:val="nil"/>
              <w:left w:val="nil"/>
              <w:bottom w:val="nil"/>
              <w:right w:val="nil"/>
            </w:tcBorders>
          </w:tcPr>
          <w:p w14:paraId="2F43AB2A" w14:textId="77777777" w:rsidR="00D64459" w:rsidRPr="00493E39" w:rsidRDefault="008B2120">
            <w:pPr>
              <w:spacing w:line="240" w:lineRule="auto"/>
              <w:jc w:val="center"/>
              <w:rPr>
                <w:rFonts w:cs="Arial"/>
              </w:rPr>
            </w:pPr>
            <w:r w:rsidRPr="00493E39">
              <w:rPr>
                <w:rFonts w:cs="Arial"/>
                <w:sz w:val="18"/>
              </w:rPr>
              <w:t>6</w:t>
            </w:r>
          </w:p>
        </w:tc>
        <w:tc>
          <w:tcPr>
            <w:tcW w:w="1191" w:type="dxa"/>
            <w:tcBorders>
              <w:top w:val="nil"/>
              <w:left w:val="nil"/>
              <w:bottom w:val="nil"/>
              <w:right w:val="nil"/>
            </w:tcBorders>
          </w:tcPr>
          <w:p w14:paraId="520A35C9" w14:textId="77777777" w:rsidR="00D64459" w:rsidRPr="00493E39" w:rsidRDefault="008B2120">
            <w:pPr>
              <w:spacing w:line="240" w:lineRule="auto"/>
              <w:jc w:val="center"/>
              <w:rPr>
                <w:rFonts w:cs="Arial"/>
              </w:rPr>
            </w:pPr>
            <w:r w:rsidRPr="00493E39">
              <w:rPr>
                <w:rFonts w:cs="Arial"/>
                <w:sz w:val="18"/>
              </w:rPr>
              <w:t>0,334</w:t>
            </w:r>
          </w:p>
        </w:tc>
        <w:tc>
          <w:tcPr>
            <w:tcW w:w="907" w:type="dxa"/>
            <w:tcBorders>
              <w:top w:val="nil"/>
              <w:left w:val="nil"/>
              <w:bottom w:val="nil"/>
              <w:right w:val="nil"/>
            </w:tcBorders>
          </w:tcPr>
          <w:p w14:paraId="6CBE3D74" w14:textId="77777777" w:rsidR="00D64459" w:rsidRPr="00493E39" w:rsidRDefault="008B2120">
            <w:pPr>
              <w:spacing w:line="240" w:lineRule="auto"/>
              <w:jc w:val="center"/>
              <w:rPr>
                <w:rFonts w:cs="Arial"/>
              </w:rPr>
            </w:pPr>
            <w:r w:rsidRPr="00493E39">
              <w:rPr>
                <w:rFonts w:cs="Arial"/>
                <w:sz w:val="18"/>
              </w:rPr>
              <w:t>(0,330)</w:t>
            </w:r>
          </w:p>
        </w:tc>
        <w:tc>
          <w:tcPr>
            <w:tcW w:w="1191" w:type="dxa"/>
            <w:tcBorders>
              <w:top w:val="nil"/>
              <w:left w:val="nil"/>
              <w:bottom w:val="nil"/>
              <w:right w:val="nil"/>
            </w:tcBorders>
          </w:tcPr>
          <w:p w14:paraId="59487863" w14:textId="77777777" w:rsidR="00D64459" w:rsidRPr="00493E39" w:rsidRDefault="008B2120">
            <w:pPr>
              <w:spacing w:line="240" w:lineRule="auto"/>
              <w:jc w:val="center"/>
              <w:rPr>
                <w:rFonts w:cs="Arial"/>
              </w:rPr>
            </w:pPr>
            <w:r w:rsidRPr="00493E39">
              <w:rPr>
                <w:rFonts w:cs="Arial"/>
                <w:sz w:val="18"/>
              </w:rPr>
              <w:t>0,520</w:t>
            </w:r>
          </w:p>
        </w:tc>
        <w:tc>
          <w:tcPr>
            <w:tcW w:w="907" w:type="dxa"/>
            <w:tcBorders>
              <w:top w:val="nil"/>
              <w:left w:val="nil"/>
              <w:bottom w:val="nil"/>
              <w:right w:val="nil"/>
            </w:tcBorders>
          </w:tcPr>
          <w:p w14:paraId="4C3F4182" w14:textId="77777777" w:rsidR="00D64459" w:rsidRPr="00493E39" w:rsidRDefault="008B2120">
            <w:pPr>
              <w:spacing w:line="240" w:lineRule="auto"/>
              <w:jc w:val="center"/>
              <w:rPr>
                <w:rFonts w:cs="Arial"/>
              </w:rPr>
            </w:pPr>
            <w:r w:rsidRPr="00493E39">
              <w:rPr>
                <w:rFonts w:cs="Arial"/>
                <w:sz w:val="18"/>
              </w:rPr>
              <w:t>(0,397)</w:t>
            </w:r>
          </w:p>
        </w:tc>
        <w:tc>
          <w:tcPr>
            <w:tcW w:w="1133" w:type="dxa"/>
            <w:tcBorders>
              <w:top w:val="nil"/>
              <w:left w:val="nil"/>
              <w:bottom w:val="nil"/>
              <w:right w:val="nil"/>
            </w:tcBorders>
          </w:tcPr>
          <w:p w14:paraId="31C1065F" w14:textId="77777777" w:rsidR="00D64459" w:rsidRPr="00493E39" w:rsidRDefault="008B2120">
            <w:pPr>
              <w:spacing w:line="240" w:lineRule="auto"/>
              <w:jc w:val="center"/>
              <w:rPr>
                <w:rFonts w:cs="Arial"/>
              </w:rPr>
            </w:pPr>
            <w:r w:rsidRPr="00493E39">
              <w:rPr>
                <w:rFonts w:cs="Arial"/>
                <w:sz w:val="18"/>
              </w:rPr>
              <w:t>0,741</w:t>
            </w:r>
          </w:p>
        </w:tc>
      </w:tr>
      <w:tr w:rsidR="00D64459" w:rsidRPr="00493E39" w14:paraId="3B3713D0" w14:textId="77777777">
        <w:trPr>
          <w:cantSplit/>
          <w:jc w:val="center"/>
        </w:trPr>
        <w:tc>
          <w:tcPr>
            <w:tcW w:w="2268" w:type="dxa"/>
            <w:tcBorders>
              <w:top w:val="nil"/>
              <w:left w:val="nil"/>
              <w:bottom w:val="nil"/>
              <w:right w:val="nil"/>
            </w:tcBorders>
          </w:tcPr>
          <w:p w14:paraId="05424198" w14:textId="77777777" w:rsidR="00D64459" w:rsidRPr="00493E39" w:rsidRDefault="00D64459">
            <w:pPr>
              <w:spacing w:line="240" w:lineRule="auto"/>
              <w:rPr>
                <w:rFonts w:cs="Arial"/>
              </w:rPr>
            </w:pPr>
          </w:p>
        </w:tc>
        <w:tc>
          <w:tcPr>
            <w:tcW w:w="454" w:type="dxa"/>
            <w:tcBorders>
              <w:top w:val="nil"/>
              <w:left w:val="nil"/>
              <w:bottom w:val="nil"/>
              <w:right w:val="nil"/>
            </w:tcBorders>
          </w:tcPr>
          <w:p w14:paraId="59DB24E1" w14:textId="77777777" w:rsidR="00D64459" w:rsidRPr="00493E39" w:rsidRDefault="008B2120">
            <w:pPr>
              <w:spacing w:line="240" w:lineRule="auto"/>
              <w:jc w:val="center"/>
              <w:rPr>
                <w:rFonts w:cs="Arial"/>
              </w:rPr>
            </w:pPr>
            <w:r w:rsidRPr="00493E39">
              <w:rPr>
                <w:rFonts w:cs="Arial"/>
                <w:sz w:val="18"/>
              </w:rPr>
              <w:t>12</w:t>
            </w:r>
          </w:p>
        </w:tc>
        <w:tc>
          <w:tcPr>
            <w:tcW w:w="1191" w:type="dxa"/>
            <w:tcBorders>
              <w:top w:val="nil"/>
              <w:left w:val="nil"/>
              <w:bottom w:val="nil"/>
              <w:right w:val="nil"/>
            </w:tcBorders>
          </w:tcPr>
          <w:p w14:paraId="4722C293" w14:textId="77777777" w:rsidR="00D64459" w:rsidRPr="00493E39" w:rsidRDefault="008B2120">
            <w:pPr>
              <w:spacing w:line="240" w:lineRule="auto"/>
              <w:jc w:val="center"/>
              <w:rPr>
                <w:rFonts w:cs="Arial"/>
              </w:rPr>
            </w:pPr>
            <w:r w:rsidRPr="00493E39">
              <w:rPr>
                <w:rFonts w:cs="Arial"/>
                <w:sz w:val="18"/>
              </w:rPr>
              <w:t>0,133</w:t>
            </w:r>
          </w:p>
        </w:tc>
        <w:tc>
          <w:tcPr>
            <w:tcW w:w="907" w:type="dxa"/>
            <w:tcBorders>
              <w:top w:val="nil"/>
              <w:left w:val="nil"/>
              <w:bottom w:val="nil"/>
              <w:right w:val="nil"/>
            </w:tcBorders>
          </w:tcPr>
          <w:p w14:paraId="1B8F5E64" w14:textId="77777777" w:rsidR="00D64459" w:rsidRPr="00493E39" w:rsidRDefault="008B2120">
            <w:pPr>
              <w:spacing w:line="240" w:lineRule="auto"/>
              <w:jc w:val="center"/>
              <w:rPr>
                <w:rFonts w:cs="Arial"/>
              </w:rPr>
            </w:pPr>
            <w:r w:rsidRPr="00493E39">
              <w:rPr>
                <w:rFonts w:cs="Arial"/>
                <w:sz w:val="18"/>
              </w:rPr>
              <w:t>(0,425)</w:t>
            </w:r>
          </w:p>
        </w:tc>
        <w:tc>
          <w:tcPr>
            <w:tcW w:w="1191" w:type="dxa"/>
            <w:tcBorders>
              <w:top w:val="nil"/>
              <w:left w:val="nil"/>
              <w:bottom w:val="nil"/>
              <w:right w:val="nil"/>
            </w:tcBorders>
          </w:tcPr>
          <w:p w14:paraId="6624E5C3" w14:textId="77777777" w:rsidR="00D64459" w:rsidRPr="00493E39" w:rsidRDefault="008B2120">
            <w:pPr>
              <w:spacing w:line="240" w:lineRule="auto"/>
              <w:jc w:val="center"/>
              <w:rPr>
                <w:rFonts w:cs="Arial"/>
              </w:rPr>
            </w:pPr>
            <w:r w:rsidRPr="00493E39">
              <w:rPr>
                <w:rFonts w:cs="Arial"/>
                <w:sz w:val="18"/>
              </w:rPr>
              <w:t>0,605</w:t>
            </w:r>
          </w:p>
        </w:tc>
        <w:tc>
          <w:tcPr>
            <w:tcW w:w="907" w:type="dxa"/>
            <w:tcBorders>
              <w:top w:val="nil"/>
              <w:left w:val="nil"/>
              <w:bottom w:val="nil"/>
              <w:right w:val="nil"/>
            </w:tcBorders>
          </w:tcPr>
          <w:p w14:paraId="308F55F6" w14:textId="77777777" w:rsidR="00D64459" w:rsidRPr="00493E39" w:rsidRDefault="008B2120">
            <w:pPr>
              <w:spacing w:line="240" w:lineRule="auto"/>
              <w:jc w:val="center"/>
              <w:rPr>
                <w:rFonts w:cs="Arial"/>
              </w:rPr>
            </w:pPr>
            <w:r w:rsidRPr="00493E39">
              <w:rPr>
                <w:rFonts w:cs="Arial"/>
                <w:sz w:val="18"/>
              </w:rPr>
              <w:t>(0,433)</w:t>
            </w:r>
          </w:p>
        </w:tc>
        <w:tc>
          <w:tcPr>
            <w:tcW w:w="1133" w:type="dxa"/>
            <w:tcBorders>
              <w:top w:val="nil"/>
              <w:left w:val="nil"/>
              <w:bottom w:val="nil"/>
              <w:right w:val="nil"/>
            </w:tcBorders>
          </w:tcPr>
          <w:p w14:paraId="05E19C55" w14:textId="77777777" w:rsidR="00D64459" w:rsidRPr="00493E39" w:rsidRDefault="008B2120">
            <w:pPr>
              <w:spacing w:line="240" w:lineRule="auto"/>
              <w:jc w:val="center"/>
              <w:rPr>
                <w:rFonts w:cs="Arial"/>
              </w:rPr>
            </w:pPr>
            <w:r w:rsidRPr="00493E39">
              <w:rPr>
                <w:rFonts w:cs="Arial"/>
                <w:sz w:val="18"/>
              </w:rPr>
              <w:t>0,428</w:t>
            </w:r>
          </w:p>
        </w:tc>
      </w:tr>
      <w:tr w:rsidR="00D64459" w:rsidRPr="00493E39" w14:paraId="32E50CB4" w14:textId="77777777">
        <w:trPr>
          <w:cantSplit/>
          <w:jc w:val="center"/>
        </w:trPr>
        <w:tc>
          <w:tcPr>
            <w:tcW w:w="2268" w:type="dxa"/>
            <w:tcBorders>
              <w:top w:val="nil"/>
              <w:left w:val="nil"/>
              <w:bottom w:val="nil"/>
              <w:right w:val="nil"/>
            </w:tcBorders>
          </w:tcPr>
          <w:p w14:paraId="4AFFEF79"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ao</w:t>
            </w:r>
            <w:proofErr w:type="spellEnd"/>
            <w:r w:rsidRPr="00493E39">
              <w:rPr>
                <w:rFonts w:cs="Arial"/>
                <w:sz w:val="18"/>
              </w:rPr>
              <w:t xml:space="preserve"> </w:t>
            </w:r>
            <w:proofErr w:type="spellStart"/>
            <w:r w:rsidRPr="00493E39">
              <w:rPr>
                <w:rFonts w:cs="Arial"/>
                <w:sz w:val="18"/>
              </w:rPr>
              <w:t>consumidor</w:t>
            </w:r>
            <w:proofErr w:type="spellEnd"/>
          </w:p>
        </w:tc>
        <w:tc>
          <w:tcPr>
            <w:tcW w:w="454" w:type="dxa"/>
            <w:tcBorders>
              <w:top w:val="nil"/>
              <w:left w:val="nil"/>
              <w:bottom w:val="nil"/>
              <w:right w:val="nil"/>
            </w:tcBorders>
          </w:tcPr>
          <w:p w14:paraId="5792D7C9" w14:textId="77777777" w:rsidR="00D64459" w:rsidRPr="00493E39" w:rsidRDefault="008B2120">
            <w:pPr>
              <w:spacing w:line="240" w:lineRule="auto"/>
              <w:jc w:val="center"/>
              <w:rPr>
                <w:rFonts w:cs="Arial"/>
              </w:rPr>
            </w:pPr>
            <w:r w:rsidRPr="00493E39">
              <w:rPr>
                <w:rFonts w:cs="Arial"/>
                <w:sz w:val="18"/>
              </w:rPr>
              <w:t>0</w:t>
            </w:r>
          </w:p>
        </w:tc>
        <w:tc>
          <w:tcPr>
            <w:tcW w:w="1191" w:type="dxa"/>
            <w:tcBorders>
              <w:top w:val="nil"/>
              <w:left w:val="nil"/>
              <w:bottom w:val="nil"/>
              <w:right w:val="nil"/>
            </w:tcBorders>
          </w:tcPr>
          <w:p w14:paraId="376D2A43" w14:textId="77777777" w:rsidR="00D64459" w:rsidRPr="00493E39" w:rsidRDefault="008B2120">
            <w:pPr>
              <w:spacing w:line="240" w:lineRule="auto"/>
              <w:jc w:val="center"/>
              <w:rPr>
                <w:rFonts w:cs="Arial"/>
              </w:rPr>
            </w:pPr>
            <w:r w:rsidRPr="00493E39">
              <w:rPr>
                <w:rFonts w:cs="Arial"/>
                <w:sz w:val="18"/>
              </w:rPr>
              <w:t>0,238</w:t>
            </w:r>
          </w:p>
        </w:tc>
        <w:tc>
          <w:tcPr>
            <w:tcW w:w="907" w:type="dxa"/>
            <w:tcBorders>
              <w:top w:val="nil"/>
              <w:left w:val="nil"/>
              <w:bottom w:val="nil"/>
              <w:right w:val="nil"/>
            </w:tcBorders>
          </w:tcPr>
          <w:p w14:paraId="71FB29EC" w14:textId="77777777" w:rsidR="00D64459" w:rsidRPr="00493E39" w:rsidRDefault="008B2120">
            <w:pPr>
              <w:spacing w:line="240" w:lineRule="auto"/>
              <w:jc w:val="center"/>
              <w:rPr>
                <w:rFonts w:cs="Arial"/>
              </w:rPr>
            </w:pPr>
            <w:r w:rsidRPr="00493E39">
              <w:rPr>
                <w:rFonts w:cs="Arial"/>
                <w:sz w:val="18"/>
              </w:rPr>
              <w:t>(0,189)</w:t>
            </w:r>
          </w:p>
        </w:tc>
        <w:tc>
          <w:tcPr>
            <w:tcW w:w="1191" w:type="dxa"/>
            <w:tcBorders>
              <w:top w:val="nil"/>
              <w:left w:val="nil"/>
              <w:bottom w:val="nil"/>
              <w:right w:val="nil"/>
            </w:tcBorders>
          </w:tcPr>
          <w:p w14:paraId="4B843DEB" w14:textId="77777777" w:rsidR="00D64459" w:rsidRPr="00493E39" w:rsidRDefault="008B2120">
            <w:pPr>
              <w:spacing w:line="240" w:lineRule="auto"/>
              <w:jc w:val="center"/>
              <w:rPr>
                <w:rFonts w:cs="Arial"/>
              </w:rPr>
            </w:pPr>
            <w:r w:rsidRPr="00493E39">
              <w:rPr>
                <w:rFonts w:cs="Arial"/>
                <w:sz w:val="18"/>
              </w:rPr>
              <w:t>2,031***</w:t>
            </w:r>
          </w:p>
        </w:tc>
        <w:tc>
          <w:tcPr>
            <w:tcW w:w="907" w:type="dxa"/>
            <w:tcBorders>
              <w:top w:val="nil"/>
              <w:left w:val="nil"/>
              <w:bottom w:val="nil"/>
              <w:right w:val="nil"/>
            </w:tcBorders>
          </w:tcPr>
          <w:p w14:paraId="2B482B87" w14:textId="77777777" w:rsidR="00D64459" w:rsidRPr="00493E39" w:rsidRDefault="008B2120">
            <w:pPr>
              <w:spacing w:line="240" w:lineRule="auto"/>
              <w:jc w:val="center"/>
              <w:rPr>
                <w:rFonts w:cs="Arial"/>
              </w:rPr>
            </w:pPr>
            <w:r w:rsidRPr="00493E39">
              <w:rPr>
                <w:rFonts w:cs="Arial"/>
                <w:sz w:val="18"/>
              </w:rPr>
              <w:t>(0,415)</w:t>
            </w:r>
          </w:p>
        </w:tc>
        <w:tc>
          <w:tcPr>
            <w:tcW w:w="1133" w:type="dxa"/>
            <w:tcBorders>
              <w:top w:val="nil"/>
              <w:left w:val="nil"/>
              <w:bottom w:val="nil"/>
              <w:right w:val="nil"/>
            </w:tcBorders>
          </w:tcPr>
          <w:p w14:paraId="0ABA94A4"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534727A7" w14:textId="77777777">
        <w:trPr>
          <w:cantSplit/>
          <w:jc w:val="center"/>
        </w:trPr>
        <w:tc>
          <w:tcPr>
            <w:tcW w:w="2268" w:type="dxa"/>
            <w:tcBorders>
              <w:top w:val="nil"/>
              <w:left w:val="nil"/>
              <w:bottom w:val="nil"/>
              <w:right w:val="nil"/>
            </w:tcBorders>
          </w:tcPr>
          <w:p w14:paraId="182526EA" w14:textId="77777777" w:rsidR="00D64459" w:rsidRPr="00493E39" w:rsidRDefault="00D64459">
            <w:pPr>
              <w:spacing w:line="240" w:lineRule="auto"/>
              <w:rPr>
                <w:rFonts w:cs="Arial"/>
              </w:rPr>
            </w:pPr>
          </w:p>
        </w:tc>
        <w:tc>
          <w:tcPr>
            <w:tcW w:w="454" w:type="dxa"/>
            <w:tcBorders>
              <w:top w:val="nil"/>
              <w:left w:val="nil"/>
              <w:bottom w:val="nil"/>
              <w:right w:val="nil"/>
            </w:tcBorders>
          </w:tcPr>
          <w:p w14:paraId="6452AA75" w14:textId="77777777" w:rsidR="00D64459" w:rsidRPr="00493E39" w:rsidRDefault="008B2120">
            <w:pPr>
              <w:spacing w:line="240" w:lineRule="auto"/>
              <w:jc w:val="center"/>
              <w:rPr>
                <w:rFonts w:cs="Arial"/>
              </w:rPr>
            </w:pPr>
            <w:r w:rsidRPr="00493E39">
              <w:rPr>
                <w:rFonts w:cs="Arial"/>
                <w:sz w:val="18"/>
              </w:rPr>
              <w:t>1</w:t>
            </w:r>
          </w:p>
        </w:tc>
        <w:tc>
          <w:tcPr>
            <w:tcW w:w="1191" w:type="dxa"/>
            <w:tcBorders>
              <w:top w:val="nil"/>
              <w:left w:val="nil"/>
              <w:bottom w:val="nil"/>
              <w:right w:val="nil"/>
            </w:tcBorders>
          </w:tcPr>
          <w:p w14:paraId="52624755" w14:textId="77777777" w:rsidR="00D64459" w:rsidRPr="00493E39" w:rsidRDefault="008B2120">
            <w:pPr>
              <w:spacing w:line="240" w:lineRule="auto"/>
              <w:jc w:val="center"/>
              <w:rPr>
                <w:rFonts w:cs="Arial"/>
              </w:rPr>
            </w:pPr>
            <w:r w:rsidRPr="00493E39">
              <w:rPr>
                <w:rFonts w:cs="Arial"/>
                <w:sz w:val="18"/>
              </w:rPr>
              <w:t>0,222</w:t>
            </w:r>
          </w:p>
        </w:tc>
        <w:tc>
          <w:tcPr>
            <w:tcW w:w="907" w:type="dxa"/>
            <w:tcBorders>
              <w:top w:val="nil"/>
              <w:left w:val="nil"/>
              <w:bottom w:val="nil"/>
              <w:right w:val="nil"/>
            </w:tcBorders>
          </w:tcPr>
          <w:p w14:paraId="1F57793F" w14:textId="77777777" w:rsidR="00D64459" w:rsidRPr="00493E39" w:rsidRDefault="008B2120">
            <w:pPr>
              <w:spacing w:line="240" w:lineRule="auto"/>
              <w:jc w:val="center"/>
              <w:rPr>
                <w:rFonts w:cs="Arial"/>
              </w:rPr>
            </w:pPr>
            <w:r w:rsidRPr="00493E39">
              <w:rPr>
                <w:rFonts w:cs="Arial"/>
                <w:sz w:val="18"/>
              </w:rPr>
              <w:t>(0,263)</w:t>
            </w:r>
          </w:p>
        </w:tc>
        <w:tc>
          <w:tcPr>
            <w:tcW w:w="1191" w:type="dxa"/>
            <w:tcBorders>
              <w:top w:val="nil"/>
              <w:left w:val="nil"/>
              <w:bottom w:val="nil"/>
              <w:right w:val="nil"/>
            </w:tcBorders>
          </w:tcPr>
          <w:p w14:paraId="79D338E7" w14:textId="77777777" w:rsidR="00D64459" w:rsidRPr="00493E39" w:rsidRDefault="008B2120">
            <w:pPr>
              <w:spacing w:line="240" w:lineRule="auto"/>
              <w:jc w:val="center"/>
              <w:rPr>
                <w:rFonts w:cs="Arial"/>
              </w:rPr>
            </w:pPr>
            <w:r w:rsidRPr="00493E39">
              <w:rPr>
                <w:rFonts w:cs="Arial"/>
                <w:sz w:val="18"/>
              </w:rPr>
              <w:t>3,977***</w:t>
            </w:r>
          </w:p>
        </w:tc>
        <w:tc>
          <w:tcPr>
            <w:tcW w:w="907" w:type="dxa"/>
            <w:tcBorders>
              <w:top w:val="nil"/>
              <w:left w:val="nil"/>
              <w:bottom w:val="nil"/>
              <w:right w:val="nil"/>
            </w:tcBorders>
          </w:tcPr>
          <w:p w14:paraId="373B0003" w14:textId="77777777" w:rsidR="00D64459" w:rsidRPr="00493E39" w:rsidRDefault="008B2120">
            <w:pPr>
              <w:spacing w:line="240" w:lineRule="auto"/>
              <w:jc w:val="center"/>
              <w:rPr>
                <w:rFonts w:cs="Arial"/>
              </w:rPr>
            </w:pPr>
            <w:r w:rsidRPr="00493E39">
              <w:rPr>
                <w:rFonts w:cs="Arial"/>
                <w:sz w:val="18"/>
              </w:rPr>
              <w:t>(0,767)</w:t>
            </w:r>
          </w:p>
        </w:tc>
        <w:tc>
          <w:tcPr>
            <w:tcW w:w="1133" w:type="dxa"/>
            <w:tcBorders>
              <w:top w:val="nil"/>
              <w:left w:val="nil"/>
              <w:bottom w:val="nil"/>
              <w:right w:val="nil"/>
            </w:tcBorders>
          </w:tcPr>
          <w:p w14:paraId="6D7C43EF"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481B3B7F" w14:textId="77777777">
        <w:trPr>
          <w:cantSplit/>
          <w:jc w:val="center"/>
        </w:trPr>
        <w:tc>
          <w:tcPr>
            <w:tcW w:w="2268" w:type="dxa"/>
            <w:tcBorders>
              <w:top w:val="nil"/>
              <w:left w:val="nil"/>
              <w:bottom w:val="nil"/>
              <w:right w:val="nil"/>
            </w:tcBorders>
          </w:tcPr>
          <w:p w14:paraId="6BC90702" w14:textId="77777777" w:rsidR="00D64459" w:rsidRPr="00493E39" w:rsidRDefault="00D64459">
            <w:pPr>
              <w:spacing w:line="240" w:lineRule="auto"/>
              <w:rPr>
                <w:rFonts w:cs="Arial"/>
              </w:rPr>
            </w:pPr>
          </w:p>
        </w:tc>
        <w:tc>
          <w:tcPr>
            <w:tcW w:w="454" w:type="dxa"/>
            <w:tcBorders>
              <w:top w:val="nil"/>
              <w:left w:val="nil"/>
              <w:bottom w:val="nil"/>
              <w:right w:val="nil"/>
            </w:tcBorders>
          </w:tcPr>
          <w:p w14:paraId="1A1ED3A9" w14:textId="77777777" w:rsidR="00D64459" w:rsidRPr="00493E39" w:rsidRDefault="008B2120">
            <w:pPr>
              <w:spacing w:line="240" w:lineRule="auto"/>
              <w:jc w:val="center"/>
              <w:rPr>
                <w:rFonts w:cs="Arial"/>
              </w:rPr>
            </w:pPr>
            <w:r w:rsidRPr="00493E39">
              <w:rPr>
                <w:rFonts w:cs="Arial"/>
                <w:sz w:val="18"/>
              </w:rPr>
              <w:t>3</w:t>
            </w:r>
          </w:p>
        </w:tc>
        <w:tc>
          <w:tcPr>
            <w:tcW w:w="1191" w:type="dxa"/>
            <w:tcBorders>
              <w:top w:val="nil"/>
              <w:left w:val="nil"/>
              <w:bottom w:val="nil"/>
              <w:right w:val="nil"/>
            </w:tcBorders>
          </w:tcPr>
          <w:p w14:paraId="2BAABEA8" w14:textId="77777777" w:rsidR="00D64459" w:rsidRPr="00493E39" w:rsidRDefault="008B2120">
            <w:pPr>
              <w:spacing w:line="240" w:lineRule="auto"/>
              <w:jc w:val="center"/>
              <w:rPr>
                <w:rFonts w:cs="Arial"/>
              </w:rPr>
            </w:pPr>
            <w:r w:rsidRPr="00493E39">
              <w:rPr>
                <w:rFonts w:cs="Arial"/>
                <w:sz w:val="18"/>
              </w:rPr>
              <w:t>0,118</w:t>
            </w:r>
          </w:p>
        </w:tc>
        <w:tc>
          <w:tcPr>
            <w:tcW w:w="907" w:type="dxa"/>
            <w:tcBorders>
              <w:top w:val="nil"/>
              <w:left w:val="nil"/>
              <w:bottom w:val="nil"/>
              <w:right w:val="nil"/>
            </w:tcBorders>
          </w:tcPr>
          <w:p w14:paraId="5060F8B7" w14:textId="77777777" w:rsidR="00D64459" w:rsidRPr="00493E39" w:rsidRDefault="008B2120">
            <w:pPr>
              <w:spacing w:line="240" w:lineRule="auto"/>
              <w:jc w:val="center"/>
              <w:rPr>
                <w:rFonts w:cs="Arial"/>
              </w:rPr>
            </w:pPr>
            <w:r w:rsidRPr="00493E39">
              <w:rPr>
                <w:rFonts w:cs="Arial"/>
                <w:sz w:val="18"/>
              </w:rPr>
              <w:t>(0,387)</w:t>
            </w:r>
          </w:p>
        </w:tc>
        <w:tc>
          <w:tcPr>
            <w:tcW w:w="1191" w:type="dxa"/>
            <w:tcBorders>
              <w:top w:val="nil"/>
              <w:left w:val="nil"/>
              <w:bottom w:val="nil"/>
              <w:right w:val="nil"/>
            </w:tcBorders>
          </w:tcPr>
          <w:p w14:paraId="33325B79" w14:textId="77777777" w:rsidR="00D64459" w:rsidRPr="00493E39" w:rsidRDefault="008B2120">
            <w:pPr>
              <w:spacing w:line="240" w:lineRule="auto"/>
              <w:jc w:val="center"/>
              <w:rPr>
                <w:rFonts w:cs="Arial"/>
              </w:rPr>
            </w:pPr>
            <w:r w:rsidRPr="00493E39">
              <w:rPr>
                <w:rFonts w:cs="Arial"/>
                <w:sz w:val="18"/>
              </w:rPr>
              <w:t>2,732**</w:t>
            </w:r>
          </w:p>
        </w:tc>
        <w:tc>
          <w:tcPr>
            <w:tcW w:w="907" w:type="dxa"/>
            <w:tcBorders>
              <w:top w:val="nil"/>
              <w:left w:val="nil"/>
              <w:bottom w:val="nil"/>
              <w:right w:val="nil"/>
            </w:tcBorders>
          </w:tcPr>
          <w:p w14:paraId="2DEC0660" w14:textId="77777777" w:rsidR="00D64459" w:rsidRPr="00493E39" w:rsidRDefault="008B2120">
            <w:pPr>
              <w:spacing w:line="240" w:lineRule="auto"/>
              <w:jc w:val="center"/>
              <w:rPr>
                <w:rFonts w:cs="Arial"/>
              </w:rPr>
            </w:pPr>
            <w:r w:rsidRPr="00493E39">
              <w:rPr>
                <w:rFonts w:cs="Arial"/>
                <w:sz w:val="18"/>
              </w:rPr>
              <w:t>(1,122)</w:t>
            </w:r>
          </w:p>
        </w:tc>
        <w:tc>
          <w:tcPr>
            <w:tcW w:w="1133" w:type="dxa"/>
            <w:tcBorders>
              <w:top w:val="nil"/>
              <w:left w:val="nil"/>
              <w:bottom w:val="nil"/>
              <w:right w:val="nil"/>
            </w:tcBorders>
          </w:tcPr>
          <w:p w14:paraId="52BD6D69" w14:textId="77777777" w:rsidR="00D64459" w:rsidRPr="00493E39" w:rsidRDefault="008B2120">
            <w:pPr>
              <w:spacing w:line="240" w:lineRule="auto"/>
              <w:jc w:val="center"/>
              <w:rPr>
                <w:rFonts w:cs="Arial"/>
              </w:rPr>
            </w:pPr>
            <w:r w:rsidRPr="00493E39">
              <w:rPr>
                <w:rFonts w:cs="Arial"/>
                <w:sz w:val="18"/>
              </w:rPr>
              <w:t>0,028</w:t>
            </w:r>
          </w:p>
        </w:tc>
      </w:tr>
      <w:tr w:rsidR="00D64459" w:rsidRPr="00493E39" w14:paraId="7B9EB083" w14:textId="77777777">
        <w:trPr>
          <w:cantSplit/>
          <w:jc w:val="center"/>
        </w:trPr>
        <w:tc>
          <w:tcPr>
            <w:tcW w:w="2268" w:type="dxa"/>
            <w:tcBorders>
              <w:top w:val="nil"/>
              <w:left w:val="nil"/>
              <w:bottom w:val="nil"/>
              <w:right w:val="nil"/>
            </w:tcBorders>
          </w:tcPr>
          <w:p w14:paraId="57C6559F" w14:textId="77777777" w:rsidR="00D64459" w:rsidRPr="00493E39" w:rsidRDefault="00D64459">
            <w:pPr>
              <w:spacing w:line="240" w:lineRule="auto"/>
              <w:rPr>
                <w:rFonts w:cs="Arial"/>
              </w:rPr>
            </w:pPr>
          </w:p>
        </w:tc>
        <w:tc>
          <w:tcPr>
            <w:tcW w:w="454" w:type="dxa"/>
            <w:tcBorders>
              <w:top w:val="nil"/>
              <w:left w:val="nil"/>
              <w:bottom w:val="nil"/>
              <w:right w:val="nil"/>
            </w:tcBorders>
          </w:tcPr>
          <w:p w14:paraId="6ECF9079" w14:textId="77777777" w:rsidR="00D64459" w:rsidRPr="00493E39" w:rsidRDefault="008B2120">
            <w:pPr>
              <w:spacing w:line="240" w:lineRule="auto"/>
              <w:jc w:val="center"/>
              <w:rPr>
                <w:rFonts w:cs="Arial"/>
              </w:rPr>
            </w:pPr>
            <w:r w:rsidRPr="00493E39">
              <w:rPr>
                <w:rFonts w:cs="Arial"/>
                <w:sz w:val="18"/>
              </w:rPr>
              <w:t>6</w:t>
            </w:r>
          </w:p>
        </w:tc>
        <w:tc>
          <w:tcPr>
            <w:tcW w:w="1191" w:type="dxa"/>
            <w:tcBorders>
              <w:top w:val="nil"/>
              <w:left w:val="nil"/>
              <w:bottom w:val="nil"/>
              <w:right w:val="nil"/>
            </w:tcBorders>
          </w:tcPr>
          <w:p w14:paraId="2BE65863" w14:textId="77777777" w:rsidR="00D64459" w:rsidRPr="00493E39" w:rsidRDefault="008B2120">
            <w:pPr>
              <w:spacing w:line="240" w:lineRule="auto"/>
              <w:jc w:val="center"/>
              <w:rPr>
                <w:rFonts w:cs="Arial"/>
              </w:rPr>
            </w:pPr>
            <w:r w:rsidRPr="00493E39">
              <w:rPr>
                <w:rFonts w:cs="Arial"/>
                <w:sz w:val="18"/>
              </w:rPr>
              <w:t>0,648</w:t>
            </w:r>
          </w:p>
        </w:tc>
        <w:tc>
          <w:tcPr>
            <w:tcW w:w="907" w:type="dxa"/>
            <w:tcBorders>
              <w:top w:val="nil"/>
              <w:left w:val="nil"/>
              <w:bottom w:val="nil"/>
              <w:right w:val="nil"/>
            </w:tcBorders>
          </w:tcPr>
          <w:p w14:paraId="3ED98D21" w14:textId="77777777" w:rsidR="00D64459" w:rsidRPr="00493E39" w:rsidRDefault="008B2120">
            <w:pPr>
              <w:spacing w:line="240" w:lineRule="auto"/>
              <w:jc w:val="center"/>
              <w:rPr>
                <w:rFonts w:cs="Arial"/>
              </w:rPr>
            </w:pPr>
            <w:r w:rsidRPr="00493E39">
              <w:rPr>
                <w:rFonts w:cs="Arial"/>
                <w:sz w:val="18"/>
              </w:rPr>
              <w:t>(0,695)</w:t>
            </w:r>
          </w:p>
        </w:tc>
        <w:tc>
          <w:tcPr>
            <w:tcW w:w="1191" w:type="dxa"/>
            <w:tcBorders>
              <w:top w:val="nil"/>
              <w:left w:val="nil"/>
              <w:bottom w:val="nil"/>
              <w:right w:val="nil"/>
            </w:tcBorders>
          </w:tcPr>
          <w:p w14:paraId="3B08098C" w14:textId="77777777" w:rsidR="00D64459" w:rsidRPr="00493E39" w:rsidRDefault="008B2120">
            <w:pPr>
              <w:spacing w:line="240" w:lineRule="auto"/>
              <w:jc w:val="center"/>
              <w:rPr>
                <w:rFonts w:cs="Arial"/>
              </w:rPr>
            </w:pPr>
            <w:r w:rsidRPr="00493E39">
              <w:rPr>
                <w:rFonts w:cs="Arial"/>
                <w:sz w:val="18"/>
              </w:rPr>
              <w:t>0,202</w:t>
            </w:r>
          </w:p>
        </w:tc>
        <w:tc>
          <w:tcPr>
            <w:tcW w:w="907" w:type="dxa"/>
            <w:tcBorders>
              <w:top w:val="nil"/>
              <w:left w:val="nil"/>
              <w:bottom w:val="nil"/>
              <w:right w:val="nil"/>
            </w:tcBorders>
          </w:tcPr>
          <w:p w14:paraId="3E63228A" w14:textId="77777777" w:rsidR="00D64459" w:rsidRPr="00493E39" w:rsidRDefault="008B2120">
            <w:pPr>
              <w:spacing w:line="240" w:lineRule="auto"/>
              <w:jc w:val="center"/>
              <w:rPr>
                <w:rFonts w:cs="Arial"/>
              </w:rPr>
            </w:pPr>
            <w:r w:rsidRPr="00493E39">
              <w:rPr>
                <w:rFonts w:cs="Arial"/>
                <w:sz w:val="18"/>
              </w:rPr>
              <w:t>(1,443)</w:t>
            </w:r>
          </w:p>
        </w:tc>
        <w:tc>
          <w:tcPr>
            <w:tcW w:w="1133" w:type="dxa"/>
            <w:tcBorders>
              <w:top w:val="nil"/>
              <w:left w:val="nil"/>
              <w:bottom w:val="nil"/>
              <w:right w:val="nil"/>
            </w:tcBorders>
          </w:tcPr>
          <w:p w14:paraId="7C30EA6F" w14:textId="77777777" w:rsidR="00D64459" w:rsidRPr="00493E39" w:rsidRDefault="008B2120">
            <w:pPr>
              <w:spacing w:line="240" w:lineRule="auto"/>
              <w:jc w:val="center"/>
              <w:rPr>
                <w:rFonts w:cs="Arial"/>
              </w:rPr>
            </w:pPr>
            <w:r w:rsidRPr="00493E39">
              <w:rPr>
                <w:rFonts w:cs="Arial"/>
                <w:sz w:val="18"/>
              </w:rPr>
              <w:t>0,805</w:t>
            </w:r>
          </w:p>
        </w:tc>
      </w:tr>
      <w:tr w:rsidR="00D64459" w:rsidRPr="00493E39" w14:paraId="13C53236" w14:textId="77777777">
        <w:trPr>
          <w:cantSplit/>
          <w:jc w:val="center"/>
        </w:trPr>
        <w:tc>
          <w:tcPr>
            <w:tcW w:w="2268" w:type="dxa"/>
            <w:tcBorders>
              <w:top w:val="nil"/>
              <w:left w:val="nil"/>
              <w:bottom w:val="nil"/>
              <w:right w:val="nil"/>
            </w:tcBorders>
          </w:tcPr>
          <w:p w14:paraId="11E68C1A" w14:textId="77777777" w:rsidR="00D64459" w:rsidRPr="00493E39" w:rsidRDefault="00D64459">
            <w:pPr>
              <w:spacing w:line="240" w:lineRule="auto"/>
              <w:rPr>
                <w:rFonts w:cs="Arial"/>
              </w:rPr>
            </w:pPr>
          </w:p>
        </w:tc>
        <w:tc>
          <w:tcPr>
            <w:tcW w:w="454" w:type="dxa"/>
            <w:tcBorders>
              <w:top w:val="nil"/>
              <w:left w:val="nil"/>
              <w:bottom w:val="nil"/>
              <w:right w:val="nil"/>
            </w:tcBorders>
          </w:tcPr>
          <w:p w14:paraId="54997452" w14:textId="77777777" w:rsidR="00D64459" w:rsidRPr="00493E39" w:rsidRDefault="008B2120">
            <w:pPr>
              <w:spacing w:line="240" w:lineRule="auto"/>
              <w:jc w:val="center"/>
              <w:rPr>
                <w:rFonts w:cs="Arial"/>
              </w:rPr>
            </w:pPr>
            <w:r w:rsidRPr="00493E39">
              <w:rPr>
                <w:rFonts w:cs="Arial"/>
                <w:sz w:val="18"/>
              </w:rPr>
              <w:t>12</w:t>
            </w:r>
          </w:p>
        </w:tc>
        <w:tc>
          <w:tcPr>
            <w:tcW w:w="1191" w:type="dxa"/>
            <w:tcBorders>
              <w:top w:val="nil"/>
              <w:left w:val="nil"/>
              <w:bottom w:val="nil"/>
              <w:right w:val="nil"/>
            </w:tcBorders>
          </w:tcPr>
          <w:p w14:paraId="1E105471" w14:textId="77777777" w:rsidR="00D64459" w:rsidRPr="00493E39" w:rsidRDefault="008B2120">
            <w:pPr>
              <w:spacing w:line="240" w:lineRule="auto"/>
              <w:jc w:val="center"/>
              <w:rPr>
                <w:rFonts w:cs="Arial"/>
              </w:rPr>
            </w:pPr>
            <w:r w:rsidRPr="00493E39">
              <w:rPr>
                <w:rFonts w:cs="Arial"/>
                <w:sz w:val="18"/>
              </w:rPr>
              <w:t>−0,524</w:t>
            </w:r>
          </w:p>
        </w:tc>
        <w:tc>
          <w:tcPr>
            <w:tcW w:w="907" w:type="dxa"/>
            <w:tcBorders>
              <w:top w:val="nil"/>
              <w:left w:val="nil"/>
              <w:bottom w:val="nil"/>
              <w:right w:val="nil"/>
            </w:tcBorders>
          </w:tcPr>
          <w:p w14:paraId="7384470B" w14:textId="77777777" w:rsidR="00D64459" w:rsidRPr="00493E39" w:rsidRDefault="008B2120">
            <w:pPr>
              <w:spacing w:line="240" w:lineRule="auto"/>
              <w:jc w:val="center"/>
              <w:rPr>
                <w:rFonts w:cs="Arial"/>
              </w:rPr>
            </w:pPr>
            <w:r w:rsidRPr="00493E39">
              <w:rPr>
                <w:rFonts w:cs="Arial"/>
                <w:sz w:val="18"/>
              </w:rPr>
              <w:t>(0,917)</w:t>
            </w:r>
          </w:p>
        </w:tc>
        <w:tc>
          <w:tcPr>
            <w:tcW w:w="1191" w:type="dxa"/>
            <w:tcBorders>
              <w:top w:val="nil"/>
              <w:left w:val="nil"/>
              <w:bottom w:val="nil"/>
              <w:right w:val="nil"/>
            </w:tcBorders>
          </w:tcPr>
          <w:p w14:paraId="34A66297" w14:textId="77777777" w:rsidR="00D64459" w:rsidRPr="00493E39" w:rsidRDefault="008B2120">
            <w:pPr>
              <w:spacing w:line="240" w:lineRule="auto"/>
              <w:jc w:val="center"/>
              <w:rPr>
                <w:rFonts w:cs="Arial"/>
              </w:rPr>
            </w:pPr>
            <w:r w:rsidRPr="00493E39">
              <w:rPr>
                <w:rFonts w:cs="Arial"/>
                <w:sz w:val="18"/>
              </w:rPr>
              <w:t>0,425</w:t>
            </w:r>
          </w:p>
        </w:tc>
        <w:tc>
          <w:tcPr>
            <w:tcW w:w="907" w:type="dxa"/>
            <w:tcBorders>
              <w:top w:val="nil"/>
              <w:left w:val="nil"/>
              <w:bottom w:val="nil"/>
              <w:right w:val="nil"/>
            </w:tcBorders>
          </w:tcPr>
          <w:p w14:paraId="6E20FC6A" w14:textId="77777777" w:rsidR="00D64459" w:rsidRPr="00493E39" w:rsidRDefault="008B2120">
            <w:pPr>
              <w:spacing w:line="240" w:lineRule="auto"/>
              <w:jc w:val="center"/>
              <w:rPr>
                <w:rFonts w:cs="Arial"/>
              </w:rPr>
            </w:pPr>
            <w:r w:rsidRPr="00493E39">
              <w:rPr>
                <w:rFonts w:cs="Arial"/>
                <w:sz w:val="18"/>
              </w:rPr>
              <w:t>(1,369)</w:t>
            </w:r>
          </w:p>
        </w:tc>
        <w:tc>
          <w:tcPr>
            <w:tcW w:w="1133" w:type="dxa"/>
            <w:tcBorders>
              <w:top w:val="nil"/>
              <w:left w:val="nil"/>
              <w:bottom w:val="nil"/>
              <w:right w:val="nil"/>
            </w:tcBorders>
          </w:tcPr>
          <w:p w14:paraId="02806C3E" w14:textId="77777777" w:rsidR="00D64459" w:rsidRPr="00493E39" w:rsidRDefault="008B2120">
            <w:pPr>
              <w:spacing w:line="240" w:lineRule="auto"/>
              <w:jc w:val="center"/>
              <w:rPr>
                <w:rFonts w:cs="Arial"/>
              </w:rPr>
            </w:pPr>
            <w:r w:rsidRPr="00493E39">
              <w:rPr>
                <w:rFonts w:cs="Arial"/>
                <w:sz w:val="18"/>
              </w:rPr>
              <w:t>0,543</w:t>
            </w:r>
          </w:p>
        </w:tc>
      </w:tr>
      <w:tr w:rsidR="00D64459" w:rsidRPr="00493E39" w14:paraId="0759DDE5" w14:textId="77777777">
        <w:trPr>
          <w:cantSplit/>
          <w:jc w:val="center"/>
        </w:trPr>
        <w:tc>
          <w:tcPr>
            <w:tcW w:w="2268" w:type="dxa"/>
            <w:tcBorders>
              <w:top w:val="nil"/>
              <w:left w:val="nil"/>
              <w:bottom w:val="nil"/>
              <w:right w:val="nil"/>
            </w:tcBorders>
          </w:tcPr>
          <w:p w14:paraId="0F23F121" w14:textId="77777777" w:rsidR="00D64459" w:rsidRPr="00493E39" w:rsidRDefault="008B2120">
            <w:pPr>
              <w:spacing w:line="240" w:lineRule="auto"/>
              <w:rPr>
                <w:rFonts w:cs="Arial"/>
              </w:rPr>
            </w:pPr>
            <w:r w:rsidRPr="00493E39">
              <w:rPr>
                <w:rFonts w:cs="Arial"/>
                <w:sz w:val="18"/>
              </w:rPr>
              <w:t>Diesel</w:t>
            </w:r>
          </w:p>
        </w:tc>
        <w:tc>
          <w:tcPr>
            <w:tcW w:w="454" w:type="dxa"/>
            <w:tcBorders>
              <w:top w:val="nil"/>
              <w:left w:val="nil"/>
              <w:bottom w:val="nil"/>
              <w:right w:val="nil"/>
            </w:tcBorders>
          </w:tcPr>
          <w:p w14:paraId="70E6293F" w14:textId="77777777" w:rsidR="00D64459" w:rsidRPr="00493E39" w:rsidRDefault="008B2120">
            <w:pPr>
              <w:spacing w:line="240" w:lineRule="auto"/>
              <w:jc w:val="center"/>
              <w:rPr>
                <w:rFonts w:cs="Arial"/>
              </w:rPr>
            </w:pPr>
            <w:r w:rsidRPr="00493E39">
              <w:rPr>
                <w:rFonts w:cs="Arial"/>
                <w:sz w:val="18"/>
              </w:rPr>
              <w:t>0</w:t>
            </w:r>
          </w:p>
        </w:tc>
        <w:tc>
          <w:tcPr>
            <w:tcW w:w="1191" w:type="dxa"/>
            <w:tcBorders>
              <w:top w:val="nil"/>
              <w:left w:val="nil"/>
              <w:bottom w:val="nil"/>
              <w:right w:val="nil"/>
            </w:tcBorders>
          </w:tcPr>
          <w:p w14:paraId="48C940CF" w14:textId="77777777" w:rsidR="00D64459" w:rsidRPr="00493E39" w:rsidRDefault="008B2120">
            <w:pPr>
              <w:spacing w:line="240" w:lineRule="auto"/>
              <w:jc w:val="center"/>
              <w:rPr>
                <w:rFonts w:cs="Arial"/>
              </w:rPr>
            </w:pPr>
            <w:r w:rsidRPr="00493E39">
              <w:rPr>
                <w:rFonts w:cs="Arial"/>
                <w:sz w:val="18"/>
              </w:rPr>
              <w:t>0,205</w:t>
            </w:r>
          </w:p>
        </w:tc>
        <w:tc>
          <w:tcPr>
            <w:tcW w:w="907" w:type="dxa"/>
            <w:tcBorders>
              <w:top w:val="nil"/>
              <w:left w:val="nil"/>
              <w:bottom w:val="nil"/>
              <w:right w:val="nil"/>
            </w:tcBorders>
          </w:tcPr>
          <w:p w14:paraId="6BC826D4" w14:textId="77777777" w:rsidR="00D64459" w:rsidRPr="00493E39" w:rsidRDefault="008B2120">
            <w:pPr>
              <w:spacing w:line="240" w:lineRule="auto"/>
              <w:jc w:val="center"/>
              <w:rPr>
                <w:rFonts w:cs="Arial"/>
              </w:rPr>
            </w:pPr>
            <w:r w:rsidRPr="00493E39">
              <w:rPr>
                <w:rFonts w:cs="Arial"/>
                <w:sz w:val="18"/>
              </w:rPr>
              <w:t>(0,167)</w:t>
            </w:r>
          </w:p>
        </w:tc>
        <w:tc>
          <w:tcPr>
            <w:tcW w:w="1191" w:type="dxa"/>
            <w:tcBorders>
              <w:top w:val="nil"/>
              <w:left w:val="nil"/>
              <w:bottom w:val="nil"/>
              <w:right w:val="nil"/>
            </w:tcBorders>
          </w:tcPr>
          <w:p w14:paraId="788686DA" w14:textId="77777777" w:rsidR="00D64459" w:rsidRPr="00493E39" w:rsidRDefault="008B2120">
            <w:pPr>
              <w:spacing w:line="240" w:lineRule="auto"/>
              <w:jc w:val="center"/>
              <w:rPr>
                <w:rFonts w:cs="Arial"/>
              </w:rPr>
            </w:pPr>
            <w:r w:rsidRPr="00493E39">
              <w:rPr>
                <w:rFonts w:cs="Arial"/>
                <w:sz w:val="18"/>
              </w:rPr>
              <w:t>2,308***</w:t>
            </w:r>
          </w:p>
        </w:tc>
        <w:tc>
          <w:tcPr>
            <w:tcW w:w="907" w:type="dxa"/>
            <w:tcBorders>
              <w:top w:val="nil"/>
              <w:left w:val="nil"/>
              <w:bottom w:val="nil"/>
              <w:right w:val="nil"/>
            </w:tcBorders>
          </w:tcPr>
          <w:p w14:paraId="5BF05281" w14:textId="77777777" w:rsidR="00D64459" w:rsidRPr="00493E39" w:rsidRDefault="008B2120">
            <w:pPr>
              <w:spacing w:line="240" w:lineRule="auto"/>
              <w:jc w:val="center"/>
              <w:rPr>
                <w:rFonts w:cs="Arial"/>
              </w:rPr>
            </w:pPr>
            <w:r w:rsidRPr="00493E39">
              <w:rPr>
                <w:rFonts w:cs="Arial"/>
                <w:sz w:val="18"/>
              </w:rPr>
              <w:t>(0,368)</w:t>
            </w:r>
          </w:p>
        </w:tc>
        <w:tc>
          <w:tcPr>
            <w:tcW w:w="1133" w:type="dxa"/>
            <w:tcBorders>
              <w:top w:val="nil"/>
              <w:left w:val="nil"/>
              <w:bottom w:val="nil"/>
              <w:right w:val="nil"/>
            </w:tcBorders>
          </w:tcPr>
          <w:p w14:paraId="2D99FBB3"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49AC6EF4" w14:textId="77777777">
        <w:trPr>
          <w:cantSplit/>
          <w:jc w:val="center"/>
        </w:trPr>
        <w:tc>
          <w:tcPr>
            <w:tcW w:w="2268" w:type="dxa"/>
            <w:tcBorders>
              <w:top w:val="nil"/>
              <w:left w:val="nil"/>
              <w:bottom w:val="nil"/>
              <w:right w:val="nil"/>
            </w:tcBorders>
          </w:tcPr>
          <w:p w14:paraId="1DA241D5" w14:textId="77777777" w:rsidR="00D64459" w:rsidRPr="00493E39" w:rsidRDefault="00D64459">
            <w:pPr>
              <w:spacing w:line="240" w:lineRule="auto"/>
              <w:rPr>
                <w:rFonts w:cs="Arial"/>
              </w:rPr>
            </w:pPr>
          </w:p>
        </w:tc>
        <w:tc>
          <w:tcPr>
            <w:tcW w:w="454" w:type="dxa"/>
            <w:tcBorders>
              <w:top w:val="nil"/>
              <w:left w:val="nil"/>
              <w:bottom w:val="nil"/>
              <w:right w:val="nil"/>
            </w:tcBorders>
          </w:tcPr>
          <w:p w14:paraId="74C43F39" w14:textId="77777777" w:rsidR="00D64459" w:rsidRPr="00493E39" w:rsidRDefault="008B2120">
            <w:pPr>
              <w:spacing w:line="240" w:lineRule="auto"/>
              <w:jc w:val="center"/>
              <w:rPr>
                <w:rFonts w:cs="Arial"/>
              </w:rPr>
            </w:pPr>
            <w:r w:rsidRPr="00493E39">
              <w:rPr>
                <w:rFonts w:cs="Arial"/>
                <w:sz w:val="18"/>
              </w:rPr>
              <w:t>1</w:t>
            </w:r>
          </w:p>
        </w:tc>
        <w:tc>
          <w:tcPr>
            <w:tcW w:w="1191" w:type="dxa"/>
            <w:tcBorders>
              <w:top w:val="nil"/>
              <w:left w:val="nil"/>
              <w:bottom w:val="nil"/>
              <w:right w:val="nil"/>
            </w:tcBorders>
          </w:tcPr>
          <w:p w14:paraId="27BA6C6A" w14:textId="77777777" w:rsidR="00D64459" w:rsidRPr="00493E39" w:rsidRDefault="008B2120">
            <w:pPr>
              <w:spacing w:line="240" w:lineRule="auto"/>
              <w:jc w:val="center"/>
              <w:rPr>
                <w:rFonts w:cs="Arial"/>
              </w:rPr>
            </w:pPr>
            <w:r w:rsidRPr="00493E39">
              <w:rPr>
                <w:rFonts w:cs="Arial"/>
                <w:sz w:val="18"/>
              </w:rPr>
              <w:t>0,145</w:t>
            </w:r>
          </w:p>
        </w:tc>
        <w:tc>
          <w:tcPr>
            <w:tcW w:w="907" w:type="dxa"/>
            <w:tcBorders>
              <w:top w:val="nil"/>
              <w:left w:val="nil"/>
              <w:bottom w:val="nil"/>
              <w:right w:val="nil"/>
            </w:tcBorders>
          </w:tcPr>
          <w:p w14:paraId="35DDD7FB" w14:textId="77777777" w:rsidR="00D64459" w:rsidRPr="00493E39" w:rsidRDefault="008B2120">
            <w:pPr>
              <w:spacing w:line="240" w:lineRule="auto"/>
              <w:jc w:val="center"/>
              <w:rPr>
                <w:rFonts w:cs="Arial"/>
              </w:rPr>
            </w:pPr>
            <w:r w:rsidRPr="00493E39">
              <w:rPr>
                <w:rFonts w:cs="Arial"/>
                <w:sz w:val="18"/>
              </w:rPr>
              <w:t>(0,238)</w:t>
            </w:r>
          </w:p>
        </w:tc>
        <w:tc>
          <w:tcPr>
            <w:tcW w:w="1191" w:type="dxa"/>
            <w:tcBorders>
              <w:top w:val="nil"/>
              <w:left w:val="nil"/>
              <w:bottom w:val="nil"/>
              <w:right w:val="nil"/>
            </w:tcBorders>
          </w:tcPr>
          <w:p w14:paraId="1AB377E0" w14:textId="77777777" w:rsidR="00D64459" w:rsidRPr="00493E39" w:rsidRDefault="008B2120">
            <w:pPr>
              <w:spacing w:line="240" w:lineRule="auto"/>
              <w:jc w:val="center"/>
              <w:rPr>
                <w:rFonts w:cs="Arial"/>
              </w:rPr>
            </w:pPr>
            <w:r w:rsidRPr="00493E39">
              <w:rPr>
                <w:rFonts w:cs="Arial"/>
                <w:sz w:val="18"/>
              </w:rPr>
              <w:t>4,646***</w:t>
            </w:r>
          </w:p>
        </w:tc>
        <w:tc>
          <w:tcPr>
            <w:tcW w:w="907" w:type="dxa"/>
            <w:tcBorders>
              <w:top w:val="nil"/>
              <w:left w:val="nil"/>
              <w:bottom w:val="nil"/>
              <w:right w:val="nil"/>
            </w:tcBorders>
          </w:tcPr>
          <w:p w14:paraId="720A8EFC" w14:textId="77777777" w:rsidR="00D64459" w:rsidRPr="00493E39" w:rsidRDefault="008B2120">
            <w:pPr>
              <w:spacing w:line="240" w:lineRule="auto"/>
              <w:jc w:val="center"/>
              <w:rPr>
                <w:rFonts w:cs="Arial"/>
              </w:rPr>
            </w:pPr>
            <w:r w:rsidRPr="00493E39">
              <w:rPr>
                <w:rFonts w:cs="Arial"/>
                <w:sz w:val="18"/>
              </w:rPr>
              <w:t>(0,594)</w:t>
            </w:r>
          </w:p>
        </w:tc>
        <w:tc>
          <w:tcPr>
            <w:tcW w:w="1133" w:type="dxa"/>
            <w:tcBorders>
              <w:top w:val="nil"/>
              <w:left w:val="nil"/>
              <w:bottom w:val="nil"/>
              <w:right w:val="nil"/>
            </w:tcBorders>
          </w:tcPr>
          <w:p w14:paraId="1A1C45BF"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10ADE724" w14:textId="77777777">
        <w:trPr>
          <w:cantSplit/>
          <w:jc w:val="center"/>
        </w:trPr>
        <w:tc>
          <w:tcPr>
            <w:tcW w:w="2268" w:type="dxa"/>
            <w:tcBorders>
              <w:top w:val="nil"/>
              <w:left w:val="nil"/>
              <w:bottom w:val="nil"/>
              <w:right w:val="nil"/>
            </w:tcBorders>
          </w:tcPr>
          <w:p w14:paraId="772953D0" w14:textId="77777777" w:rsidR="00D64459" w:rsidRPr="00493E39" w:rsidRDefault="00D64459">
            <w:pPr>
              <w:spacing w:line="240" w:lineRule="auto"/>
              <w:rPr>
                <w:rFonts w:cs="Arial"/>
              </w:rPr>
            </w:pPr>
          </w:p>
        </w:tc>
        <w:tc>
          <w:tcPr>
            <w:tcW w:w="454" w:type="dxa"/>
            <w:tcBorders>
              <w:top w:val="nil"/>
              <w:left w:val="nil"/>
              <w:bottom w:val="nil"/>
              <w:right w:val="nil"/>
            </w:tcBorders>
          </w:tcPr>
          <w:p w14:paraId="07815637" w14:textId="77777777" w:rsidR="00D64459" w:rsidRPr="00493E39" w:rsidRDefault="008B2120">
            <w:pPr>
              <w:spacing w:line="240" w:lineRule="auto"/>
              <w:jc w:val="center"/>
              <w:rPr>
                <w:rFonts w:cs="Arial"/>
              </w:rPr>
            </w:pPr>
            <w:r w:rsidRPr="00493E39">
              <w:rPr>
                <w:rFonts w:cs="Arial"/>
                <w:sz w:val="18"/>
              </w:rPr>
              <w:t>3</w:t>
            </w:r>
          </w:p>
        </w:tc>
        <w:tc>
          <w:tcPr>
            <w:tcW w:w="1191" w:type="dxa"/>
            <w:tcBorders>
              <w:top w:val="nil"/>
              <w:left w:val="nil"/>
              <w:bottom w:val="nil"/>
              <w:right w:val="nil"/>
            </w:tcBorders>
          </w:tcPr>
          <w:p w14:paraId="07D53501" w14:textId="77777777" w:rsidR="00D64459" w:rsidRPr="00493E39" w:rsidRDefault="008B2120">
            <w:pPr>
              <w:spacing w:line="240" w:lineRule="auto"/>
              <w:jc w:val="center"/>
              <w:rPr>
                <w:rFonts w:cs="Arial"/>
              </w:rPr>
            </w:pPr>
            <w:r w:rsidRPr="00493E39">
              <w:rPr>
                <w:rFonts w:cs="Arial"/>
                <w:sz w:val="18"/>
              </w:rPr>
              <w:t>0,068</w:t>
            </w:r>
          </w:p>
        </w:tc>
        <w:tc>
          <w:tcPr>
            <w:tcW w:w="907" w:type="dxa"/>
            <w:tcBorders>
              <w:top w:val="nil"/>
              <w:left w:val="nil"/>
              <w:bottom w:val="nil"/>
              <w:right w:val="nil"/>
            </w:tcBorders>
          </w:tcPr>
          <w:p w14:paraId="195F239C" w14:textId="77777777" w:rsidR="00D64459" w:rsidRPr="00493E39" w:rsidRDefault="008B2120">
            <w:pPr>
              <w:spacing w:line="240" w:lineRule="auto"/>
              <w:jc w:val="center"/>
              <w:rPr>
                <w:rFonts w:cs="Arial"/>
              </w:rPr>
            </w:pPr>
            <w:r w:rsidRPr="00493E39">
              <w:rPr>
                <w:rFonts w:cs="Arial"/>
                <w:sz w:val="18"/>
              </w:rPr>
              <w:t>(0,398)</w:t>
            </w:r>
          </w:p>
        </w:tc>
        <w:tc>
          <w:tcPr>
            <w:tcW w:w="1191" w:type="dxa"/>
            <w:tcBorders>
              <w:top w:val="nil"/>
              <w:left w:val="nil"/>
              <w:bottom w:val="nil"/>
              <w:right w:val="nil"/>
            </w:tcBorders>
          </w:tcPr>
          <w:p w14:paraId="71E5CCA5" w14:textId="77777777" w:rsidR="00D64459" w:rsidRPr="00493E39" w:rsidRDefault="008B2120">
            <w:pPr>
              <w:spacing w:line="240" w:lineRule="auto"/>
              <w:jc w:val="center"/>
              <w:rPr>
                <w:rFonts w:cs="Arial"/>
              </w:rPr>
            </w:pPr>
            <w:r w:rsidRPr="00493E39">
              <w:rPr>
                <w:rFonts w:cs="Arial"/>
                <w:sz w:val="18"/>
              </w:rPr>
              <w:t>4,318***</w:t>
            </w:r>
          </w:p>
        </w:tc>
        <w:tc>
          <w:tcPr>
            <w:tcW w:w="907" w:type="dxa"/>
            <w:tcBorders>
              <w:top w:val="nil"/>
              <w:left w:val="nil"/>
              <w:bottom w:val="nil"/>
              <w:right w:val="nil"/>
            </w:tcBorders>
          </w:tcPr>
          <w:p w14:paraId="17E8BFE5" w14:textId="77777777" w:rsidR="00D64459" w:rsidRPr="00493E39" w:rsidRDefault="008B2120">
            <w:pPr>
              <w:spacing w:line="240" w:lineRule="auto"/>
              <w:jc w:val="center"/>
              <w:rPr>
                <w:rFonts w:cs="Arial"/>
              </w:rPr>
            </w:pPr>
            <w:r w:rsidRPr="00493E39">
              <w:rPr>
                <w:rFonts w:cs="Arial"/>
                <w:sz w:val="18"/>
              </w:rPr>
              <w:t>(1,159)</w:t>
            </w:r>
          </w:p>
        </w:tc>
        <w:tc>
          <w:tcPr>
            <w:tcW w:w="1133" w:type="dxa"/>
            <w:tcBorders>
              <w:top w:val="nil"/>
              <w:left w:val="nil"/>
              <w:bottom w:val="nil"/>
              <w:right w:val="nil"/>
            </w:tcBorders>
          </w:tcPr>
          <w:p w14:paraId="571661AC" w14:textId="77777777" w:rsidR="00D64459" w:rsidRPr="00493E39" w:rsidRDefault="008B2120">
            <w:pPr>
              <w:spacing w:line="240" w:lineRule="auto"/>
              <w:jc w:val="center"/>
              <w:rPr>
                <w:rFonts w:cs="Arial"/>
              </w:rPr>
            </w:pPr>
            <w:r w:rsidRPr="00493E39">
              <w:rPr>
                <w:rFonts w:cs="Arial"/>
                <w:sz w:val="18"/>
              </w:rPr>
              <w:t>0,001</w:t>
            </w:r>
          </w:p>
        </w:tc>
      </w:tr>
      <w:tr w:rsidR="00D64459" w:rsidRPr="00493E39" w14:paraId="1E72BCB7" w14:textId="77777777">
        <w:trPr>
          <w:cantSplit/>
          <w:jc w:val="center"/>
        </w:trPr>
        <w:tc>
          <w:tcPr>
            <w:tcW w:w="2268" w:type="dxa"/>
            <w:tcBorders>
              <w:top w:val="nil"/>
              <w:left w:val="nil"/>
              <w:bottom w:val="nil"/>
              <w:right w:val="nil"/>
            </w:tcBorders>
          </w:tcPr>
          <w:p w14:paraId="7A8919E1" w14:textId="77777777" w:rsidR="00D64459" w:rsidRPr="00493E39" w:rsidRDefault="00D64459">
            <w:pPr>
              <w:spacing w:line="240" w:lineRule="auto"/>
              <w:rPr>
                <w:rFonts w:cs="Arial"/>
              </w:rPr>
            </w:pPr>
          </w:p>
        </w:tc>
        <w:tc>
          <w:tcPr>
            <w:tcW w:w="454" w:type="dxa"/>
            <w:tcBorders>
              <w:top w:val="nil"/>
              <w:left w:val="nil"/>
              <w:bottom w:val="nil"/>
              <w:right w:val="nil"/>
            </w:tcBorders>
          </w:tcPr>
          <w:p w14:paraId="78B2C9B7" w14:textId="77777777" w:rsidR="00D64459" w:rsidRPr="00493E39" w:rsidRDefault="008B2120">
            <w:pPr>
              <w:spacing w:line="240" w:lineRule="auto"/>
              <w:jc w:val="center"/>
              <w:rPr>
                <w:rFonts w:cs="Arial"/>
              </w:rPr>
            </w:pPr>
            <w:r w:rsidRPr="00493E39">
              <w:rPr>
                <w:rFonts w:cs="Arial"/>
                <w:sz w:val="18"/>
              </w:rPr>
              <w:t>6</w:t>
            </w:r>
          </w:p>
        </w:tc>
        <w:tc>
          <w:tcPr>
            <w:tcW w:w="1191" w:type="dxa"/>
            <w:tcBorders>
              <w:top w:val="nil"/>
              <w:left w:val="nil"/>
              <w:bottom w:val="nil"/>
              <w:right w:val="nil"/>
            </w:tcBorders>
          </w:tcPr>
          <w:p w14:paraId="7DF170C8" w14:textId="77777777" w:rsidR="00D64459" w:rsidRPr="00493E39" w:rsidRDefault="008B2120">
            <w:pPr>
              <w:spacing w:line="240" w:lineRule="auto"/>
              <w:jc w:val="center"/>
              <w:rPr>
                <w:rFonts w:cs="Arial"/>
              </w:rPr>
            </w:pPr>
            <w:r w:rsidRPr="00493E39">
              <w:rPr>
                <w:rFonts w:cs="Arial"/>
                <w:sz w:val="18"/>
              </w:rPr>
              <w:t>0,419</w:t>
            </w:r>
          </w:p>
        </w:tc>
        <w:tc>
          <w:tcPr>
            <w:tcW w:w="907" w:type="dxa"/>
            <w:tcBorders>
              <w:top w:val="nil"/>
              <w:left w:val="nil"/>
              <w:bottom w:val="nil"/>
              <w:right w:val="nil"/>
            </w:tcBorders>
          </w:tcPr>
          <w:p w14:paraId="328099E0" w14:textId="77777777" w:rsidR="00D64459" w:rsidRPr="00493E39" w:rsidRDefault="008B2120">
            <w:pPr>
              <w:spacing w:line="240" w:lineRule="auto"/>
              <w:jc w:val="center"/>
              <w:rPr>
                <w:rFonts w:cs="Arial"/>
              </w:rPr>
            </w:pPr>
            <w:r w:rsidRPr="00493E39">
              <w:rPr>
                <w:rFonts w:cs="Arial"/>
                <w:sz w:val="18"/>
              </w:rPr>
              <w:t>(0,727)</w:t>
            </w:r>
          </w:p>
        </w:tc>
        <w:tc>
          <w:tcPr>
            <w:tcW w:w="1191" w:type="dxa"/>
            <w:tcBorders>
              <w:top w:val="nil"/>
              <w:left w:val="nil"/>
              <w:bottom w:val="nil"/>
              <w:right w:val="nil"/>
            </w:tcBorders>
          </w:tcPr>
          <w:p w14:paraId="0A9BEB8A" w14:textId="77777777" w:rsidR="00D64459" w:rsidRPr="00493E39" w:rsidRDefault="008B2120">
            <w:pPr>
              <w:spacing w:line="240" w:lineRule="auto"/>
              <w:jc w:val="center"/>
              <w:rPr>
                <w:rFonts w:cs="Arial"/>
              </w:rPr>
            </w:pPr>
            <w:r w:rsidRPr="00493E39">
              <w:rPr>
                <w:rFonts w:cs="Arial"/>
                <w:sz w:val="18"/>
              </w:rPr>
              <w:t>4,053***</w:t>
            </w:r>
          </w:p>
        </w:tc>
        <w:tc>
          <w:tcPr>
            <w:tcW w:w="907" w:type="dxa"/>
            <w:tcBorders>
              <w:top w:val="nil"/>
              <w:left w:val="nil"/>
              <w:bottom w:val="nil"/>
              <w:right w:val="nil"/>
            </w:tcBorders>
          </w:tcPr>
          <w:p w14:paraId="1AA7B359" w14:textId="77777777" w:rsidR="00D64459" w:rsidRPr="00493E39" w:rsidRDefault="008B2120">
            <w:pPr>
              <w:spacing w:line="240" w:lineRule="auto"/>
              <w:jc w:val="center"/>
              <w:rPr>
                <w:rFonts w:cs="Arial"/>
              </w:rPr>
            </w:pPr>
            <w:r w:rsidRPr="00493E39">
              <w:rPr>
                <w:rFonts w:cs="Arial"/>
                <w:sz w:val="18"/>
              </w:rPr>
              <w:t>(1,535)</w:t>
            </w:r>
          </w:p>
        </w:tc>
        <w:tc>
          <w:tcPr>
            <w:tcW w:w="1133" w:type="dxa"/>
            <w:tcBorders>
              <w:top w:val="nil"/>
              <w:left w:val="nil"/>
              <w:bottom w:val="nil"/>
              <w:right w:val="nil"/>
            </w:tcBorders>
          </w:tcPr>
          <w:p w14:paraId="2E98293C" w14:textId="77777777" w:rsidR="00D64459" w:rsidRPr="00493E39" w:rsidRDefault="008B2120">
            <w:pPr>
              <w:spacing w:line="240" w:lineRule="auto"/>
              <w:jc w:val="center"/>
              <w:rPr>
                <w:rFonts w:cs="Arial"/>
              </w:rPr>
            </w:pPr>
            <w:r w:rsidRPr="00493E39">
              <w:rPr>
                <w:rFonts w:cs="Arial"/>
                <w:sz w:val="18"/>
              </w:rPr>
              <w:t>0,036</w:t>
            </w:r>
          </w:p>
        </w:tc>
      </w:tr>
      <w:tr w:rsidR="00D64459" w:rsidRPr="00493E39" w14:paraId="4D64D4BC" w14:textId="77777777">
        <w:trPr>
          <w:cantSplit/>
          <w:jc w:val="center"/>
        </w:trPr>
        <w:tc>
          <w:tcPr>
            <w:tcW w:w="2268" w:type="dxa"/>
            <w:tcBorders>
              <w:top w:val="nil"/>
              <w:left w:val="nil"/>
              <w:bottom w:val="nil"/>
              <w:right w:val="nil"/>
            </w:tcBorders>
          </w:tcPr>
          <w:p w14:paraId="32BE6AC2" w14:textId="77777777" w:rsidR="00D64459" w:rsidRPr="00493E39" w:rsidRDefault="00D64459">
            <w:pPr>
              <w:spacing w:line="240" w:lineRule="auto"/>
              <w:rPr>
                <w:rFonts w:cs="Arial"/>
              </w:rPr>
            </w:pPr>
          </w:p>
        </w:tc>
        <w:tc>
          <w:tcPr>
            <w:tcW w:w="454" w:type="dxa"/>
            <w:tcBorders>
              <w:top w:val="nil"/>
              <w:left w:val="nil"/>
              <w:bottom w:val="nil"/>
              <w:right w:val="nil"/>
            </w:tcBorders>
          </w:tcPr>
          <w:p w14:paraId="4E1269BF" w14:textId="77777777" w:rsidR="00D64459" w:rsidRPr="00493E39" w:rsidRDefault="008B2120">
            <w:pPr>
              <w:spacing w:line="240" w:lineRule="auto"/>
              <w:jc w:val="center"/>
              <w:rPr>
                <w:rFonts w:cs="Arial"/>
              </w:rPr>
            </w:pPr>
            <w:r w:rsidRPr="00493E39">
              <w:rPr>
                <w:rFonts w:cs="Arial"/>
                <w:sz w:val="18"/>
              </w:rPr>
              <w:t>12</w:t>
            </w:r>
          </w:p>
        </w:tc>
        <w:tc>
          <w:tcPr>
            <w:tcW w:w="1191" w:type="dxa"/>
            <w:tcBorders>
              <w:top w:val="nil"/>
              <w:left w:val="nil"/>
              <w:bottom w:val="nil"/>
              <w:right w:val="nil"/>
            </w:tcBorders>
          </w:tcPr>
          <w:p w14:paraId="336F92FD" w14:textId="77777777" w:rsidR="00D64459" w:rsidRPr="00493E39" w:rsidRDefault="008B2120">
            <w:pPr>
              <w:spacing w:line="240" w:lineRule="auto"/>
              <w:jc w:val="center"/>
              <w:rPr>
                <w:rFonts w:cs="Arial"/>
              </w:rPr>
            </w:pPr>
            <w:r w:rsidRPr="00493E39">
              <w:rPr>
                <w:rFonts w:cs="Arial"/>
                <w:sz w:val="18"/>
              </w:rPr>
              <w:t>0,718</w:t>
            </w:r>
          </w:p>
        </w:tc>
        <w:tc>
          <w:tcPr>
            <w:tcW w:w="907" w:type="dxa"/>
            <w:tcBorders>
              <w:top w:val="nil"/>
              <w:left w:val="nil"/>
              <w:bottom w:val="nil"/>
              <w:right w:val="nil"/>
            </w:tcBorders>
          </w:tcPr>
          <w:p w14:paraId="5A66BC24" w14:textId="77777777" w:rsidR="00D64459" w:rsidRPr="00493E39" w:rsidRDefault="008B2120">
            <w:pPr>
              <w:spacing w:line="240" w:lineRule="auto"/>
              <w:jc w:val="center"/>
              <w:rPr>
                <w:rFonts w:cs="Arial"/>
              </w:rPr>
            </w:pPr>
            <w:r w:rsidRPr="00493E39">
              <w:rPr>
                <w:rFonts w:cs="Arial"/>
                <w:sz w:val="18"/>
              </w:rPr>
              <w:t>(0,896)</w:t>
            </w:r>
          </w:p>
        </w:tc>
        <w:tc>
          <w:tcPr>
            <w:tcW w:w="1191" w:type="dxa"/>
            <w:tcBorders>
              <w:top w:val="nil"/>
              <w:left w:val="nil"/>
              <w:bottom w:val="nil"/>
              <w:right w:val="nil"/>
            </w:tcBorders>
          </w:tcPr>
          <w:p w14:paraId="324C8ED1" w14:textId="77777777" w:rsidR="00D64459" w:rsidRPr="00493E39" w:rsidRDefault="008B2120">
            <w:pPr>
              <w:spacing w:line="240" w:lineRule="auto"/>
              <w:jc w:val="center"/>
              <w:rPr>
                <w:rFonts w:cs="Arial"/>
              </w:rPr>
            </w:pPr>
            <w:r w:rsidRPr="00493E39">
              <w:rPr>
                <w:rFonts w:cs="Arial"/>
                <w:sz w:val="18"/>
              </w:rPr>
              <w:t>2,710*</w:t>
            </w:r>
          </w:p>
        </w:tc>
        <w:tc>
          <w:tcPr>
            <w:tcW w:w="907" w:type="dxa"/>
            <w:tcBorders>
              <w:top w:val="nil"/>
              <w:left w:val="nil"/>
              <w:bottom w:val="nil"/>
              <w:right w:val="nil"/>
            </w:tcBorders>
          </w:tcPr>
          <w:p w14:paraId="3E0FA452" w14:textId="77777777" w:rsidR="00D64459" w:rsidRPr="00493E39" w:rsidRDefault="008B2120">
            <w:pPr>
              <w:spacing w:line="240" w:lineRule="auto"/>
              <w:jc w:val="center"/>
              <w:rPr>
                <w:rFonts w:cs="Arial"/>
              </w:rPr>
            </w:pPr>
            <w:r w:rsidRPr="00493E39">
              <w:rPr>
                <w:rFonts w:cs="Arial"/>
                <w:sz w:val="18"/>
              </w:rPr>
              <w:t>(1,469)</w:t>
            </w:r>
          </w:p>
        </w:tc>
        <w:tc>
          <w:tcPr>
            <w:tcW w:w="1133" w:type="dxa"/>
            <w:tcBorders>
              <w:top w:val="nil"/>
              <w:left w:val="nil"/>
              <w:bottom w:val="nil"/>
              <w:right w:val="nil"/>
            </w:tcBorders>
          </w:tcPr>
          <w:p w14:paraId="791FA0B2" w14:textId="77777777" w:rsidR="00D64459" w:rsidRPr="00493E39" w:rsidRDefault="008B2120">
            <w:pPr>
              <w:spacing w:line="240" w:lineRule="auto"/>
              <w:jc w:val="center"/>
              <w:rPr>
                <w:rFonts w:cs="Arial"/>
              </w:rPr>
            </w:pPr>
            <w:r w:rsidRPr="00493E39">
              <w:rPr>
                <w:rFonts w:cs="Arial"/>
                <w:sz w:val="18"/>
              </w:rPr>
              <w:t>0,252</w:t>
            </w:r>
          </w:p>
        </w:tc>
      </w:tr>
      <w:tr w:rsidR="00D64459" w:rsidRPr="00493E39" w14:paraId="4734042F" w14:textId="77777777">
        <w:trPr>
          <w:cantSplit/>
          <w:jc w:val="center"/>
        </w:trPr>
        <w:tc>
          <w:tcPr>
            <w:tcW w:w="2268" w:type="dxa"/>
            <w:tcBorders>
              <w:top w:val="nil"/>
              <w:left w:val="nil"/>
              <w:bottom w:val="nil"/>
              <w:right w:val="nil"/>
            </w:tcBorders>
          </w:tcPr>
          <w:p w14:paraId="304204BE"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na</w:t>
            </w:r>
            <w:proofErr w:type="spellEnd"/>
            <w:r w:rsidRPr="00493E39">
              <w:rPr>
                <w:rFonts w:cs="Arial"/>
                <w:sz w:val="18"/>
              </w:rPr>
              <w:t xml:space="preserve"> </w:t>
            </w:r>
            <w:proofErr w:type="spellStart"/>
            <w:r w:rsidRPr="00493E39">
              <w:rPr>
                <w:rFonts w:cs="Arial"/>
                <w:sz w:val="18"/>
              </w:rPr>
              <w:t>refinaria</w:t>
            </w:r>
            <w:proofErr w:type="spellEnd"/>
          </w:p>
        </w:tc>
        <w:tc>
          <w:tcPr>
            <w:tcW w:w="454" w:type="dxa"/>
            <w:tcBorders>
              <w:top w:val="nil"/>
              <w:left w:val="nil"/>
              <w:bottom w:val="nil"/>
              <w:right w:val="nil"/>
            </w:tcBorders>
          </w:tcPr>
          <w:p w14:paraId="6FBCBBB2" w14:textId="77777777" w:rsidR="00D64459" w:rsidRPr="00493E39" w:rsidRDefault="008B2120">
            <w:pPr>
              <w:spacing w:line="240" w:lineRule="auto"/>
              <w:jc w:val="center"/>
              <w:rPr>
                <w:rFonts w:cs="Arial"/>
              </w:rPr>
            </w:pPr>
            <w:r w:rsidRPr="00493E39">
              <w:rPr>
                <w:rFonts w:cs="Arial"/>
                <w:sz w:val="18"/>
              </w:rPr>
              <w:t>0</w:t>
            </w:r>
          </w:p>
        </w:tc>
        <w:tc>
          <w:tcPr>
            <w:tcW w:w="1191" w:type="dxa"/>
            <w:tcBorders>
              <w:top w:val="nil"/>
              <w:left w:val="nil"/>
              <w:bottom w:val="nil"/>
              <w:right w:val="nil"/>
            </w:tcBorders>
          </w:tcPr>
          <w:p w14:paraId="3679913A" w14:textId="77777777" w:rsidR="00D64459" w:rsidRPr="00493E39" w:rsidRDefault="008B2120">
            <w:pPr>
              <w:spacing w:line="240" w:lineRule="auto"/>
              <w:jc w:val="center"/>
              <w:rPr>
                <w:rFonts w:cs="Arial"/>
              </w:rPr>
            </w:pPr>
            <w:r w:rsidRPr="00493E39">
              <w:rPr>
                <w:rFonts w:cs="Arial"/>
                <w:sz w:val="18"/>
              </w:rPr>
              <w:t>0,187</w:t>
            </w:r>
          </w:p>
        </w:tc>
        <w:tc>
          <w:tcPr>
            <w:tcW w:w="907" w:type="dxa"/>
            <w:tcBorders>
              <w:top w:val="nil"/>
              <w:left w:val="nil"/>
              <w:bottom w:val="nil"/>
              <w:right w:val="nil"/>
            </w:tcBorders>
          </w:tcPr>
          <w:p w14:paraId="70C537C2" w14:textId="77777777" w:rsidR="00D64459" w:rsidRPr="00493E39" w:rsidRDefault="008B2120">
            <w:pPr>
              <w:spacing w:line="240" w:lineRule="auto"/>
              <w:jc w:val="center"/>
              <w:rPr>
                <w:rFonts w:cs="Arial"/>
              </w:rPr>
            </w:pPr>
            <w:r w:rsidRPr="00493E39">
              <w:rPr>
                <w:rFonts w:cs="Arial"/>
                <w:sz w:val="18"/>
              </w:rPr>
              <w:t>(0,219)</w:t>
            </w:r>
          </w:p>
        </w:tc>
        <w:tc>
          <w:tcPr>
            <w:tcW w:w="1191" w:type="dxa"/>
            <w:tcBorders>
              <w:top w:val="nil"/>
              <w:left w:val="nil"/>
              <w:bottom w:val="nil"/>
              <w:right w:val="nil"/>
            </w:tcBorders>
          </w:tcPr>
          <w:p w14:paraId="58F8F793" w14:textId="77777777" w:rsidR="00D64459" w:rsidRPr="00493E39" w:rsidRDefault="008B2120">
            <w:pPr>
              <w:spacing w:line="240" w:lineRule="auto"/>
              <w:jc w:val="center"/>
              <w:rPr>
                <w:rFonts w:cs="Arial"/>
              </w:rPr>
            </w:pPr>
            <w:r w:rsidRPr="00493E39">
              <w:rPr>
                <w:rFonts w:cs="Arial"/>
                <w:sz w:val="18"/>
              </w:rPr>
              <w:t>4,888***</w:t>
            </w:r>
          </w:p>
        </w:tc>
        <w:tc>
          <w:tcPr>
            <w:tcW w:w="907" w:type="dxa"/>
            <w:tcBorders>
              <w:top w:val="nil"/>
              <w:left w:val="nil"/>
              <w:bottom w:val="nil"/>
              <w:right w:val="nil"/>
            </w:tcBorders>
          </w:tcPr>
          <w:p w14:paraId="623EA408" w14:textId="77777777" w:rsidR="00D64459" w:rsidRPr="00493E39" w:rsidRDefault="008B2120">
            <w:pPr>
              <w:spacing w:line="240" w:lineRule="auto"/>
              <w:jc w:val="center"/>
              <w:rPr>
                <w:rFonts w:cs="Arial"/>
              </w:rPr>
            </w:pPr>
            <w:r w:rsidRPr="00493E39">
              <w:rPr>
                <w:rFonts w:cs="Arial"/>
                <w:sz w:val="18"/>
              </w:rPr>
              <w:t>(0,646)</w:t>
            </w:r>
          </w:p>
        </w:tc>
        <w:tc>
          <w:tcPr>
            <w:tcW w:w="1133" w:type="dxa"/>
            <w:tcBorders>
              <w:top w:val="nil"/>
              <w:left w:val="nil"/>
              <w:bottom w:val="nil"/>
              <w:right w:val="nil"/>
            </w:tcBorders>
          </w:tcPr>
          <w:p w14:paraId="1827BAC0"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1A4C62E8" w14:textId="77777777">
        <w:trPr>
          <w:cantSplit/>
          <w:jc w:val="center"/>
        </w:trPr>
        <w:tc>
          <w:tcPr>
            <w:tcW w:w="2268" w:type="dxa"/>
            <w:tcBorders>
              <w:top w:val="nil"/>
              <w:left w:val="nil"/>
              <w:bottom w:val="nil"/>
              <w:right w:val="nil"/>
            </w:tcBorders>
          </w:tcPr>
          <w:p w14:paraId="31914DE6" w14:textId="77777777" w:rsidR="00D64459" w:rsidRPr="00493E39" w:rsidRDefault="00D64459">
            <w:pPr>
              <w:spacing w:line="240" w:lineRule="auto"/>
              <w:rPr>
                <w:rFonts w:cs="Arial"/>
              </w:rPr>
            </w:pPr>
          </w:p>
        </w:tc>
        <w:tc>
          <w:tcPr>
            <w:tcW w:w="454" w:type="dxa"/>
            <w:tcBorders>
              <w:top w:val="nil"/>
              <w:left w:val="nil"/>
              <w:bottom w:val="nil"/>
              <w:right w:val="nil"/>
            </w:tcBorders>
          </w:tcPr>
          <w:p w14:paraId="2E664DB1" w14:textId="77777777" w:rsidR="00D64459" w:rsidRPr="00493E39" w:rsidRDefault="008B2120">
            <w:pPr>
              <w:spacing w:line="240" w:lineRule="auto"/>
              <w:jc w:val="center"/>
              <w:rPr>
                <w:rFonts w:cs="Arial"/>
              </w:rPr>
            </w:pPr>
            <w:r w:rsidRPr="00493E39">
              <w:rPr>
                <w:rFonts w:cs="Arial"/>
                <w:sz w:val="18"/>
              </w:rPr>
              <w:t>1</w:t>
            </w:r>
          </w:p>
        </w:tc>
        <w:tc>
          <w:tcPr>
            <w:tcW w:w="1191" w:type="dxa"/>
            <w:tcBorders>
              <w:top w:val="nil"/>
              <w:left w:val="nil"/>
              <w:bottom w:val="nil"/>
              <w:right w:val="nil"/>
            </w:tcBorders>
          </w:tcPr>
          <w:p w14:paraId="25BF50AD" w14:textId="77777777" w:rsidR="00D64459" w:rsidRPr="00493E39" w:rsidRDefault="008B2120">
            <w:pPr>
              <w:spacing w:line="240" w:lineRule="auto"/>
              <w:jc w:val="center"/>
              <w:rPr>
                <w:rFonts w:cs="Arial"/>
              </w:rPr>
            </w:pPr>
            <w:r w:rsidRPr="00493E39">
              <w:rPr>
                <w:rFonts w:cs="Arial"/>
                <w:sz w:val="18"/>
              </w:rPr>
              <w:t>−0,039</w:t>
            </w:r>
          </w:p>
        </w:tc>
        <w:tc>
          <w:tcPr>
            <w:tcW w:w="907" w:type="dxa"/>
            <w:tcBorders>
              <w:top w:val="nil"/>
              <w:left w:val="nil"/>
              <w:bottom w:val="nil"/>
              <w:right w:val="nil"/>
            </w:tcBorders>
          </w:tcPr>
          <w:p w14:paraId="3786BA5D" w14:textId="77777777" w:rsidR="00D64459" w:rsidRPr="00493E39" w:rsidRDefault="008B2120">
            <w:pPr>
              <w:spacing w:line="240" w:lineRule="auto"/>
              <w:jc w:val="center"/>
              <w:rPr>
                <w:rFonts w:cs="Arial"/>
              </w:rPr>
            </w:pPr>
            <w:r w:rsidRPr="00493E39">
              <w:rPr>
                <w:rFonts w:cs="Arial"/>
                <w:sz w:val="18"/>
              </w:rPr>
              <w:t>(0,340)</w:t>
            </w:r>
          </w:p>
        </w:tc>
        <w:tc>
          <w:tcPr>
            <w:tcW w:w="1191" w:type="dxa"/>
            <w:tcBorders>
              <w:top w:val="nil"/>
              <w:left w:val="nil"/>
              <w:bottom w:val="nil"/>
              <w:right w:val="nil"/>
            </w:tcBorders>
          </w:tcPr>
          <w:p w14:paraId="46A8607F" w14:textId="77777777" w:rsidR="00D64459" w:rsidRPr="00493E39" w:rsidRDefault="008B2120">
            <w:pPr>
              <w:spacing w:line="240" w:lineRule="auto"/>
              <w:jc w:val="center"/>
              <w:rPr>
                <w:rFonts w:cs="Arial"/>
              </w:rPr>
            </w:pPr>
            <w:r w:rsidRPr="00493E39">
              <w:rPr>
                <w:rFonts w:cs="Arial"/>
                <w:sz w:val="18"/>
              </w:rPr>
              <w:t>8,280***</w:t>
            </w:r>
          </w:p>
        </w:tc>
        <w:tc>
          <w:tcPr>
            <w:tcW w:w="907" w:type="dxa"/>
            <w:tcBorders>
              <w:top w:val="nil"/>
              <w:left w:val="nil"/>
              <w:bottom w:val="nil"/>
              <w:right w:val="nil"/>
            </w:tcBorders>
          </w:tcPr>
          <w:p w14:paraId="448AB264" w14:textId="77777777" w:rsidR="00D64459" w:rsidRPr="00493E39" w:rsidRDefault="008B2120">
            <w:pPr>
              <w:spacing w:line="240" w:lineRule="auto"/>
              <w:jc w:val="center"/>
              <w:rPr>
                <w:rFonts w:cs="Arial"/>
              </w:rPr>
            </w:pPr>
            <w:r w:rsidRPr="00493E39">
              <w:rPr>
                <w:rFonts w:cs="Arial"/>
                <w:sz w:val="18"/>
              </w:rPr>
              <w:t>(0,968)</w:t>
            </w:r>
          </w:p>
        </w:tc>
        <w:tc>
          <w:tcPr>
            <w:tcW w:w="1133" w:type="dxa"/>
            <w:tcBorders>
              <w:top w:val="nil"/>
              <w:left w:val="nil"/>
              <w:bottom w:val="nil"/>
              <w:right w:val="nil"/>
            </w:tcBorders>
          </w:tcPr>
          <w:p w14:paraId="17EA8065" w14:textId="77777777" w:rsidR="00D64459" w:rsidRPr="00493E39" w:rsidRDefault="008B2120">
            <w:pPr>
              <w:spacing w:line="240" w:lineRule="auto"/>
              <w:jc w:val="center"/>
              <w:rPr>
                <w:rFonts w:cs="Arial"/>
              </w:rPr>
            </w:pPr>
            <w:r w:rsidRPr="00493E39">
              <w:rPr>
                <w:rFonts w:cs="Arial"/>
                <w:sz w:val="18"/>
              </w:rPr>
              <w:t>0,000</w:t>
            </w:r>
          </w:p>
        </w:tc>
      </w:tr>
      <w:tr w:rsidR="00D64459" w:rsidRPr="00493E39" w14:paraId="00CB1A02" w14:textId="77777777">
        <w:trPr>
          <w:cantSplit/>
          <w:jc w:val="center"/>
        </w:trPr>
        <w:tc>
          <w:tcPr>
            <w:tcW w:w="2268" w:type="dxa"/>
            <w:tcBorders>
              <w:top w:val="nil"/>
              <w:left w:val="nil"/>
              <w:bottom w:val="nil"/>
              <w:right w:val="nil"/>
            </w:tcBorders>
          </w:tcPr>
          <w:p w14:paraId="7F7B2B4E" w14:textId="77777777" w:rsidR="00D64459" w:rsidRPr="00493E39" w:rsidRDefault="00D64459">
            <w:pPr>
              <w:spacing w:line="240" w:lineRule="auto"/>
              <w:rPr>
                <w:rFonts w:cs="Arial"/>
              </w:rPr>
            </w:pPr>
          </w:p>
        </w:tc>
        <w:tc>
          <w:tcPr>
            <w:tcW w:w="454" w:type="dxa"/>
            <w:tcBorders>
              <w:top w:val="nil"/>
              <w:left w:val="nil"/>
              <w:bottom w:val="nil"/>
              <w:right w:val="nil"/>
            </w:tcBorders>
          </w:tcPr>
          <w:p w14:paraId="3339450D" w14:textId="77777777" w:rsidR="00D64459" w:rsidRPr="00493E39" w:rsidRDefault="008B2120">
            <w:pPr>
              <w:spacing w:line="240" w:lineRule="auto"/>
              <w:jc w:val="center"/>
              <w:rPr>
                <w:rFonts w:cs="Arial"/>
              </w:rPr>
            </w:pPr>
            <w:r w:rsidRPr="00493E39">
              <w:rPr>
                <w:rFonts w:cs="Arial"/>
                <w:sz w:val="18"/>
              </w:rPr>
              <w:t>3</w:t>
            </w:r>
          </w:p>
        </w:tc>
        <w:tc>
          <w:tcPr>
            <w:tcW w:w="1191" w:type="dxa"/>
            <w:tcBorders>
              <w:top w:val="nil"/>
              <w:left w:val="nil"/>
              <w:bottom w:val="nil"/>
              <w:right w:val="nil"/>
            </w:tcBorders>
          </w:tcPr>
          <w:p w14:paraId="371AC4FC" w14:textId="77777777" w:rsidR="00D64459" w:rsidRPr="00493E39" w:rsidRDefault="008B2120">
            <w:pPr>
              <w:spacing w:line="240" w:lineRule="auto"/>
              <w:jc w:val="center"/>
              <w:rPr>
                <w:rFonts w:cs="Arial"/>
              </w:rPr>
            </w:pPr>
            <w:r w:rsidRPr="00493E39">
              <w:rPr>
                <w:rFonts w:cs="Arial"/>
                <w:sz w:val="18"/>
              </w:rPr>
              <w:t>0,081</w:t>
            </w:r>
          </w:p>
        </w:tc>
        <w:tc>
          <w:tcPr>
            <w:tcW w:w="907" w:type="dxa"/>
            <w:tcBorders>
              <w:top w:val="nil"/>
              <w:left w:val="nil"/>
              <w:bottom w:val="nil"/>
              <w:right w:val="nil"/>
            </w:tcBorders>
          </w:tcPr>
          <w:p w14:paraId="1903D968" w14:textId="77777777" w:rsidR="00D64459" w:rsidRPr="00493E39" w:rsidRDefault="008B2120">
            <w:pPr>
              <w:spacing w:line="240" w:lineRule="auto"/>
              <w:jc w:val="center"/>
              <w:rPr>
                <w:rFonts w:cs="Arial"/>
              </w:rPr>
            </w:pPr>
            <w:r w:rsidRPr="00493E39">
              <w:rPr>
                <w:rFonts w:cs="Arial"/>
                <w:sz w:val="18"/>
              </w:rPr>
              <w:t>(0,580)</w:t>
            </w:r>
          </w:p>
        </w:tc>
        <w:tc>
          <w:tcPr>
            <w:tcW w:w="1191" w:type="dxa"/>
            <w:tcBorders>
              <w:top w:val="nil"/>
              <w:left w:val="nil"/>
              <w:bottom w:val="nil"/>
              <w:right w:val="nil"/>
            </w:tcBorders>
          </w:tcPr>
          <w:p w14:paraId="43B826CD" w14:textId="77777777" w:rsidR="00D64459" w:rsidRPr="00493E39" w:rsidRDefault="008B2120">
            <w:pPr>
              <w:spacing w:line="240" w:lineRule="auto"/>
              <w:jc w:val="center"/>
              <w:rPr>
                <w:rFonts w:cs="Arial"/>
              </w:rPr>
            </w:pPr>
            <w:r w:rsidRPr="00493E39">
              <w:rPr>
                <w:rFonts w:cs="Arial"/>
                <w:sz w:val="18"/>
              </w:rPr>
              <w:t>4,489***</w:t>
            </w:r>
          </w:p>
        </w:tc>
        <w:tc>
          <w:tcPr>
            <w:tcW w:w="907" w:type="dxa"/>
            <w:tcBorders>
              <w:top w:val="nil"/>
              <w:left w:val="nil"/>
              <w:bottom w:val="nil"/>
              <w:right w:val="nil"/>
            </w:tcBorders>
          </w:tcPr>
          <w:p w14:paraId="0AB54CE9" w14:textId="77777777" w:rsidR="00D64459" w:rsidRPr="00493E39" w:rsidRDefault="008B2120">
            <w:pPr>
              <w:spacing w:line="240" w:lineRule="auto"/>
              <w:jc w:val="center"/>
              <w:rPr>
                <w:rFonts w:cs="Arial"/>
              </w:rPr>
            </w:pPr>
            <w:r w:rsidRPr="00493E39">
              <w:rPr>
                <w:rFonts w:cs="Arial"/>
                <w:sz w:val="18"/>
              </w:rPr>
              <w:t>(1,585)</w:t>
            </w:r>
          </w:p>
        </w:tc>
        <w:tc>
          <w:tcPr>
            <w:tcW w:w="1133" w:type="dxa"/>
            <w:tcBorders>
              <w:top w:val="nil"/>
              <w:left w:val="nil"/>
              <w:bottom w:val="nil"/>
              <w:right w:val="nil"/>
            </w:tcBorders>
          </w:tcPr>
          <w:p w14:paraId="6854303A" w14:textId="77777777" w:rsidR="00D64459" w:rsidRPr="00493E39" w:rsidRDefault="008B2120">
            <w:pPr>
              <w:spacing w:line="240" w:lineRule="auto"/>
              <w:jc w:val="center"/>
              <w:rPr>
                <w:rFonts w:cs="Arial"/>
              </w:rPr>
            </w:pPr>
            <w:r w:rsidRPr="00493E39">
              <w:rPr>
                <w:rFonts w:cs="Arial"/>
                <w:sz w:val="18"/>
              </w:rPr>
              <w:t>0,010</w:t>
            </w:r>
          </w:p>
        </w:tc>
      </w:tr>
      <w:tr w:rsidR="00D64459" w:rsidRPr="00493E39" w14:paraId="76B78226" w14:textId="77777777">
        <w:trPr>
          <w:cantSplit/>
          <w:jc w:val="center"/>
        </w:trPr>
        <w:tc>
          <w:tcPr>
            <w:tcW w:w="2268" w:type="dxa"/>
            <w:tcBorders>
              <w:top w:val="nil"/>
              <w:left w:val="nil"/>
              <w:bottom w:val="nil"/>
              <w:right w:val="nil"/>
            </w:tcBorders>
          </w:tcPr>
          <w:p w14:paraId="0AB178A6" w14:textId="77777777" w:rsidR="00D64459" w:rsidRPr="00493E39" w:rsidRDefault="00D64459">
            <w:pPr>
              <w:spacing w:line="240" w:lineRule="auto"/>
              <w:rPr>
                <w:rFonts w:cs="Arial"/>
              </w:rPr>
            </w:pPr>
          </w:p>
        </w:tc>
        <w:tc>
          <w:tcPr>
            <w:tcW w:w="454" w:type="dxa"/>
            <w:tcBorders>
              <w:top w:val="nil"/>
              <w:left w:val="nil"/>
              <w:bottom w:val="nil"/>
              <w:right w:val="nil"/>
            </w:tcBorders>
          </w:tcPr>
          <w:p w14:paraId="556E3B71" w14:textId="77777777" w:rsidR="00D64459" w:rsidRPr="00493E39" w:rsidRDefault="008B2120">
            <w:pPr>
              <w:spacing w:line="240" w:lineRule="auto"/>
              <w:jc w:val="center"/>
              <w:rPr>
                <w:rFonts w:cs="Arial"/>
              </w:rPr>
            </w:pPr>
            <w:r w:rsidRPr="00493E39">
              <w:rPr>
                <w:rFonts w:cs="Arial"/>
                <w:sz w:val="18"/>
              </w:rPr>
              <w:t>6</w:t>
            </w:r>
          </w:p>
        </w:tc>
        <w:tc>
          <w:tcPr>
            <w:tcW w:w="1191" w:type="dxa"/>
            <w:tcBorders>
              <w:top w:val="nil"/>
              <w:left w:val="nil"/>
              <w:bottom w:val="nil"/>
              <w:right w:val="nil"/>
            </w:tcBorders>
          </w:tcPr>
          <w:p w14:paraId="00EB39CE" w14:textId="77777777" w:rsidR="00D64459" w:rsidRPr="00493E39" w:rsidRDefault="008B2120">
            <w:pPr>
              <w:spacing w:line="240" w:lineRule="auto"/>
              <w:jc w:val="center"/>
              <w:rPr>
                <w:rFonts w:cs="Arial"/>
              </w:rPr>
            </w:pPr>
            <w:r w:rsidRPr="00493E39">
              <w:rPr>
                <w:rFonts w:cs="Arial"/>
                <w:sz w:val="18"/>
              </w:rPr>
              <w:t>0,327</w:t>
            </w:r>
          </w:p>
        </w:tc>
        <w:tc>
          <w:tcPr>
            <w:tcW w:w="907" w:type="dxa"/>
            <w:tcBorders>
              <w:top w:val="nil"/>
              <w:left w:val="nil"/>
              <w:bottom w:val="nil"/>
              <w:right w:val="nil"/>
            </w:tcBorders>
          </w:tcPr>
          <w:p w14:paraId="5B15443D" w14:textId="77777777" w:rsidR="00D64459" w:rsidRPr="00493E39" w:rsidRDefault="008B2120">
            <w:pPr>
              <w:spacing w:line="240" w:lineRule="auto"/>
              <w:jc w:val="center"/>
              <w:rPr>
                <w:rFonts w:cs="Arial"/>
              </w:rPr>
            </w:pPr>
            <w:r w:rsidRPr="00493E39">
              <w:rPr>
                <w:rFonts w:cs="Arial"/>
                <w:sz w:val="18"/>
              </w:rPr>
              <w:t>(0,892)</w:t>
            </w:r>
          </w:p>
        </w:tc>
        <w:tc>
          <w:tcPr>
            <w:tcW w:w="1191" w:type="dxa"/>
            <w:tcBorders>
              <w:top w:val="nil"/>
              <w:left w:val="nil"/>
              <w:bottom w:val="nil"/>
              <w:right w:val="nil"/>
            </w:tcBorders>
          </w:tcPr>
          <w:p w14:paraId="59E7BF09" w14:textId="77777777" w:rsidR="00D64459" w:rsidRPr="00493E39" w:rsidRDefault="008B2120">
            <w:pPr>
              <w:spacing w:line="240" w:lineRule="auto"/>
              <w:jc w:val="center"/>
              <w:rPr>
                <w:rFonts w:cs="Arial"/>
              </w:rPr>
            </w:pPr>
            <w:r w:rsidRPr="00493E39">
              <w:rPr>
                <w:rFonts w:cs="Arial"/>
                <w:sz w:val="18"/>
              </w:rPr>
              <w:t>3,483**</w:t>
            </w:r>
          </w:p>
        </w:tc>
        <w:tc>
          <w:tcPr>
            <w:tcW w:w="907" w:type="dxa"/>
            <w:tcBorders>
              <w:top w:val="nil"/>
              <w:left w:val="nil"/>
              <w:bottom w:val="nil"/>
              <w:right w:val="nil"/>
            </w:tcBorders>
          </w:tcPr>
          <w:p w14:paraId="2A98B0A3" w14:textId="77777777" w:rsidR="00D64459" w:rsidRPr="00493E39" w:rsidRDefault="008B2120">
            <w:pPr>
              <w:spacing w:line="240" w:lineRule="auto"/>
              <w:jc w:val="center"/>
              <w:rPr>
                <w:rFonts w:cs="Arial"/>
              </w:rPr>
            </w:pPr>
            <w:r w:rsidRPr="00493E39">
              <w:rPr>
                <w:rFonts w:cs="Arial"/>
                <w:sz w:val="18"/>
              </w:rPr>
              <w:t>(1,670)</w:t>
            </w:r>
          </w:p>
        </w:tc>
        <w:tc>
          <w:tcPr>
            <w:tcW w:w="1133" w:type="dxa"/>
            <w:tcBorders>
              <w:top w:val="nil"/>
              <w:left w:val="nil"/>
              <w:bottom w:val="nil"/>
              <w:right w:val="nil"/>
            </w:tcBorders>
          </w:tcPr>
          <w:p w14:paraId="3EBD1410" w14:textId="77777777" w:rsidR="00D64459" w:rsidRPr="00493E39" w:rsidRDefault="008B2120">
            <w:pPr>
              <w:spacing w:line="240" w:lineRule="auto"/>
              <w:jc w:val="center"/>
              <w:rPr>
                <w:rFonts w:cs="Arial"/>
              </w:rPr>
            </w:pPr>
            <w:r w:rsidRPr="00493E39">
              <w:rPr>
                <w:rFonts w:cs="Arial"/>
                <w:sz w:val="18"/>
              </w:rPr>
              <w:t>0,089</w:t>
            </w:r>
          </w:p>
        </w:tc>
      </w:tr>
      <w:tr w:rsidR="00D64459" w:rsidRPr="00493E39" w14:paraId="43E647B6" w14:textId="77777777">
        <w:trPr>
          <w:cantSplit/>
          <w:jc w:val="center"/>
        </w:trPr>
        <w:tc>
          <w:tcPr>
            <w:tcW w:w="2268" w:type="dxa"/>
            <w:tcBorders>
              <w:top w:val="nil"/>
              <w:left w:val="nil"/>
              <w:bottom w:val="nil"/>
              <w:right w:val="nil"/>
            </w:tcBorders>
          </w:tcPr>
          <w:p w14:paraId="7908F1EC" w14:textId="77777777" w:rsidR="00D64459" w:rsidRPr="00493E39" w:rsidRDefault="00D64459">
            <w:pPr>
              <w:spacing w:line="240" w:lineRule="auto"/>
              <w:rPr>
                <w:rFonts w:cs="Arial"/>
              </w:rPr>
            </w:pPr>
          </w:p>
        </w:tc>
        <w:tc>
          <w:tcPr>
            <w:tcW w:w="454" w:type="dxa"/>
            <w:tcBorders>
              <w:top w:val="nil"/>
              <w:left w:val="nil"/>
              <w:bottom w:val="nil"/>
              <w:right w:val="nil"/>
            </w:tcBorders>
          </w:tcPr>
          <w:p w14:paraId="6735F054" w14:textId="77777777" w:rsidR="00D64459" w:rsidRPr="00493E39" w:rsidRDefault="008B2120">
            <w:pPr>
              <w:spacing w:line="240" w:lineRule="auto"/>
              <w:jc w:val="center"/>
              <w:rPr>
                <w:rFonts w:cs="Arial"/>
              </w:rPr>
            </w:pPr>
            <w:r w:rsidRPr="00493E39">
              <w:rPr>
                <w:rFonts w:cs="Arial"/>
                <w:sz w:val="18"/>
              </w:rPr>
              <w:t>12</w:t>
            </w:r>
          </w:p>
        </w:tc>
        <w:tc>
          <w:tcPr>
            <w:tcW w:w="1191" w:type="dxa"/>
            <w:tcBorders>
              <w:top w:val="nil"/>
              <w:left w:val="nil"/>
              <w:bottom w:val="nil"/>
              <w:right w:val="nil"/>
            </w:tcBorders>
          </w:tcPr>
          <w:p w14:paraId="1B51C1A0" w14:textId="77777777" w:rsidR="00D64459" w:rsidRPr="00493E39" w:rsidRDefault="008B2120">
            <w:pPr>
              <w:spacing w:line="240" w:lineRule="auto"/>
              <w:jc w:val="center"/>
              <w:rPr>
                <w:rFonts w:cs="Arial"/>
              </w:rPr>
            </w:pPr>
            <w:r w:rsidRPr="00493E39">
              <w:rPr>
                <w:rFonts w:cs="Arial"/>
                <w:sz w:val="18"/>
              </w:rPr>
              <w:t>0,421</w:t>
            </w:r>
          </w:p>
        </w:tc>
        <w:tc>
          <w:tcPr>
            <w:tcW w:w="907" w:type="dxa"/>
            <w:tcBorders>
              <w:top w:val="nil"/>
              <w:left w:val="nil"/>
              <w:bottom w:val="nil"/>
              <w:right w:val="nil"/>
            </w:tcBorders>
          </w:tcPr>
          <w:p w14:paraId="2A7DDB50" w14:textId="77777777" w:rsidR="00D64459" w:rsidRPr="00493E39" w:rsidRDefault="008B2120">
            <w:pPr>
              <w:spacing w:line="240" w:lineRule="auto"/>
              <w:jc w:val="center"/>
              <w:rPr>
                <w:rFonts w:cs="Arial"/>
              </w:rPr>
            </w:pPr>
            <w:r w:rsidRPr="00493E39">
              <w:rPr>
                <w:rFonts w:cs="Arial"/>
                <w:sz w:val="18"/>
              </w:rPr>
              <w:t>(0,882)</w:t>
            </w:r>
          </w:p>
        </w:tc>
        <w:tc>
          <w:tcPr>
            <w:tcW w:w="1191" w:type="dxa"/>
            <w:tcBorders>
              <w:top w:val="nil"/>
              <w:left w:val="nil"/>
              <w:bottom w:val="nil"/>
              <w:right w:val="nil"/>
            </w:tcBorders>
          </w:tcPr>
          <w:p w14:paraId="39534AC7" w14:textId="77777777" w:rsidR="00D64459" w:rsidRPr="00493E39" w:rsidRDefault="008B2120">
            <w:pPr>
              <w:spacing w:line="240" w:lineRule="auto"/>
              <w:jc w:val="center"/>
              <w:rPr>
                <w:rFonts w:cs="Arial"/>
              </w:rPr>
            </w:pPr>
            <w:r w:rsidRPr="00493E39">
              <w:rPr>
                <w:rFonts w:cs="Arial"/>
                <w:sz w:val="18"/>
              </w:rPr>
              <w:t>2,428</w:t>
            </w:r>
          </w:p>
        </w:tc>
        <w:tc>
          <w:tcPr>
            <w:tcW w:w="907" w:type="dxa"/>
            <w:tcBorders>
              <w:top w:val="nil"/>
              <w:left w:val="nil"/>
              <w:bottom w:val="nil"/>
              <w:right w:val="nil"/>
            </w:tcBorders>
          </w:tcPr>
          <w:p w14:paraId="4B688F68" w14:textId="77777777" w:rsidR="00D64459" w:rsidRPr="00493E39" w:rsidRDefault="008B2120">
            <w:pPr>
              <w:spacing w:line="240" w:lineRule="auto"/>
              <w:jc w:val="center"/>
              <w:rPr>
                <w:rFonts w:cs="Arial"/>
              </w:rPr>
            </w:pPr>
            <w:r w:rsidRPr="00493E39">
              <w:rPr>
                <w:rFonts w:cs="Arial"/>
                <w:sz w:val="18"/>
              </w:rPr>
              <w:t>(2,331)</w:t>
            </w:r>
          </w:p>
        </w:tc>
        <w:tc>
          <w:tcPr>
            <w:tcW w:w="1133" w:type="dxa"/>
            <w:tcBorders>
              <w:top w:val="nil"/>
              <w:left w:val="nil"/>
              <w:bottom w:val="nil"/>
              <w:right w:val="nil"/>
            </w:tcBorders>
          </w:tcPr>
          <w:p w14:paraId="05525DD4" w14:textId="77777777" w:rsidR="00D64459" w:rsidRPr="00493E39" w:rsidRDefault="008B2120">
            <w:pPr>
              <w:spacing w:line="240" w:lineRule="auto"/>
              <w:jc w:val="center"/>
              <w:rPr>
                <w:rFonts w:cs="Arial"/>
              </w:rPr>
            </w:pPr>
            <w:r w:rsidRPr="00493E39">
              <w:rPr>
                <w:rFonts w:cs="Arial"/>
                <w:sz w:val="18"/>
              </w:rPr>
              <w:t>0,411</w:t>
            </w:r>
          </w:p>
        </w:tc>
      </w:tr>
      <w:tr w:rsidR="00D64459" w:rsidRPr="00493E39" w14:paraId="753FD42A" w14:textId="77777777">
        <w:trPr>
          <w:cantSplit/>
          <w:jc w:val="center"/>
        </w:trPr>
        <w:tc>
          <w:tcPr>
            <w:tcW w:w="2268" w:type="dxa"/>
            <w:tcBorders>
              <w:top w:val="nil"/>
              <w:left w:val="nil"/>
              <w:bottom w:val="nil"/>
              <w:right w:val="nil"/>
            </w:tcBorders>
          </w:tcPr>
          <w:p w14:paraId="7459E5B5" w14:textId="77777777" w:rsidR="00D64459" w:rsidRPr="00493E39" w:rsidRDefault="008B2120">
            <w:pPr>
              <w:spacing w:line="240" w:lineRule="auto"/>
              <w:rPr>
                <w:rFonts w:cs="Arial"/>
              </w:rPr>
            </w:pPr>
            <w:proofErr w:type="spellStart"/>
            <w:r w:rsidRPr="00493E39">
              <w:rPr>
                <w:rFonts w:cs="Arial"/>
                <w:sz w:val="18"/>
              </w:rPr>
              <w:t>Etanol</w:t>
            </w:r>
            <w:proofErr w:type="spellEnd"/>
          </w:p>
        </w:tc>
        <w:tc>
          <w:tcPr>
            <w:tcW w:w="454" w:type="dxa"/>
            <w:tcBorders>
              <w:top w:val="nil"/>
              <w:left w:val="nil"/>
              <w:bottom w:val="nil"/>
              <w:right w:val="nil"/>
            </w:tcBorders>
          </w:tcPr>
          <w:p w14:paraId="37CE53BB" w14:textId="77777777" w:rsidR="00D64459" w:rsidRPr="00493E39" w:rsidRDefault="008B2120">
            <w:pPr>
              <w:spacing w:line="240" w:lineRule="auto"/>
              <w:jc w:val="center"/>
              <w:rPr>
                <w:rFonts w:cs="Arial"/>
              </w:rPr>
            </w:pPr>
            <w:r w:rsidRPr="00493E39">
              <w:rPr>
                <w:rFonts w:cs="Arial"/>
                <w:sz w:val="18"/>
              </w:rPr>
              <w:t>0</w:t>
            </w:r>
          </w:p>
        </w:tc>
        <w:tc>
          <w:tcPr>
            <w:tcW w:w="1191" w:type="dxa"/>
            <w:tcBorders>
              <w:top w:val="nil"/>
              <w:left w:val="nil"/>
              <w:bottom w:val="nil"/>
              <w:right w:val="nil"/>
            </w:tcBorders>
          </w:tcPr>
          <w:p w14:paraId="016EF3E5" w14:textId="77777777" w:rsidR="00D64459" w:rsidRPr="00493E39" w:rsidRDefault="008B2120">
            <w:pPr>
              <w:spacing w:line="240" w:lineRule="auto"/>
              <w:jc w:val="center"/>
              <w:rPr>
                <w:rFonts w:cs="Arial"/>
              </w:rPr>
            </w:pPr>
            <w:r w:rsidRPr="00493E39">
              <w:rPr>
                <w:rFonts w:cs="Arial"/>
                <w:sz w:val="18"/>
              </w:rPr>
              <w:t>0,411</w:t>
            </w:r>
          </w:p>
        </w:tc>
        <w:tc>
          <w:tcPr>
            <w:tcW w:w="907" w:type="dxa"/>
            <w:tcBorders>
              <w:top w:val="nil"/>
              <w:left w:val="nil"/>
              <w:bottom w:val="nil"/>
              <w:right w:val="nil"/>
            </w:tcBorders>
          </w:tcPr>
          <w:p w14:paraId="188F4C32" w14:textId="77777777" w:rsidR="00D64459" w:rsidRPr="00493E39" w:rsidRDefault="008B2120">
            <w:pPr>
              <w:spacing w:line="240" w:lineRule="auto"/>
              <w:jc w:val="center"/>
              <w:rPr>
                <w:rFonts w:cs="Arial"/>
              </w:rPr>
            </w:pPr>
            <w:r w:rsidRPr="00493E39">
              <w:rPr>
                <w:rFonts w:cs="Arial"/>
                <w:sz w:val="18"/>
              </w:rPr>
              <w:t>(0,403)</w:t>
            </w:r>
          </w:p>
        </w:tc>
        <w:tc>
          <w:tcPr>
            <w:tcW w:w="1191" w:type="dxa"/>
            <w:tcBorders>
              <w:top w:val="nil"/>
              <w:left w:val="nil"/>
              <w:bottom w:val="nil"/>
              <w:right w:val="nil"/>
            </w:tcBorders>
          </w:tcPr>
          <w:p w14:paraId="4C6ACFE3" w14:textId="77777777" w:rsidR="00D64459" w:rsidRPr="00493E39" w:rsidRDefault="008B2120">
            <w:pPr>
              <w:spacing w:line="240" w:lineRule="auto"/>
              <w:jc w:val="center"/>
              <w:rPr>
                <w:rFonts w:cs="Arial"/>
              </w:rPr>
            </w:pPr>
            <w:r w:rsidRPr="00493E39">
              <w:rPr>
                <w:rFonts w:cs="Arial"/>
                <w:sz w:val="18"/>
              </w:rPr>
              <w:t>1,358**</w:t>
            </w:r>
          </w:p>
        </w:tc>
        <w:tc>
          <w:tcPr>
            <w:tcW w:w="907" w:type="dxa"/>
            <w:tcBorders>
              <w:top w:val="nil"/>
              <w:left w:val="nil"/>
              <w:bottom w:val="nil"/>
              <w:right w:val="nil"/>
            </w:tcBorders>
          </w:tcPr>
          <w:p w14:paraId="38B625DF" w14:textId="77777777" w:rsidR="00D64459" w:rsidRPr="00493E39" w:rsidRDefault="008B2120">
            <w:pPr>
              <w:spacing w:line="240" w:lineRule="auto"/>
              <w:jc w:val="center"/>
              <w:rPr>
                <w:rFonts w:cs="Arial"/>
              </w:rPr>
            </w:pPr>
            <w:r w:rsidRPr="00493E39">
              <w:rPr>
                <w:rFonts w:cs="Arial"/>
                <w:sz w:val="18"/>
              </w:rPr>
              <w:t>(0,659)</w:t>
            </w:r>
          </w:p>
        </w:tc>
        <w:tc>
          <w:tcPr>
            <w:tcW w:w="1133" w:type="dxa"/>
            <w:tcBorders>
              <w:top w:val="nil"/>
              <w:left w:val="nil"/>
              <w:bottom w:val="nil"/>
              <w:right w:val="nil"/>
            </w:tcBorders>
          </w:tcPr>
          <w:p w14:paraId="3ED7BB79" w14:textId="77777777" w:rsidR="00D64459" w:rsidRPr="00493E39" w:rsidRDefault="008B2120">
            <w:pPr>
              <w:spacing w:line="240" w:lineRule="auto"/>
              <w:jc w:val="center"/>
              <w:rPr>
                <w:rFonts w:cs="Arial"/>
              </w:rPr>
            </w:pPr>
            <w:r w:rsidRPr="00493E39">
              <w:rPr>
                <w:rFonts w:cs="Arial"/>
                <w:sz w:val="18"/>
              </w:rPr>
              <w:t>0,204</w:t>
            </w:r>
          </w:p>
        </w:tc>
      </w:tr>
      <w:tr w:rsidR="00D64459" w:rsidRPr="00493E39" w14:paraId="30AE77C7" w14:textId="77777777">
        <w:trPr>
          <w:cantSplit/>
          <w:jc w:val="center"/>
        </w:trPr>
        <w:tc>
          <w:tcPr>
            <w:tcW w:w="2268" w:type="dxa"/>
            <w:tcBorders>
              <w:top w:val="nil"/>
              <w:left w:val="nil"/>
              <w:bottom w:val="nil"/>
              <w:right w:val="nil"/>
            </w:tcBorders>
          </w:tcPr>
          <w:p w14:paraId="2CBB4CD7" w14:textId="77777777" w:rsidR="00D64459" w:rsidRPr="00493E39" w:rsidRDefault="00D64459">
            <w:pPr>
              <w:spacing w:line="240" w:lineRule="auto"/>
              <w:rPr>
                <w:rFonts w:cs="Arial"/>
              </w:rPr>
            </w:pPr>
          </w:p>
        </w:tc>
        <w:tc>
          <w:tcPr>
            <w:tcW w:w="454" w:type="dxa"/>
            <w:tcBorders>
              <w:top w:val="nil"/>
              <w:left w:val="nil"/>
              <w:bottom w:val="nil"/>
              <w:right w:val="nil"/>
            </w:tcBorders>
          </w:tcPr>
          <w:p w14:paraId="287F9811" w14:textId="77777777" w:rsidR="00D64459" w:rsidRPr="00493E39" w:rsidRDefault="008B2120">
            <w:pPr>
              <w:spacing w:line="240" w:lineRule="auto"/>
              <w:jc w:val="center"/>
              <w:rPr>
                <w:rFonts w:cs="Arial"/>
              </w:rPr>
            </w:pPr>
            <w:r w:rsidRPr="00493E39">
              <w:rPr>
                <w:rFonts w:cs="Arial"/>
                <w:sz w:val="18"/>
              </w:rPr>
              <w:t>1</w:t>
            </w:r>
          </w:p>
        </w:tc>
        <w:tc>
          <w:tcPr>
            <w:tcW w:w="1191" w:type="dxa"/>
            <w:tcBorders>
              <w:top w:val="nil"/>
              <w:left w:val="nil"/>
              <w:bottom w:val="nil"/>
              <w:right w:val="nil"/>
            </w:tcBorders>
          </w:tcPr>
          <w:p w14:paraId="41F99459" w14:textId="77777777" w:rsidR="00D64459" w:rsidRPr="00493E39" w:rsidRDefault="008B2120">
            <w:pPr>
              <w:spacing w:line="240" w:lineRule="auto"/>
              <w:jc w:val="center"/>
              <w:rPr>
                <w:rFonts w:cs="Arial"/>
              </w:rPr>
            </w:pPr>
            <w:r w:rsidRPr="00493E39">
              <w:rPr>
                <w:rFonts w:cs="Arial"/>
                <w:sz w:val="18"/>
              </w:rPr>
              <w:t>1,016</w:t>
            </w:r>
          </w:p>
        </w:tc>
        <w:tc>
          <w:tcPr>
            <w:tcW w:w="907" w:type="dxa"/>
            <w:tcBorders>
              <w:top w:val="nil"/>
              <w:left w:val="nil"/>
              <w:bottom w:val="nil"/>
              <w:right w:val="nil"/>
            </w:tcBorders>
          </w:tcPr>
          <w:p w14:paraId="1EBD01CF" w14:textId="77777777" w:rsidR="00D64459" w:rsidRPr="00493E39" w:rsidRDefault="008B2120">
            <w:pPr>
              <w:spacing w:line="240" w:lineRule="auto"/>
              <w:jc w:val="center"/>
              <w:rPr>
                <w:rFonts w:cs="Arial"/>
              </w:rPr>
            </w:pPr>
            <w:r w:rsidRPr="00493E39">
              <w:rPr>
                <w:rFonts w:cs="Arial"/>
                <w:sz w:val="18"/>
              </w:rPr>
              <w:t>(0,685)</w:t>
            </w:r>
          </w:p>
        </w:tc>
        <w:tc>
          <w:tcPr>
            <w:tcW w:w="1191" w:type="dxa"/>
            <w:tcBorders>
              <w:top w:val="nil"/>
              <w:left w:val="nil"/>
              <w:bottom w:val="nil"/>
              <w:right w:val="nil"/>
            </w:tcBorders>
          </w:tcPr>
          <w:p w14:paraId="53FB361E" w14:textId="77777777" w:rsidR="00D64459" w:rsidRPr="00493E39" w:rsidRDefault="008B2120">
            <w:pPr>
              <w:spacing w:line="240" w:lineRule="auto"/>
              <w:jc w:val="center"/>
              <w:rPr>
                <w:rFonts w:cs="Arial"/>
              </w:rPr>
            </w:pPr>
            <w:r w:rsidRPr="00493E39">
              <w:rPr>
                <w:rFonts w:cs="Arial"/>
                <w:sz w:val="18"/>
              </w:rPr>
              <w:t>3,331***</w:t>
            </w:r>
          </w:p>
        </w:tc>
        <w:tc>
          <w:tcPr>
            <w:tcW w:w="907" w:type="dxa"/>
            <w:tcBorders>
              <w:top w:val="nil"/>
              <w:left w:val="nil"/>
              <w:bottom w:val="nil"/>
              <w:right w:val="nil"/>
            </w:tcBorders>
          </w:tcPr>
          <w:p w14:paraId="67580785" w14:textId="77777777" w:rsidR="00D64459" w:rsidRPr="00493E39" w:rsidRDefault="008B2120">
            <w:pPr>
              <w:spacing w:line="240" w:lineRule="auto"/>
              <w:jc w:val="center"/>
              <w:rPr>
                <w:rFonts w:cs="Arial"/>
              </w:rPr>
            </w:pPr>
            <w:r w:rsidRPr="00493E39">
              <w:rPr>
                <w:rFonts w:cs="Arial"/>
                <w:sz w:val="18"/>
              </w:rPr>
              <w:t>(1,082)</w:t>
            </w:r>
          </w:p>
        </w:tc>
        <w:tc>
          <w:tcPr>
            <w:tcW w:w="1133" w:type="dxa"/>
            <w:tcBorders>
              <w:top w:val="nil"/>
              <w:left w:val="nil"/>
              <w:bottom w:val="nil"/>
              <w:right w:val="nil"/>
            </w:tcBorders>
          </w:tcPr>
          <w:p w14:paraId="3725655D" w14:textId="77777777" w:rsidR="00D64459" w:rsidRPr="00493E39" w:rsidRDefault="008B2120">
            <w:pPr>
              <w:spacing w:line="240" w:lineRule="auto"/>
              <w:jc w:val="center"/>
              <w:rPr>
                <w:rFonts w:cs="Arial"/>
              </w:rPr>
            </w:pPr>
            <w:r w:rsidRPr="00493E39">
              <w:rPr>
                <w:rFonts w:cs="Arial"/>
                <w:sz w:val="18"/>
              </w:rPr>
              <w:t>0,053</w:t>
            </w:r>
          </w:p>
        </w:tc>
      </w:tr>
      <w:tr w:rsidR="00D64459" w:rsidRPr="00493E39" w14:paraId="2712C6BC" w14:textId="77777777">
        <w:trPr>
          <w:cantSplit/>
          <w:jc w:val="center"/>
        </w:trPr>
        <w:tc>
          <w:tcPr>
            <w:tcW w:w="2268" w:type="dxa"/>
            <w:tcBorders>
              <w:top w:val="nil"/>
              <w:left w:val="nil"/>
              <w:bottom w:val="nil"/>
              <w:right w:val="nil"/>
            </w:tcBorders>
          </w:tcPr>
          <w:p w14:paraId="3035E2B6" w14:textId="77777777" w:rsidR="00D64459" w:rsidRPr="00493E39" w:rsidRDefault="00D64459">
            <w:pPr>
              <w:spacing w:line="240" w:lineRule="auto"/>
              <w:rPr>
                <w:rFonts w:cs="Arial"/>
              </w:rPr>
            </w:pPr>
          </w:p>
        </w:tc>
        <w:tc>
          <w:tcPr>
            <w:tcW w:w="454" w:type="dxa"/>
            <w:tcBorders>
              <w:top w:val="nil"/>
              <w:left w:val="nil"/>
              <w:bottom w:val="nil"/>
              <w:right w:val="nil"/>
            </w:tcBorders>
          </w:tcPr>
          <w:p w14:paraId="1E473CA8" w14:textId="77777777" w:rsidR="00D64459" w:rsidRPr="00493E39" w:rsidRDefault="008B2120">
            <w:pPr>
              <w:spacing w:line="240" w:lineRule="auto"/>
              <w:jc w:val="center"/>
              <w:rPr>
                <w:rFonts w:cs="Arial"/>
              </w:rPr>
            </w:pPr>
            <w:r w:rsidRPr="00493E39">
              <w:rPr>
                <w:rFonts w:cs="Arial"/>
                <w:sz w:val="18"/>
              </w:rPr>
              <w:t>3</w:t>
            </w:r>
          </w:p>
        </w:tc>
        <w:tc>
          <w:tcPr>
            <w:tcW w:w="1191" w:type="dxa"/>
            <w:tcBorders>
              <w:top w:val="nil"/>
              <w:left w:val="nil"/>
              <w:bottom w:val="nil"/>
              <w:right w:val="nil"/>
            </w:tcBorders>
          </w:tcPr>
          <w:p w14:paraId="2DEEB905" w14:textId="77777777" w:rsidR="00D64459" w:rsidRPr="00493E39" w:rsidRDefault="008B2120">
            <w:pPr>
              <w:spacing w:line="240" w:lineRule="auto"/>
              <w:jc w:val="center"/>
              <w:rPr>
                <w:rFonts w:cs="Arial"/>
              </w:rPr>
            </w:pPr>
            <w:r w:rsidRPr="00493E39">
              <w:rPr>
                <w:rFonts w:cs="Arial"/>
                <w:sz w:val="18"/>
              </w:rPr>
              <w:t>0,834</w:t>
            </w:r>
          </w:p>
        </w:tc>
        <w:tc>
          <w:tcPr>
            <w:tcW w:w="907" w:type="dxa"/>
            <w:tcBorders>
              <w:top w:val="nil"/>
              <w:left w:val="nil"/>
              <w:bottom w:val="nil"/>
              <w:right w:val="nil"/>
            </w:tcBorders>
          </w:tcPr>
          <w:p w14:paraId="3A3CD34D" w14:textId="77777777" w:rsidR="00D64459" w:rsidRPr="00493E39" w:rsidRDefault="008B2120">
            <w:pPr>
              <w:spacing w:line="240" w:lineRule="auto"/>
              <w:jc w:val="center"/>
              <w:rPr>
                <w:rFonts w:cs="Arial"/>
              </w:rPr>
            </w:pPr>
            <w:r w:rsidRPr="00493E39">
              <w:rPr>
                <w:rFonts w:cs="Arial"/>
                <w:sz w:val="18"/>
              </w:rPr>
              <w:t>(0,994)</w:t>
            </w:r>
          </w:p>
        </w:tc>
        <w:tc>
          <w:tcPr>
            <w:tcW w:w="1191" w:type="dxa"/>
            <w:tcBorders>
              <w:top w:val="nil"/>
              <w:left w:val="nil"/>
              <w:bottom w:val="nil"/>
              <w:right w:val="nil"/>
            </w:tcBorders>
          </w:tcPr>
          <w:p w14:paraId="4A830CAF" w14:textId="77777777" w:rsidR="00D64459" w:rsidRPr="00493E39" w:rsidRDefault="008B2120">
            <w:pPr>
              <w:spacing w:line="240" w:lineRule="auto"/>
              <w:jc w:val="center"/>
              <w:rPr>
                <w:rFonts w:cs="Arial"/>
              </w:rPr>
            </w:pPr>
            <w:r w:rsidRPr="00493E39">
              <w:rPr>
                <w:rFonts w:cs="Arial"/>
                <w:sz w:val="18"/>
              </w:rPr>
              <w:t>2,715**</w:t>
            </w:r>
          </w:p>
        </w:tc>
        <w:tc>
          <w:tcPr>
            <w:tcW w:w="907" w:type="dxa"/>
            <w:tcBorders>
              <w:top w:val="nil"/>
              <w:left w:val="nil"/>
              <w:bottom w:val="nil"/>
              <w:right w:val="nil"/>
            </w:tcBorders>
          </w:tcPr>
          <w:p w14:paraId="208A7C01" w14:textId="77777777" w:rsidR="00D64459" w:rsidRPr="00493E39" w:rsidRDefault="008B2120">
            <w:pPr>
              <w:spacing w:line="240" w:lineRule="auto"/>
              <w:jc w:val="center"/>
              <w:rPr>
                <w:rFonts w:cs="Arial"/>
              </w:rPr>
            </w:pPr>
            <w:r w:rsidRPr="00493E39">
              <w:rPr>
                <w:rFonts w:cs="Arial"/>
                <w:sz w:val="18"/>
              </w:rPr>
              <w:t>(1,353)</w:t>
            </w:r>
          </w:p>
        </w:tc>
        <w:tc>
          <w:tcPr>
            <w:tcW w:w="1133" w:type="dxa"/>
            <w:tcBorders>
              <w:top w:val="nil"/>
              <w:left w:val="nil"/>
              <w:bottom w:val="nil"/>
              <w:right w:val="nil"/>
            </w:tcBorders>
          </w:tcPr>
          <w:p w14:paraId="7BC3F173" w14:textId="77777777" w:rsidR="00D64459" w:rsidRPr="00493E39" w:rsidRDefault="008B2120">
            <w:pPr>
              <w:spacing w:line="240" w:lineRule="auto"/>
              <w:jc w:val="center"/>
              <w:rPr>
                <w:rFonts w:cs="Arial"/>
              </w:rPr>
            </w:pPr>
            <w:r w:rsidRPr="00493E39">
              <w:rPr>
                <w:rFonts w:cs="Arial"/>
                <w:sz w:val="18"/>
              </w:rPr>
              <w:t>0,238</w:t>
            </w:r>
          </w:p>
        </w:tc>
      </w:tr>
      <w:tr w:rsidR="00D64459" w:rsidRPr="00493E39" w14:paraId="7D251B28" w14:textId="77777777">
        <w:trPr>
          <w:cantSplit/>
          <w:jc w:val="center"/>
        </w:trPr>
        <w:tc>
          <w:tcPr>
            <w:tcW w:w="2268" w:type="dxa"/>
            <w:tcBorders>
              <w:top w:val="nil"/>
              <w:left w:val="nil"/>
              <w:bottom w:val="nil"/>
              <w:right w:val="nil"/>
            </w:tcBorders>
          </w:tcPr>
          <w:p w14:paraId="165EDAD0" w14:textId="77777777" w:rsidR="00D64459" w:rsidRPr="00493E39" w:rsidRDefault="00D64459">
            <w:pPr>
              <w:spacing w:line="240" w:lineRule="auto"/>
              <w:rPr>
                <w:rFonts w:cs="Arial"/>
              </w:rPr>
            </w:pPr>
          </w:p>
        </w:tc>
        <w:tc>
          <w:tcPr>
            <w:tcW w:w="454" w:type="dxa"/>
            <w:tcBorders>
              <w:top w:val="nil"/>
              <w:left w:val="nil"/>
              <w:bottom w:val="nil"/>
              <w:right w:val="nil"/>
            </w:tcBorders>
          </w:tcPr>
          <w:p w14:paraId="4FFD2019" w14:textId="77777777" w:rsidR="00D64459" w:rsidRPr="00493E39" w:rsidRDefault="008B2120">
            <w:pPr>
              <w:spacing w:line="240" w:lineRule="auto"/>
              <w:jc w:val="center"/>
              <w:rPr>
                <w:rFonts w:cs="Arial"/>
              </w:rPr>
            </w:pPr>
            <w:r w:rsidRPr="00493E39">
              <w:rPr>
                <w:rFonts w:cs="Arial"/>
                <w:sz w:val="18"/>
              </w:rPr>
              <w:t>6</w:t>
            </w:r>
          </w:p>
        </w:tc>
        <w:tc>
          <w:tcPr>
            <w:tcW w:w="1191" w:type="dxa"/>
            <w:tcBorders>
              <w:top w:val="nil"/>
              <w:left w:val="nil"/>
              <w:bottom w:val="nil"/>
              <w:right w:val="nil"/>
            </w:tcBorders>
          </w:tcPr>
          <w:p w14:paraId="3CC54450" w14:textId="77777777" w:rsidR="00D64459" w:rsidRPr="00493E39" w:rsidRDefault="008B2120">
            <w:pPr>
              <w:spacing w:line="240" w:lineRule="auto"/>
              <w:jc w:val="center"/>
              <w:rPr>
                <w:rFonts w:cs="Arial"/>
              </w:rPr>
            </w:pPr>
            <w:r w:rsidRPr="00493E39">
              <w:rPr>
                <w:rFonts w:cs="Arial"/>
                <w:sz w:val="18"/>
              </w:rPr>
              <w:t>2,270*</w:t>
            </w:r>
          </w:p>
        </w:tc>
        <w:tc>
          <w:tcPr>
            <w:tcW w:w="907" w:type="dxa"/>
            <w:tcBorders>
              <w:top w:val="nil"/>
              <w:left w:val="nil"/>
              <w:bottom w:val="nil"/>
              <w:right w:val="nil"/>
            </w:tcBorders>
          </w:tcPr>
          <w:p w14:paraId="76DA73BF" w14:textId="77777777" w:rsidR="00D64459" w:rsidRPr="00493E39" w:rsidRDefault="008B2120">
            <w:pPr>
              <w:spacing w:line="240" w:lineRule="auto"/>
              <w:jc w:val="center"/>
              <w:rPr>
                <w:rFonts w:cs="Arial"/>
              </w:rPr>
            </w:pPr>
            <w:r w:rsidRPr="00493E39">
              <w:rPr>
                <w:rFonts w:cs="Arial"/>
                <w:sz w:val="18"/>
              </w:rPr>
              <w:t>(1,240)</w:t>
            </w:r>
          </w:p>
        </w:tc>
        <w:tc>
          <w:tcPr>
            <w:tcW w:w="1191" w:type="dxa"/>
            <w:tcBorders>
              <w:top w:val="nil"/>
              <w:left w:val="nil"/>
              <w:bottom w:val="nil"/>
              <w:right w:val="nil"/>
            </w:tcBorders>
          </w:tcPr>
          <w:p w14:paraId="3597598D" w14:textId="77777777" w:rsidR="00D64459" w:rsidRPr="00493E39" w:rsidRDefault="008B2120">
            <w:pPr>
              <w:spacing w:line="240" w:lineRule="auto"/>
              <w:jc w:val="center"/>
              <w:rPr>
                <w:rFonts w:cs="Arial"/>
              </w:rPr>
            </w:pPr>
            <w:r w:rsidRPr="00493E39">
              <w:rPr>
                <w:rFonts w:cs="Arial"/>
                <w:sz w:val="18"/>
              </w:rPr>
              <w:t>0,613</w:t>
            </w:r>
          </w:p>
        </w:tc>
        <w:tc>
          <w:tcPr>
            <w:tcW w:w="907" w:type="dxa"/>
            <w:tcBorders>
              <w:top w:val="nil"/>
              <w:left w:val="nil"/>
              <w:bottom w:val="nil"/>
              <w:right w:val="nil"/>
            </w:tcBorders>
          </w:tcPr>
          <w:p w14:paraId="0A53571C" w14:textId="77777777" w:rsidR="00D64459" w:rsidRPr="00493E39" w:rsidRDefault="008B2120">
            <w:pPr>
              <w:spacing w:line="240" w:lineRule="auto"/>
              <w:jc w:val="center"/>
              <w:rPr>
                <w:rFonts w:cs="Arial"/>
              </w:rPr>
            </w:pPr>
            <w:r w:rsidRPr="00493E39">
              <w:rPr>
                <w:rFonts w:cs="Arial"/>
                <w:sz w:val="18"/>
              </w:rPr>
              <w:t>(1,732)</w:t>
            </w:r>
          </w:p>
        </w:tc>
        <w:tc>
          <w:tcPr>
            <w:tcW w:w="1133" w:type="dxa"/>
            <w:tcBorders>
              <w:top w:val="nil"/>
              <w:left w:val="nil"/>
              <w:bottom w:val="nil"/>
              <w:right w:val="nil"/>
            </w:tcBorders>
          </w:tcPr>
          <w:p w14:paraId="3A417B54" w14:textId="77777777" w:rsidR="00D64459" w:rsidRPr="00493E39" w:rsidRDefault="008B2120">
            <w:pPr>
              <w:spacing w:line="240" w:lineRule="auto"/>
              <w:jc w:val="center"/>
              <w:rPr>
                <w:rFonts w:cs="Arial"/>
              </w:rPr>
            </w:pPr>
            <w:r w:rsidRPr="00493E39">
              <w:rPr>
                <w:rFonts w:cs="Arial"/>
                <w:sz w:val="18"/>
              </w:rPr>
              <w:t>0,435</w:t>
            </w:r>
          </w:p>
        </w:tc>
      </w:tr>
      <w:tr w:rsidR="00D64459" w:rsidRPr="00493E39" w14:paraId="02528070" w14:textId="77777777">
        <w:trPr>
          <w:cantSplit/>
          <w:jc w:val="center"/>
        </w:trPr>
        <w:tc>
          <w:tcPr>
            <w:tcW w:w="2268" w:type="dxa"/>
            <w:tcBorders>
              <w:top w:val="nil"/>
              <w:left w:val="nil"/>
              <w:bottom w:val="single" w:sz="12" w:space="0" w:color="000000"/>
              <w:right w:val="nil"/>
            </w:tcBorders>
          </w:tcPr>
          <w:p w14:paraId="138FBEFA" w14:textId="77777777" w:rsidR="00D64459" w:rsidRPr="00493E39" w:rsidRDefault="00D64459">
            <w:pPr>
              <w:spacing w:line="240" w:lineRule="auto"/>
              <w:rPr>
                <w:rFonts w:cs="Arial"/>
              </w:rPr>
            </w:pPr>
          </w:p>
        </w:tc>
        <w:tc>
          <w:tcPr>
            <w:tcW w:w="454" w:type="dxa"/>
            <w:tcBorders>
              <w:top w:val="nil"/>
              <w:left w:val="nil"/>
              <w:bottom w:val="single" w:sz="12" w:space="0" w:color="000000"/>
              <w:right w:val="nil"/>
            </w:tcBorders>
          </w:tcPr>
          <w:p w14:paraId="0C9E3099" w14:textId="77777777" w:rsidR="00D64459" w:rsidRPr="00493E39" w:rsidRDefault="008B2120">
            <w:pPr>
              <w:spacing w:line="240" w:lineRule="auto"/>
              <w:jc w:val="center"/>
              <w:rPr>
                <w:rFonts w:cs="Arial"/>
              </w:rPr>
            </w:pPr>
            <w:r w:rsidRPr="00493E39">
              <w:rPr>
                <w:rFonts w:cs="Arial"/>
                <w:sz w:val="18"/>
              </w:rPr>
              <w:t>12</w:t>
            </w:r>
          </w:p>
        </w:tc>
        <w:tc>
          <w:tcPr>
            <w:tcW w:w="1191" w:type="dxa"/>
            <w:tcBorders>
              <w:top w:val="nil"/>
              <w:left w:val="nil"/>
              <w:bottom w:val="single" w:sz="12" w:space="0" w:color="000000"/>
              <w:right w:val="nil"/>
            </w:tcBorders>
          </w:tcPr>
          <w:p w14:paraId="2BBB24C4" w14:textId="77777777" w:rsidR="00D64459" w:rsidRPr="00493E39" w:rsidRDefault="008B2120">
            <w:pPr>
              <w:spacing w:line="240" w:lineRule="auto"/>
              <w:jc w:val="center"/>
              <w:rPr>
                <w:rFonts w:cs="Arial"/>
              </w:rPr>
            </w:pPr>
            <w:r w:rsidRPr="00493E39">
              <w:rPr>
                <w:rFonts w:cs="Arial"/>
                <w:sz w:val="18"/>
              </w:rPr>
              <w:t>0,206</w:t>
            </w:r>
          </w:p>
        </w:tc>
        <w:tc>
          <w:tcPr>
            <w:tcW w:w="907" w:type="dxa"/>
            <w:tcBorders>
              <w:top w:val="nil"/>
              <w:left w:val="nil"/>
              <w:bottom w:val="single" w:sz="12" w:space="0" w:color="000000"/>
              <w:right w:val="nil"/>
            </w:tcBorders>
          </w:tcPr>
          <w:p w14:paraId="457E3C1C" w14:textId="77777777" w:rsidR="00D64459" w:rsidRPr="00493E39" w:rsidRDefault="008B2120">
            <w:pPr>
              <w:spacing w:line="240" w:lineRule="auto"/>
              <w:jc w:val="center"/>
              <w:rPr>
                <w:rFonts w:cs="Arial"/>
              </w:rPr>
            </w:pPr>
            <w:r w:rsidRPr="00493E39">
              <w:rPr>
                <w:rFonts w:cs="Arial"/>
                <w:sz w:val="18"/>
              </w:rPr>
              <w:t>(1,537)</w:t>
            </w:r>
          </w:p>
        </w:tc>
        <w:tc>
          <w:tcPr>
            <w:tcW w:w="1191" w:type="dxa"/>
            <w:tcBorders>
              <w:top w:val="nil"/>
              <w:left w:val="nil"/>
              <w:bottom w:val="single" w:sz="12" w:space="0" w:color="000000"/>
              <w:right w:val="nil"/>
            </w:tcBorders>
          </w:tcPr>
          <w:p w14:paraId="16D4CDE6" w14:textId="77777777" w:rsidR="00D64459" w:rsidRPr="00493E39" w:rsidRDefault="008B2120">
            <w:pPr>
              <w:spacing w:line="240" w:lineRule="auto"/>
              <w:jc w:val="center"/>
              <w:rPr>
                <w:rFonts w:cs="Arial"/>
              </w:rPr>
            </w:pPr>
            <w:r w:rsidRPr="00493E39">
              <w:rPr>
                <w:rFonts w:cs="Arial"/>
                <w:sz w:val="18"/>
              </w:rPr>
              <w:t>1,306</w:t>
            </w:r>
          </w:p>
        </w:tc>
        <w:tc>
          <w:tcPr>
            <w:tcW w:w="907" w:type="dxa"/>
            <w:tcBorders>
              <w:top w:val="nil"/>
              <w:left w:val="nil"/>
              <w:bottom w:val="single" w:sz="12" w:space="0" w:color="000000"/>
              <w:right w:val="nil"/>
            </w:tcBorders>
          </w:tcPr>
          <w:p w14:paraId="7CEBAE38" w14:textId="77777777" w:rsidR="00D64459" w:rsidRPr="00493E39" w:rsidRDefault="008B2120">
            <w:pPr>
              <w:spacing w:line="240" w:lineRule="auto"/>
              <w:jc w:val="center"/>
              <w:rPr>
                <w:rFonts w:cs="Arial"/>
              </w:rPr>
            </w:pPr>
            <w:r w:rsidRPr="00493E39">
              <w:rPr>
                <w:rFonts w:cs="Arial"/>
                <w:sz w:val="18"/>
              </w:rPr>
              <w:t>(1,469)</w:t>
            </w:r>
          </w:p>
        </w:tc>
        <w:tc>
          <w:tcPr>
            <w:tcW w:w="1133" w:type="dxa"/>
            <w:tcBorders>
              <w:top w:val="nil"/>
              <w:left w:val="nil"/>
              <w:bottom w:val="single" w:sz="12" w:space="0" w:color="000000"/>
              <w:right w:val="nil"/>
            </w:tcBorders>
          </w:tcPr>
          <w:p w14:paraId="788786FD" w14:textId="77777777" w:rsidR="00D64459" w:rsidRPr="00493E39" w:rsidRDefault="008B2120">
            <w:pPr>
              <w:spacing w:line="240" w:lineRule="auto"/>
              <w:jc w:val="center"/>
              <w:rPr>
                <w:rFonts w:cs="Arial"/>
              </w:rPr>
            </w:pPr>
            <w:r w:rsidRPr="00493E39">
              <w:rPr>
                <w:rFonts w:cs="Arial"/>
                <w:sz w:val="18"/>
              </w:rPr>
              <w:t>0,568</w:t>
            </w:r>
          </w:p>
        </w:tc>
      </w:tr>
    </w:tbl>
    <w:p w14:paraId="32160B26" w14:textId="77777777" w:rsidR="00D64459" w:rsidRPr="00493E39" w:rsidRDefault="008B2120">
      <w:pPr>
        <w:spacing w:before="40" w:line="240" w:lineRule="auto"/>
        <w:jc w:val="both"/>
        <w:rPr>
          <w:rFonts w:cs="Arial"/>
          <w:lang w:val="pt-BR"/>
        </w:rPr>
      </w:pPr>
      <w:r w:rsidRPr="00493E39">
        <w:rPr>
          <w:rFonts w:cs="Arial"/>
          <w:sz w:val="18"/>
          <w:lang w:val="pt-BR"/>
        </w:rPr>
        <w:t xml:space="preserve">Nota: coeficientes em pontos percentuais, resposta acumulada do nível de preços, com erro-padrão de Newey-West entre parênteses ao lado de cada um. A coluna Wald traz o p-valor do teste de igualdade entre os regimes, cuja variância é a da diferença </w:t>
      </w:r>
      <w:proofErr w:type="gramStart"/>
      <w:r w:rsidRPr="00493E39">
        <w:rPr>
          <w:rFonts w:cs="Arial"/>
          <w:sz w:val="18"/>
          <w:lang w:val="pt-BR"/>
        </w:rPr>
        <w:t>e portanto</w:t>
      </w:r>
      <w:proofErr w:type="gramEnd"/>
      <w:r w:rsidRPr="00493E39">
        <w:rPr>
          <w:rFonts w:cs="Arial"/>
          <w:sz w:val="18"/>
          <w:lang w:val="pt-BR"/>
        </w:rPr>
        <w:t xml:space="preserve"> incorpora a covariância entre os dois coeficientes. Os asteriscos seguem o critério pontual; sob o critério uniforme </w:t>
      </w:r>
      <w:proofErr w:type="spellStart"/>
      <w:r w:rsidRPr="00493E39">
        <w:rPr>
          <w:rFonts w:cs="Arial"/>
          <w:sz w:val="18"/>
          <w:lang w:val="pt-BR"/>
        </w:rPr>
        <w:t>sup</w:t>
      </w:r>
      <w:proofErr w:type="spellEnd"/>
      <w:r w:rsidRPr="00493E39">
        <w:rPr>
          <w:rFonts w:cs="Arial"/>
          <w:sz w:val="18"/>
          <w:lang w:val="pt-BR"/>
        </w:rPr>
        <w:t>-t da seção 3.5, dezesseis dos dezoito coeficientes do regime posterior permanecem significativos nos horizontes de zero a três meses, e dezoito das trinta células da tabela. No horizonte de impacto a amostra tem 166 observações no regime anterior e 103 no posterior; o total cai com o horizonte, porque a resposta acumulada em h consome h observações ao fim da amostra. *** p &lt; 0,01; ** p &lt; 0,05; * p &lt; 0,10. Amostra de janeiro de 2003 a setembro de 2025.</w:t>
      </w:r>
    </w:p>
    <w:p w14:paraId="12B68F12"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009B5CFD" w14:textId="77777777" w:rsidR="00D64459" w:rsidRPr="00493E39" w:rsidRDefault="008B2120">
      <w:pPr>
        <w:ind w:firstLine="709"/>
        <w:jc w:val="both"/>
        <w:rPr>
          <w:rFonts w:cs="Arial"/>
          <w:lang w:val="pt-BR"/>
        </w:rPr>
      </w:pPr>
      <w:r w:rsidRPr="00493E39">
        <w:rPr>
          <w:rFonts w:cs="Arial"/>
          <w:lang w:val="pt-BR"/>
        </w:rPr>
        <w:t>O contraste é de ordem de magnitude. No mês do choque, o repasse ao IPCA Geral passa de 0,005 para 0,176 ponto percentual, e ao diesel, de 0,205 para 2,308.</w:t>
      </w:r>
    </w:p>
    <w:p w14:paraId="634B1945" w14:textId="77777777" w:rsidR="00D64459" w:rsidRPr="00493E39" w:rsidRDefault="008B2120">
      <w:pPr>
        <w:ind w:firstLine="709"/>
        <w:jc w:val="both"/>
        <w:rPr>
          <w:rFonts w:cs="Arial"/>
          <w:lang w:val="pt-BR"/>
        </w:rPr>
      </w:pPr>
      <w:r w:rsidRPr="00493E39">
        <w:rPr>
          <w:rFonts w:cs="Arial"/>
          <w:lang w:val="pt-BR"/>
        </w:rPr>
        <w:t xml:space="preserve">O padrão dos asteriscos diz mais que as magnitudes. Nos horizontes de impacto, de um e de três meses, nenhum dos dezoito coeficientes do regime anterior é distinguível de zero, sequer a 10%, ao passo que os dezoito do posterior são todos significativos, quatorze deles a 1%. Sob o critério uniforme </w:t>
      </w:r>
      <w:proofErr w:type="spellStart"/>
      <w:r w:rsidRPr="00493E39">
        <w:rPr>
          <w:rFonts w:cs="Arial"/>
          <w:lang w:val="pt-BR"/>
        </w:rPr>
        <w:t>sup</w:t>
      </w:r>
      <w:proofErr w:type="spellEnd"/>
      <w:r w:rsidRPr="00493E39">
        <w:rPr>
          <w:rFonts w:cs="Arial"/>
          <w:lang w:val="pt-BR"/>
        </w:rPr>
        <w:t xml:space="preserve">-t da seção 3.5, com valores críticos entre 2,150 e 2,362 conforme a série, dezesseis dos dezoito permanecem significativos e nenhum do anterior passa a sê-lo. O padrão pressupõe </w:t>
      </w:r>
      <w:r w:rsidRPr="00493E39">
        <w:rPr>
          <w:rFonts w:cs="Arial"/>
          <w:lang w:val="pt-BR"/>
        </w:rPr>
        <w:lastRenderedPageBreak/>
        <w:t>dinâmica comum aos regimes, que os dados rejeitam; relaxada, a mudança persiste, mas alguns coeficientes anteriores dos combustíveis tornam-se significativos (Apêndice K.6). No índice cheio, o repasse não era detectável e passou a ser sistemático.</w:t>
      </w:r>
    </w:p>
    <w:p w14:paraId="53155138" w14:textId="77777777" w:rsidR="00D64459" w:rsidRPr="00493E39" w:rsidRDefault="008B2120">
      <w:pPr>
        <w:ind w:firstLine="709"/>
        <w:jc w:val="both"/>
        <w:rPr>
          <w:rFonts w:cs="Arial"/>
          <w:lang w:val="pt-BR"/>
        </w:rPr>
      </w:pPr>
      <w:r w:rsidRPr="00493E39">
        <w:rPr>
          <w:rFonts w:cs="Arial"/>
          <w:lang w:val="pt-BR"/>
        </w:rPr>
        <w:t>Nos horizontes de seis e doze meses a significância se dissipa, e das trinta células o regime posterior é significativo em vinte e três. Isso não enfraquece o resultado: é a contrapartida, na tabela, da concentração temporal documentada na seção 4.4, segundo a qual o repasse se completa nos dois primeiros meses. Uma resposta que se esgota cedo produz, necessariamente, coeficientes acumulados imprecisos nos horizontes longos.</w:t>
      </w:r>
    </w:p>
    <w:p w14:paraId="73D9BEE3" w14:textId="77777777" w:rsidR="00D64459" w:rsidRPr="00493E39" w:rsidRDefault="008B2120">
      <w:pPr>
        <w:ind w:firstLine="709"/>
        <w:jc w:val="both"/>
        <w:rPr>
          <w:rFonts w:cs="Arial"/>
          <w:lang w:val="pt-BR"/>
        </w:rPr>
      </w:pPr>
      <w:r w:rsidRPr="00493E39">
        <w:rPr>
          <w:rFonts w:cs="Arial"/>
          <w:lang w:val="pt-BR"/>
        </w:rPr>
        <w:t>Cabe afastar uma explicação alternativa para o contraste. Se o repasse fosse assimétrico entre altas e quedas e o regime posterior tivesse concentrado choques de alta, a diferença poderia refletir composição da amostra e não mudança de regra. A composição, porém, milita contra o resultado encontrado, pelos números que a seção 3.4 já registrou e o Apêndice K.3 documenta.</w:t>
      </w:r>
    </w:p>
    <w:p w14:paraId="037CF9BD" w14:textId="77777777" w:rsidR="00D64459" w:rsidRPr="00493E39" w:rsidRDefault="008B2120">
      <w:pPr>
        <w:ind w:firstLine="709"/>
        <w:jc w:val="both"/>
        <w:rPr>
          <w:rFonts w:cs="Arial"/>
          <w:lang w:val="pt-BR"/>
        </w:rPr>
      </w:pPr>
      <w:r w:rsidRPr="00493E39">
        <w:rPr>
          <w:rFonts w:cs="Arial"/>
          <w:lang w:val="pt-BR"/>
        </w:rPr>
        <w:t>O teste conjunto confirma. Avaliada a igualdade entre regimes simultaneamente nos horizontes de zero a seis meses, a hipótese é rejeitada nas seis variáveis, com p-valores entre 0,000 e 0,031. O contraste com a seção anterior é instrutivo: a especificação agrupada não rejeita a nulidade do repasse médio, ao passo que a diferença entre regimes é rejeitada nas seis séries.</w:t>
      </w:r>
    </w:p>
    <w:p w14:paraId="6C857118" w14:textId="77777777" w:rsidR="00D64459" w:rsidRPr="00493E39" w:rsidRDefault="008B2120">
      <w:pPr>
        <w:ind w:firstLine="709"/>
        <w:jc w:val="both"/>
        <w:rPr>
          <w:rFonts w:cs="Arial"/>
          <w:lang w:val="pt-BR"/>
        </w:rPr>
      </w:pPr>
      <w:r w:rsidRPr="00493E39">
        <w:rPr>
          <w:rFonts w:cs="Arial"/>
          <w:lang w:val="pt-BR"/>
        </w:rPr>
        <w:t>Cabe dimensionar a importância quantitativa do choque. A decomposição da variância do erro de previsão não se aplica a projeções locais, que estimam a resposta a um único choque sem identificar o sistema completo. O análogo disponível é a parcela da variância da inflação mensal que o choque explica, medida pelo ganho de ajuste: 4,7 pontos percentuais no IPCA Geral, 9,4 no IPCA Transportes, 10,6 na gasolina ao consumidor e 16,5 no diesel. É contribuição expressiva para um único choque externo, em equações que já contêm defasagens da própria variável, sazonalidade e quatro controles macroeconômicos.</w:t>
      </w:r>
    </w:p>
    <w:p w14:paraId="565090B7" w14:textId="77777777" w:rsidR="00D64459" w:rsidRPr="00493E39" w:rsidRDefault="008B2120">
      <w:pPr>
        <w:ind w:firstLine="709"/>
        <w:jc w:val="both"/>
        <w:rPr>
          <w:rFonts w:cs="Arial"/>
          <w:lang w:val="pt-BR"/>
        </w:rPr>
      </w:pPr>
      <w:r w:rsidRPr="00493E39">
        <w:rPr>
          <w:rFonts w:cs="Arial"/>
          <w:lang w:val="pt-BR"/>
        </w:rPr>
        <w:t>Os coeficientes da gasolina na refinaria no regime anterior, próximos de zero e de sinais alternados nos horizontes curtos, não diferem de zero em horizonte algum: trata-se de ausência de resposta sistemática de um preço então administrado. A seção 4.7 documenta o comportamento dessa série.</w:t>
      </w:r>
    </w:p>
    <w:p w14:paraId="6BCCA501"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2 – Resposta do IPCA Geral por regime</w:t>
      </w:r>
    </w:p>
    <w:p w14:paraId="24E3001D" w14:textId="77777777" w:rsidR="00D64459" w:rsidRPr="00493E39" w:rsidRDefault="008B2120">
      <w:pPr>
        <w:keepNext/>
        <w:spacing w:after="40"/>
        <w:jc w:val="center"/>
        <w:rPr>
          <w:rFonts w:cs="Arial"/>
        </w:rPr>
      </w:pPr>
      <w:r w:rsidRPr="00493E39">
        <w:rPr>
          <w:rFonts w:cs="Arial"/>
          <w:noProof/>
        </w:rPr>
        <w:drawing>
          <wp:inline distT="0" distB="0" distL="0" distR="0" wp14:anchorId="6C08651F" wp14:editId="191C3580">
            <wp:extent cx="5220000" cy="20118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me_resposta_ipca_geral.png"/>
                    <pic:cNvPicPr/>
                  </pic:nvPicPr>
                  <pic:blipFill>
                    <a:blip r:embed="rId10"/>
                    <a:stretch>
                      <a:fillRect/>
                    </a:stretch>
                  </pic:blipFill>
                  <pic:spPr>
                    <a:xfrm>
                      <a:off x="0" y="0"/>
                      <a:ext cx="5220000" cy="2011875"/>
                    </a:xfrm>
                    <a:prstGeom prst="rect">
                      <a:avLst/>
                    </a:prstGeom>
                  </pic:spPr>
                </pic:pic>
              </a:graphicData>
            </a:graphic>
          </wp:inline>
        </w:drawing>
      </w:r>
    </w:p>
    <w:p w14:paraId="33882FFA" w14:textId="77777777" w:rsidR="00D64459" w:rsidRPr="00493E39" w:rsidRDefault="008B2120">
      <w:pPr>
        <w:spacing w:line="240" w:lineRule="auto"/>
        <w:jc w:val="both"/>
        <w:rPr>
          <w:rFonts w:cs="Arial"/>
          <w:lang w:val="pt-BR"/>
        </w:rPr>
      </w:pPr>
      <w:r w:rsidRPr="00493E39">
        <w:rPr>
          <w:rFonts w:cs="Arial"/>
          <w:sz w:val="18"/>
          <w:lang w:val="pt-BR"/>
        </w:rPr>
        <w:t xml:space="preserve">Nota: à esquerda, a resposta da inflação do mês </w:t>
      </w:r>
      <w:proofErr w:type="spellStart"/>
      <w:r w:rsidRPr="00493E39">
        <w:rPr>
          <w:rFonts w:cs="Arial"/>
          <w:sz w:val="18"/>
          <w:lang w:val="pt-BR"/>
        </w:rPr>
        <w:t>t+h</w:t>
      </w:r>
      <w:proofErr w:type="spellEnd"/>
      <w:r w:rsidRPr="00493E39">
        <w:rPr>
          <w:rFonts w:cs="Arial"/>
          <w:sz w:val="18"/>
          <w:lang w:val="pt-BR"/>
        </w:rPr>
        <w:t>; à direita, a resposta acumulada do nível de preços. Faixas: bandas pontuais de 90%.</w:t>
      </w:r>
    </w:p>
    <w:p w14:paraId="0AA562B0"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05C7BDC0" w14:textId="77777777" w:rsidR="00D64459" w:rsidRPr="00493E39" w:rsidRDefault="008B2120">
      <w:pPr>
        <w:ind w:firstLine="709"/>
        <w:jc w:val="both"/>
        <w:rPr>
          <w:rFonts w:cs="Arial"/>
          <w:lang w:val="pt-BR"/>
        </w:rPr>
      </w:pPr>
      <w:r w:rsidRPr="00493E39">
        <w:rPr>
          <w:rFonts w:cs="Arial"/>
          <w:lang w:val="pt-BR"/>
        </w:rPr>
        <w:t>As Figuras 2 e 3 mostram o segundo elo da cadeia, que é o índice de preços, e o primeiro, que são os próprios combustíveis; a Figura 4, no Apêndice L, traz o grupo Transportes. Em todos, a resposta do regime anterior permanece colada no zero ao longo do horizonte e a do posterior salta já no primeiro mês. O painel da refinaria é o mais eloquente: ali a resposta anterior não se distingue de zero em horizonte algum, perfil de um preço que não olhava para a cotação internacional.</w:t>
      </w:r>
    </w:p>
    <w:p w14:paraId="5AC730FC"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3 – Resposta dos preços de combustíveis por regime</w:t>
      </w:r>
    </w:p>
    <w:p w14:paraId="26AF2344" w14:textId="77777777" w:rsidR="00D64459" w:rsidRPr="00493E39" w:rsidRDefault="008B2120">
      <w:pPr>
        <w:keepNext/>
        <w:spacing w:after="40"/>
        <w:jc w:val="center"/>
        <w:rPr>
          <w:rFonts w:cs="Arial"/>
        </w:rPr>
      </w:pPr>
      <w:r w:rsidRPr="00493E39">
        <w:rPr>
          <w:rFonts w:cs="Arial"/>
          <w:noProof/>
        </w:rPr>
        <w:drawing>
          <wp:inline distT="0" distB="0" distL="0" distR="0" wp14:anchorId="6DCAA18E" wp14:editId="11A4AADE">
            <wp:extent cx="4752000" cy="31680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me_combustiveis_painel.png"/>
                    <pic:cNvPicPr/>
                  </pic:nvPicPr>
                  <pic:blipFill>
                    <a:blip r:embed="rId11"/>
                    <a:stretch>
                      <a:fillRect/>
                    </a:stretch>
                  </pic:blipFill>
                  <pic:spPr>
                    <a:xfrm>
                      <a:off x="0" y="0"/>
                      <a:ext cx="4752000" cy="3168000"/>
                    </a:xfrm>
                    <a:prstGeom prst="rect">
                      <a:avLst/>
                    </a:prstGeom>
                  </pic:spPr>
                </pic:pic>
              </a:graphicData>
            </a:graphic>
          </wp:inline>
        </w:drawing>
      </w:r>
    </w:p>
    <w:p w14:paraId="27E8BAE0" w14:textId="77777777" w:rsidR="00D64459" w:rsidRPr="00493E39" w:rsidRDefault="008B2120">
      <w:pPr>
        <w:spacing w:line="240" w:lineRule="auto"/>
        <w:jc w:val="both"/>
        <w:rPr>
          <w:rFonts w:cs="Arial"/>
          <w:lang w:val="pt-BR"/>
        </w:rPr>
      </w:pPr>
      <w:r w:rsidRPr="00493E39">
        <w:rPr>
          <w:rFonts w:cs="Arial"/>
          <w:sz w:val="18"/>
          <w:lang w:val="pt-BR"/>
        </w:rPr>
        <w:t>Nota: resposta acumulada do nível de preços a um choque de um desvio-padrão, com escala vertical comum aos quatro painéis. Faixas: bandas pontuais de 90%.</w:t>
      </w:r>
    </w:p>
    <w:p w14:paraId="2655EEAE" w14:textId="77777777" w:rsidR="00D64459" w:rsidRPr="00493E39" w:rsidRDefault="008B2120">
      <w:pPr>
        <w:spacing w:after="200" w:line="240" w:lineRule="auto"/>
        <w:jc w:val="center"/>
        <w:rPr>
          <w:rFonts w:cs="Arial"/>
          <w:lang w:val="pt-BR"/>
        </w:rPr>
      </w:pPr>
      <w:r w:rsidRPr="00493E39">
        <w:rPr>
          <w:rFonts w:cs="Arial"/>
          <w:sz w:val="20"/>
          <w:lang w:val="pt-BR"/>
        </w:rPr>
        <w:lastRenderedPageBreak/>
        <w:t>Fonte: Elaboração própria.</w:t>
      </w:r>
    </w:p>
    <w:p w14:paraId="49B251BE" w14:textId="77777777" w:rsidR="00D64459" w:rsidRPr="00493E39" w:rsidRDefault="008B2120">
      <w:pPr>
        <w:ind w:firstLine="709"/>
        <w:jc w:val="both"/>
        <w:rPr>
          <w:rFonts w:cs="Arial"/>
          <w:lang w:val="pt-BR"/>
        </w:rPr>
      </w:pPr>
      <w:r w:rsidRPr="00493E39">
        <w:rPr>
          <w:rFonts w:cs="Arial"/>
          <w:lang w:val="pt-BR"/>
        </w:rPr>
        <w:t xml:space="preserve">Duas fontes respaldam o padrão. Baba e Lee (2022) documentam repasse ao núcleo mais intenso em economias emergentes e menor onde o banco central é mais independente. E o registro contábil converge com a econometria: Almeida, Oliveira e Losekann (2015) estimam em R$ 98 bilhões a perda de receita da Petrobras entre 2011 e 2014, e Azevedo e </w:t>
      </w:r>
      <w:proofErr w:type="spellStart"/>
      <w:r w:rsidRPr="00493E39">
        <w:rPr>
          <w:rFonts w:cs="Arial"/>
          <w:lang w:val="pt-BR"/>
        </w:rPr>
        <w:t>Serigati</w:t>
      </w:r>
      <w:proofErr w:type="spellEnd"/>
      <w:r w:rsidRPr="00493E39">
        <w:rPr>
          <w:rFonts w:cs="Arial"/>
          <w:lang w:val="pt-BR"/>
        </w:rPr>
        <w:t xml:space="preserve"> (2015) mostram que os desvios foram maiores nos produtos de maior peso no IPCA.</w:t>
      </w:r>
    </w:p>
    <w:p w14:paraId="58F6B944" w14:textId="77777777" w:rsidR="00D64459" w:rsidRPr="00493E39" w:rsidRDefault="008B2120">
      <w:pPr>
        <w:pStyle w:val="Heading2"/>
        <w:spacing w:before="280" w:after="160"/>
        <w:rPr>
          <w:rFonts w:ascii="Arial" w:hAnsi="Arial" w:cs="Arial"/>
          <w:lang w:val="pt-BR"/>
        </w:rPr>
      </w:pPr>
      <w:bookmarkStart w:id="21" w:name="_Toc239713570"/>
      <w:r w:rsidRPr="00493E39">
        <w:rPr>
          <w:rFonts w:ascii="Arial" w:hAnsi="Arial" w:cs="Arial"/>
          <w:sz w:val="24"/>
          <w:lang w:val="pt-BR"/>
        </w:rPr>
        <w:t>4.4 Quando o repasse ocorre</w:t>
      </w:r>
      <w:bookmarkEnd w:id="21"/>
    </w:p>
    <w:p w14:paraId="0C2E5E57" w14:textId="77777777" w:rsidR="00D64459" w:rsidRPr="00493E39" w:rsidRDefault="008B2120">
      <w:pPr>
        <w:ind w:firstLine="709"/>
        <w:jc w:val="both"/>
        <w:rPr>
          <w:rFonts w:cs="Arial"/>
          <w:lang w:val="pt-BR"/>
        </w:rPr>
      </w:pPr>
      <w:r w:rsidRPr="00493E39">
        <w:rPr>
          <w:rFonts w:cs="Arial"/>
          <w:lang w:val="pt-BR"/>
        </w:rPr>
        <w:t>Saber que o repasse aumentou não informa quando ele se materializa, e a distinção importa para a política monetária. A resposta acumulada não permite ler isso diretamente, porque uma curva pode subir por acréscimos sucessivos ou por um salto inicial seguido de estabilidade. Decompõe-se, então, a resposta acumulada em contribuições mensais.</w:t>
      </w:r>
    </w:p>
    <w:p w14:paraId="69E5F403" w14:textId="77777777" w:rsidR="00D64459" w:rsidRPr="00493E39" w:rsidRDefault="008B2120">
      <w:pPr>
        <w:ind w:firstLine="709"/>
        <w:jc w:val="both"/>
        <w:rPr>
          <w:rFonts w:cs="Arial"/>
          <w:lang w:val="pt-BR"/>
        </w:rPr>
      </w:pPr>
      <w:r w:rsidRPr="00493E39">
        <w:rPr>
          <w:rFonts w:cs="Arial"/>
          <w:lang w:val="pt-BR"/>
        </w:rPr>
        <w:t>No regime posterior, os dois primeiros meses entregam praticamente toda a resposta acumulada em três meses: 99% no IPCA Geral e entre 93% e 133% nas demais séries, exceto a refinaria, com 186%, cujo terceiro mês devolve parte do salto. As doze contribuições dos meses 0 e 1 são todas significativas, onze delas a menos de 1%; das doze dos meses 2 e 3, apenas três o são, duas com sinal negativo. A Figura 5 mostra a inflação de cada mês, e a Figura 6, a resposta acumulada correspondente.</w:t>
      </w:r>
    </w:p>
    <w:p w14:paraId="760B1E8A"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5 – Distribuição temporal do repasse: inflação de cada mês após o choque</w:t>
      </w:r>
    </w:p>
    <w:p w14:paraId="239F8C2C" w14:textId="77777777" w:rsidR="00D64459" w:rsidRPr="00493E39" w:rsidRDefault="008B2120">
      <w:pPr>
        <w:keepNext/>
        <w:spacing w:after="40"/>
        <w:jc w:val="center"/>
        <w:rPr>
          <w:rFonts w:cs="Arial"/>
        </w:rPr>
      </w:pPr>
      <w:r w:rsidRPr="00493E39">
        <w:rPr>
          <w:rFonts w:cs="Arial"/>
          <w:noProof/>
        </w:rPr>
        <w:drawing>
          <wp:inline distT="0" distB="0" distL="0" distR="0" wp14:anchorId="753BB7E0" wp14:editId="0F09F32E">
            <wp:extent cx="5400000" cy="3446808"/>
            <wp:effectExtent l="0" t="0" r="0" b="0"/>
            <wp:docPr id="6" name="Picture 4" descr="Inflação de cada mês após o choque de petróleo,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posta_nao_acumulada.png"/>
                    <pic:cNvPicPr/>
                  </pic:nvPicPr>
                  <pic:blipFill>
                    <a:blip r:embed="rId12"/>
                    <a:stretch>
                      <a:fillRect/>
                    </a:stretch>
                  </pic:blipFill>
                  <pic:spPr>
                    <a:xfrm>
                      <a:off x="0" y="0"/>
                      <a:ext cx="5400000" cy="3446808"/>
                    </a:xfrm>
                    <a:prstGeom prst="rect">
                      <a:avLst/>
                    </a:prstGeom>
                  </pic:spPr>
                </pic:pic>
              </a:graphicData>
            </a:graphic>
          </wp:inline>
        </w:drawing>
      </w:r>
    </w:p>
    <w:p w14:paraId="3AD12729" w14:textId="77777777" w:rsidR="00D64459" w:rsidRPr="00493E39" w:rsidRDefault="008B2120">
      <w:pPr>
        <w:spacing w:line="240" w:lineRule="auto"/>
        <w:jc w:val="both"/>
        <w:rPr>
          <w:rFonts w:cs="Arial"/>
          <w:lang w:val="pt-BR"/>
        </w:rPr>
      </w:pPr>
      <w:r w:rsidRPr="00493E39">
        <w:rPr>
          <w:rFonts w:cs="Arial"/>
          <w:sz w:val="18"/>
          <w:lang w:val="pt-BR"/>
        </w:rPr>
        <w:t xml:space="preserve">Nota: regime posterior a março de 2017. A linha representa a resposta da inflação do mês </w:t>
      </w:r>
      <w:proofErr w:type="spellStart"/>
      <w:r w:rsidRPr="00493E39">
        <w:rPr>
          <w:rFonts w:cs="Arial"/>
          <w:sz w:val="18"/>
          <w:lang w:val="pt-BR"/>
        </w:rPr>
        <w:t>t+h</w:t>
      </w:r>
      <w:proofErr w:type="spellEnd"/>
      <w:r w:rsidRPr="00493E39">
        <w:rPr>
          <w:rFonts w:cs="Arial"/>
          <w:sz w:val="18"/>
          <w:lang w:val="pt-BR"/>
        </w:rPr>
        <w:t>, estimada separadamente para cada mês, com faixa de 90%. A resposta acumulada está na Figura 6.</w:t>
      </w:r>
    </w:p>
    <w:p w14:paraId="04D82C0F"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3F22E89C"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6 – Distribuição temporal do repasse: resposta acumulada do nível de preços</w:t>
      </w:r>
    </w:p>
    <w:p w14:paraId="39427F37" w14:textId="77777777" w:rsidR="00D64459" w:rsidRPr="00493E39" w:rsidRDefault="008B2120">
      <w:pPr>
        <w:keepNext/>
        <w:spacing w:after="40"/>
        <w:jc w:val="center"/>
        <w:rPr>
          <w:rFonts w:cs="Arial"/>
        </w:rPr>
      </w:pPr>
      <w:r w:rsidRPr="00493E39">
        <w:rPr>
          <w:rFonts w:cs="Arial"/>
          <w:noProof/>
        </w:rPr>
        <w:drawing>
          <wp:inline distT="0" distB="0" distL="0" distR="0" wp14:anchorId="753BB7E0" wp14:editId="0F09F32E">
            <wp:extent cx="5400000" cy="3446808"/>
            <wp:effectExtent l="0" t="0" r="0" b="0"/>
            <wp:docPr id="22" name="Imagem 22" descr="Resposta acumulada do nível de preços ao choque de petróleo,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posta_nao_acumulada.png"/>
                    <pic:cNvPicPr/>
                  </pic:nvPicPr>
                  <pic:blipFill>
                    <a:blip r:embed="rId13"/>
                    <a:stretch>
                      <a:fillRect/>
                    </a:stretch>
                  </pic:blipFill>
                  <pic:spPr>
                    <a:xfrm>
                      <a:off x="0" y="0"/>
                      <a:ext cx="5400000" cy="3446808"/>
                    </a:xfrm>
                    <a:prstGeom prst="rect">
                      <a:avLst/>
                    </a:prstGeom>
                  </pic:spPr>
                </pic:pic>
              </a:graphicData>
            </a:graphic>
          </wp:inline>
        </w:drawing>
      </w:r>
    </w:p>
    <w:p w14:paraId="471732F4" w14:textId="77777777" w:rsidR="00D64459" w:rsidRPr="00493E39" w:rsidRDefault="008B2120">
      <w:pPr>
        <w:spacing w:line="240" w:lineRule="auto"/>
        <w:jc w:val="both"/>
        <w:rPr>
          <w:rFonts w:cs="Arial"/>
          <w:lang w:val="pt-BR"/>
        </w:rPr>
      </w:pPr>
      <w:r w:rsidRPr="00493E39">
        <w:rPr>
          <w:rFonts w:cs="Arial"/>
          <w:sz w:val="18"/>
          <w:lang w:val="pt-BR"/>
        </w:rPr>
        <w:t>Nota: regime posterior a março de 2017. Resposta acumulada do nível de preços h meses após o choque, a mesma da Tabela 2, com faixa de 90%.</w:t>
      </w:r>
    </w:p>
    <w:p w14:paraId="600A898A"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35CF1113" w14:textId="77777777" w:rsidR="00D64459" w:rsidRPr="00493E39" w:rsidRDefault="008B2120">
      <w:pPr>
        <w:ind w:firstLine="709"/>
        <w:jc w:val="both"/>
        <w:rPr>
          <w:rFonts w:cs="Arial"/>
          <w:lang w:val="pt-BR"/>
        </w:rPr>
      </w:pPr>
      <w:r w:rsidRPr="00493E39">
        <w:rPr>
          <w:rFonts w:cs="Arial"/>
          <w:lang w:val="pt-BR"/>
        </w:rPr>
        <w:t>O contraste com o regime anterior é o esperado. Ali nenhuma contribuição mensal é significativa em série alguma, e o acumulado do IPCA Geral em três meses é de 0,101, não distinguível de zero. Não há o que decompor quando não há resposta.</w:t>
      </w:r>
    </w:p>
    <w:p w14:paraId="63CED4A6" w14:textId="77777777" w:rsidR="00D64459" w:rsidRPr="00493E39" w:rsidRDefault="008B2120">
      <w:pPr>
        <w:ind w:firstLine="709"/>
        <w:jc w:val="both"/>
        <w:rPr>
          <w:rFonts w:cs="Arial"/>
          <w:lang w:val="pt-BR"/>
        </w:rPr>
      </w:pPr>
      <w:r w:rsidRPr="00493E39">
        <w:rPr>
          <w:rFonts w:cs="Arial"/>
          <w:lang w:val="pt-BR"/>
        </w:rPr>
        <w:t>A decomposição esclarece um ponto que a leitura acumulada obscurecia. A resposta do IPCA Geral atinge 0,314 em três meses e recua para 0,269 em doze. O bloco do décimo primeiro mês é negativo em cinco das seis séries e significativo a 10% nessas cinco, entre −0,103 no IPCA Transportes e −1,679 na gasolina na refinaria: há reversão parcial do nível de preços cerca de um ano após o choque, que a leitura acumulada isolada não distinguiria de imprecisão amostral.</w:t>
      </w:r>
    </w:p>
    <w:p w14:paraId="10C0E0D7" w14:textId="77777777" w:rsidR="00D64459" w:rsidRPr="00493E39" w:rsidRDefault="008B2120">
      <w:pPr>
        <w:pStyle w:val="Heading2"/>
        <w:spacing w:before="280" w:after="160"/>
        <w:rPr>
          <w:rFonts w:ascii="Arial" w:hAnsi="Arial" w:cs="Arial"/>
          <w:lang w:val="pt-BR"/>
        </w:rPr>
      </w:pPr>
      <w:bookmarkStart w:id="22" w:name="_Toc239713571"/>
      <w:r w:rsidRPr="00493E39">
        <w:rPr>
          <w:rFonts w:ascii="Arial" w:hAnsi="Arial" w:cs="Arial"/>
          <w:sz w:val="24"/>
          <w:lang w:val="pt-BR"/>
        </w:rPr>
        <w:t>4.5 Por onde o repasse passa</w:t>
      </w:r>
      <w:bookmarkEnd w:id="22"/>
    </w:p>
    <w:p w14:paraId="527E473C" w14:textId="77777777" w:rsidR="00D64459" w:rsidRPr="00493E39" w:rsidRDefault="008B2120">
      <w:pPr>
        <w:ind w:firstLine="709"/>
        <w:jc w:val="both"/>
        <w:rPr>
          <w:rFonts w:cs="Arial"/>
          <w:lang w:val="pt-BR"/>
        </w:rPr>
      </w:pPr>
      <w:r w:rsidRPr="00493E39">
        <w:rPr>
          <w:rFonts w:cs="Arial"/>
          <w:lang w:val="pt-BR"/>
        </w:rPr>
        <w:t xml:space="preserve">A hipótese institucional é específica: a paridade de importação alterou a regra de formação dos preços de combustíveis, e é por esses preços que o choque internacional deve alcançar o índice ao consumidor. Se estiver correta, a mudança de regime documentada na seção 4.3 tem de aparecer sobretudo nesse canal. A decomposição </w:t>
      </w:r>
      <w:r w:rsidRPr="00493E39">
        <w:rPr>
          <w:rFonts w:cs="Arial"/>
          <w:lang w:val="pt-BR"/>
        </w:rPr>
        <w:lastRenderedPageBreak/>
        <w:t>de Frisch-Waugh-</w:t>
      </w:r>
      <w:proofErr w:type="spellStart"/>
      <w:r w:rsidRPr="00493E39">
        <w:rPr>
          <w:rFonts w:cs="Arial"/>
          <w:lang w:val="pt-BR"/>
        </w:rPr>
        <w:t>Lovell</w:t>
      </w:r>
      <w:proofErr w:type="spellEnd"/>
      <w:r w:rsidRPr="00493E39">
        <w:rPr>
          <w:rFonts w:cs="Arial"/>
          <w:lang w:val="pt-BR"/>
        </w:rPr>
        <w:t xml:space="preserve"> permite testá-lo: estima-se o efeito total e, em seguida, o efeito remanescente quando se condiciona nos preços domésticos de combustíveis acumulados na mesma janela. A Figura 7 apresenta o resultado e a Tabela 4, no Apêndice L, traz os números.</w:t>
      </w:r>
    </w:p>
    <w:p w14:paraId="7F36970B" w14:textId="77777777" w:rsidR="00D64459" w:rsidRPr="00493E39" w:rsidRDefault="008B2120">
      <w:pPr>
        <w:ind w:firstLine="709"/>
        <w:jc w:val="both"/>
        <w:rPr>
          <w:rFonts w:cs="Arial"/>
          <w:lang w:val="pt-BR"/>
        </w:rPr>
      </w:pPr>
      <w:r w:rsidRPr="00493E39">
        <w:rPr>
          <w:rFonts w:cs="Arial"/>
          <w:lang w:val="pt-BR"/>
        </w:rPr>
        <w:t xml:space="preserve">O resultado é nítido, e convém lê-lo em nível antes de lê-lo em proporção. Em três meses, o canal dos combustíveis carrega 0,003 ponto percentual no regime anterior, valor que não difere de zero, e 0,249 no posterior, significativo a menos de 1%. A diferença de 0,246 ponto é testada diretamente, com erro-padrão de Newey-West de 0,053 e p inferior a 0,001, e o </w:t>
      </w:r>
      <w:proofErr w:type="spellStart"/>
      <w:r w:rsidRPr="00493E39">
        <w:rPr>
          <w:rFonts w:cs="Arial"/>
          <w:lang w:val="pt-BR"/>
        </w:rPr>
        <w:t>bootstrap</w:t>
      </w:r>
      <w:proofErr w:type="spellEnd"/>
      <w:r w:rsidRPr="00493E39">
        <w:rPr>
          <w:rFonts w:cs="Arial"/>
          <w:lang w:val="pt-BR"/>
        </w:rPr>
        <w:t xml:space="preserve"> selvagem em blocos devolve o mesmo veredito; nos horizontes de impacto e de um mês ela também é significativa, com 0,074 e 0,206 ponto. Cabe registrar o contraste com a Tabela 2: naquele horizonte o teste de igualdade para o efeito total não rejeita, com p de 0,160, ao passo que o teste para o canal rejeita com folga. Não há contradição: condicionar nos preços de combustível elimina boa parte da variância do desfecho, de sorte que o canal é estimado com precisão bastante maior que o total.</w:t>
      </w:r>
    </w:p>
    <w:p w14:paraId="741EFEF5"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7 – Decomposição da resposta do IPCA Geral segundo o canal dos combustíveis</w:t>
      </w:r>
    </w:p>
    <w:p w14:paraId="6427F018" w14:textId="77777777" w:rsidR="00D64459" w:rsidRPr="00493E39" w:rsidRDefault="008B2120">
      <w:pPr>
        <w:keepNext/>
        <w:spacing w:after="40"/>
        <w:jc w:val="center"/>
        <w:rPr>
          <w:rFonts w:cs="Arial"/>
        </w:rPr>
      </w:pPr>
      <w:r w:rsidRPr="00493E39">
        <w:rPr>
          <w:rFonts w:cs="Arial"/>
          <w:noProof/>
        </w:rPr>
        <w:drawing>
          <wp:inline distT="0" distB="0" distL="0" distR="0" wp14:anchorId="0BC2E748" wp14:editId="4F2F7824">
            <wp:extent cx="5400000" cy="224042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nal_combustiveis_ipca_geral.png"/>
                    <pic:cNvPicPr/>
                  </pic:nvPicPr>
                  <pic:blipFill>
                    <a:blip r:embed="rId14"/>
                    <a:stretch>
                      <a:fillRect/>
                    </a:stretch>
                  </pic:blipFill>
                  <pic:spPr>
                    <a:xfrm>
                      <a:off x="0" y="0"/>
                      <a:ext cx="5400000" cy="2240425"/>
                    </a:xfrm>
                    <a:prstGeom prst="rect">
                      <a:avLst/>
                    </a:prstGeom>
                  </pic:spPr>
                </pic:pic>
              </a:graphicData>
            </a:graphic>
          </wp:inline>
        </w:drawing>
      </w:r>
    </w:p>
    <w:p w14:paraId="6B32A28E" w14:textId="77777777" w:rsidR="00D64459" w:rsidRPr="00493E39" w:rsidRDefault="008B2120">
      <w:pPr>
        <w:spacing w:line="240" w:lineRule="auto"/>
        <w:jc w:val="both"/>
        <w:rPr>
          <w:rFonts w:cs="Arial"/>
          <w:lang w:val="pt-BR"/>
        </w:rPr>
      </w:pPr>
      <w:r w:rsidRPr="00493E39">
        <w:rPr>
          <w:rFonts w:cs="Arial"/>
          <w:sz w:val="18"/>
          <w:lang w:val="pt-BR"/>
        </w:rPr>
        <w:t>Nota: no painel A, a decomposição da resposta acumulada do IPCA Geral no regime posterior em efeito total, parcela que transita pelos combustíveis, com faixa de 90%, e parcela não atribuída; no painel B, o efeito via combustíveis em cada regime, com faixas de 90%.</w:t>
      </w:r>
    </w:p>
    <w:p w14:paraId="109319A0"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6C4D71B0" w14:textId="77777777" w:rsidR="00D64459" w:rsidRPr="00493E39" w:rsidRDefault="008B2120">
      <w:pPr>
        <w:ind w:firstLine="709"/>
        <w:jc w:val="both"/>
        <w:rPr>
          <w:rFonts w:cs="Arial"/>
          <w:lang w:val="pt-BR"/>
        </w:rPr>
      </w:pPr>
      <w:r w:rsidRPr="00493E39">
        <w:rPr>
          <w:rFonts w:cs="Arial"/>
          <w:lang w:val="pt-BR"/>
        </w:rPr>
        <w:t>As proporções de 3% e 79% expressam a mesma informação de forma mais intuitiva, mas pedem cautela no regime anterior, onde o denominador é um efeito total de 0,101 com erro-padrão de 0,067, e perdem conteúdo no horizonte de impacto, onde ele é 0,005. A leitura que o trabalho sustenta é a do nível.</w:t>
      </w:r>
    </w:p>
    <w:p w14:paraId="720F4DF8" w14:textId="77777777" w:rsidR="00D64459" w:rsidRPr="00493E39" w:rsidRDefault="008B2120">
      <w:pPr>
        <w:ind w:firstLine="709"/>
        <w:jc w:val="both"/>
        <w:rPr>
          <w:rFonts w:cs="Arial"/>
          <w:lang w:val="pt-BR"/>
        </w:rPr>
      </w:pPr>
      <w:r w:rsidRPr="00493E39">
        <w:rPr>
          <w:rFonts w:cs="Arial"/>
          <w:lang w:val="pt-BR"/>
        </w:rPr>
        <w:lastRenderedPageBreak/>
        <w:t>A paridade de importação não apenas elevou o repasse: elevou-o pela via prevista pela mudança institucional, e não por efeito difuso operando via câmbio ou expectativas. Vale aqui a limitação de identificação da seção 3.7, que torna contábil, e não causal, a leitura do mediador.</w:t>
      </w:r>
    </w:p>
    <w:p w14:paraId="502F05A0" w14:textId="77777777" w:rsidR="00D64459" w:rsidRPr="00493E39" w:rsidRDefault="008B2120">
      <w:pPr>
        <w:pStyle w:val="Heading3"/>
        <w:spacing w:before="280" w:after="160"/>
        <w:rPr>
          <w:rFonts w:ascii="Arial" w:hAnsi="Arial" w:cs="Arial"/>
          <w:lang w:val="pt-BR"/>
        </w:rPr>
      </w:pPr>
      <w:bookmarkStart w:id="23" w:name="_Toc239713572"/>
      <w:r w:rsidRPr="00493E39">
        <w:rPr>
          <w:rFonts w:ascii="Arial" w:hAnsi="Arial" w:cs="Arial"/>
          <w:lang w:val="pt-BR"/>
        </w:rPr>
        <w:t>4.5.1 Efeito aritmético e efeito econômico</w:t>
      </w:r>
      <w:bookmarkEnd w:id="23"/>
    </w:p>
    <w:p w14:paraId="36F79F92" w14:textId="77777777" w:rsidR="00D64459" w:rsidRPr="00493E39" w:rsidRDefault="008B2120">
      <w:pPr>
        <w:ind w:firstLine="709"/>
        <w:jc w:val="both"/>
        <w:rPr>
          <w:rFonts w:cs="Arial"/>
          <w:lang w:val="pt-BR"/>
        </w:rPr>
      </w:pPr>
      <w:r w:rsidRPr="00493E39">
        <w:rPr>
          <w:rFonts w:cs="Arial"/>
          <w:lang w:val="pt-BR"/>
        </w:rPr>
        <w:t>Gasolina, diesel e etanol integram a cesta do IPCA. Parte do canal medido é, portanto, aritmética: se a gasolina sobe e a gasolina compõe o índice, o índice sobe por definição, sem que nenhum outro preço se mova. O que interessa economicamente é o efeito de segunda volta, o combustível mais caro encarecendo frete, transporte e insumos. A contribuição aritmética é calculável a partir dos pesos da cesta, e subtraí-la do índice permite estimar diretamente a segunda volta.</w:t>
      </w:r>
    </w:p>
    <w:p w14:paraId="54B172B6" w14:textId="77777777" w:rsidR="00D64459" w:rsidRPr="00493E39" w:rsidRDefault="008B2120">
      <w:pPr>
        <w:ind w:firstLine="709"/>
        <w:jc w:val="both"/>
        <w:rPr>
          <w:rFonts w:cs="Arial"/>
          <w:lang w:val="pt-BR"/>
        </w:rPr>
      </w:pPr>
      <w:r w:rsidRPr="00493E39">
        <w:rPr>
          <w:rFonts w:cs="Arial"/>
          <w:lang w:val="pt-BR"/>
        </w:rPr>
        <w:t>No mês do choque a primeira volta responde por 63% do efeito, em três meses os dois componentes praticamente se igualam e em seis a primeira volta cai para 13%, ao passo que a segunda permanece em 0,158 ponto: o efeito de composição da cesta é imediato e se esgota, o de custos é mais lento e persiste. Duas ressalvas de honestidade: a segunda volta não é significativa em h = 3, com p de 0,124, e a significância depende do cenário de pesos. O que a decomposição sustenta com firmeza é a trajetória da composição, monotônica nos três cenários, e não o valor pontual de cada horizonte.</w:t>
      </w:r>
    </w:p>
    <w:p w14:paraId="19F29ABB"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8 – Primeira e segunda volta, e desfechos que excluem combustíveis</w:t>
      </w:r>
    </w:p>
    <w:p w14:paraId="0B26CA5C" w14:textId="77777777" w:rsidR="00D64459" w:rsidRPr="00493E39" w:rsidRDefault="008B2120">
      <w:pPr>
        <w:keepNext/>
        <w:spacing w:after="40"/>
        <w:jc w:val="center"/>
        <w:rPr>
          <w:rFonts w:cs="Arial"/>
        </w:rPr>
      </w:pPr>
      <w:r w:rsidRPr="00493E39">
        <w:rPr>
          <w:rFonts w:cs="Arial"/>
          <w:noProof/>
        </w:rPr>
        <w:drawing>
          <wp:inline distT="0" distB="0" distL="0" distR="0" wp14:anchorId="6C13B0BC" wp14:editId="4A700E56">
            <wp:extent cx="5220000" cy="3826579"/>
            <wp:effectExtent l="0" t="0" r="0" b="0"/>
            <wp:docPr id="9" name="Picture 7" descr="Efeito total, primeira e segunda volta e subgrupos sem combustíveis,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gunda_volta.png"/>
                    <pic:cNvPicPr/>
                  </pic:nvPicPr>
                  <pic:blipFill>
                    <a:blip r:embed="rId15"/>
                    <a:stretch>
                      <a:fillRect/>
                    </a:stretch>
                  </pic:blipFill>
                  <pic:spPr>
                    <a:xfrm>
                      <a:off x="0" y="0"/>
                      <a:ext cx="5220000" cy="3826579"/>
                    </a:xfrm>
                    <a:prstGeom prst="rect">
                      <a:avLst/>
                    </a:prstGeom>
                  </pic:spPr>
                </pic:pic>
              </a:graphicData>
            </a:graphic>
          </wp:inline>
        </w:drawing>
      </w:r>
    </w:p>
    <w:p w14:paraId="6A2DD767" w14:textId="77777777" w:rsidR="00D64459" w:rsidRPr="00493E39" w:rsidRDefault="008B2120">
      <w:pPr>
        <w:spacing w:line="240" w:lineRule="auto"/>
        <w:jc w:val="both"/>
        <w:rPr>
          <w:rFonts w:cs="Arial"/>
          <w:lang w:val="pt-BR"/>
        </w:rPr>
      </w:pPr>
      <w:r w:rsidRPr="00493E39">
        <w:rPr>
          <w:rFonts w:cs="Arial"/>
          <w:sz w:val="18"/>
          <w:lang w:val="pt-BR"/>
        </w:rPr>
        <w:t>Nota: regime posterior a março de 2017, com faixas de 90%, exceto no painel B, cuja faixa é a dos três cenários de pesos da cesta. Os painéis A a C decompõem o IPCA Geral no desenho comum da Tabela 5, de modo que o efeito total é a soma da primeira com a segunda volta; os painéis D e E trazem os subgrupos que excluem combustíveis por construção, com a resposta do IPCA Geral como referência.</w:t>
      </w:r>
    </w:p>
    <w:p w14:paraId="7BAD7C28"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368AA5AE" w14:textId="77777777" w:rsidR="00D64459" w:rsidRPr="00493E39" w:rsidRDefault="008B2120">
      <w:pPr>
        <w:ind w:firstLine="709"/>
        <w:jc w:val="both"/>
        <w:rPr>
          <w:rFonts w:cs="Arial"/>
          <w:lang w:val="pt-BR"/>
        </w:rPr>
      </w:pPr>
      <w:r w:rsidRPr="00493E39">
        <w:rPr>
          <w:rFonts w:cs="Arial"/>
          <w:lang w:val="pt-BR"/>
        </w:rPr>
        <w:t>Uma segunda construção corrobora a magnitude, e os painéis D e E da Figura 8 a apresentam. Os subgrupos de comercializáveis e não comercializáveis excluem combustíveis por definição, de modo que qualquer resposta ali estimada é necessariamente de segunda ordem. Estimados no mesmo regime posterior, os não comercializáveis respondem 0,163 em três meses, contra 0,161 obtidos pela via aritmética. As duas construções não são independentes: compartilham choque, controles, amostra e dados de preço largamente sobrepostos, e nenhuma alcança significância isolada nesse horizonte, com p de 0,124 e 0,274. A proximidade é convergência de ordem de grandeza, insuficiente para estabelecer a segunda volta.</w:t>
      </w:r>
    </w:p>
    <w:p w14:paraId="0002DDD4" w14:textId="77777777" w:rsidR="00D64459" w:rsidRPr="00493E39" w:rsidRDefault="008B2120">
      <w:pPr>
        <w:ind w:firstLine="709"/>
        <w:jc w:val="both"/>
        <w:rPr>
          <w:rFonts w:cs="Arial"/>
          <w:lang w:val="pt-BR"/>
        </w:rPr>
      </w:pPr>
      <w:r w:rsidRPr="00493E39">
        <w:rPr>
          <w:rFonts w:cs="Arial"/>
          <w:lang w:val="pt-BR"/>
        </w:rPr>
        <w:t>A Figura 9, no Apêndice L, esquematiza os dois caminhos. O choque começa como aritmética de composição e termina como fenômeno de custos, e é essa passagem, e não o tamanho do efeito inicial, que caracteriza um repasse difundido pela economia.</w:t>
      </w:r>
    </w:p>
    <w:p w14:paraId="0904CAC9" w14:textId="77777777" w:rsidR="00D64459" w:rsidRPr="00493E39" w:rsidRDefault="008B2120">
      <w:pPr>
        <w:pStyle w:val="Heading3"/>
        <w:spacing w:before="280" w:after="160"/>
        <w:rPr>
          <w:rFonts w:ascii="Arial" w:hAnsi="Arial" w:cs="Arial"/>
          <w:lang w:val="pt-BR"/>
        </w:rPr>
      </w:pPr>
      <w:bookmarkStart w:id="24" w:name="_Toc239713573"/>
      <w:r w:rsidRPr="00493E39">
        <w:rPr>
          <w:rFonts w:ascii="Arial" w:hAnsi="Arial" w:cs="Arial"/>
          <w:lang w:val="pt-BR"/>
        </w:rPr>
        <w:lastRenderedPageBreak/>
        <w:t>4.5.2 Confronto com a estimativa oficial</w:t>
      </w:r>
      <w:bookmarkEnd w:id="24"/>
    </w:p>
    <w:p w14:paraId="17E4406A" w14:textId="77777777" w:rsidR="00D64459" w:rsidRPr="00493E39" w:rsidRDefault="008B2120">
      <w:pPr>
        <w:ind w:firstLine="709"/>
        <w:jc w:val="both"/>
        <w:rPr>
          <w:rFonts w:cs="Arial"/>
          <w:lang w:val="pt-BR"/>
        </w:rPr>
      </w:pPr>
      <w:r w:rsidRPr="00493E39">
        <w:rPr>
          <w:rFonts w:cs="Arial"/>
          <w:lang w:val="pt-BR"/>
        </w:rPr>
        <w:t xml:space="preserve">A calibração do Banco Central do Brasil (2022), apresentada na seção 2.3, supõe repasse integral do petróleo em reais à refinaria, com coeficiente entre 39,8% e 54,4% em 2021. A elasticidade estimada aqui para a gasolina ao consumidor, que é o preço a que a calibração se refere, é de 0,077 no impacto e 0,131 no mês seguinte na amostra completa, muito abaixo daquele intervalo. Estimada por regime, a distância deixa de ser enigma: no regime anterior é de 0,023 e 0,022, praticamente nula, e no posterior alcança 0,199 e 0,390, essencialmente igual ao limite inferior da calibração oficial. A comparação exige uma qualificação, porque o parâmetro do Banco Central é participação de custo estática e o número aqui é elasticidade dinâmica acumulada. A calibração descreve com precisão o regime vigente, não descreveria o anterior, e a estimativa de amostra completa, por </w:t>
      </w:r>
      <w:proofErr w:type="spellStart"/>
      <w:r w:rsidRPr="00493E39">
        <w:rPr>
          <w:rFonts w:cs="Arial"/>
          <w:lang w:val="pt-BR"/>
        </w:rPr>
        <w:t>promediar</w:t>
      </w:r>
      <w:proofErr w:type="spellEnd"/>
      <w:r w:rsidRPr="00493E39">
        <w:rPr>
          <w:rFonts w:cs="Arial"/>
          <w:lang w:val="pt-BR"/>
        </w:rPr>
        <w:t xml:space="preserve"> os dois, não descreve nenhum: o parâmetro de referência, neste ponto, não vem deste trabalho.</w:t>
      </w:r>
    </w:p>
    <w:p w14:paraId="2A87D715" w14:textId="77777777" w:rsidR="00D64459" w:rsidRPr="00493E39" w:rsidRDefault="008B2120">
      <w:pPr>
        <w:pStyle w:val="Heading2"/>
        <w:spacing w:before="280" w:after="160"/>
        <w:rPr>
          <w:rFonts w:ascii="Arial" w:hAnsi="Arial" w:cs="Arial"/>
          <w:lang w:val="pt-BR"/>
        </w:rPr>
      </w:pPr>
      <w:bookmarkStart w:id="25" w:name="_Toc239713574"/>
      <w:r w:rsidRPr="00493E39">
        <w:rPr>
          <w:rFonts w:ascii="Arial" w:hAnsi="Arial" w:cs="Arial"/>
          <w:sz w:val="24"/>
          <w:lang w:val="pt-BR"/>
        </w:rPr>
        <w:t>4.6 A data da mudança é estimada, não imposta</w:t>
      </w:r>
      <w:bookmarkEnd w:id="25"/>
    </w:p>
    <w:p w14:paraId="38530052" w14:textId="77777777" w:rsidR="00D64459" w:rsidRPr="00493E39" w:rsidRDefault="008B2120">
      <w:pPr>
        <w:ind w:firstLine="709"/>
        <w:jc w:val="both"/>
        <w:rPr>
          <w:rFonts w:cs="Arial"/>
          <w:lang w:val="pt-BR"/>
        </w:rPr>
      </w:pPr>
      <w:r w:rsidRPr="00493E39">
        <w:rPr>
          <w:rFonts w:cs="Arial"/>
          <w:lang w:val="pt-BR"/>
        </w:rPr>
        <w:t>A cronologia institucional é conhecida: a Petrobras anunciou a política de paridade de importação em 14 de outubro de 2016 e a encerrou em maio de 2023. Nenhuma dessas duas datas é usada como corte. A razão é que o anúncio marca a decisão, não a sua implementação, que foi progressiva, e o que interessa ao trabalho é quando o comportamento dos preços mudou. A data é, portanto, estimada a partir dos próprios dados, e a seção 4.7 reporta o que ocorre ao encerrar a amostra na data do fim da política.</w:t>
      </w:r>
    </w:p>
    <w:p w14:paraId="63400C66" w14:textId="77777777" w:rsidR="00D64459" w:rsidRPr="00493E39" w:rsidRDefault="008B2120">
      <w:pPr>
        <w:ind w:firstLine="709"/>
        <w:jc w:val="both"/>
        <w:rPr>
          <w:rFonts w:cs="Arial"/>
          <w:lang w:val="pt-BR"/>
        </w:rPr>
      </w:pPr>
      <w:r w:rsidRPr="00493E39">
        <w:rPr>
          <w:rFonts w:cs="Arial"/>
          <w:lang w:val="pt-BR"/>
        </w:rPr>
        <w:t>Toda a análise anterior repousa sobre uma data de corte, e a objeção previsível é que ela foi escolhida para maximizar o contraste. Esta seção responde antecipadamente, estimando a data: aplica-se o teste de instabilidade com ponto de quebra desconhecido de Andrews (1993) em versão multivariada, com valor crítico por reamostragem seguindo Hansen (2000).</w:t>
      </w:r>
    </w:p>
    <w:p w14:paraId="2B289141" w14:textId="77777777" w:rsidR="00D64459" w:rsidRPr="00493E39" w:rsidRDefault="008B2120">
      <w:pPr>
        <w:keepNext/>
        <w:spacing w:before="200" w:after="40" w:line="240" w:lineRule="auto"/>
        <w:rPr>
          <w:rFonts w:cs="Arial"/>
          <w:lang w:val="pt-BR"/>
        </w:rPr>
      </w:pPr>
      <w:r w:rsidRPr="00493E39">
        <w:rPr>
          <w:rFonts w:cs="Arial"/>
          <w:sz w:val="20"/>
          <w:lang w:val="pt-BR"/>
        </w:rPr>
        <w:t>Tabela 6 – Data de quebra estimada pelos dados</w:t>
      </w:r>
    </w:p>
    <w:tbl>
      <w:tblPr>
        <w:tblW w:w="0" w:type="auto"/>
        <w:jc w:val="center"/>
        <w:tblLook w:val="04A0" w:firstRow="1" w:lastRow="0" w:firstColumn="1" w:lastColumn="0" w:noHBand="0" w:noVBand="1"/>
      </w:tblPr>
      <w:tblGrid>
        <w:gridCol w:w="2154"/>
        <w:gridCol w:w="1247"/>
        <w:gridCol w:w="1247"/>
        <w:gridCol w:w="1134"/>
        <w:gridCol w:w="794"/>
        <w:gridCol w:w="2041"/>
      </w:tblGrid>
      <w:tr w:rsidR="00D64459" w:rsidRPr="00493E39" w14:paraId="58EBBF5A" w14:textId="77777777">
        <w:trPr>
          <w:cantSplit/>
          <w:tblHeader/>
          <w:jc w:val="center"/>
        </w:trPr>
        <w:tc>
          <w:tcPr>
            <w:tcW w:w="2154" w:type="dxa"/>
            <w:tcBorders>
              <w:top w:val="single" w:sz="12" w:space="0" w:color="000000"/>
              <w:left w:val="nil"/>
              <w:bottom w:val="single" w:sz="6" w:space="0" w:color="000000"/>
              <w:right w:val="nil"/>
            </w:tcBorders>
          </w:tcPr>
          <w:p w14:paraId="4E59292E" w14:textId="77777777" w:rsidR="00D64459" w:rsidRPr="00493E39" w:rsidRDefault="008B2120">
            <w:pPr>
              <w:spacing w:after="20" w:line="240" w:lineRule="auto"/>
              <w:rPr>
                <w:rFonts w:cs="Arial"/>
              </w:rPr>
            </w:pPr>
            <w:r w:rsidRPr="00493E39">
              <w:rPr>
                <w:rFonts w:cs="Arial"/>
                <w:b/>
                <w:sz w:val="18"/>
              </w:rPr>
              <w:t xml:space="preserve">Conjunto de </w:t>
            </w:r>
            <w:proofErr w:type="spellStart"/>
            <w:r w:rsidRPr="00493E39">
              <w:rPr>
                <w:rFonts w:cs="Arial"/>
                <w:b/>
                <w:sz w:val="18"/>
              </w:rPr>
              <w:t>séries</w:t>
            </w:r>
            <w:proofErr w:type="spellEnd"/>
          </w:p>
        </w:tc>
        <w:tc>
          <w:tcPr>
            <w:tcW w:w="1247" w:type="dxa"/>
            <w:tcBorders>
              <w:top w:val="single" w:sz="12" w:space="0" w:color="000000"/>
              <w:left w:val="nil"/>
              <w:bottom w:val="single" w:sz="6" w:space="0" w:color="000000"/>
              <w:right w:val="nil"/>
            </w:tcBorders>
          </w:tcPr>
          <w:p w14:paraId="4D8D96E3" w14:textId="77777777" w:rsidR="00D64459" w:rsidRPr="00493E39" w:rsidRDefault="008B2120">
            <w:pPr>
              <w:spacing w:after="20" w:line="240" w:lineRule="auto"/>
              <w:jc w:val="center"/>
              <w:rPr>
                <w:rFonts w:cs="Arial"/>
              </w:rPr>
            </w:pPr>
            <w:r w:rsidRPr="00493E39">
              <w:rPr>
                <w:rFonts w:cs="Arial"/>
                <w:b/>
                <w:sz w:val="18"/>
              </w:rPr>
              <w:t>Data</w:t>
            </w:r>
          </w:p>
        </w:tc>
        <w:tc>
          <w:tcPr>
            <w:tcW w:w="1247" w:type="dxa"/>
            <w:tcBorders>
              <w:top w:val="single" w:sz="12" w:space="0" w:color="000000"/>
              <w:left w:val="nil"/>
              <w:bottom w:val="single" w:sz="6" w:space="0" w:color="000000"/>
              <w:right w:val="nil"/>
            </w:tcBorders>
          </w:tcPr>
          <w:p w14:paraId="4BE25FC0" w14:textId="77777777" w:rsidR="00D64459" w:rsidRPr="00493E39" w:rsidRDefault="008B2120">
            <w:pPr>
              <w:spacing w:after="20" w:line="240" w:lineRule="auto"/>
              <w:jc w:val="center"/>
              <w:rPr>
                <w:rFonts w:cs="Arial"/>
              </w:rPr>
            </w:pPr>
            <w:proofErr w:type="spellStart"/>
            <w:r w:rsidRPr="00493E39">
              <w:rPr>
                <w:rFonts w:cs="Arial"/>
                <w:b/>
                <w:sz w:val="18"/>
              </w:rPr>
              <w:t>Estatística</w:t>
            </w:r>
            <w:proofErr w:type="spellEnd"/>
          </w:p>
        </w:tc>
        <w:tc>
          <w:tcPr>
            <w:tcW w:w="1134" w:type="dxa"/>
            <w:tcBorders>
              <w:top w:val="single" w:sz="12" w:space="0" w:color="000000"/>
              <w:left w:val="nil"/>
              <w:bottom w:val="single" w:sz="6" w:space="0" w:color="000000"/>
              <w:right w:val="nil"/>
            </w:tcBorders>
          </w:tcPr>
          <w:p w14:paraId="4680280F" w14:textId="77777777" w:rsidR="00D64459" w:rsidRPr="00493E39" w:rsidRDefault="008B2120">
            <w:pPr>
              <w:spacing w:after="20" w:line="240" w:lineRule="auto"/>
              <w:jc w:val="center"/>
              <w:rPr>
                <w:rFonts w:cs="Arial"/>
              </w:rPr>
            </w:pPr>
            <w:proofErr w:type="spellStart"/>
            <w:r w:rsidRPr="00493E39">
              <w:rPr>
                <w:rFonts w:cs="Arial"/>
                <w:b/>
                <w:sz w:val="18"/>
              </w:rPr>
              <w:t>Crítico</w:t>
            </w:r>
            <w:proofErr w:type="spellEnd"/>
            <w:r w:rsidRPr="00493E39">
              <w:rPr>
                <w:rFonts w:cs="Arial"/>
                <w:b/>
                <w:sz w:val="18"/>
              </w:rPr>
              <w:t xml:space="preserve"> 5%</w:t>
            </w:r>
          </w:p>
        </w:tc>
        <w:tc>
          <w:tcPr>
            <w:tcW w:w="794" w:type="dxa"/>
            <w:tcBorders>
              <w:top w:val="single" w:sz="12" w:space="0" w:color="000000"/>
              <w:left w:val="nil"/>
              <w:bottom w:val="single" w:sz="6" w:space="0" w:color="000000"/>
              <w:right w:val="nil"/>
            </w:tcBorders>
          </w:tcPr>
          <w:p w14:paraId="3D8DA316" w14:textId="77777777" w:rsidR="00D64459" w:rsidRPr="00493E39" w:rsidRDefault="008B2120">
            <w:pPr>
              <w:spacing w:after="20" w:line="240" w:lineRule="auto"/>
              <w:jc w:val="center"/>
              <w:rPr>
                <w:rFonts w:cs="Arial"/>
              </w:rPr>
            </w:pPr>
            <w:r w:rsidRPr="00493E39">
              <w:rPr>
                <w:rFonts w:cs="Arial"/>
                <w:b/>
                <w:sz w:val="18"/>
              </w:rPr>
              <w:t>p</w:t>
            </w:r>
          </w:p>
        </w:tc>
        <w:tc>
          <w:tcPr>
            <w:tcW w:w="2041" w:type="dxa"/>
            <w:tcBorders>
              <w:top w:val="single" w:sz="12" w:space="0" w:color="000000"/>
              <w:left w:val="nil"/>
              <w:bottom w:val="single" w:sz="6" w:space="0" w:color="000000"/>
              <w:right w:val="nil"/>
            </w:tcBorders>
          </w:tcPr>
          <w:p w14:paraId="7DB66273" w14:textId="77777777" w:rsidR="00D64459" w:rsidRPr="00493E39" w:rsidRDefault="008B2120">
            <w:pPr>
              <w:spacing w:after="20" w:line="240" w:lineRule="auto"/>
              <w:jc w:val="center"/>
              <w:rPr>
                <w:rFonts w:cs="Arial"/>
              </w:rPr>
            </w:pPr>
            <w:proofErr w:type="spellStart"/>
            <w:r w:rsidRPr="00493E39">
              <w:rPr>
                <w:rFonts w:cs="Arial"/>
                <w:b/>
                <w:sz w:val="18"/>
              </w:rPr>
              <w:t>Faixa</w:t>
            </w:r>
            <w:proofErr w:type="spellEnd"/>
            <w:r w:rsidRPr="00493E39">
              <w:rPr>
                <w:rFonts w:cs="Arial"/>
                <w:b/>
                <w:sz w:val="18"/>
              </w:rPr>
              <w:t xml:space="preserve"> </w:t>
            </w:r>
            <w:proofErr w:type="spellStart"/>
            <w:r w:rsidRPr="00493E39">
              <w:rPr>
                <w:rFonts w:cs="Arial"/>
                <w:b/>
                <w:sz w:val="18"/>
              </w:rPr>
              <w:t>compatível</w:t>
            </w:r>
            <w:proofErr w:type="spellEnd"/>
          </w:p>
        </w:tc>
      </w:tr>
      <w:tr w:rsidR="00D64459" w:rsidRPr="00493E39" w14:paraId="67F4C527" w14:textId="77777777">
        <w:trPr>
          <w:cantSplit/>
          <w:jc w:val="center"/>
        </w:trPr>
        <w:tc>
          <w:tcPr>
            <w:tcW w:w="2154" w:type="dxa"/>
            <w:tcBorders>
              <w:top w:val="nil"/>
              <w:left w:val="nil"/>
              <w:bottom w:val="nil"/>
              <w:right w:val="nil"/>
            </w:tcBorders>
          </w:tcPr>
          <w:p w14:paraId="6718B6FC" w14:textId="77777777" w:rsidR="00D64459" w:rsidRPr="00493E39" w:rsidRDefault="008B2120">
            <w:pPr>
              <w:spacing w:line="240" w:lineRule="auto"/>
              <w:rPr>
                <w:rFonts w:cs="Arial"/>
              </w:rPr>
            </w:pPr>
            <w:r w:rsidRPr="00493E39">
              <w:rPr>
                <w:rFonts w:cs="Arial"/>
                <w:sz w:val="18"/>
              </w:rPr>
              <w:t xml:space="preserve">Quatro </w:t>
            </w:r>
            <w:proofErr w:type="spellStart"/>
            <w:r w:rsidRPr="00493E39">
              <w:rPr>
                <w:rFonts w:cs="Arial"/>
                <w:sz w:val="18"/>
              </w:rPr>
              <w:t>principais</w:t>
            </w:r>
            <w:proofErr w:type="spellEnd"/>
          </w:p>
        </w:tc>
        <w:tc>
          <w:tcPr>
            <w:tcW w:w="1247" w:type="dxa"/>
            <w:tcBorders>
              <w:top w:val="nil"/>
              <w:left w:val="nil"/>
              <w:bottom w:val="nil"/>
              <w:right w:val="nil"/>
            </w:tcBorders>
          </w:tcPr>
          <w:p w14:paraId="3A30D2D7" w14:textId="77777777" w:rsidR="00D64459" w:rsidRPr="00493E39" w:rsidRDefault="008B2120">
            <w:pPr>
              <w:spacing w:line="240" w:lineRule="auto"/>
              <w:jc w:val="center"/>
              <w:rPr>
                <w:rFonts w:cs="Arial"/>
              </w:rPr>
            </w:pPr>
            <w:r w:rsidRPr="00493E39">
              <w:rPr>
                <w:rFonts w:cs="Arial"/>
                <w:sz w:val="18"/>
              </w:rPr>
              <w:t>mar/2017</w:t>
            </w:r>
          </w:p>
        </w:tc>
        <w:tc>
          <w:tcPr>
            <w:tcW w:w="1247" w:type="dxa"/>
            <w:tcBorders>
              <w:top w:val="nil"/>
              <w:left w:val="nil"/>
              <w:bottom w:val="nil"/>
              <w:right w:val="nil"/>
            </w:tcBorders>
          </w:tcPr>
          <w:p w14:paraId="7E154E27" w14:textId="77777777" w:rsidR="00D64459" w:rsidRPr="00493E39" w:rsidRDefault="008B2120">
            <w:pPr>
              <w:spacing w:line="240" w:lineRule="auto"/>
              <w:jc w:val="center"/>
              <w:rPr>
                <w:rFonts w:cs="Arial"/>
              </w:rPr>
            </w:pPr>
            <w:r w:rsidRPr="00493E39">
              <w:rPr>
                <w:rFonts w:cs="Arial"/>
                <w:sz w:val="18"/>
              </w:rPr>
              <w:t>58,1</w:t>
            </w:r>
          </w:p>
        </w:tc>
        <w:tc>
          <w:tcPr>
            <w:tcW w:w="1134" w:type="dxa"/>
            <w:tcBorders>
              <w:top w:val="nil"/>
              <w:left w:val="nil"/>
              <w:bottom w:val="nil"/>
              <w:right w:val="nil"/>
            </w:tcBorders>
          </w:tcPr>
          <w:p w14:paraId="12643C63" w14:textId="77777777" w:rsidR="00D64459" w:rsidRPr="00493E39" w:rsidRDefault="008B2120">
            <w:pPr>
              <w:spacing w:line="240" w:lineRule="auto"/>
              <w:jc w:val="center"/>
              <w:rPr>
                <w:rFonts w:cs="Arial"/>
              </w:rPr>
            </w:pPr>
            <w:r w:rsidRPr="00493E39">
              <w:rPr>
                <w:rFonts w:cs="Arial"/>
                <w:sz w:val="18"/>
              </w:rPr>
              <w:t>42,9</w:t>
            </w:r>
          </w:p>
        </w:tc>
        <w:tc>
          <w:tcPr>
            <w:tcW w:w="794" w:type="dxa"/>
            <w:tcBorders>
              <w:top w:val="nil"/>
              <w:left w:val="nil"/>
              <w:bottom w:val="nil"/>
              <w:right w:val="nil"/>
            </w:tcBorders>
          </w:tcPr>
          <w:p w14:paraId="2A6D4C27" w14:textId="77777777" w:rsidR="00D64459" w:rsidRPr="00493E39" w:rsidRDefault="008B2120">
            <w:pPr>
              <w:spacing w:line="240" w:lineRule="auto"/>
              <w:jc w:val="center"/>
              <w:rPr>
                <w:rFonts w:cs="Arial"/>
              </w:rPr>
            </w:pPr>
            <w:r w:rsidRPr="00493E39">
              <w:rPr>
                <w:rFonts w:cs="Arial"/>
                <w:sz w:val="18"/>
              </w:rPr>
              <w:t>&lt;0,004</w:t>
            </w:r>
          </w:p>
        </w:tc>
        <w:tc>
          <w:tcPr>
            <w:tcW w:w="2041" w:type="dxa"/>
            <w:tcBorders>
              <w:top w:val="nil"/>
              <w:left w:val="nil"/>
              <w:bottom w:val="nil"/>
              <w:right w:val="nil"/>
            </w:tcBorders>
          </w:tcPr>
          <w:p w14:paraId="3E0F31C2" w14:textId="77777777" w:rsidR="00D64459" w:rsidRPr="00493E39" w:rsidRDefault="008B2120">
            <w:pPr>
              <w:spacing w:line="240" w:lineRule="auto"/>
              <w:jc w:val="center"/>
              <w:rPr>
                <w:rFonts w:cs="Arial"/>
              </w:rPr>
            </w:pPr>
            <w:proofErr w:type="spellStart"/>
            <w:r w:rsidRPr="00493E39">
              <w:rPr>
                <w:rFonts w:cs="Arial"/>
                <w:sz w:val="18"/>
              </w:rPr>
              <w:t>abr</w:t>
            </w:r>
            <w:proofErr w:type="spellEnd"/>
            <w:r w:rsidRPr="00493E39">
              <w:rPr>
                <w:rFonts w:cs="Arial"/>
                <w:sz w:val="18"/>
              </w:rPr>
              <w:t xml:space="preserve">/2016 a </w:t>
            </w:r>
            <w:proofErr w:type="spellStart"/>
            <w:r w:rsidRPr="00493E39">
              <w:rPr>
                <w:rFonts w:cs="Arial"/>
                <w:sz w:val="18"/>
              </w:rPr>
              <w:t>fev</w:t>
            </w:r>
            <w:proofErr w:type="spellEnd"/>
            <w:r w:rsidRPr="00493E39">
              <w:rPr>
                <w:rFonts w:cs="Arial"/>
                <w:sz w:val="18"/>
              </w:rPr>
              <w:t>/2021</w:t>
            </w:r>
          </w:p>
        </w:tc>
      </w:tr>
      <w:tr w:rsidR="00D64459" w:rsidRPr="00493E39" w14:paraId="5B6019E6" w14:textId="77777777">
        <w:trPr>
          <w:cantSplit/>
          <w:jc w:val="center"/>
        </w:trPr>
        <w:tc>
          <w:tcPr>
            <w:tcW w:w="2154" w:type="dxa"/>
            <w:tcBorders>
              <w:top w:val="nil"/>
              <w:left w:val="nil"/>
              <w:bottom w:val="nil"/>
              <w:right w:val="nil"/>
            </w:tcBorders>
          </w:tcPr>
          <w:p w14:paraId="343C55AA" w14:textId="77777777" w:rsidR="00D64459" w:rsidRPr="00493E39" w:rsidRDefault="008B2120">
            <w:pPr>
              <w:spacing w:line="240" w:lineRule="auto"/>
              <w:rPr>
                <w:rFonts w:cs="Arial"/>
              </w:rPr>
            </w:pPr>
            <w:r w:rsidRPr="00493E39">
              <w:rPr>
                <w:rFonts w:cs="Arial"/>
                <w:sz w:val="18"/>
              </w:rPr>
              <w:t xml:space="preserve">Cinco com </w:t>
            </w:r>
            <w:proofErr w:type="spellStart"/>
            <w:r w:rsidRPr="00493E39">
              <w:rPr>
                <w:rFonts w:cs="Arial"/>
                <w:sz w:val="18"/>
              </w:rPr>
              <w:t>refinaria</w:t>
            </w:r>
            <w:proofErr w:type="spellEnd"/>
          </w:p>
        </w:tc>
        <w:tc>
          <w:tcPr>
            <w:tcW w:w="1247" w:type="dxa"/>
            <w:tcBorders>
              <w:top w:val="nil"/>
              <w:left w:val="nil"/>
              <w:bottom w:val="nil"/>
              <w:right w:val="nil"/>
            </w:tcBorders>
          </w:tcPr>
          <w:p w14:paraId="09AF3533" w14:textId="77777777" w:rsidR="00D64459" w:rsidRPr="00493E39" w:rsidRDefault="008B2120">
            <w:pPr>
              <w:spacing w:line="240" w:lineRule="auto"/>
              <w:jc w:val="center"/>
              <w:rPr>
                <w:rFonts w:cs="Arial"/>
              </w:rPr>
            </w:pPr>
            <w:r w:rsidRPr="00493E39">
              <w:rPr>
                <w:rFonts w:cs="Arial"/>
                <w:sz w:val="18"/>
              </w:rPr>
              <w:t>mar/2017</w:t>
            </w:r>
          </w:p>
        </w:tc>
        <w:tc>
          <w:tcPr>
            <w:tcW w:w="1247" w:type="dxa"/>
            <w:tcBorders>
              <w:top w:val="nil"/>
              <w:left w:val="nil"/>
              <w:bottom w:val="nil"/>
              <w:right w:val="nil"/>
            </w:tcBorders>
          </w:tcPr>
          <w:p w14:paraId="2198A239" w14:textId="77777777" w:rsidR="00D64459" w:rsidRPr="00493E39" w:rsidRDefault="008B2120">
            <w:pPr>
              <w:spacing w:line="240" w:lineRule="auto"/>
              <w:jc w:val="center"/>
              <w:rPr>
                <w:rFonts w:cs="Arial"/>
              </w:rPr>
            </w:pPr>
            <w:r w:rsidRPr="00493E39">
              <w:rPr>
                <w:rFonts w:cs="Arial"/>
                <w:sz w:val="18"/>
              </w:rPr>
              <w:t>95,8</w:t>
            </w:r>
          </w:p>
        </w:tc>
        <w:tc>
          <w:tcPr>
            <w:tcW w:w="1134" w:type="dxa"/>
            <w:tcBorders>
              <w:top w:val="nil"/>
              <w:left w:val="nil"/>
              <w:bottom w:val="nil"/>
              <w:right w:val="nil"/>
            </w:tcBorders>
          </w:tcPr>
          <w:p w14:paraId="77941D20" w14:textId="77777777" w:rsidR="00D64459" w:rsidRPr="00493E39" w:rsidRDefault="008B2120">
            <w:pPr>
              <w:spacing w:line="240" w:lineRule="auto"/>
              <w:jc w:val="center"/>
              <w:rPr>
                <w:rFonts w:cs="Arial"/>
              </w:rPr>
            </w:pPr>
            <w:r w:rsidRPr="00493E39">
              <w:rPr>
                <w:rFonts w:cs="Arial"/>
                <w:sz w:val="18"/>
              </w:rPr>
              <w:t>53,6</w:t>
            </w:r>
          </w:p>
        </w:tc>
        <w:tc>
          <w:tcPr>
            <w:tcW w:w="794" w:type="dxa"/>
            <w:tcBorders>
              <w:top w:val="nil"/>
              <w:left w:val="nil"/>
              <w:bottom w:val="nil"/>
              <w:right w:val="nil"/>
            </w:tcBorders>
          </w:tcPr>
          <w:p w14:paraId="082E4C37" w14:textId="77777777" w:rsidR="00D64459" w:rsidRPr="00493E39" w:rsidRDefault="008B2120">
            <w:pPr>
              <w:spacing w:line="240" w:lineRule="auto"/>
              <w:jc w:val="center"/>
              <w:rPr>
                <w:rFonts w:cs="Arial"/>
              </w:rPr>
            </w:pPr>
            <w:r w:rsidRPr="00493E39">
              <w:rPr>
                <w:rFonts w:cs="Arial"/>
                <w:sz w:val="18"/>
              </w:rPr>
              <w:t>&lt;0,004</w:t>
            </w:r>
          </w:p>
        </w:tc>
        <w:tc>
          <w:tcPr>
            <w:tcW w:w="2041" w:type="dxa"/>
            <w:tcBorders>
              <w:top w:val="nil"/>
              <w:left w:val="nil"/>
              <w:bottom w:val="nil"/>
              <w:right w:val="nil"/>
            </w:tcBorders>
          </w:tcPr>
          <w:p w14:paraId="732E898F" w14:textId="77777777" w:rsidR="00D64459" w:rsidRPr="00493E39" w:rsidRDefault="008B2120">
            <w:pPr>
              <w:spacing w:line="240" w:lineRule="auto"/>
              <w:jc w:val="center"/>
              <w:rPr>
                <w:rFonts w:cs="Arial"/>
              </w:rPr>
            </w:pPr>
            <w:proofErr w:type="spellStart"/>
            <w:r w:rsidRPr="00493E39">
              <w:rPr>
                <w:rFonts w:cs="Arial"/>
                <w:sz w:val="18"/>
              </w:rPr>
              <w:t>jan</w:t>
            </w:r>
            <w:proofErr w:type="spellEnd"/>
            <w:r w:rsidRPr="00493E39">
              <w:rPr>
                <w:rFonts w:cs="Arial"/>
                <w:sz w:val="18"/>
              </w:rPr>
              <w:t xml:space="preserve">/2016 a </w:t>
            </w:r>
            <w:proofErr w:type="spellStart"/>
            <w:r w:rsidRPr="00493E39">
              <w:rPr>
                <w:rFonts w:cs="Arial"/>
                <w:sz w:val="18"/>
              </w:rPr>
              <w:t>fev</w:t>
            </w:r>
            <w:proofErr w:type="spellEnd"/>
            <w:r w:rsidRPr="00493E39">
              <w:rPr>
                <w:rFonts w:cs="Arial"/>
                <w:sz w:val="18"/>
              </w:rPr>
              <w:t>/2021</w:t>
            </w:r>
          </w:p>
        </w:tc>
      </w:tr>
      <w:tr w:rsidR="00D64459" w:rsidRPr="00493E39" w14:paraId="01A445D5" w14:textId="77777777">
        <w:trPr>
          <w:cantSplit/>
          <w:jc w:val="center"/>
        </w:trPr>
        <w:tc>
          <w:tcPr>
            <w:tcW w:w="2154" w:type="dxa"/>
            <w:tcBorders>
              <w:top w:val="nil"/>
              <w:left w:val="nil"/>
              <w:bottom w:val="single" w:sz="12" w:space="0" w:color="000000"/>
              <w:right w:val="nil"/>
            </w:tcBorders>
          </w:tcPr>
          <w:p w14:paraId="10CE7C93" w14:textId="77777777" w:rsidR="00D64459" w:rsidRPr="00493E39" w:rsidRDefault="008B2120">
            <w:pPr>
              <w:spacing w:line="240" w:lineRule="auto"/>
              <w:rPr>
                <w:rFonts w:cs="Arial"/>
              </w:rPr>
            </w:pPr>
            <w:proofErr w:type="spellStart"/>
            <w:r w:rsidRPr="00493E39">
              <w:rPr>
                <w:rFonts w:cs="Arial"/>
                <w:sz w:val="18"/>
              </w:rPr>
              <w:t>Apenas</w:t>
            </w:r>
            <w:proofErr w:type="spellEnd"/>
            <w:r w:rsidRPr="00493E39">
              <w:rPr>
                <w:rFonts w:cs="Arial"/>
                <w:sz w:val="18"/>
              </w:rPr>
              <w:t xml:space="preserve"> </w:t>
            </w:r>
            <w:proofErr w:type="spellStart"/>
            <w:r w:rsidRPr="00493E39">
              <w:rPr>
                <w:rFonts w:cs="Arial"/>
                <w:sz w:val="18"/>
              </w:rPr>
              <w:t>refinaria</w:t>
            </w:r>
            <w:proofErr w:type="spellEnd"/>
          </w:p>
        </w:tc>
        <w:tc>
          <w:tcPr>
            <w:tcW w:w="1247" w:type="dxa"/>
            <w:tcBorders>
              <w:top w:val="nil"/>
              <w:left w:val="nil"/>
              <w:bottom w:val="single" w:sz="12" w:space="0" w:color="000000"/>
              <w:right w:val="nil"/>
            </w:tcBorders>
          </w:tcPr>
          <w:p w14:paraId="5C8DDC15" w14:textId="77777777" w:rsidR="00D64459" w:rsidRPr="00493E39" w:rsidRDefault="008B2120">
            <w:pPr>
              <w:spacing w:line="240" w:lineRule="auto"/>
              <w:jc w:val="center"/>
              <w:rPr>
                <w:rFonts w:cs="Arial"/>
              </w:rPr>
            </w:pPr>
            <w:proofErr w:type="spellStart"/>
            <w:r w:rsidRPr="00493E39">
              <w:rPr>
                <w:rFonts w:cs="Arial"/>
                <w:sz w:val="18"/>
              </w:rPr>
              <w:t>nov</w:t>
            </w:r>
            <w:proofErr w:type="spellEnd"/>
            <w:r w:rsidRPr="00493E39">
              <w:rPr>
                <w:rFonts w:cs="Arial"/>
                <w:sz w:val="18"/>
              </w:rPr>
              <w:t>/2016</w:t>
            </w:r>
          </w:p>
        </w:tc>
        <w:tc>
          <w:tcPr>
            <w:tcW w:w="1247" w:type="dxa"/>
            <w:tcBorders>
              <w:top w:val="nil"/>
              <w:left w:val="nil"/>
              <w:bottom w:val="single" w:sz="12" w:space="0" w:color="000000"/>
              <w:right w:val="nil"/>
            </w:tcBorders>
          </w:tcPr>
          <w:p w14:paraId="4940F2D0" w14:textId="77777777" w:rsidR="00D64459" w:rsidRPr="00493E39" w:rsidRDefault="008B2120">
            <w:pPr>
              <w:spacing w:line="240" w:lineRule="auto"/>
              <w:jc w:val="center"/>
              <w:rPr>
                <w:rFonts w:cs="Arial"/>
              </w:rPr>
            </w:pPr>
            <w:r w:rsidRPr="00493E39">
              <w:rPr>
                <w:rFonts w:cs="Arial"/>
                <w:sz w:val="18"/>
              </w:rPr>
              <w:t>38,6</w:t>
            </w:r>
          </w:p>
        </w:tc>
        <w:tc>
          <w:tcPr>
            <w:tcW w:w="1134" w:type="dxa"/>
            <w:tcBorders>
              <w:top w:val="nil"/>
              <w:left w:val="nil"/>
              <w:bottom w:val="single" w:sz="12" w:space="0" w:color="000000"/>
              <w:right w:val="nil"/>
            </w:tcBorders>
          </w:tcPr>
          <w:p w14:paraId="5BAFDF97" w14:textId="77777777" w:rsidR="00D64459" w:rsidRPr="00493E39" w:rsidRDefault="008B2120">
            <w:pPr>
              <w:spacing w:line="240" w:lineRule="auto"/>
              <w:jc w:val="center"/>
              <w:rPr>
                <w:rFonts w:cs="Arial"/>
              </w:rPr>
            </w:pPr>
            <w:r w:rsidRPr="00493E39">
              <w:rPr>
                <w:rFonts w:cs="Arial"/>
                <w:sz w:val="18"/>
              </w:rPr>
              <w:t>14,9</w:t>
            </w:r>
          </w:p>
        </w:tc>
        <w:tc>
          <w:tcPr>
            <w:tcW w:w="794" w:type="dxa"/>
            <w:tcBorders>
              <w:top w:val="nil"/>
              <w:left w:val="nil"/>
              <w:bottom w:val="single" w:sz="12" w:space="0" w:color="000000"/>
              <w:right w:val="nil"/>
            </w:tcBorders>
          </w:tcPr>
          <w:p w14:paraId="05218F62" w14:textId="77777777" w:rsidR="00D64459" w:rsidRPr="00493E39" w:rsidRDefault="008B2120">
            <w:pPr>
              <w:spacing w:line="240" w:lineRule="auto"/>
              <w:jc w:val="center"/>
              <w:rPr>
                <w:rFonts w:cs="Arial"/>
              </w:rPr>
            </w:pPr>
            <w:r w:rsidRPr="00493E39">
              <w:rPr>
                <w:rFonts w:cs="Arial"/>
                <w:sz w:val="18"/>
              </w:rPr>
              <w:t>&lt;0,004</w:t>
            </w:r>
          </w:p>
        </w:tc>
        <w:tc>
          <w:tcPr>
            <w:tcW w:w="2041" w:type="dxa"/>
            <w:tcBorders>
              <w:top w:val="nil"/>
              <w:left w:val="nil"/>
              <w:bottom w:val="single" w:sz="12" w:space="0" w:color="000000"/>
              <w:right w:val="nil"/>
            </w:tcBorders>
          </w:tcPr>
          <w:p w14:paraId="738648D0" w14:textId="77777777" w:rsidR="00D64459" w:rsidRPr="00493E39" w:rsidRDefault="008B2120">
            <w:pPr>
              <w:spacing w:line="240" w:lineRule="auto"/>
              <w:jc w:val="center"/>
              <w:rPr>
                <w:rFonts w:cs="Arial"/>
              </w:rPr>
            </w:pPr>
            <w:proofErr w:type="spellStart"/>
            <w:r w:rsidRPr="00493E39">
              <w:rPr>
                <w:rFonts w:cs="Arial"/>
                <w:sz w:val="18"/>
              </w:rPr>
              <w:t>dez</w:t>
            </w:r>
            <w:proofErr w:type="spellEnd"/>
            <w:r w:rsidRPr="00493E39">
              <w:rPr>
                <w:rFonts w:cs="Arial"/>
                <w:sz w:val="18"/>
              </w:rPr>
              <w:t xml:space="preserve">/2014 a </w:t>
            </w:r>
            <w:proofErr w:type="spellStart"/>
            <w:r w:rsidRPr="00493E39">
              <w:rPr>
                <w:rFonts w:cs="Arial"/>
                <w:sz w:val="18"/>
              </w:rPr>
              <w:t>fev</w:t>
            </w:r>
            <w:proofErr w:type="spellEnd"/>
            <w:r w:rsidRPr="00493E39">
              <w:rPr>
                <w:rFonts w:cs="Arial"/>
                <w:sz w:val="18"/>
              </w:rPr>
              <w:t>/2019</w:t>
            </w:r>
          </w:p>
        </w:tc>
      </w:tr>
    </w:tbl>
    <w:p w14:paraId="1617B002" w14:textId="77777777" w:rsidR="00D64459" w:rsidRPr="00493E39" w:rsidRDefault="008B2120">
      <w:pPr>
        <w:spacing w:before="40" w:line="240" w:lineRule="auto"/>
        <w:jc w:val="both"/>
        <w:rPr>
          <w:rFonts w:cs="Arial"/>
          <w:lang w:val="pt-BR"/>
        </w:rPr>
      </w:pPr>
      <w:r w:rsidRPr="00493E39">
        <w:rPr>
          <w:rFonts w:cs="Arial"/>
          <w:sz w:val="18"/>
          <w:lang w:val="pt-BR"/>
        </w:rPr>
        <w:lastRenderedPageBreak/>
        <w:t>Nota: valores críticos e p-valores por reamostragem em blocos, com 299 réplicas. Com esse número de réplicas o menor p-valor alcançável é 1/300, ou 0,003; a notação &lt; 0,004 indica que nenhuma réplica superou a estatística observada.</w:t>
      </w:r>
    </w:p>
    <w:p w14:paraId="25C7F5FA"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03342E1C" w14:textId="77777777" w:rsidR="00D64459" w:rsidRPr="00493E39" w:rsidRDefault="008B2120">
      <w:pPr>
        <w:ind w:firstLine="709"/>
        <w:jc w:val="both"/>
        <w:rPr>
          <w:rFonts w:cs="Arial"/>
          <w:lang w:val="pt-BR"/>
        </w:rPr>
      </w:pPr>
      <w:r w:rsidRPr="00493E39">
        <w:rPr>
          <w:rFonts w:cs="Arial"/>
          <w:lang w:val="pt-BR"/>
        </w:rPr>
        <w:t>Os dois critérios multivariados situam a mudança no primeiro trimestre de 2017, cerca de cinco meses após o anúncio da política, intervalo compatível com implementação progressiva. Os dois conjuntos, o de quatro séries e o de cinco, que acrescenta a refinaria, datam a quebra em março de 2017, data adotada. Outubro de 2016, o corte institucional, também supera o valor crítico nos dois. A faixa de datas que os dados não descartam vai de abril de 2016 a fevereiro de 2021 no conjunto de quatro séries e de janeiro de 2016 a fevereiro de 2021 no de cinco, e reportá-la é preferível a sugerir precisão inexistente.</w:t>
      </w:r>
    </w:p>
    <w:p w14:paraId="03D99F6F" w14:textId="77777777" w:rsidR="00D64459" w:rsidRPr="00493E39" w:rsidRDefault="008B2120">
      <w:pPr>
        <w:ind w:firstLine="709"/>
        <w:jc w:val="both"/>
        <w:rPr>
          <w:rFonts w:cs="Arial"/>
          <w:lang w:val="pt-BR"/>
        </w:rPr>
      </w:pPr>
      <w:r w:rsidRPr="00493E39">
        <w:rPr>
          <w:rFonts w:cs="Arial"/>
          <w:lang w:val="pt-BR"/>
        </w:rPr>
        <w:t>A ampliação do topo, no painel inferior da Figura 10, explicita quão pouco a escolha do mês importa: nos dois conjuntos, janeiro, fevereiro e março de 2017 diferem entre si em menos de 0,4% da estatística. O topo é um platô, e não um pico.</w:t>
      </w:r>
    </w:p>
    <w:p w14:paraId="7E3F7B90"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10 – Perfil da estatística de quebra e ampliação do topo</w:t>
      </w:r>
    </w:p>
    <w:p w14:paraId="64743F8B" w14:textId="77777777" w:rsidR="00D64459" w:rsidRPr="00493E39" w:rsidRDefault="008B2120">
      <w:pPr>
        <w:keepNext/>
        <w:spacing w:after="40"/>
        <w:jc w:val="center"/>
        <w:rPr>
          <w:rFonts w:cs="Arial"/>
        </w:rPr>
      </w:pPr>
      <w:r w:rsidRPr="00493E39">
        <w:rPr>
          <w:rFonts w:cs="Arial"/>
          <w:noProof/>
        </w:rPr>
        <w:drawing>
          <wp:inline distT="0" distB="0" distL="0" distR="0" wp14:anchorId="4B57678F" wp14:editId="732CB2DC">
            <wp:extent cx="5580000" cy="34596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ato_quebra.png"/>
                    <pic:cNvPicPr/>
                  </pic:nvPicPr>
                  <pic:blipFill>
                    <a:blip r:embed="rId16"/>
                    <a:stretch>
                      <a:fillRect/>
                    </a:stretch>
                  </pic:blipFill>
                  <pic:spPr>
                    <a:xfrm>
                      <a:off x="0" y="0"/>
                      <a:ext cx="5580000" cy="3459600"/>
                    </a:xfrm>
                    <a:prstGeom prst="rect">
                      <a:avLst/>
                    </a:prstGeom>
                  </pic:spPr>
                </pic:pic>
              </a:graphicData>
            </a:graphic>
          </wp:inline>
        </w:drawing>
      </w:r>
    </w:p>
    <w:p w14:paraId="5AB697A1" w14:textId="77777777" w:rsidR="00D64459" w:rsidRPr="00493E39" w:rsidRDefault="008B2120">
      <w:pPr>
        <w:spacing w:line="240" w:lineRule="auto"/>
        <w:jc w:val="both"/>
        <w:rPr>
          <w:rFonts w:cs="Arial"/>
          <w:lang w:val="pt-BR"/>
        </w:rPr>
      </w:pPr>
      <w:r w:rsidRPr="00493E39">
        <w:rPr>
          <w:rFonts w:cs="Arial"/>
          <w:sz w:val="18"/>
          <w:lang w:val="pt-BR"/>
        </w:rPr>
        <w:t>Nota: nos painéis superiores, o perfil completo, com a linha pontilhada no valor crítico de 5% obtido por reamostragem e a faixa cinza indicando o trecho ampliado. Nos inferiores, a ampliação de 2016 a 2018, com os três maiores valores circulados e listados.</w:t>
      </w:r>
    </w:p>
    <w:p w14:paraId="29E3D70D"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4EC62A73" w14:textId="77777777" w:rsidR="00D64459" w:rsidRPr="00493E39" w:rsidRDefault="008B2120">
      <w:pPr>
        <w:ind w:firstLine="709"/>
        <w:jc w:val="both"/>
        <w:rPr>
          <w:rFonts w:cs="Arial"/>
          <w:lang w:val="pt-BR"/>
        </w:rPr>
      </w:pPr>
      <w:r w:rsidRPr="00493E39">
        <w:rPr>
          <w:rFonts w:cs="Arial"/>
          <w:lang w:val="pt-BR"/>
        </w:rPr>
        <w:lastRenderedPageBreak/>
        <w:t>Como a data foi escolhida maximizando uma estatística, o p-valor convencional avaliado naquela data é circular. Reporta-se, por isso, p-valor ajustado por seleção, em que cada réplica refaz integralmente a busca sob a hipótese nula, no mesmo conjunto de quatro séries que define o corte adotado. Com o ajuste, a mudança de regime sustenta-se no impacto contemporâneo para a gasolina ao consumidor (0,003), o diesel (0,003), a gasolina na refinaria (&lt; 0,004) e o IPCA Transportes (0,013). A restrição ao impacto converge com o que a seção 4.4 estabeleceu por caminho independente.</w:t>
      </w:r>
    </w:p>
    <w:p w14:paraId="23574AAF" w14:textId="77777777" w:rsidR="00D64459" w:rsidRPr="00493E39" w:rsidRDefault="008B2120">
      <w:pPr>
        <w:ind w:firstLine="709"/>
        <w:jc w:val="both"/>
        <w:rPr>
          <w:rFonts w:cs="Arial"/>
          <w:lang w:val="pt-BR"/>
        </w:rPr>
      </w:pPr>
      <w:proofErr w:type="spellStart"/>
      <w:r w:rsidRPr="00493E39">
        <w:rPr>
          <w:rFonts w:cs="Arial"/>
          <w:lang w:val="pt-BR"/>
        </w:rPr>
        <w:t>Kilian</w:t>
      </w:r>
      <w:proofErr w:type="spellEnd"/>
      <w:r w:rsidRPr="00493E39">
        <w:rPr>
          <w:rFonts w:cs="Arial"/>
          <w:lang w:val="pt-BR"/>
        </w:rPr>
        <w:t xml:space="preserve"> (2009) argumenta que mudanças na composição dos choques do mercado de petróleo ajudam a explicar a instabilidade de regressões de agregados sobre o preço do petróleo, o que sugere explicação concorrente: a quebra poderia refletir alteração </w:t>
      </w:r>
      <w:proofErr w:type="spellStart"/>
      <w:r w:rsidRPr="00493E39">
        <w:rPr>
          <w:rFonts w:cs="Arial"/>
          <w:lang w:val="pt-BR"/>
        </w:rPr>
        <w:t>nessa</w:t>
      </w:r>
      <w:proofErr w:type="spellEnd"/>
      <w:r w:rsidRPr="00493E39">
        <w:rPr>
          <w:rFonts w:cs="Arial"/>
          <w:lang w:val="pt-BR"/>
        </w:rPr>
        <w:t xml:space="preserve"> composição, e não mudança na regra doméstica. Dois elementos contrapõem-se, e a verificação sobre o choque de </w:t>
      </w:r>
      <w:proofErr w:type="spellStart"/>
      <w:r w:rsidRPr="00493E39">
        <w:rPr>
          <w:rFonts w:cs="Arial"/>
          <w:lang w:val="pt-BR"/>
        </w:rPr>
        <w:t>Känzig</w:t>
      </w:r>
      <w:proofErr w:type="spellEnd"/>
      <w:r w:rsidRPr="00493E39">
        <w:rPr>
          <w:rFonts w:cs="Arial"/>
          <w:lang w:val="pt-BR"/>
        </w:rPr>
        <w:t xml:space="preserve"> (2021), reportada no Apêndice K.1, não se conta entre eles, por ser inconclusiva. O primeiro é a evidência institucional independente. O segundo é que a parcela de meses sem variação do preço na refinaria cai de 16,6% para zero entre os regimes, que é mudança de comportamento de preço doméstico, algo que composição de choque internacional não produz.</w:t>
      </w:r>
    </w:p>
    <w:p w14:paraId="66D8E467" w14:textId="77777777" w:rsidR="00D64459" w:rsidRPr="00493E39" w:rsidRDefault="008B2120">
      <w:pPr>
        <w:ind w:firstLine="709"/>
        <w:jc w:val="both"/>
        <w:rPr>
          <w:rFonts w:cs="Arial"/>
          <w:lang w:val="pt-BR"/>
        </w:rPr>
      </w:pPr>
      <w:r w:rsidRPr="00493E39">
        <w:rPr>
          <w:rFonts w:cs="Arial"/>
          <w:lang w:val="pt-BR"/>
        </w:rPr>
        <w:t xml:space="preserve">Há ainda um argumento mais geral, e é o mais forte. Erro de medida na variável de choque e mudanças em sua composição afetam os dois regimes, e não apenas um. Se a contaminação for semelhante antes e depois da quebra, ela se cancela na diferença. Disso decorre que o nível do repasse estimado é vulnerável à crítica de </w:t>
      </w:r>
      <w:proofErr w:type="spellStart"/>
      <w:r w:rsidRPr="00493E39">
        <w:rPr>
          <w:rFonts w:cs="Arial"/>
          <w:lang w:val="pt-BR"/>
        </w:rPr>
        <w:t>Kilian</w:t>
      </w:r>
      <w:proofErr w:type="spellEnd"/>
      <w:r w:rsidRPr="00493E39">
        <w:rPr>
          <w:rFonts w:cs="Arial"/>
          <w:lang w:val="pt-BR"/>
        </w:rPr>
        <w:t xml:space="preserve"> (2009), mas o contraste entre regimes, que é o objeto deste trabalho, é consideravelmente mais robusto: não exige que o choque esteja bem identificado, apenas que esteja medido de forma comparável nos dois períodos.</w:t>
      </w:r>
    </w:p>
    <w:p w14:paraId="29BF328A" w14:textId="77777777" w:rsidR="00D64459" w:rsidRPr="00493E39" w:rsidRDefault="008B2120">
      <w:pPr>
        <w:pStyle w:val="Heading2"/>
        <w:spacing w:before="280" w:after="160"/>
        <w:rPr>
          <w:rFonts w:ascii="Arial" w:hAnsi="Arial" w:cs="Arial"/>
          <w:lang w:val="pt-BR"/>
        </w:rPr>
      </w:pPr>
      <w:bookmarkStart w:id="26" w:name="_Toc239713575"/>
      <w:r w:rsidRPr="00493E39">
        <w:rPr>
          <w:rFonts w:ascii="Arial" w:hAnsi="Arial" w:cs="Arial"/>
          <w:sz w:val="24"/>
          <w:lang w:val="pt-BR"/>
        </w:rPr>
        <w:t>4.7 Robustez</w:t>
      </w:r>
      <w:bookmarkEnd w:id="26"/>
    </w:p>
    <w:p w14:paraId="270299EC" w14:textId="77777777" w:rsidR="00D64459" w:rsidRPr="00493E39" w:rsidRDefault="008B2120">
      <w:pPr>
        <w:ind w:firstLine="709"/>
        <w:jc w:val="both"/>
        <w:rPr>
          <w:rFonts w:cs="Arial"/>
          <w:lang w:val="pt-BR"/>
        </w:rPr>
      </w:pPr>
      <w:r w:rsidRPr="00493E39">
        <w:rPr>
          <w:rFonts w:cs="Arial"/>
          <w:lang w:val="pt-BR"/>
        </w:rPr>
        <w:t xml:space="preserve">Esta seção reúne as verificações cujo desfecho altera a leitura dos coeficientes reportados. Outras cinco, que confirmam o resultado sem modificá-lo, constam do Apêndice K: a identificação por choque de oferta externo, a sensibilidade ao número de defasagens e a correção para choques subsequentes, a composição dos choques nos dois regimes, a assimetria entre altas e quedas e um conjunto de quatro verificações de </w:t>
      </w:r>
      <w:r w:rsidRPr="00493E39">
        <w:rPr>
          <w:rFonts w:cs="Arial"/>
          <w:lang w:val="pt-BR"/>
        </w:rPr>
        <w:lastRenderedPageBreak/>
        <w:t>especificação. Sobre esta última, cabe o registro, ainda que o exercício não sustente afirmação central: examinou-se se altas e quedas do preço internacional repassam com a mesma intensidade, e o índice cheio não apresenta assimetria detectável em construção alguma. O óleo diesel apresenta, sob a paridade, resposta maior a altas do que a quedas, padrão sensível ao tratamento das observações da pandemia e por isso reportado como indicativo; na gasolina na refinaria a simetria também é rejeitada, sem sentido único entre horizontes.</w:t>
      </w:r>
    </w:p>
    <w:p w14:paraId="29D7B8A5" w14:textId="77777777" w:rsidR="00D64459" w:rsidRPr="00493E39" w:rsidRDefault="008B2120">
      <w:pPr>
        <w:pStyle w:val="Heading3"/>
        <w:spacing w:before="280" w:after="160"/>
        <w:rPr>
          <w:rFonts w:ascii="Arial" w:hAnsi="Arial" w:cs="Arial"/>
          <w:lang w:val="pt-BR"/>
        </w:rPr>
      </w:pPr>
      <w:bookmarkStart w:id="27" w:name="_Toc239713576"/>
      <w:r w:rsidRPr="00493E39">
        <w:rPr>
          <w:rFonts w:ascii="Arial" w:hAnsi="Arial" w:cs="Arial"/>
          <w:lang w:val="pt-BR"/>
        </w:rPr>
        <w:t>4.7.1 Placebo em horizontes anteriores ao choque</w:t>
      </w:r>
      <w:bookmarkEnd w:id="27"/>
    </w:p>
    <w:p w14:paraId="53D35779" w14:textId="77777777" w:rsidR="00D64459" w:rsidRPr="00493E39" w:rsidRDefault="008B2120">
      <w:pPr>
        <w:ind w:firstLine="709"/>
        <w:jc w:val="both"/>
        <w:rPr>
          <w:rFonts w:cs="Arial"/>
          <w:lang w:val="pt-BR"/>
        </w:rPr>
      </w:pPr>
      <w:r w:rsidRPr="00493E39">
        <w:rPr>
          <w:rFonts w:cs="Arial"/>
          <w:lang w:val="pt-BR"/>
        </w:rPr>
        <w:t>O choque datado em t não prevê variações de preço anteriores a t, salvo uma exceção explicada pelo desenho do teste. Estimadas as respostas em horizontes de um a três meses antes do choque, com o conjunto de condicionamento deslocado integralmente, dezessete dos dezoito coeficientes não são significativos a 10%. A exceção, a refinaria um mês antes do choque, com 0,644 e p de 0,044, cai para 0,350, com p de 0,242, quando se inclui o choque do próprio mês da dependente, que o desenho omite e que tem autocorrelação de 0,29 com o de t.</w:t>
      </w:r>
    </w:p>
    <w:p w14:paraId="6DCFAC5F" w14:textId="77777777" w:rsidR="00D64459" w:rsidRPr="00493E39" w:rsidRDefault="008B2120">
      <w:pPr>
        <w:pStyle w:val="Heading3"/>
        <w:spacing w:before="280" w:after="160"/>
        <w:rPr>
          <w:rFonts w:ascii="Arial" w:hAnsi="Arial" w:cs="Arial"/>
          <w:lang w:val="pt-BR"/>
        </w:rPr>
      </w:pPr>
      <w:bookmarkStart w:id="28" w:name="_Toc239713577"/>
      <w:r w:rsidRPr="00493E39">
        <w:rPr>
          <w:rFonts w:ascii="Arial" w:hAnsi="Arial" w:cs="Arial"/>
          <w:lang w:val="pt-BR"/>
        </w:rPr>
        <w:t>4.7.2 O fim da política de paridade e o tratamento da pandemia</w:t>
      </w:r>
      <w:bookmarkEnd w:id="28"/>
    </w:p>
    <w:p w14:paraId="5314BC89" w14:textId="77777777" w:rsidR="00D64459" w:rsidRPr="00493E39" w:rsidRDefault="008B2120">
      <w:pPr>
        <w:ind w:firstLine="709"/>
        <w:jc w:val="both"/>
        <w:rPr>
          <w:rFonts w:cs="Arial"/>
          <w:lang w:val="pt-BR"/>
        </w:rPr>
      </w:pPr>
      <w:r w:rsidRPr="00493E39">
        <w:rPr>
          <w:rFonts w:cs="Arial"/>
          <w:lang w:val="pt-BR"/>
        </w:rPr>
        <w:t>A política de paridade foi encerrada em 16 de maio de 2023, ao passo que a amostra se estende até setembro de 2025, de modo que o regime posterior reúne 74 meses sob a política e 29 posteriores a ela. Reestimando com a amostra encerrada em maio de 2023, o repasse ao IPCA Geral passa de 0,176 para 0,214 no impacto, e o teste de igualdade rejeita nas duas amostras. A estimativa da Tabela 2 é, nesse sentido, conservadora: incorporar meses sem a política atenua o coeficiente em cerca de um quinto.</w:t>
      </w:r>
    </w:p>
    <w:p w14:paraId="5D91AFB4" w14:textId="77777777" w:rsidR="00D64459" w:rsidRPr="00493E39" w:rsidRDefault="008B2120">
      <w:pPr>
        <w:ind w:firstLine="709"/>
        <w:jc w:val="both"/>
        <w:rPr>
          <w:rFonts w:cs="Arial"/>
          <w:lang w:val="pt-BR"/>
        </w:rPr>
      </w:pPr>
      <w:r w:rsidRPr="00493E39">
        <w:rPr>
          <w:rFonts w:cs="Arial"/>
          <w:lang w:val="pt-BR"/>
        </w:rPr>
        <w:t xml:space="preserve">O tratamento da pandemia merece registro, porque a forma adotada tem consequência não evidente. As dez indicadoras de janela reduzem-se, no horizonte de impacto, a uma indicadora por mês, e </w:t>
      </w:r>
      <w:proofErr w:type="spellStart"/>
      <w:r w:rsidRPr="00493E39">
        <w:rPr>
          <w:rFonts w:cs="Arial"/>
          <w:lang w:val="pt-BR"/>
        </w:rPr>
        <w:t>Salkever</w:t>
      </w:r>
      <w:proofErr w:type="spellEnd"/>
      <w:r w:rsidRPr="00493E39">
        <w:rPr>
          <w:rFonts w:cs="Arial"/>
          <w:lang w:val="pt-BR"/>
        </w:rPr>
        <w:t xml:space="preserve"> (1976) demonstra que incluir uma indicadora por observação é numericamente idêntico a retirar aquela observação da amostra. Em h = 0, portanto, a especificação equivale a estimar sem os dez meses, e a </w:t>
      </w:r>
      <w:r w:rsidRPr="00493E39">
        <w:rPr>
          <w:rFonts w:cs="Arial"/>
          <w:lang w:val="pt-BR"/>
        </w:rPr>
        <w:lastRenderedPageBreak/>
        <w:t>verificação confirma a identidade. A equivalência deixa de valer a partir de h = 2, quando as janelas se sobrepõem.</w:t>
      </w:r>
    </w:p>
    <w:p w14:paraId="390E87B9" w14:textId="77777777" w:rsidR="00D64459" w:rsidRPr="00493E39" w:rsidRDefault="008B2120">
      <w:pPr>
        <w:ind w:firstLine="709"/>
        <w:jc w:val="both"/>
        <w:rPr>
          <w:rFonts w:cs="Arial"/>
          <w:lang w:val="pt-BR"/>
        </w:rPr>
      </w:pPr>
      <w:r w:rsidRPr="00493E39">
        <w:rPr>
          <w:rFonts w:cs="Arial"/>
          <w:lang w:val="pt-BR"/>
        </w:rPr>
        <w:t xml:space="preserve">A escolha tem respaldo na literatura resenhada na seção 2.5: como o objeto aqui é o parâmetro de repasse, e não a previsão, o trabalho está no caso que Lenza e </w:t>
      </w:r>
      <w:proofErr w:type="spellStart"/>
      <w:r w:rsidRPr="00493E39">
        <w:rPr>
          <w:rFonts w:cs="Arial"/>
          <w:lang w:val="pt-BR"/>
        </w:rPr>
        <w:t>Primiceri</w:t>
      </w:r>
      <w:proofErr w:type="spellEnd"/>
      <w:r w:rsidRPr="00493E39">
        <w:rPr>
          <w:rFonts w:cs="Arial"/>
          <w:lang w:val="pt-BR"/>
        </w:rPr>
        <w:t xml:space="preserve"> (2020) consideram aceitável.</w:t>
      </w:r>
    </w:p>
    <w:p w14:paraId="7D799D4B" w14:textId="77777777" w:rsidR="00D64459" w:rsidRPr="00493E39" w:rsidRDefault="008B2120">
      <w:pPr>
        <w:ind w:firstLine="709"/>
        <w:jc w:val="both"/>
        <w:rPr>
          <w:rFonts w:cs="Arial"/>
          <w:lang w:val="pt-BR"/>
        </w:rPr>
      </w:pPr>
      <w:r w:rsidRPr="00493E39">
        <w:rPr>
          <w:rFonts w:cs="Arial"/>
          <w:lang w:val="pt-BR"/>
        </w:rPr>
        <w:t xml:space="preserve">A alternativa examinada foi o índice de rigor do Oxford Covid-19 </w:t>
      </w:r>
      <w:proofErr w:type="spellStart"/>
      <w:r w:rsidRPr="00493E39">
        <w:rPr>
          <w:rFonts w:cs="Arial"/>
          <w:lang w:val="pt-BR"/>
        </w:rPr>
        <w:t>Government</w:t>
      </w:r>
      <w:proofErr w:type="spellEnd"/>
      <w:r w:rsidRPr="00493E39">
        <w:rPr>
          <w:rFonts w:cs="Arial"/>
          <w:lang w:val="pt-BR"/>
        </w:rPr>
        <w:t xml:space="preserve"> Response </w:t>
      </w:r>
      <w:proofErr w:type="spellStart"/>
      <w:r w:rsidRPr="00493E39">
        <w:rPr>
          <w:rFonts w:cs="Arial"/>
          <w:lang w:val="pt-BR"/>
        </w:rPr>
        <w:t>Tracker</w:t>
      </w:r>
      <w:proofErr w:type="spellEnd"/>
      <w:r w:rsidRPr="00493E39">
        <w:rPr>
          <w:rFonts w:cs="Arial"/>
          <w:lang w:val="pt-BR"/>
        </w:rPr>
        <w:t xml:space="preserve"> (HALE et al., 2021), construído para o Brasil em frequência mensal, que substitui o bloco de indicadoras por um </w:t>
      </w:r>
      <w:proofErr w:type="spellStart"/>
      <w:r w:rsidRPr="00493E39">
        <w:rPr>
          <w:rFonts w:cs="Arial"/>
          <w:lang w:val="pt-BR"/>
        </w:rPr>
        <w:t>regressor</w:t>
      </w:r>
      <w:proofErr w:type="spellEnd"/>
      <w:r w:rsidRPr="00493E39">
        <w:rPr>
          <w:rFonts w:cs="Arial"/>
          <w:lang w:val="pt-BR"/>
        </w:rPr>
        <w:t xml:space="preserve"> contínuo e devolve as dez observações à estimação, reduzindo o número de parâmetros de 43 para 34. Com ele o repasse ao IPCA Geral no impacto é 0,088, cerca de metade do valor da Tabela 2, e a diferença não decorre da extensão do índice para além de 2020. Ela decorre de substituir dez indicadoras que saturam por um parâmetro que não satura. Cabe testar uma explicação concorrente, sugerida pela assimetria do Apêndice K.4: os dois maiores choques negativos da amostra, de −5,43 e −5,40 desvios-padrão, ocorreram em março e abril de 2020, dentro da janela excluída e dentro do regime posterior, de modo que retirá-los de um regime com resposta assimétrica elevaria um coeficiente estimado sob simetria. A hipótese foi testada e não se sustenta para o IPCA Geral: no impacto, o coeficiente de alta cai de 0,141 para 0,048 e o de queda de 0,207 para 0,110, os dois ramos recuando na mesma proporção, e a simetria não é rejeitada em construção alguma, com p de 0,686, 0,587 e 0,770.</w:t>
      </w:r>
    </w:p>
    <w:p w14:paraId="3D944553" w14:textId="77777777" w:rsidR="00D64459" w:rsidRPr="00493E39" w:rsidRDefault="008B2120">
      <w:pPr>
        <w:ind w:firstLine="709"/>
        <w:jc w:val="both"/>
        <w:rPr>
          <w:rFonts w:cs="Arial"/>
          <w:lang w:val="pt-BR"/>
        </w:rPr>
      </w:pPr>
      <w:r w:rsidRPr="00493E39">
        <w:rPr>
          <w:rFonts w:cs="Arial"/>
          <w:lang w:val="pt-BR"/>
        </w:rPr>
        <w:t>O contraste entre regimes rejeita a igualdade nas duas construções, com p de 0,001 na adotada e de 0,016 na alternativa, e em três meses o índice de rigor é inclusive superior. Registre-se, de todo modo, que o nível do repasse no impacto deve ser lido dentro da faixa de 0,088 a 0,176, conforme o tratamento dado à pandemia, e que a conclusão qualitativa não depende de qual ponto dessa faixa se adote. Esta é a razão pela qual o resumo, a introdução e a conclusão reportam a faixa, e não o ponto.</w:t>
      </w:r>
    </w:p>
    <w:p w14:paraId="7C345D63" w14:textId="77777777" w:rsidR="00D64459" w:rsidRPr="00493E39" w:rsidRDefault="008B2120">
      <w:pPr>
        <w:ind w:firstLine="709"/>
        <w:jc w:val="both"/>
        <w:rPr>
          <w:rFonts w:cs="Arial"/>
          <w:lang w:val="pt-BR"/>
        </w:rPr>
      </w:pPr>
      <w:r w:rsidRPr="00493E39">
        <w:rPr>
          <w:rFonts w:cs="Arial"/>
          <w:lang w:val="pt-BR"/>
        </w:rPr>
        <w:t xml:space="preserve">Cabe declarar a contrapartida, que é também a razão de as indicadoras constituírem a construção adotada. Repetida a busca da seção 4.6 com o índice de rigor no lugar das indicadoras, pelo mesmo procedimento de bootstrap, o máximo do conjunto das quatro séries principais desloca-se para fevereiro de 2021, com estatística de 59,4 contra valor crítico de 54,3, e apenas as datas de outubro de 2020 a fevereiro </w:t>
      </w:r>
      <w:r w:rsidRPr="00493E39">
        <w:rPr>
          <w:rFonts w:cs="Arial"/>
          <w:lang w:val="pt-BR"/>
        </w:rPr>
        <w:lastRenderedPageBreak/>
        <w:t>de 2021 superam o crítico, ao passo que março de 2017 cai para 22,2 e outubro de 2016 para 22,4. Com os dez meses de 2020 na amostra, o procedimento passa a datar a própria pandemia, e não a mudança da regra de preços. Acrescida a gasolina na refinaria, a data volta a novembro de 2016, com 77,2 contra crítico de 55,8, de modo que o deslocamento se concentra nas séries de preços ao consumidor. O índice, por sua vez, quase nada controla do choque: com ele o coeficiente de impacto, 0,088, coincide com o obtido sem controle algum de pandemia, porque nos meses de 2020 o índice é praticamente ortogonal ao choque, com correlação parcial de −0,003. As indicadoras impedem que um choque sanitário, sem relação com a regra, determine a datação, e por isso permanecem na especificação principal, com o índice de rigor reportado como alternativa.</w:t>
      </w:r>
    </w:p>
    <w:p w14:paraId="7FEF8FCE" w14:textId="77777777" w:rsidR="00D64459" w:rsidRPr="00493E39" w:rsidRDefault="008B2120">
      <w:pPr>
        <w:pStyle w:val="Heading3"/>
        <w:spacing w:before="280" w:after="160"/>
        <w:rPr>
          <w:rFonts w:ascii="Arial" w:hAnsi="Arial" w:cs="Arial"/>
          <w:lang w:val="pt-BR"/>
        </w:rPr>
      </w:pPr>
      <w:bookmarkStart w:id="29" w:name="_Toc239713578"/>
      <w:r w:rsidRPr="00493E39">
        <w:rPr>
          <w:rFonts w:ascii="Arial" w:hAnsi="Arial" w:cs="Arial"/>
          <w:lang w:val="pt-BR"/>
        </w:rPr>
        <w:t>4.7.3 A gasolina na refinaria</w:t>
      </w:r>
      <w:bookmarkEnd w:id="29"/>
    </w:p>
    <w:p w14:paraId="246CC0F5" w14:textId="77777777" w:rsidR="00D64459" w:rsidRPr="00493E39" w:rsidRDefault="008B2120">
      <w:pPr>
        <w:ind w:firstLine="709"/>
        <w:jc w:val="both"/>
        <w:rPr>
          <w:rFonts w:cs="Arial"/>
          <w:lang w:val="pt-BR"/>
        </w:rPr>
      </w:pPr>
      <w:r w:rsidRPr="00493E39">
        <w:rPr>
          <w:rFonts w:cs="Arial"/>
          <w:lang w:val="pt-BR"/>
        </w:rPr>
        <w:t>A gasolina na refinaria exige tratamento à parte, e a razão é econômica. Antes da paridade o preço era administrado, com reajustes discretos e infrequentes: a série permanece inalterada em 16,6% dos meses do regime anterior e em nenhum mês do posterior, e a variação mensal mediana passa de 0,172% para 4,265%. O diagnóstico de resíduos da Tabela 7 não rejeita ausência de autocorrelação em nenhuma das três amostras, com p-valores entre 0,112 e 0,889. Estimado em cada subamostra, o coeficiente do choque passa de 0,431 no regime anterior, com p de 0,039, para 4,575 no posterior, com p inferior a 0,001: o preço administrado respondia pouco à cotação internacional, e o indexado responde mais de dez vezes mais. O achado reforça a tese central: o preço na refinaria evidencia, na própria frequência de reajuste, a transição de um regime administrado para um regime indexado.</w:t>
      </w:r>
    </w:p>
    <w:p w14:paraId="7B3338DD" w14:textId="77777777" w:rsidR="00D64459" w:rsidRPr="00493E39" w:rsidRDefault="008B2120">
      <w:pPr>
        <w:pStyle w:val="Heading3"/>
        <w:spacing w:before="280" w:after="160"/>
        <w:rPr>
          <w:rFonts w:ascii="Arial" w:hAnsi="Arial" w:cs="Arial"/>
          <w:lang w:val="pt-BR"/>
        </w:rPr>
      </w:pPr>
      <w:bookmarkStart w:id="30" w:name="_Toc239713579"/>
      <w:r w:rsidRPr="00493E39">
        <w:rPr>
          <w:rFonts w:ascii="Arial" w:hAnsi="Arial" w:cs="Arial"/>
          <w:lang w:val="pt-BR"/>
        </w:rPr>
        <w:t>4.7.4 A data do anúncio da política como corte alternativo</w:t>
      </w:r>
      <w:bookmarkEnd w:id="30"/>
    </w:p>
    <w:p w14:paraId="77196986" w14:textId="77777777" w:rsidR="00D64459" w:rsidRPr="00493E39" w:rsidRDefault="008B2120">
      <w:pPr>
        <w:ind w:firstLine="709"/>
        <w:jc w:val="both"/>
        <w:rPr>
          <w:rFonts w:cs="Arial"/>
          <w:lang w:val="pt-BR"/>
        </w:rPr>
      </w:pPr>
      <w:r w:rsidRPr="00493E39">
        <w:rPr>
          <w:rFonts w:cs="Arial"/>
          <w:lang w:val="pt-BR"/>
        </w:rPr>
        <w:t xml:space="preserve">A seção 4.6 registra que a política de paridade foi anunciada em 14 de outubro de 2016 e que a data de corte não é imposta, mas estimada. Cabe verificar o que ocorre ao inverter esse procedimento, impondo a data do anúncio e dispensando qualquer estimação. O exercício tem valor próprio: uma data anunciada publicamente é </w:t>
      </w:r>
      <w:r w:rsidRPr="00493E39">
        <w:rPr>
          <w:rFonts w:cs="Arial"/>
          <w:lang w:val="pt-BR"/>
        </w:rPr>
        <w:lastRenderedPageBreak/>
        <w:t>exógena por construção e não está sujeita à crítica de inferência após seleção, que se aplica a toda data escolhida por maximização de estatística.</w:t>
      </w:r>
    </w:p>
    <w:p w14:paraId="24F2219B" w14:textId="77777777" w:rsidR="00D64459" w:rsidRPr="00493E39" w:rsidRDefault="008B2120">
      <w:pPr>
        <w:ind w:firstLine="709"/>
        <w:jc w:val="both"/>
        <w:rPr>
          <w:rFonts w:cs="Arial"/>
          <w:lang w:val="pt-BR"/>
        </w:rPr>
      </w:pPr>
      <w:r w:rsidRPr="00493E39">
        <w:rPr>
          <w:rFonts w:cs="Arial"/>
          <w:lang w:val="pt-BR"/>
        </w:rPr>
        <w:t>Os resultados são praticamente indistinguíveis dos reportados na Tabela 2. No horizonte de impacto, o repasse ao IPCA Geral é 0,155 com o corte em outubro de 2016, contra 0,176 com o corte estimado; no IPCA Transportes, 0,637 contra 0,675; na gasolina ao consumidor, 1,952 contra 2,031; e no diesel, 2,184 contra 2,308. Mais importante que as magnitudes é o padrão de significância, que se reproduz integralmente: nos horizontes de impacto, de um e de três meses, os dezoito coeficientes do regime posterior permanecem significativos e nenhum dos dezoito do regime anterior o é. O teste de igualdade entre regimes rejeita a 5% em treze das dezoito células, contra quatorze no corte estimado.</w:t>
      </w:r>
    </w:p>
    <w:p w14:paraId="78000EBF" w14:textId="77777777" w:rsidR="00D64459" w:rsidRPr="00493E39" w:rsidRDefault="008B2120">
      <w:pPr>
        <w:ind w:firstLine="709"/>
        <w:jc w:val="both"/>
        <w:rPr>
          <w:rFonts w:cs="Arial"/>
          <w:lang w:val="pt-BR"/>
        </w:rPr>
      </w:pPr>
      <w:r w:rsidRPr="00493E39">
        <w:rPr>
          <w:rFonts w:cs="Arial"/>
          <w:lang w:val="pt-BR"/>
        </w:rPr>
        <w:t>A conclusão do trabalho, portanto, não depende de a data ter sido estimada. Ela decorre da existência da mudança de regra, e não da precisão com que o mês exato é identificado, o que é coerente com a amplitude do intervalo reportado na Tabela 6. A Figura 11 apresenta a comparação no horizonte de impacto, e o Apêndice F a estende aos doze horizontes.</w:t>
      </w:r>
    </w:p>
    <w:p w14:paraId="3542B49E" w14:textId="77777777" w:rsidR="00D64459" w:rsidRPr="00493E39" w:rsidRDefault="008B2120">
      <w:pPr>
        <w:pStyle w:val="Heading3"/>
        <w:spacing w:before="280" w:after="160"/>
        <w:rPr>
          <w:rFonts w:ascii="Arial" w:hAnsi="Arial" w:cs="Arial"/>
          <w:lang w:val="pt-BR"/>
        </w:rPr>
      </w:pPr>
      <w:bookmarkStart w:id="31" w:name="_Toc239713580"/>
      <w:r w:rsidRPr="00493E39">
        <w:rPr>
          <w:rFonts w:ascii="Arial" w:hAnsi="Arial" w:cs="Arial"/>
          <w:lang w:val="pt-BR"/>
        </w:rPr>
        <w:t>4.7.5 Um exercício contrafactual e a desagregação do índice</w:t>
      </w:r>
      <w:bookmarkEnd w:id="31"/>
    </w:p>
    <w:p w14:paraId="5B17D55B" w14:textId="77777777" w:rsidR="00D64459" w:rsidRPr="00493E39" w:rsidRDefault="008B2120">
      <w:pPr>
        <w:ind w:firstLine="709"/>
        <w:jc w:val="both"/>
        <w:rPr>
          <w:rFonts w:cs="Arial"/>
          <w:lang w:val="pt-BR"/>
        </w:rPr>
      </w:pPr>
      <w:r w:rsidRPr="00493E39">
        <w:rPr>
          <w:rFonts w:cs="Arial"/>
          <w:lang w:val="pt-BR"/>
        </w:rPr>
        <w:t xml:space="preserve">A magnitude do resultado pode ser dimensionada por um exercício simples. Tomam-se os choques efetivamente ocorridos em 2021 e em 2022, período de maior pressão inflacionária da amostra, e, para contraste, os de 2020, ano de queda do petróleo na pandemia, e acumula-se a contribuição deles ao IPCA sob duas parametrizações: os coeficientes não acumulados do regime posterior, que de fato vigoraram, e os do anterior, que teriam vigorado caso a regra não houvesse mudado. A conta é feita por ano civil e reinicia em janeiro, como a inflação anual. Em 2021, os choques do ano contribuíram com 1,86 ponto percentual sob a paridade; sob a regra anterior, a contribuição teria sido de 0,14 ponto, e a diferença de 1,72 ponto corresponde a 18% da variação do IPCA no ano, de 9,59 pontos logarítmicos, ou 10,06%. Em 2022, as contribuições são de 0,94 e −0,22 ponto, e a diferença de 1,15 ponto corresponde a 21% da variação de 5,62 pontos logarítmicos, ou 5,79%. Somadas, as diferenças anuais chegam a 2,87 pontos, abaixo dos 3,35 que a </w:t>
      </w:r>
      <w:r w:rsidRPr="00493E39">
        <w:rPr>
          <w:rFonts w:cs="Arial"/>
          <w:lang w:val="pt-BR"/>
        </w:rPr>
        <w:lastRenderedPageBreak/>
        <w:t>acumulação contínua do biênio produziria, porque o reinício em janeiro deixa de atribuir a 2022 os efeitos dos choques do fim de 2021. O número exige banda, e ela é larga. Calculada na amostra comum, a diferença tem intervalo de 90% entre 0,15 e 3,42 pontos em 2021, com p de 0,073, e entre −0,50 e 2,88 pontos em 2022, com p de 0,246. A contribuição efetivamente ocorrida é significativa a 1% em 2021 e não se distingue de zero em 2022, com p de 0,004 e 0,239; a contrafactual não se distingue de zero em nenhum dos anos; e a diferença entre as duas mede ordem de grandeza e não deve ser citada como estimativa pontual.</w:t>
      </w:r>
    </w:p>
    <w:p w14:paraId="3C60FA98" w14:textId="5F0EB384" w:rsidR="00D64459" w:rsidRPr="00493E39" w:rsidRDefault="008B2120">
      <w:pPr>
        <w:tabs>
          <w:tab w:val="center" w:pos="4703"/>
          <w:tab w:val="right" w:pos="9405"/>
        </w:tabs>
        <w:spacing w:before="160" w:after="160" w:line="288" w:lineRule="auto"/>
        <w:rPr>
          <w:rFonts w:cs="Arial"/>
          <w:lang w:val="pt-BR"/>
        </w:rPr>
      </w:pPr>
      <w:r w:rsidRPr="00493E39">
        <w:rPr>
          <w:rFonts w:cs="Arial"/>
          <w:sz w:val="22"/>
          <w:lang w:val="pt-BR"/>
        </w:rPr>
        <w:tab/>
      </w:r>
      <m:oMath>
        <m:sSub>
          <m:sSubPr>
            <m:ctrlPr>
              <w:rPr>
                <w:rFonts w:ascii="Cambria Math" w:hAnsi="Cambria Math" w:cs="Arial"/>
                <w:sz w:val="22"/>
              </w:rPr>
            </m:ctrlPr>
          </m:sSubPr>
          <m:e>
            <m:r>
              <w:rPr>
                <w:rFonts w:ascii="Cambria Math" w:hAnsi="Cambria Math" w:cs="Arial"/>
                <w:sz w:val="22"/>
              </w:rPr>
              <m:t>c</m:t>
            </m:r>
          </m:e>
          <m:sub>
            <m:r>
              <w:rPr>
                <w:rFonts w:ascii="Cambria Math" w:hAnsi="Cambria Math" w:cs="Arial"/>
                <w:sz w:val="22"/>
              </w:rPr>
              <m:t>r</m:t>
            </m:r>
          </m:sub>
        </m:sSub>
        <m:d>
          <m:dPr>
            <m:ctrlPr>
              <w:rPr>
                <w:rFonts w:ascii="Cambria Math" w:hAnsi="Cambria Math" w:cs="Arial"/>
                <w:sz w:val="22"/>
              </w:rPr>
            </m:ctrlPr>
          </m:dPr>
          <m:e>
            <m:r>
              <w:rPr>
                <w:rFonts w:ascii="Cambria Math" w:hAnsi="Cambria Math" w:cs="Arial"/>
                <w:sz w:val="22"/>
              </w:rPr>
              <m:t>s</m:t>
            </m:r>
          </m:e>
        </m:d>
        <m:r>
          <w:rPr>
            <w:rFonts w:ascii="Cambria Math" w:hAnsi="Cambria Math" w:cs="Arial"/>
            <w:sz w:val="22"/>
          </w:rPr>
          <m:t>=Σ</m:t>
        </m:r>
        <m:d>
          <m:dPr>
            <m:ctrlPr>
              <w:rPr>
                <w:rFonts w:ascii="Cambria Math" w:hAnsi="Cambria Math" w:cs="Arial"/>
                <w:sz w:val="22"/>
              </w:rPr>
            </m:ctrlPr>
          </m:dPr>
          <m:e>
            <m:r>
              <w:rPr>
                <w:rFonts w:ascii="Cambria Math" w:hAnsi="Cambria Math" w:cs="Arial"/>
                <w:sz w:val="22"/>
              </w:rPr>
              <m:t>h=0..H</m:t>
            </m:r>
          </m:e>
        </m:d>
        <m:sSub>
          <m:sSubPr>
            <m:ctrlPr>
              <w:rPr>
                <w:rFonts w:ascii="Cambria Math" w:hAnsi="Cambria Math" w:cs="Arial"/>
                <w:sz w:val="22"/>
              </w:rPr>
            </m:ctrlPr>
          </m:sSubPr>
          <m:e>
            <m:r>
              <w:rPr>
                <w:rFonts w:ascii="Cambria Math" w:hAnsi="Cambria Math" w:cs="Arial"/>
                <w:sz w:val="22"/>
              </w:rPr>
              <m:t>b</m:t>
            </m:r>
          </m:e>
          <m:sub>
            <m:r>
              <w:rPr>
                <w:rFonts w:ascii="Cambria Math" w:hAnsi="Cambria Math" w:cs="Arial"/>
                <w:sz w:val="22"/>
              </w:rPr>
              <m:t>r</m:t>
            </m:r>
          </m:sub>
        </m:sSub>
        <m:d>
          <m:dPr>
            <m:ctrlPr>
              <w:rPr>
                <w:rFonts w:ascii="Cambria Math" w:hAnsi="Cambria Math" w:cs="Arial"/>
                <w:sz w:val="22"/>
              </w:rPr>
            </m:ctrlPr>
          </m:dPr>
          <m:e>
            <m:r>
              <w:rPr>
                <w:rFonts w:ascii="Cambria Math" w:hAnsi="Cambria Math" w:cs="Arial"/>
                <w:sz w:val="22"/>
              </w:rPr>
              <m:t>h</m:t>
            </m:r>
          </m:e>
        </m:d>
        <m:r>
          <w:rPr>
            <w:rFonts w:ascii="Cambria Math" w:hAnsi="Cambria Math" w:cs="Arial"/>
            <w:sz w:val="22"/>
          </w:rPr>
          <m:t>·choque</m:t>
        </m:r>
        <m:d>
          <m:dPr>
            <m:ctrlPr>
              <w:rPr>
                <w:rFonts w:ascii="Cambria Math" w:hAnsi="Cambria Math" w:cs="Arial"/>
                <w:sz w:val="22"/>
              </w:rPr>
            </m:ctrlPr>
          </m:dPr>
          <m:e>
            <m:r>
              <w:rPr>
                <w:rFonts w:ascii="Cambria Math" w:hAnsi="Cambria Math" w:cs="Arial"/>
                <w:sz w:val="22"/>
              </w:rPr>
              <m:t>s-h</m:t>
            </m:r>
          </m:e>
        </m:d>
        <m:r>
          <w:rPr>
            <w:rFonts w:ascii="Cambria Math" w:hAnsi="Cambria Math" w:cs="Arial"/>
            <w:sz w:val="22"/>
          </w:rPr>
          <m:t>,coms-h≥T₀</m:t>
        </m:r>
        <m:d>
          <m:dPr>
            <m:ctrlPr>
              <w:rPr>
                <w:rFonts w:ascii="Cambria Math" w:hAnsi="Cambria Math" w:cs="Arial"/>
                <w:sz w:val="22"/>
              </w:rPr>
            </m:ctrlPr>
          </m:dPr>
          <m:e>
            <m:r>
              <w:rPr>
                <w:rFonts w:ascii="Cambria Math" w:hAnsi="Cambria Math" w:cs="Arial"/>
                <w:sz w:val="22"/>
              </w:rPr>
              <m:t>13</m:t>
            </m:r>
          </m:e>
        </m:d>
        <m:sSub>
          <m:sSubPr>
            <m:ctrlPr>
              <w:rPr>
                <w:rFonts w:ascii="Cambria Math" w:hAnsi="Cambria Math" w:cs="Arial"/>
                <w:sz w:val="22"/>
              </w:rPr>
            </m:ctrlPr>
          </m:sSubPr>
          <m:e>
            <m:r>
              <w:rPr>
                <w:rFonts w:ascii="Cambria Math" w:hAnsi="Cambria Math" w:cs="Arial"/>
                <w:sz w:val="22"/>
              </w:rPr>
              <m:t>C</m:t>
            </m:r>
          </m:e>
          <m:sub>
            <m:r>
              <w:rPr>
                <w:rFonts w:ascii="Cambria Math" w:hAnsi="Cambria Math" w:cs="Arial"/>
                <w:sz w:val="22"/>
              </w:rPr>
              <m:t>r</m:t>
            </m:r>
          </m:sub>
        </m:sSub>
        <m:r>
          <w:rPr>
            <w:rFonts w:ascii="Cambria Math" w:hAnsi="Cambria Math" w:cs="Arial"/>
            <w:sz w:val="22"/>
          </w:rPr>
          <m:t>=Σ</m:t>
        </m:r>
        <m:d>
          <m:dPr>
            <m:ctrlPr>
              <w:rPr>
                <w:rFonts w:ascii="Cambria Math" w:hAnsi="Cambria Math" w:cs="Arial"/>
                <w:sz w:val="22"/>
              </w:rPr>
            </m:ctrlPr>
          </m:dPr>
          <m:e>
            <m:r>
              <w:rPr>
                <w:rFonts w:ascii="Cambria Math" w:hAnsi="Cambria Math" w:cs="Arial"/>
                <w:sz w:val="22"/>
              </w:rPr>
              <m:t>s=T₀..T₁</m:t>
            </m:r>
          </m:e>
        </m:d>
        <m:sSub>
          <m:sSubPr>
            <m:ctrlPr>
              <w:rPr>
                <w:rFonts w:ascii="Cambria Math" w:hAnsi="Cambria Math" w:cs="Arial"/>
                <w:sz w:val="22"/>
              </w:rPr>
            </m:ctrlPr>
          </m:sSubPr>
          <m:e>
            <m:r>
              <w:rPr>
                <w:rFonts w:ascii="Cambria Math" w:hAnsi="Cambria Math" w:cs="Arial"/>
                <w:sz w:val="22"/>
              </w:rPr>
              <m:t>c</m:t>
            </m:r>
          </m:e>
          <m:sub>
            <m:r>
              <w:rPr>
                <w:rFonts w:ascii="Cambria Math" w:hAnsi="Cambria Math" w:cs="Arial"/>
                <w:sz w:val="22"/>
              </w:rPr>
              <m:t>r</m:t>
            </m:r>
          </m:sub>
        </m:sSub>
        <m:d>
          <m:dPr>
            <m:ctrlPr>
              <w:rPr>
                <w:rFonts w:ascii="Cambria Math" w:hAnsi="Cambria Math" w:cs="Arial"/>
                <w:sz w:val="22"/>
              </w:rPr>
            </m:ctrlPr>
          </m:dPr>
          <m:e>
            <m:r>
              <w:rPr>
                <w:rFonts w:ascii="Cambria Math" w:hAnsi="Cambria Math" w:cs="Arial"/>
                <w:sz w:val="22"/>
              </w:rPr>
              <m:t>s</m:t>
            </m:r>
          </m:e>
        </m:d>
        <m:r>
          <w:rPr>
            <w:rFonts w:ascii="Cambria Math" w:hAnsi="Cambria Math" w:cs="Arial"/>
            <w:sz w:val="22"/>
          </w:rPr>
          <m:t>,Δ=</m:t>
        </m:r>
        <m:sSub>
          <m:sSubPr>
            <m:ctrlPr>
              <w:rPr>
                <w:rFonts w:ascii="Cambria Math" w:hAnsi="Cambria Math" w:cs="Arial"/>
                <w:sz w:val="22"/>
              </w:rPr>
            </m:ctrlPr>
          </m:sSubPr>
          <m:e>
            <m:r>
              <w:rPr>
                <w:rFonts w:ascii="Cambria Math" w:hAnsi="Cambria Math" w:cs="Arial"/>
                <w:sz w:val="22"/>
              </w:rPr>
              <m:t>C</m:t>
            </m:r>
          </m:e>
          <m:sub>
            <m:r>
              <w:rPr>
                <w:rFonts w:ascii="Cambria Math" w:hAnsi="Cambria Math" w:cs="Arial"/>
                <w:sz w:val="22"/>
              </w:rPr>
              <m:t>p</m:t>
            </m:r>
          </m:sub>
        </m:sSub>
        <m:r>
          <w:rPr>
            <w:rFonts w:ascii="Cambria Math" w:hAnsi="Cambria Math" w:cs="Arial"/>
            <w:sz w:val="22"/>
          </w:rPr>
          <m:t>ós-</m:t>
        </m:r>
        <m:sSub>
          <m:sSubPr>
            <m:ctrlPr>
              <w:rPr>
                <w:rFonts w:ascii="Cambria Math" w:hAnsi="Cambria Math" w:cs="Arial"/>
                <w:sz w:val="22"/>
              </w:rPr>
            </m:ctrlPr>
          </m:sSubPr>
          <m:e>
            <m:r>
              <w:rPr>
                <w:rFonts w:ascii="Cambria Math" w:hAnsi="Cambria Math" w:cs="Arial"/>
                <w:sz w:val="22"/>
              </w:rPr>
              <m:t>C</m:t>
            </m:r>
          </m:e>
          <m:sub>
            <m:r>
              <w:rPr>
                <w:rFonts w:ascii="Cambria Math" w:hAnsi="Cambria Math" w:cs="Arial"/>
                <w:sz w:val="22"/>
              </w:rPr>
              <m:t>p</m:t>
            </m:r>
          </m:sub>
        </m:sSub>
        <m:r>
          <w:rPr>
            <w:rFonts w:ascii="Cambria Math" w:hAnsi="Cambria Math" w:cs="Arial"/>
            <w:sz w:val="22"/>
          </w:rPr>
          <m:t>ré</m:t>
        </m:r>
        <m:d>
          <m:dPr>
            <m:ctrlPr>
              <w:rPr>
                <w:rFonts w:ascii="Cambria Math" w:hAnsi="Cambria Math" w:cs="Arial"/>
                <w:sz w:val="22"/>
              </w:rPr>
            </m:ctrlPr>
          </m:dPr>
          <m:e>
            <m:r>
              <w:rPr>
                <w:rFonts w:ascii="Cambria Math" w:hAnsi="Cambria Math" w:cs="Arial"/>
                <w:sz w:val="22"/>
              </w:rPr>
              <m:t>14</m:t>
            </m:r>
          </m:e>
        </m:d>
      </m:oMath>
    </w:p>
    <w:p w14:paraId="6F7A80B1" w14:textId="77777777" w:rsidR="00D64459" w:rsidRPr="00493E39" w:rsidRDefault="008B2120">
      <w:pPr>
        <w:ind w:firstLine="709"/>
        <w:jc w:val="both"/>
        <w:rPr>
          <w:rFonts w:cs="Arial"/>
          <w:lang w:val="pt-BR"/>
        </w:rPr>
      </w:pPr>
      <w:r w:rsidRPr="00493E39">
        <w:rPr>
          <w:rFonts w:cs="Arial"/>
          <w:lang w:val="pt-BR"/>
        </w:rPr>
        <w:t>O índice r designa o regime cujos coeficientes são aplicados, T</w:t>
      </w:r>
      <w:r w:rsidRPr="00493E39">
        <w:rPr>
          <w:rFonts w:ascii="Cambria Math" w:hAnsi="Cambria Math" w:cs="Cambria Math"/>
          <w:lang w:val="pt-BR"/>
        </w:rPr>
        <w:t>₀</w:t>
      </w:r>
      <w:r w:rsidRPr="00493E39">
        <w:rPr>
          <w:rFonts w:cs="Arial"/>
          <w:lang w:val="pt-BR"/>
        </w:rPr>
        <w:t xml:space="preserve"> e T</w:t>
      </w:r>
      <w:r w:rsidRPr="00493E39">
        <w:rPr>
          <w:rFonts w:ascii="Cambria Math" w:hAnsi="Cambria Math" w:cs="Cambria Math"/>
          <w:lang w:val="pt-BR"/>
        </w:rPr>
        <w:t>₁</w:t>
      </w:r>
      <w:r w:rsidRPr="00493E39">
        <w:rPr>
          <w:rFonts w:cs="Arial"/>
          <w:lang w:val="pt-BR"/>
        </w:rPr>
        <w:t xml:space="preserve"> delimitam janeiro e dezembro de cada ano, e </w:t>
      </w:r>
      <w:proofErr w:type="spellStart"/>
      <w:r w:rsidRPr="00493E39">
        <w:rPr>
          <w:rFonts w:cs="Arial"/>
          <w:lang w:val="pt-BR"/>
        </w:rPr>
        <w:t>b_r</w:t>
      </w:r>
      <w:proofErr w:type="spellEnd"/>
      <w:r w:rsidRPr="00493E39">
        <w:rPr>
          <w:rFonts w:cs="Arial"/>
          <w:lang w:val="pt-BR"/>
        </w:rPr>
        <w:t xml:space="preserve">(h) são </w:t>
      </w:r>
      <w:r w:rsidRPr="00493E39">
        <w:rPr>
          <w:rFonts w:cs="Arial"/>
          <w:i/>
          <w:lang w:val="pt-BR"/>
        </w:rPr>
        <w:t>os coeficientes não acumulados</w:t>
      </w:r>
      <w:r w:rsidRPr="00493E39">
        <w:rPr>
          <w:rFonts w:cs="Arial"/>
          <w:lang w:val="pt-BR"/>
        </w:rPr>
        <w:t xml:space="preserve"> daquele regime, e não os da Tabela 2. A distinção importa: o coeficiente não acumulado em h mede a contribuição do choque do mês </w:t>
      </w:r>
      <w:proofErr w:type="spellStart"/>
      <w:r w:rsidRPr="00493E39">
        <w:rPr>
          <w:rFonts w:cs="Arial"/>
          <w:lang w:val="pt-BR"/>
        </w:rPr>
        <w:t>s−h</w:t>
      </w:r>
      <w:proofErr w:type="spellEnd"/>
      <w:r w:rsidRPr="00493E39">
        <w:rPr>
          <w:rFonts w:cs="Arial"/>
          <w:lang w:val="pt-BR"/>
        </w:rPr>
        <w:t xml:space="preserve"> à inflação do mês s, que é exatamente o que a soma requer, ao passo que empregar os acumulados contabilizaria o mesmo choque mais de uma vez. A restrição </w:t>
      </w:r>
      <w:proofErr w:type="spellStart"/>
      <w:r w:rsidRPr="00493E39">
        <w:rPr>
          <w:rFonts w:cs="Arial"/>
          <w:lang w:val="pt-BR"/>
        </w:rPr>
        <w:t>s−h</w:t>
      </w:r>
      <w:proofErr w:type="spellEnd"/>
      <w:r w:rsidRPr="00493E39">
        <w:rPr>
          <w:rFonts w:cs="Arial"/>
          <w:lang w:val="pt-BR"/>
        </w:rPr>
        <w:t xml:space="preserve"> ≥ T</w:t>
      </w:r>
      <w:r w:rsidRPr="00493E39">
        <w:rPr>
          <w:rFonts w:ascii="Cambria Math" w:hAnsi="Cambria Math" w:cs="Cambria Math"/>
          <w:lang w:val="pt-BR"/>
        </w:rPr>
        <w:t>₀</w:t>
      </w:r>
      <w:r w:rsidRPr="00493E39">
        <w:rPr>
          <w:rFonts w:cs="Arial"/>
          <w:lang w:val="pt-BR"/>
        </w:rPr>
        <w:t xml:space="preserve"> assegura que apenas choques ocorridos dentro do próprio ano entrem na conta, de modo que o exercício não atribui ao período efeitos de choques anteriores a ele.</w:t>
      </w:r>
    </w:p>
    <w:p w14:paraId="49A80095" w14:textId="77777777" w:rsidR="00D64459" w:rsidRPr="00493E39" w:rsidRDefault="008B2120">
      <w:pPr>
        <w:ind w:firstLine="709"/>
        <w:jc w:val="both"/>
        <w:rPr>
          <w:rFonts w:cs="Arial"/>
          <w:lang w:val="pt-BR"/>
        </w:rPr>
      </w:pPr>
      <w:r w:rsidRPr="00493E39">
        <w:rPr>
          <w:rFonts w:cs="Arial"/>
          <w:lang w:val="pt-BR"/>
        </w:rPr>
        <w:t xml:space="preserve">O exercício exige uma ressalva que não pode ser omitida. Trata-se de equilíbrio parcial, e a leitura correta é a de que a </w:t>
      </w:r>
      <w:r w:rsidRPr="00493E39">
        <w:rPr>
          <w:rFonts w:cs="Arial"/>
          <w:i/>
          <w:lang w:val="pt-BR"/>
        </w:rPr>
        <w:t>contribuição</w:t>
      </w:r>
      <w:r w:rsidRPr="00493E39">
        <w:rPr>
          <w:rFonts w:cs="Arial"/>
          <w:lang w:val="pt-BR"/>
        </w:rPr>
        <w:t xml:space="preserve"> dos choques de petróleo teria sido menor em 2021 e 2022, e menos negativa em 2020, mantido todo o resto no caminho observado. Não se </w:t>
      </w:r>
      <w:proofErr w:type="spellStart"/>
      <w:r w:rsidRPr="00493E39">
        <w:rPr>
          <w:rFonts w:cs="Arial"/>
          <w:lang w:val="pt-BR"/>
        </w:rPr>
        <w:t>afirma</w:t>
      </w:r>
      <w:proofErr w:type="spellEnd"/>
      <w:r w:rsidRPr="00493E39">
        <w:rPr>
          <w:rFonts w:cs="Arial"/>
          <w:lang w:val="pt-BR"/>
        </w:rPr>
        <w:t xml:space="preserve"> que a inflação teria sido 2,31 pontos maior em 2020, 1,72 ponto menor em 2021 ou 1,15 ponto menor em 2022: caso o repasse fosse menor, a política monetária teria reagido de outro modo e as expectativas seriam distintas, de sorte que a trajetória contrafactual da inflação não é obtenível sem um modelo de equilíbrio geral que este trabalho não estima. O número mede a ordem de grandeza da mudança de regra, e não um cenário alternativo completo.</w:t>
      </w:r>
    </w:p>
    <w:p w14:paraId="3A998ADA" w14:textId="77777777" w:rsidR="00D64459" w:rsidRPr="00493E39" w:rsidRDefault="008B2120">
      <w:pPr>
        <w:ind w:firstLine="709"/>
        <w:jc w:val="both"/>
        <w:rPr>
          <w:rFonts w:cs="Arial"/>
          <w:lang w:val="pt-BR"/>
        </w:rPr>
      </w:pPr>
      <w:r w:rsidRPr="00493E39">
        <w:rPr>
          <w:rFonts w:cs="Arial"/>
          <w:lang w:val="pt-BR"/>
        </w:rPr>
        <w:t xml:space="preserve">Em 2020 o sinal se inverte. Os choques do ano somam −2,92 desvios-padrão, com os dois maiores choques negativos da amostra em março e abril, e a contribuição sob a paridade chega a −3,56 pontos em maio, recupera-se em parte a partir de junho e termina o ano em −2,27, contra 0,04 sob a regra anterior. A diferença, de −2,31 pontos, </w:t>
      </w:r>
      <w:r w:rsidRPr="00493E39">
        <w:rPr>
          <w:rFonts w:cs="Arial"/>
          <w:lang w:val="pt-BR"/>
        </w:rPr>
        <w:lastRenderedPageBreak/>
        <w:t>corresponde a −52% da variação do IPCA no ano, de 4,42 pontos logarítmicos, ou 4,52%. Calculada na amostra comum, a contribuição efetivamente ocorrida é significativa a 10%, com p de 0,079, mas a diferença não se distingue de zero, com intervalo de 90% entre −5,06 e 0,30 pontos e p de 0,143. O número de 2020 exige mais cautela que os de 2021 e 2022, por duas razões. Os coeficientes aplicados foram estimados com os dez meses da pandemia neutralizados pelas indicadoras (seção 4.7.2), de modo que o exercício aplica a 2020 uma resposta estimada sem ele; com o índice de rigor, que devolve esses meses à estimação, a diferença em 2020 cai para −0,63 ponto, e as de 2021 e 2022 para 1,10 e 0,58. E os coeficientes são simétricos, ao passo que o Apêndice K.4 documenta, sob a paridade, resposta do diesel bem menor a quedas que a altas, o que, como ali se registra, leva o exercício a superestimar a contribuição das quedas, que dominam 2020. A leitura que se sustenta é qualitativa: pelo modelo, os choques de 2020 reduziram o IPCA sob a paridade, e o tamanho dessa redução é incerto. A Figura 12 mostra as trajetórias mensais dos três anos.</w:t>
      </w:r>
    </w:p>
    <w:p w14:paraId="4D2B3EC0"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12 – Contribuição dos choques de petróleo ao IPCA sob as duas regras, por ano civil, 2020 a 2022</w:t>
      </w:r>
    </w:p>
    <w:p w14:paraId="0F1337CD" w14:textId="77777777" w:rsidR="00D64459" w:rsidRPr="00493E39" w:rsidRDefault="008B2120">
      <w:pPr>
        <w:keepNext/>
        <w:spacing w:after="40"/>
        <w:jc w:val="center"/>
        <w:rPr>
          <w:rFonts w:cs="Arial"/>
        </w:rPr>
      </w:pPr>
      <w:r w:rsidRPr="00493E39">
        <w:rPr>
          <w:rFonts w:cs="Arial"/>
          <w:noProof/>
        </w:rPr>
        <w:drawing>
          <wp:inline distT="0" distB="0" distL="0" distR="0" wp14:anchorId="14D6A0EE" wp14:editId="08E87972">
            <wp:extent cx="5580000" cy="1818644"/>
            <wp:effectExtent l="0" t="0" r="0" b="0"/>
            <wp:docPr id="13" name="Picture 11" descr="Contribuição dos choques de petróleo ao IPCA por ano civil, 2020 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17"/>
                    <a:stretch>
                      <a:fillRect/>
                    </a:stretch>
                  </pic:blipFill>
                  <pic:spPr>
                    <a:xfrm>
                      <a:off x="0" y="0"/>
                      <a:ext cx="5580000" cy="1818644"/>
                    </a:xfrm>
                    <a:prstGeom prst="rect">
                      <a:avLst/>
                    </a:prstGeom>
                  </pic:spPr>
                </pic:pic>
              </a:graphicData>
            </a:graphic>
          </wp:inline>
        </w:drawing>
      </w:r>
    </w:p>
    <w:p w14:paraId="6F506419" w14:textId="77777777" w:rsidR="00D64459" w:rsidRPr="00493E39" w:rsidRDefault="008B2120">
      <w:pPr>
        <w:spacing w:line="240" w:lineRule="auto"/>
        <w:jc w:val="both"/>
        <w:rPr>
          <w:rFonts w:cs="Arial"/>
          <w:lang w:val="pt-BR"/>
        </w:rPr>
      </w:pPr>
      <w:r w:rsidRPr="00493E39">
        <w:rPr>
          <w:rFonts w:cs="Arial"/>
          <w:sz w:val="18"/>
          <w:lang w:val="pt-BR"/>
        </w:rPr>
        <w:t>Nota: contribuição acumulada no ano, reiniciada em janeiro, dos choques ocorridos no próprio ano, calculada com os coeficientes não acumulados de cada regime; a área sombreada é a diferença atribuível à regra de preços. Acima de cada painel, a diferença ao fim do ano em proporção da variação logarítmica do IPCA no ano e o seu intervalo de 90%, calculado na amostra comum. O exercício é de equilíbrio parcial e não constitui projeção da inflação sob regra alternativa. Em 2020, os coeficientes aplicados foram estimados com os meses da pandemia neutralizados pelas indicadoras (seção 4.7.2).</w:t>
      </w:r>
    </w:p>
    <w:p w14:paraId="7A1D0EDC"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47D010D2" w14:textId="77777777" w:rsidR="00D64459" w:rsidRPr="00493E39" w:rsidRDefault="008B2120">
      <w:pPr>
        <w:ind w:firstLine="709"/>
        <w:jc w:val="both"/>
        <w:rPr>
          <w:rFonts w:cs="Arial"/>
          <w:lang w:val="pt-BR"/>
        </w:rPr>
      </w:pPr>
      <w:r w:rsidRPr="00493E39">
        <w:rPr>
          <w:rFonts w:cs="Arial"/>
          <w:lang w:val="pt-BR"/>
        </w:rPr>
        <w:t xml:space="preserve">Cabe registrar um resultado que delimita o alcance da segunda volta. Estimada a mesma especificação por regime tendo como dependentes os subgrupos de comercializáveis e de não comercializáveis, em nenhum dos dois o teste de igualdade entre regimes rejeita, com p entre 0,47 e 0,83. O contraste concentra-se, portanto, nos </w:t>
      </w:r>
      <w:r w:rsidRPr="00493E39">
        <w:rPr>
          <w:rFonts w:cs="Arial"/>
          <w:lang w:val="pt-BR"/>
        </w:rPr>
        <w:lastRenderedPageBreak/>
        <w:t>agregados que contêm combustível, e a evidência de propagação provém da decomposição da seção 4.5, e não de resposta diferencial nesses subgrupos.</w:t>
      </w:r>
    </w:p>
    <w:p w14:paraId="14222EB8" w14:textId="77777777" w:rsidR="00D64459" w:rsidRPr="00493E39" w:rsidRDefault="008B2120">
      <w:pPr>
        <w:pStyle w:val="Heading2"/>
        <w:spacing w:before="280" w:after="160"/>
        <w:rPr>
          <w:rFonts w:ascii="Arial" w:hAnsi="Arial" w:cs="Arial"/>
          <w:lang w:val="pt-BR"/>
        </w:rPr>
      </w:pPr>
      <w:r w:rsidRPr="00493E39">
        <w:rPr>
          <w:rFonts w:ascii="Arial" w:hAnsi="Arial" w:cs="Arial"/>
          <w:sz w:val="24"/>
          <w:lang w:val="pt-BR"/>
        </w:rPr>
        <w:t>4.8 O resultado em perspectiva internacional</w:t>
      </w:r>
    </w:p>
    <w:p w14:paraId="7E6707EE" w14:textId="77777777" w:rsidR="00D64459" w:rsidRPr="00493E39" w:rsidRDefault="008B2120">
      <w:pPr>
        <w:ind w:firstLine="709"/>
        <w:jc w:val="both"/>
        <w:rPr>
          <w:rFonts w:cs="Arial"/>
          <w:lang w:val="pt-BR"/>
        </w:rPr>
      </w:pPr>
      <w:r w:rsidRPr="00493E39">
        <w:rPr>
          <w:rFonts w:cs="Arial"/>
          <w:lang w:val="pt-BR"/>
        </w:rPr>
        <w:t xml:space="preserve">O contraste documentado neste capítulo é interno ao Brasil e mede a transmissão até o índice ao consumidor. Cabe verificar se a magnitude estimada para o regime posterior é compatível com o que se observa em outros países sob regra comparável. A base que acompanha </w:t>
      </w:r>
      <w:proofErr w:type="spellStart"/>
      <w:r w:rsidRPr="00493E39">
        <w:rPr>
          <w:rFonts w:cs="Arial"/>
          <w:lang w:val="pt-BR"/>
        </w:rPr>
        <w:t>Akcura</w:t>
      </w:r>
      <w:proofErr w:type="spellEnd"/>
      <w:r w:rsidRPr="00493E39">
        <w:rPr>
          <w:rFonts w:cs="Arial"/>
          <w:lang w:val="pt-BR"/>
        </w:rPr>
        <w:t xml:space="preserve"> (2025) permite fazê-lo, e adota-se aqui a medida daquele trabalho, a razão entre a variação do preço de varejo e a da referência internacional defasada em um mês, com duas adaptações: preços em dólares, e não em moeda local, e a gasolina da Costa do Golfo como referência única, em vez da cotação regional mais próxima. A janela é a alta de abril de 2020 a junho de 2022, o segundo subperíodo daquele trabalho, que vai do menor preço do Brent em abril de 2020 ao maior em junho de 2022.</w:t>
      </w:r>
    </w:p>
    <w:p w14:paraId="51A8336A" w14:textId="77777777" w:rsidR="00D64459" w:rsidRPr="00493E39" w:rsidRDefault="008B2120">
      <w:pPr>
        <w:ind w:firstLine="709"/>
        <w:jc w:val="both"/>
        <w:rPr>
          <w:rFonts w:cs="Arial"/>
          <w:lang w:val="pt-BR"/>
        </w:rPr>
      </w:pPr>
      <w:r w:rsidRPr="00493E39">
        <w:rPr>
          <w:rFonts w:cs="Arial"/>
          <w:lang w:val="pt-BR"/>
        </w:rPr>
        <w:t>O resultado consta da Figura 13, no Apêndice N. Entre os 65 países com série utilizável, aqueles que a base do Banco Mundial (WORLD BANK, 2025) classifica como de preço desregulado apresentam repasse mediano de 0,798, contra 0,288 nos de preço regulado, razão de cerca de 2,8 vezes que reproduz, em corte transversal e com dados independentes, o mecanismo que este trabalho estima para o Brasil ao longo do tempo. O Brasil aparece com 0,868, no percentil 77 da distribuição e em sexto lugar entre os 16 países da América Latina e Caribe. A associação não é mecânica: os dois maiores repasses da região são os do Panamá e de Belize, classificados como de preço regulado, e o Peru, que mantém fundo de estabilização, vem em terceiro, o que sugere que importa menos a existência do controle ou do fundo do que a regra pela qual eles são acionados.</w:t>
      </w:r>
    </w:p>
    <w:p w14:paraId="3CC95063" w14:textId="77777777" w:rsidR="00D64459" w:rsidRPr="00493E39" w:rsidRDefault="008B2120">
      <w:pPr>
        <w:ind w:firstLine="709"/>
        <w:jc w:val="both"/>
        <w:rPr>
          <w:rFonts w:cs="Arial"/>
          <w:lang w:val="pt-BR"/>
        </w:rPr>
      </w:pPr>
      <w:r w:rsidRPr="00493E39">
        <w:rPr>
          <w:rFonts w:cs="Arial"/>
          <w:lang w:val="pt-BR"/>
        </w:rPr>
        <w:t>A comparação cumpre duas funções e não deve ser sobrecarregada com uma terceira. Ela situa a transmissão estimada para o regime posterior como não atípica entre países sob regra de mercado, e coloca o Brasil no decil superior da distribuição mundial. O que ela não faz é datar a mudança, pelas razões de cobertura que o Apêndice I registra.</w:t>
      </w:r>
    </w:p>
    <w:p w14:paraId="2F70A9F5" w14:textId="77777777" w:rsidR="00D64459" w:rsidRPr="00493E39" w:rsidRDefault="008B2120">
      <w:pPr>
        <w:pStyle w:val="Heading2"/>
        <w:spacing w:before="280" w:after="160"/>
        <w:rPr>
          <w:rFonts w:ascii="Arial" w:hAnsi="Arial" w:cs="Arial"/>
          <w:lang w:val="pt-BR"/>
        </w:rPr>
      </w:pPr>
      <w:bookmarkStart w:id="32" w:name="_Toc239713581"/>
      <w:r w:rsidRPr="00493E39">
        <w:rPr>
          <w:rFonts w:ascii="Arial" w:hAnsi="Arial" w:cs="Arial"/>
          <w:sz w:val="24"/>
          <w:lang w:val="pt-BR"/>
        </w:rPr>
        <w:lastRenderedPageBreak/>
        <w:t>4.9 O resultado à luz da literatura</w:t>
      </w:r>
      <w:bookmarkEnd w:id="32"/>
    </w:p>
    <w:p w14:paraId="1034F0E7" w14:textId="77777777" w:rsidR="00D64459" w:rsidRPr="00493E39" w:rsidRDefault="008B2120">
      <w:pPr>
        <w:ind w:firstLine="709"/>
        <w:jc w:val="both"/>
        <w:rPr>
          <w:rFonts w:cs="Arial"/>
          <w:lang w:val="pt-BR"/>
        </w:rPr>
      </w:pPr>
      <w:r w:rsidRPr="00493E39">
        <w:rPr>
          <w:rFonts w:cs="Arial"/>
          <w:lang w:val="pt-BR"/>
        </w:rPr>
        <w:t>Os números deste capítulo ganham sentido quando postos ao lado dos que a literatura revisada no Capítulo 2 reporta, para o Brasil e para outras economias. A comparação exige uma unidade comum. Como a maior parte daqueles trabalhos expressa o efeito por alta de 10% no petróleo, os coeficientes daqui, que correspondem a um choque de um desvio-padrão, equivalente a 10,7%, são reescalados pelo fator 10/10,7. A Tabela 8 reúne o resultado. Métodos, amostras e medidas de preço diferem entre os estudos, de modo que a comparação vale como ordem de grandeza, e não como teste de igualdade.</w:t>
      </w:r>
    </w:p>
    <w:p w14:paraId="5A0A79AD" w14:textId="77777777" w:rsidR="00D64459" w:rsidRPr="00493E39" w:rsidRDefault="008B2120">
      <w:pPr>
        <w:keepNext/>
        <w:spacing w:before="200" w:after="40" w:line="240" w:lineRule="auto"/>
        <w:rPr>
          <w:rFonts w:cs="Arial"/>
          <w:lang w:val="pt-BR"/>
        </w:rPr>
      </w:pPr>
      <w:r w:rsidRPr="00493E39">
        <w:rPr>
          <w:rFonts w:cs="Arial"/>
          <w:sz w:val="20"/>
          <w:lang w:val="pt-BR"/>
        </w:rPr>
        <w:t>Tabela 8 – O repasse estimado e a literatura, por alta de 10% no preço do petróleo</w:t>
      </w:r>
    </w:p>
    <w:tbl>
      <w:tblPr>
        <w:tblW w:w="0" w:type="auto"/>
        <w:jc w:val="center"/>
        <w:tblLook w:val="04A0" w:firstRow="1" w:lastRow="0" w:firstColumn="1" w:lastColumn="0" w:noHBand="0" w:noVBand="1"/>
      </w:tblPr>
      <w:tblGrid>
        <w:gridCol w:w="1700"/>
        <w:gridCol w:w="1750"/>
        <w:gridCol w:w="2350"/>
        <w:gridCol w:w="2251"/>
      </w:tblGrid>
      <w:tr w:rsidR="00EA6EA1" w:rsidRPr="00493E39" w14:paraId="2A38B2D1" w14:textId="77777777">
        <w:trPr>
          <w:cantSplit/>
          <w:tblHeader/>
          <w:jc w:val="center"/>
        </w:trPr>
        <w:tc>
          <w:tcPr>
            <w:tcW w:w="1700" w:type="dxa"/>
            <w:tcBorders>
              <w:top w:val="single" w:sz="12" w:space="0" w:color="000000"/>
              <w:left w:val="nil"/>
              <w:bottom w:val="single" w:sz="6" w:space="0" w:color="000000"/>
              <w:right w:val="nil"/>
            </w:tcBorders>
          </w:tcPr>
          <w:p w14:paraId="5C0365B0" w14:textId="77777777" w:rsidR="00EA6EA1" w:rsidRPr="00493E39" w:rsidRDefault="00000000">
            <w:pPr>
              <w:spacing w:after="20" w:line="240" w:lineRule="auto"/>
              <w:rPr>
                <w:rFonts w:cs="Arial"/>
              </w:rPr>
            </w:pPr>
            <w:r w:rsidRPr="00493E39">
              <w:rPr>
                <w:rFonts w:cs="Arial"/>
                <w:b/>
                <w:sz w:val="18"/>
              </w:rPr>
              <w:t>Estudo</w:t>
            </w:r>
          </w:p>
        </w:tc>
        <w:tc>
          <w:tcPr>
            <w:tcW w:w="1750" w:type="dxa"/>
            <w:tcBorders>
              <w:top w:val="single" w:sz="12" w:space="0" w:color="000000"/>
              <w:left w:val="nil"/>
              <w:bottom w:val="single" w:sz="6" w:space="0" w:color="000000"/>
              <w:right w:val="nil"/>
            </w:tcBorders>
          </w:tcPr>
          <w:p w14:paraId="0960EE3A" w14:textId="77777777" w:rsidR="00EA6EA1" w:rsidRPr="00493E39" w:rsidRDefault="00000000">
            <w:pPr>
              <w:spacing w:after="20" w:line="240" w:lineRule="auto"/>
              <w:rPr>
                <w:rFonts w:cs="Arial"/>
              </w:rPr>
            </w:pPr>
            <w:r w:rsidRPr="00493E39">
              <w:rPr>
                <w:rFonts w:cs="Arial"/>
                <w:b/>
                <w:sz w:val="18"/>
              </w:rPr>
              <w:t>Contexto</w:t>
            </w:r>
          </w:p>
        </w:tc>
        <w:tc>
          <w:tcPr>
            <w:tcW w:w="2350" w:type="dxa"/>
            <w:tcBorders>
              <w:top w:val="single" w:sz="12" w:space="0" w:color="000000"/>
              <w:left w:val="nil"/>
              <w:bottom w:val="single" w:sz="6" w:space="0" w:color="000000"/>
              <w:right w:val="nil"/>
            </w:tcBorders>
          </w:tcPr>
          <w:p w14:paraId="669FE004" w14:textId="77777777" w:rsidR="00EA6EA1" w:rsidRPr="00493E39" w:rsidRDefault="00000000">
            <w:pPr>
              <w:spacing w:after="20" w:line="240" w:lineRule="auto"/>
              <w:rPr>
                <w:rFonts w:cs="Arial"/>
              </w:rPr>
            </w:pPr>
            <w:r w:rsidRPr="00493E39">
              <w:rPr>
                <w:rFonts w:cs="Arial"/>
                <w:b/>
                <w:sz w:val="18"/>
              </w:rPr>
              <w:t>Estimativa do estudo</w:t>
            </w:r>
          </w:p>
        </w:tc>
        <w:tc>
          <w:tcPr>
            <w:tcW w:w="2251" w:type="dxa"/>
            <w:tcBorders>
              <w:top w:val="single" w:sz="12" w:space="0" w:color="000000"/>
              <w:left w:val="nil"/>
              <w:bottom w:val="single" w:sz="6" w:space="0" w:color="000000"/>
              <w:right w:val="nil"/>
            </w:tcBorders>
          </w:tcPr>
          <w:p w14:paraId="1E61D518" w14:textId="77777777" w:rsidR="00EA6EA1" w:rsidRPr="00493E39" w:rsidRDefault="00000000">
            <w:pPr>
              <w:spacing w:after="20" w:line="240" w:lineRule="auto"/>
              <w:rPr>
                <w:rFonts w:cs="Arial"/>
              </w:rPr>
            </w:pPr>
            <w:r w:rsidRPr="00493E39">
              <w:rPr>
                <w:rFonts w:cs="Arial"/>
                <w:b/>
                <w:sz w:val="18"/>
              </w:rPr>
              <w:t>Este trabalho, mesma unidade</w:t>
            </w:r>
          </w:p>
        </w:tc>
      </w:tr>
      <w:tr w:rsidR="00EA6EA1" w:rsidRPr="00AD093D" w14:paraId="32F69E48" w14:textId="77777777">
        <w:trPr>
          <w:cantSplit/>
          <w:jc w:val="center"/>
        </w:trPr>
        <w:tc>
          <w:tcPr>
            <w:tcW w:w="1700" w:type="dxa"/>
            <w:tcBorders>
              <w:top w:val="nil"/>
              <w:left w:val="nil"/>
              <w:bottom w:val="nil"/>
              <w:right w:val="nil"/>
            </w:tcBorders>
          </w:tcPr>
          <w:p w14:paraId="5C30BF23" w14:textId="77777777" w:rsidR="00EA6EA1" w:rsidRPr="00493E39" w:rsidRDefault="00000000">
            <w:pPr>
              <w:spacing w:after="20" w:line="240" w:lineRule="auto"/>
              <w:rPr>
                <w:rFonts w:cs="Arial"/>
              </w:rPr>
            </w:pPr>
            <w:r w:rsidRPr="00493E39">
              <w:rPr>
                <w:rFonts w:cs="Arial"/>
                <w:sz w:val="18"/>
              </w:rPr>
              <w:t>Choi et al. (2018)</w:t>
            </w:r>
          </w:p>
        </w:tc>
        <w:tc>
          <w:tcPr>
            <w:tcW w:w="1750" w:type="dxa"/>
            <w:tcBorders>
              <w:top w:val="nil"/>
              <w:left w:val="nil"/>
              <w:bottom w:val="nil"/>
              <w:right w:val="nil"/>
            </w:tcBorders>
          </w:tcPr>
          <w:p w14:paraId="552178EE" w14:textId="77777777" w:rsidR="00EA6EA1" w:rsidRPr="00493E39" w:rsidRDefault="00000000">
            <w:pPr>
              <w:spacing w:after="20" w:line="240" w:lineRule="auto"/>
              <w:rPr>
                <w:rFonts w:cs="Arial"/>
              </w:rPr>
            </w:pPr>
            <w:r w:rsidRPr="00493E39">
              <w:rPr>
                <w:rFonts w:cs="Arial"/>
                <w:sz w:val="18"/>
              </w:rPr>
              <w:t>72 economias, 1970 a 2015, dados anuais</w:t>
            </w:r>
          </w:p>
        </w:tc>
        <w:tc>
          <w:tcPr>
            <w:tcW w:w="2350" w:type="dxa"/>
            <w:tcBorders>
              <w:top w:val="nil"/>
              <w:left w:val="nil"/>
              <w:bottom w:val="nil"/>
              <w:right w:val="nil"/>
            </w:tcBorders>
          </w:tcPr>
          <w:p w14:paraId="00292CCA" w14:textId="77777777" w:rsidR="00EA6EA1" w:rsidRPr="00493E39" w:rsidRDefault="00000000">
            <w:pPr>
              <w:spacing w:after="20" w:line="240" w:lineRule="auto"/>
              <w:rPr>
                <w:rFonts w:cs="Arial"/>
                <w:lang w:val="pt-BR"/>
              </w:rPr>
            </w:pPr>
            <w:r w:rsidRPr="00493E39">
              <w:rPr>
                <w:rFonts w:cs="Arial"/>
                <w:sz w:val="18"/>
                <w:lang w:val="pt-BR"/>
              </w:rPr>
              <w:t xml:space="preserve">0,4 </w:t>
            </w:r>
            <w:proofErr w:type="spellStart"/>
            <w:r w:rsidRPr="00493E39">
              <w:rPr>
                <w:rFonts w:cs="Arial"/>
                <w:sz w:val="18"/>
                <w:lang w:val="pt-BR"/>
              </w:rPr>
              <w:t>p.p</w:t>
            </w:r>
            <w:proofErr w:type="spellEnd"/>
            <w:r w:rsidRPr="00493E39">
              <w:rPr>
                <w:rFonts w:cs="Arial"/>
                <w:sz w:val="18"/>
                <w:lang w:val="pt-BR"/>
              </w:rPr>
              <w:t>. na inflação do ano do choque</w:t>
            </w:r>
          </w:p>
        </w:tc>
        <w:tc>
          <w:tcPr>
            <w:tcW w:w="2251" w:type="dxa"/>
            <w:tcBorders>
              <w:top w:val="nil"/>
              <w:left w:val="nil"/>
              <w:bottom w:val="nil"/>
              <w:right w:val="nil"/>
            </w:tcBorders>
          </w:tcPr>
          <w:p w14:paraId="46A7EB31" w14:textId="77777777" w:rsidR="00EA6EA1" w:rsidRPr="00493E39" w:rsidRDefault="00000000">
            <w:pPr>
              <w:spacing w:after="20" w:line="240" w:lineRule="auto"/>
              <w:rPr>
                <w:rFonts w:cs="Arial"/>
                <w:lang w:val="pt-BR"/>
              </w:rPr>
            </w:pPr>
            <w:r w:rsidRPr="00493E39">
              <w:rPr>
                <w:rFonts w:cs="Arial"/>
                <w:sz w:val="18"/>
                <w:lang w:val="pt-BR"/>
              </w:rPr>
              <w:t>12 meses: 0,10 na amostra completa; −0,06 antes e 0,25 depois</w:t>
            </w:r>
          </w:p>
        </w:tc>
      </w:tr>
      <w:tr w:rsidR="00EA6EA1" w:rsidRPr="00AD093D" w14:paraId="02A564A8" w14:textId="77777777">
        <w:trPr>
          <w:cantSplit/>
          <w:jc w:val="center"/>
        </w:trPr>
        <w:tc>
          <w:tcPr>
            <w:tcW w:w="1700" w:type="dxa"/>
            <w:tcBorders>
              <w:top w:val="nil"/>
              <w:left w:val="nil"/>
              <w:bottom w:val="nil"/>
              <w:right w:val="nil"/>
            </w:tcBorders>
          </w:tcPr>
          <w:p w14:paraId="3A22EC19" w14:textId="77777777" w:rsidR="00EA6EA1" w:rsidRPr="00493E39" w:rsidRDefault="00000000">
            <w:pPr>
              <w:spacing w:after="20" w:line="240" w:lineRule="auto"/>
              <w:rPr>
                <w:rFonts w:cs="Arial"/>
              </w:rPr>
            </w:pPr>
            <w:r w:rsidRPr="00493E39">
              <w:rPr>
                <w:rFonts w:cs="Arial"/>
                <w:sz w:val="18"/>
              </w:rPr>
              <w:t>Choi et al. (2018), Tabela 6</w:t>
            </w:r>
          </w:p>
        </w:tc>
        <w:tc>
          <w:tcPr>
            <w:tcW w:w="1750" w:type="dxa"/>
            <w:tcBorders>
              <w:top w:val="nil"/>
              <w:left w:val="nil"/>
              <w:bottom w:val="nil"/>
              <w:right w:val="nil"/>
            </w:tcBorders>
          </w:tcPr>
          <w:p w14:paraId="68C860E8" w14:textId="77777777" w:rsidR="00EA6EA1" w:rsidRPr="00493E39" w:rsidRDefault="00000000">
            <w:pPr>
              <w:spacing w:after="20" w:line="240" w:lineRule="auto"/>
              <w:rPr>
                <w:rFonts w:cs="Arial"/>
              </w:rPr>
            </w:pPr>
            <w:r w:rsidRPr="00493E39">
              <w:rPr>
                <w:rFonts w:cs="Arial"/>
                <w:sz w:val="18"/>
              </w:rPr>
              <w:t>71 economias, dados mensais, 2000 a 2015</w:t>
            </w:r>
          </w:p>
        </w:tc>
        <w:tc>
          <w:tcPr>
            <w:tcW w:w="2350" w:type="dxa"/>
            <w:tcBorders>
              <w:top w:val="nil"/>
              <w:left w:val="nil"/>
              <w:bottom w:val="nil"/>
              <w:right w:val="nil"/>
            </w:tcBorders>
          </w:tcPr>
          <w:p w14:paraId="6A3A9EB6" w14:textId="77777777" w:rsidR="00EA6EA1" w:rsidRPr="00493E39" w:rsidRDefault="00000000">
            <w:pPr>
              <w:spacing w:after="20" w:line="240" w:lineRule="auto"/>
              <w:rPr>
                <w:rFonts w:cs="Arial"/>
                <w:lang w:val="pt-BR"/>
              </w:rPr>
            </w:pPr>
            <w:r w:rsidRPr="00493E39">
              <w:rPr>
                <w:rFonts w:cs="Arial"/>
                <w:sz w:val="18"/>
                <w:lang w:val="pt-BR"/>
              </w:rPr>
              <w:t xml:space="preserve">Efeito instantâneo: cerca de 0,1 </w:t>
            </w:r>
            <w:proofErr w:type="spellStart"/>
            <w:r w:rsidRPr="00493E39">
              <w:rPr>
                <w:rFonts w:cs="Arial"/>
                <w:sz w:val="18"/>
                <w:lang w:val="pt-BR"/>
              </w:rPr>
              <w:t>p.p</w:t>
            </w:r>
            <w:proofErr w:type="spellEnd"/>
            <w:r w:rsidRPr="00493E39">
              <w:rPr>
                <w:rFonts w:cs="Arial"/>
                <w:sz w:val="18"/>
                <w:lang w:val="pt-BR"/>
              </w:rPr>
              <w:t>. em média; EUA 0,25; Brasil −0,08, o último</w:t>
            </w:r>
          </w:p>
        </w:tc>
        <w:tc>
          <w:tcPr>
            <w:tcW w:w="2251" w:type="dxa"/>
            <w:tcBorders>
              <w:top w:val="nil"/>
              <w:left w:val="nil"/>
              <w:bottom w:val="nil"/>
              <w:right w:val="nil"/>
            </w:tcBorders>
          </w:tcPr>
          <w:p w14:paraId="65E7A4AD" w14:textId="77777777" w:rsidR="00EA6EA1" w:rsidRPr="00493E39" w:rsidRDefault="00000000">
            <w:pPr>
              <w:spacing w:after="20" w:line="240" w:lineRule="auto"/>
              <w:rPr>
                <w:rFonts w:cs="Arial"/>
                <w:lang w:val="pt-BR"/>
              </w:rPr>
            </w:pPr>
            <w:r w:rsidRPr="00493E39">
              <w:rPr>
                <w:rFonts w:cs="Arial"/>
                <w:sz w:val="18"/>
                <w:lang w:val="pt-BR"/>
              </w:rPr>
              <w:t>Mês do choque: 0,005 antes e 0,16 depois</w:t>
            </w:r>
          </w:p>
        </w:tc>
      </w:tr>
      <w:tr w:rsidR="00EA6EA1" w:rsidRPr="00AD093D" w14:paraId="6E3BE8EE" w14:textId="77777777">
        <w:trPr>
          <w:cantSplit/>
          <w:jc w:val="center"/>
        </w:trPr>
        <w:tc>
          <w:tcPr>
            <w:tcW w:w="1700" w:type="dxa"/>
            <w:tcBorders>
              <w:top w:val="nil"/>
              <w:left w:val="nil"/>
              <w:bottom w:val="nil"/>
              <w:right w:val="nil"/>
            </w:tcBorders>
          </w:tcPr>
          <w:p w14:paraId="1E133269" w14:textId="77777777" w:rsidR="00EA6EA1" w:rsidRPr="00493E39" w:rsidRDefault="00000000">
            <w:pPr>
              <w:spacing w:after="20" w:line="240" w:lineRule="auto"/>
              <w:rPr>
                <w:rFonts w:cs="Arial"/>
              </w:rPr>
            </w:pPr>
            <w:r w:rsidRPr="00493E39">
              <w:rPr>
                <w:rFonts w:cs="Arial"/>
                <w:sz w:val="18"/>
              </w:rPr>
              <w:t xml:space="preserve">Blanchard e </w:t>
            </w:r>
            <w:proofErr w:type="spellStart"/>
            <w:r w:rsidRPr="00493E39">
              <w:rPr>
                <w:rFonts w:cs="Arial"/>
                <w:sz w:val="18"/>
              </w:rPr>
              <w:t>Galí</w:t>
            </w:r>
            <w:proofErr w:type="spellEnd"/>
            <w:r w:rsidRPr="00493E39">
              <w:rPr>
                <w:rFonts w:cs="Arial"/>
                <w:sz w:val="18"/>
              </w:rPr>
              <w:t xml:space="preserve"> (2007)</w:t>
            </w:r>
          </w:p>
        </w:tc>
        <w:tc>
          <w:tcPr>
            <w:tcW w:w="1750" w:type="dxa"/>
            <w:tcBorders>
              <w:top w:val="nil"/>
              <w:left w:val="nil"/>
              <w:bottom w:val="nil"/>
              <w:right w:val="nil"/>
            </w:tcBorders>
          </w:tcPr>
          <w:p w14:paraId="6181B485" w14:textId="77777777" w:rsidR="00EA6EA1" w:rsidRPr="00493E39" w:rsidRDefault="00000000">
            <w:pPr>
              <w:spacing w:after="20" w:line="240" w:lineRule="auto"/>
              <w:rPr>
                <w:rFonts w:cs="Arial"/>
                <w:lang w:val="pt-BR"/>
              </w:rPr>
            </w:pPr>
            <w:r w:rsidRPr="00493E39">
              <w:rPr>
                <w:rFonts w:cs="Arial"/>
                <w:sz w:val="18"/>
                <w:lang w:val="pt-BR"/>
              </w:rPr>
              <w:t>Estados Unidos, antes e depois de 1984</w:t>
            </w:r>
          </w:p>
        </w:tc>
        <w:tc>
          <w:tcPr>
            <w:tcW w:w="2350" w:type="dxa"/>
            <w:tcBorders>
              <w:top w:val="nil"/>
              <w:left w:val="nil"/>
              <w:bottom w:val="nil"/>
              <w:right w:val="nil"/>
            </w:tcBorders>
          </w:tcPr>
          <w:p w14:paraId="47F74302" w14:textId="77777777" w:rsidR="00EA6EA1" w:rsidRPr="00493E39" w:rsidRDefault="00000000">
            <w:pPr>
              <w:spacing w:after="20" w:line="240" w:lineRule="auto"/>
              <w:rPr>
                <w:rFonts w:cs="Arial"/>
                <w:lang w:val="pt-BR"/>
              </w:rPr>
            </w:pPr>
            <w:r w:rsidRPr="00493E39">
              <w:rPr>
                <w:rFonts w:cs="Arial"/>
                <w:sz w:val="18"/>
                <w:lang w:val="pt-BR"/>
              </w:rPr>
              <w:t>Impacto na inflação ao consumidor semelhante nos dois períodos; persistência menor depois</w:t>
            </w:r>
          </w:p>
        </w:tc>
        <w:tc>
          <w:tcPr>
            <w:tcW w:w="2251" w:type="dxa"/>
            <w:tcBorders>
              <w:top w:val="nil"/>
              <w:left w:val="nil"/>
              <w:bottom w:val="nil"/>
              <w:right w:val="nil"/>
            </w:tcBorders>
          </w:tcPr>
          <w:p w14:paraId="73D284C2" w14:textId="77777777" w:rsidR="00EA6EA1" w:rsidRPr="00493E39" w:rsidRDefault="00000000">
            <w:pPr>
              <w:spacing w:after="20" w:line="240" w:lineRule="auto"/>
              <w:rPr>
                <w:rFonts w:cs="Arial"/>
                <w:lang w:val="pt-BR"/>
              </w:rPr>
            </w:pPr>
            <w:r w:rsidRPr="00493E39">
              <w:rPr>
                <w:rFonts w:cs="Arial"/>
                <w:sz w:val="18"/>
                <w:lang w:val="pt-BR"/>
              </w:rPr>
              <w:t>É o impacto que muda: de 0,005 para 0,16</w:t>
            </w:r>
          </w:p>
        </w:tc>
      </w:tr>
      <w:tr w:rsidR="00EA6EA1" w:rsidRPr="00AD093D" w14:paraId="0212292E" w14:textId="77777777">
        <w:trPr>
          <w:cantSplit/>
          <w:jc w:val="center"/>
        </w:trPr>
        <w:tc>
          <w:tcPr>
            <w:tcW w:w="1700" w:type="dxa"/>
            <w:tcBorders>
              <w:top w:val="nil"/>
              <w:left w:val="nil"/>
              <w:bottom w:val="nil"/>
              <w:right w:val="nil"/>
            </w:tcBorders>
          </w:tcPr>
          <w:p w14:paraId="0B63E661" w14:textId="77777777" w:rsidR="00EA6EA1" w:rsidRPr="00493E39" w:rsidRDefault="00000000">
            <w:pPr>
              <w:spacing w:after="20" w:line="240" w:lineRule="auto"/>
              <w:rPr>
                <w:rFonts w:cs="Arial"/>
              </w:rPr>
            </w:pPr>
            <w:proofErr w:type="spellStart"/>
            <w:r w:rsidRPr="00493E39">
              <w:rPr>
                <w:rFonts w:cs="Arial"/>
                <w:sz w:val="18"/>
              </w:rPr>
              <w:t>Känzig</w:t>
            </w:r>
            <w:proofErr w:type="spellEnd"/>
            <w:r w:rsidRPr="00493E39">
              <w:rPr>
                <w:rFonts w:cs="Arial"/>
                <w:sz w:val="18"/>
              </w:rPr>
              <w:t xml:space="preserve"> (2021)</w:t>
            </w:r>
          </w:p>
        </w:tc>
        <w:tc>
          <w:tcPr>
            <w:tcW w:w="1750" w:type="dxa"/>
            <w:tcBorders>
              <w:top w:val="nil"/>
              <w:left w:val="nil"/>
              <w:bottom w:val="nil"/>
              <w:right w:val="nil"/>
            </w:tcBorders>
          </w:tcPr>
          <w:p w14:paraId="1289CAB8" w14:textId="77777777" w:rsidR="00EA6EA1" w:rsidRPr="00493E39" w:rsidRDefault="00000000">
            <w:pPr>
              <w:spacing w:after="20" w:line="240" w:lineRule="auto"/>
              <w:rPr>
                <w:rFonts w:cs="Arial"/>
                <w:lang w:val="pt-BR"/>
              </w:rPr>
            </w:pPr>
            <w:r w:rsidRPr="00493E39">
              <w:rPr>
                <w:rFonts w:cs="Arial"/>
                <w:sz w:val="18"/>
                <w:lang w:val="pt-BR"/>
              </w:rPr>
              <w:t>Estados Unidos, choques de oferta da OPEP</w:t>
            </w:r>
          </w:p>
        </w:tc>
        <w:tc>
          <w:tcPr>
            <w:tcW w:w="2350" w:type="dxa"/>
            <w:tcBorders>
              <w:top w:val="nil"/>
              <w:left w:val="nil"/>
              <w:bottom w:val="nil"/>
              <w:right w:val="nil"/>
            </w:tcBorders>
          </w:tcPr>
          <w:p w14:paraId="4B32A027" w14:textId="77777777" w:rsidR="00EA6EA1" w:rsidRPr="00493E39" w:rsidRDefault="00000000">
            <w:pPr>
              <w:spacing w:after="20" w:line="240" w:lineRule="auto"/>
              <w:rPr>
                <w:rFonts w:cs="Arial"/>
                <w:lang w:val="pt-BR"/>
              </w:rPr>
            </w:pPr>
            <w:r w:rsidRPr="00493E39">
              <w:rPr>
                <w:rFonts w:cs="Arial"/>
                <w:sz w:val="18"/>
                <w:lang w:val="pt-BR"/>
              </w:rPr>
              <w:t>Preços ao consumidor +0,4% no pico (repasse de 4,5%); energia: 35% em um ano</w:t>
            </w:r>
          </w:p>
        </w:tc>
        <w:tc>
          <w:tcPr>
            <w:tcW w:w="2251" w:type="dxa"/>
            <w:tcBorders>
              <w:top w:val="nil"/>
              <w:left w:val="nil"/>
              <w:bottom w:val="nil"/>
              <w:right w:val="nil"/>
            </w:tcBorders>
          </w:tcPr>
          <w:p w14:paraId="7036D18E" w14:textId="77777777" w:rsidR="00EA6EA1" w:rsidRPr="00493E39" w:rsidRDefault="00000000">
            <w:pPr>
              <w:spacing w:after="20" w:line="240" w:lineRule="auto"/>
              <w:rPr>
                <w:rFonts w:cs="Arial"/>
                <w:lang w:val="pt-BR"/>
              </w:rPr>
            </w:pPr>
            <w:r w:rsidRPr="00493E39">
              <w:rPr>
                <w:rFonts w:cs="Arial"/>
                <w:sz w:val="18"/>
                <w:lang w:val="pt-BR"/>
              </w:rPr>
              <w:t>IPCA: 0,33 no pico (repasse de 3,3%); gasolina ao consumidor: elasticidade de 0,37 no mês seguinte, depois</w:t>
            </w:r>
          </w:p>
        </w:tc>
      </w:tr>
      <w:tr w:rsidR="00EA6EA1" w:rsidRPr="00AD093D" w14:paraId="3ACDA5F3" w14:textId="77777777">
        <w:trPr>
          <w:cantSplit/>
          <w:jc w:val="center"/>
        </w:trPr>
        <w:tc>
          <w:tcPr>
            <w:tcW w:w="1700" w:type="dxa"/>
            <w:tcBorders>
              <w:top w:val="nil"/>
              <w:left w:val="nil"/>
              <w:bottom w:val="nil"/>
              <w:right w:val="nil"/>
            </w:tcBorders>
          </w:tcPr>
          <w:p w14:paraId="0DC26F1B" w14:textId="77777777" w:rsidR="00EA6EA1" w:rsidRPr="00493E39" w:rsidRDefault="00000000">
            <w:pPr>
              <w:spacing w:after="20" w:line="240" w:lineRule="auto"/>
              <w:rPr>
                <w:rFonts w:cs="Arial"/>
              </w:rPr>
            </w:pPr>
            <w:r w:rsidRPr="00493E39">
              <w:rPr>
                <w:rFonts w:cs="Arial"/>
                <w:sz w:val="18"/>
              </w:rPr>
              <w:t>Baba e Lee (2022)</w:t>
            </w:r>
          </w:p>
        </w:tc>
        <w:tc>
          <w:tcPr>
            <w:tcW w:w="1750" w:type="dxa"/>
            <w:tcBorders>
              <w:top w:val="nil"/>
              <w:left w:val="nil"/>
              <w:bottom w:val="nil"/>
              <w:right w:val="nil"/>
            </w:tcBorders>
          </w:tcPr>
          <w:p w14:paraId="772D046C" w14:textId="77777777" w:rsidR="00EA6EA1" w:rsidRPr="00493E39" w:rsidRDefault="00000000">
            <w:pPr>
              <w:spacing w:after="20" w:line="240" w:lineRule="auto"/>
              <w:rPr>
                <w:rFonts w:cs="Arial"/>
              </w:rPr>
            </w:pPr>
            <w:r w:rsidRPr="00493E39">
              <w:rPr>
                <w:rFonts w:cs="Arial"/>
                <w:sz w:val="18"/>
              </w:rPr>
              <w:t>Economias europeias</w:t>
            </w:r>
          </w:p>
        </w:tc>
        <w:tc>
          <w:tcPr>
            <w:tcW w:w="2350" w:type="dxa"/>
            <w:tcBorders>
              <w:top w:val="nil"/>
              <w:left w:val="nil"/>
              <w:bottom w:val="nil"/>
              <w:right w:val="nil"/>
            </w:tcBorders>
          </w:tcPr>
          <w:p w14:paraId="150F9B1F" w14:textId="77777777" w:rsidR="00EA6EA1" w:rsidRPr="00493E39" w:rsidRDefault="00000000">
            <w:pPr>
              <w:spacing w:after="20" w:line="240" w:lineRule="auto"/>
              <w:rPr>
                <w:rFonts w:cs="Arial"/>
                <w:lang w:val="pt-BR"/>
              </w:rPr>
            </w:pPr>
            <w:r w:rsidRPr="00493E39">
              <w:rPr>
                <w:rFonts w:cs="Arial"/>
                <w:sz w:val="18"/>
                <w:lang w:val="pt-BR"/>
              </w:rPr>
              <w:t>Núcleo: elasticidade de 0,002 no primeiro trimestre a 0,03 em três anos</w:t>
            </w:r>
          </w:p>
        </w:tc>
        <w:tc>
          <w:tcPr>
            <w:tcW w:w="2251" w:type="dxa"/>
            <w:tcBorders>
              <w:top w:val="nil"/>
              <w:left w:val="nil"/>
              <w:bottom w:val="nil"/>
              <w:right w:val="nil"/>
            </w:tcBorders>
          </w:tcPr>
          <w:p w14:paraId="12BEBFB8" w14:textId="77777777" w:rsidR="00EA6EA1" w:rsidRPr="00493E39" w:rsidRDefault="00000000">
            <w:pPr>
              <w:spacing w:after="20" w:line="240" w:lineRule="auto"/>
              <w:rPr>
                <w:rFonts w:cs="Arial"/>
                <w:lang w:val="pt-BR"/>
              </w:rPr>
            </w:pPr>
            <w:r w:rsidRPr="00493E39">
              <w:rPr>
                <w:rFonts w:cs="Arial"/>
                <w:sz w:val="18"/>
                <w:lang w:val="pt-BR"/>
              </w:rPr>
              <w:t>Segunda volta: elasticidade de 0,015 em seis meses e 0,020 em doze, depois</w:t>
            </w:r>
          </w:p>
        </w:tc>
      </w:tr>
      <w:tr w:rsidR="00EA6EA1" w:rsidRPr="00AD093D" w14:paraId="03DC2B48" w14:textId="77777777">
        <w:trPr>
          <w:cantSplit/>
          <w:jc w:val="center"/>
        </w:trPr>
        <w:tc>
          <w:tcPr>
            <w:tcW w:w="1700" w:type="dxa"/>
            <w:tcBorders>
              <w:top w:val="nil"/>
              <w:left w:val="nil"/>
              <w:bottom w:val="nil"/>
              <w:right w:val="nil"/>
            </w:tcBorders>
          </w:tcPr>
          <w:p w14:paraId="7E642647" w14:textId="77777777" w:rsidR="00EA6EA1" w:rsidRPr="00493E39" w:rsidRDefault="00000000">
            <w:pPr>
              <w:spacing w:after="20" w:line="240" w:lineRule="auto"/>
              <w:rPr>
                <w:rFonts w:cs="Arial"/>
              </w:rPr>
            </w:pPr>
            <w:r w:rsidRPr="00493E39">
              <w:rPr>
                <w:rFonts w:cs="Arial"/>
                <w:sz w:val="18"/>
              </w:rPr>
              <w:t>López et al. (2026)</w:t>
            </w:r>
          </w:p>
        </w:tc>
        <w:tc>
          <w:tcPr>
            <w:tcW w:w="1750" w:type="dxa"/>
            <w:tcBorders>
              <w:top w:val="nil"/>
              <w:left w:val="nil"/>
              <w:bottom w:val="nil"/>
              <w:right w:val="nil"/>
            </w:tcBorders>
          </w:tcPr>
          <w:p w14:paraId="631D6B2D" w14:textId="77777777" w:rsidR="00EA6EA1" w:rsidRPr="00493E39" w:rsidRDefault="00000000">
            <w:pPr>
              <w:spacing w:after="20" w:line="240" w:lineRule="auto"/>
              <w:rPr>
                <w:rFonts w:cs="Arial"/>
                <w:lang w:val="pt-BR"/>
              </w:rPr>
            </w:pPr>
            <w:r w:rsidRPr="00493E39">
              <w:rPr>
                <w:rFonts w:cs="Arial"/>
                <w:sz w:val="18"/>
                <w:lang w:val="pt-BR"/>
              </w:rPr>
              <w:t>Área do euro, choques de gás</w:t>
            </w:r>
          </w:p>
        </w:tc>
        <w:tc>
          <w:tcPr>
            <w:tcW w:w="2350" w:type="dxa"/>
            <w:tcBorders>
              <w:top w:val="nil"/>
              <w:left w:val="nil"/>
              <w:bottom w:val="nil"/>
              <w:right w:val="nil"/>
            </w:tcBorders>
          </w:tcPr>
          <w:p w14:paraId="7AA58113" w14:textId="77777777" w:rsidR="00EA6EA1" w:rsidRPr="00493E39" w:rsidRDefault="00000000">
            <w:pPr>
              <w:spacing w:after="20" w:line="240" w:lineRule="auto"/>
              <w:rPr>
                <w:rFonts w:cs="Arial"/>
                <w:lang w:val="pt-BR"/>
              </w:rPr>
            </w:pPr>
            <w:r w:rsidRPr="00493E39">
              <w:rPr>
                <w:rFonts w:cs="Arial"/>
                <w:sz w:val="18"/>
                <w:lang w:val="pt-BR"/>
              </w:rPr>
              <w:t>Efeitos indiretos: cerca de 75% da resposta em três anos</w:t>
            </w:r>
          </w:p>
        </w:tc>
        <w:tc>
          <w:tcPr>
            <w:tcW w:w="2251" w:type="dxa"/>
            <w:tcBorders>
              <w:top w:val="nil"/>
              <w:left w:val="nil"/>
              <w:bottom w:val="nil"/>
              <w:right w:val="nil"/>
            </w:tcBorders>
          </w:tcPr>
          <w:p w14:paraId="3A55AD0A" w14:textId="77777777" w:rsidR="00EA6EA1" w:rsidRPr="00493E39" w:rsidRDefault="00000000">
            <w:pPr>
              <w:spacing w:after="20" w:line="240" w:lineRule="auto"/>
              <w:rPr>
                <w:rFonts w:cs="Arial"/>
                <w:lang w:val="pt-BR"/>
              </w:rPr>
            </w:pPr>
            <w:r w:rsidRPr="00493E39">
              <w:rPr>
                <w:rFonts w:cs="Arial"/>
                <w:sz w:val="18"/>
                <w:lang w:val="pt-BR"/>
              </w:rPr>
              <w:t>Segunda volta: 87% do efeito em seis meses e 80% em doze, depois</w:t>
            </w:r>
          </w:p>
        </w:tc>
      </w:tr>
      <w:tr w:rsidR="00EA6EA1" w:rsidRPr="00AD093D" w14:paraId="062C7416" w14:textId="77777777">
        <w:trPr>
          <w:cantSplit/>
          <w:jc w:val="center"/>
        </w:trPr>
        <w:tc>
          <w:tcPr>
            <w:tcW w:w="1700" w:type="dxa"/>
            <w:tcBorders>
              <w:top w:val="nil"/>
              <w:left w:val="nil"/>
              <w:bottom w:val="single" w:sz="12" w:space="0" w:color="000000"/>
              <w:right w:val="nil"/>
            </w:tcBorders>
          </w:tcPr>
          <w:p w14:paraId="30752A0C" w14:textId="77777777" w:rsidR="00EA6EA1" w:rsidRPr="00493E39" w:rsidRDefault="00000000">
            <w:pPr>
              <w:spacing w:after="20" w:line="240" w:lineRule="auto"/>
              <w:rPr>
                <w:rFonts w:cs="Arial"/>
              </w:rPr>
            </w:pPr>
            <w:r w:rsidRPr="00493E39">
              <w:rPr>
                <w:rFonts w:cs="Arial"/>
                <w:sz w:val="18"/>
              </w:rPr>
              <w:t xml:space="preserve">Banco Central do </w:t>
            </w:r>
            <w:proofErr w:type="spellStart"/>
            <w:r w:rsidRPr="00493E39">
              <w:rPr>
                <w:rFonts w:cs="Arial"/>
                <w:sz w:val="18"/>
              </w:rPr>
              <w:t>Brasil</w:t>
            </w:r>
            <w:proofErr w:type="spellEnd"/>
            <w:r w:rsidRPr="00493E39">
              <w:rPr>
                <w:rFonts w:cs="Arial"/>
                <w:sz w:val="18"/>
              </w:rPr>
              <w:t xml:space="preserve"> (2022)</w:t>
            </w:r>
          </w:p>
        </w:tc>
        <w:tc>
          <w:tcPr>
            <w:tcW w:w="1750" w:type="dxa"/>
            <w:tcBorders>
              <w:top w:val="nil"/>
              <w:left w:val="nil"/>
              <w:bottom w:val="single" w:sz="12" w:space="0" w:color="000000"/>
              <w:right w:val="nil"/>
            </w:tcBorders>
          </w:tcPr>
          <w:p w14:paraId="19DACD60" w14:textId="77777777" w:rsidR="00EA6EA1" w:rsidRPr="00493E39" w:rsidRDefault="00000000">
            <w:pPr>
              <w:spacing w:after="20" w:line="240" w:lineRule="auto"/>
              <w:rPr>
                <w:rFonts w:cs="Arial"/>
                <w:lang w:val="pt-BR"/>
              </w:rPr>
            </w:pPr>
            <w:r w:rsidRPr="00493E39">
              <w:rPr>
                <w:rFonts w:cs="Arial"/>
                <w:sz w:val="18"/>
                <w:lang w:val="pt-BR"/>
              </w:rPr>
              <w:t>Brasil, calibração via gasolina, petróleo em reais</w:t>
            </w:r>
          </w:p>
        </w:tc>
        <w:tc>
          <w:tcPr>
            <w:tcW w:w="2350" w:type="dxa"/>
            <w:tcBorders>
              <w:top w:val="nil"/>
              <w:left w:val="nil"/>
              <w:bottom w:val="single" w:sz="12" w:space="0" w:color="000000"/>
              <w:right w:val="nil"/>
            </w:tcBorders>
          </w:tcPr>
          <w:p w14:paraId="7A05AC7F" w14:textId="77777777" w:rsidR="00EA6EA1" w:rsidRPr="00493E39" w:rsidRDefault="00000000">
            <w:pPr>
              <w:spacing w:after="20" w:line="240" w:lineRule="auto"/>
              <w:rPr>
                <w:rFonts w:cs="Arial"/>
                <w:lang w:val="pt-BR"/>
              </w:rPr>
            </w:pPr>
            <w:r w:rsidRPr="00493E39">
              <w:rPr>
                <w:rFonts w:cs="Arial"/>
                <w:sz w:val="18"/>
                <w:lang w:val="pt-BR"/>
              </w:rPr>
              <w:t xml:space="preserve">0,20 a 0,27 </w:t>
            </w:r>
            <w:proofErr w:type="spellStart"/>
            <w:r w:rsidRPr="00493E39">
              <w:rPr>
                <w:rFonts w:cs="Arial"/>
                <w:sz w:val="18"/>
                <w:lang w:val="pt-BR"/>
              </w:rPr>
              <w:t>p.p</w:t>
            </w:r>
            <w:proofErr w:type="spellEnd"/>
            <w:r w:rsidRPr="00493E39">
              <w:rPr>
                <w:rFonts w:cs="Arial"/>
                <w:sz w:val="18"/>
                <w:lang w:val="pt-BR"/>
              </w:rPr>
              <w:t>. no IPCA com pesos de 2021; 0,31 a 0,43 com os de 2022</w:t>
            </w:r>
          </w:p>
        </w:tc>
        <w:tc>
          <w:tcPr>
            <w:tcW w:w="2251" w:type="dxa"/>
            <w:tcBorders>
              <w:top w:val="nil"/>
              <w:left w:val="nil"/>
              <w:bottom w:val="single" w:sz="12" w:space="0" w:color="000000"/>
              <w:right w:val="nil"/>
            </w:tcBorders>
          </w:tcPr>
          <w:p w14:paraId="46B76F0F" w14:textId="77777777" w:rsidR="00EA6EA1" w:rsidRPr="00493E39" w:rsidRDefault="00000000">
            <w:pPr>
              <w:spacing w:after="20" w:line="240" w:lineRule="auto"/>
              <w:rPr>
                <w:rFonts w:cs="Arial"/>
                <w:lang w:val="pt-BR"/>
              </w:rPr>
            </w:pPr>
            <w:r w:rsidRPr="00493E39">
              <w:rPr>
                <w:rFonts w:cs="Arial"/>
                <w:sz w:val="18"/>
                <w:lang w:val="pt-BR"/>
              </w:rPr>
              <w:t>Canal dos combustíveis em três meses: 0,003 antes e 0,23 depois</w:t>
            </w:r>
          </w:p>
        </w:tc>
      </w:tr>
    </w:tbl>
    <w:p w14:paraId="726E171A" w14:textId="77777777" w:rsidR="00D64459" w:rsidRPr="00493E39" w:rsidRDefault="008B2120">
      <w:pPr>
        <w:spacing w:before="40" w:line="240" w:lineRule="auto"/>
        <w:jc w:val="both"/>
        <w:rPr>
          <w:rFonts w:cs="Arial"/>
          <w:lang w:val="pt-BR"/>
        </w:rPr>
      </w:pPr>
      <w:r w:rsidRPr="00493E39">
        <w:rPr>
          <w:rFonts w:cs="Arial"/>
          <w:sz w:val="18"/>
          <w:lang w:val="pt-BR"/>
        </w:rPr>
        <w:t>Nota: os valores deste trabalho são os coeficientes das Tabelas 2, 4 e 5 e da seção 4.5.1 multiplicados por 10/10,7; elasticidade é a razão entre a variação do preço e a do petróleo. Antes e depois referem-se a março de 2017. Métodos, amostras e medidas de preço diferem entre os estudos, e a comparação é de ordem de grandeza.</w:t>
      </w:r>
    </w:p>
    <w:p w14:paraId="0479399C"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 a partir dos trabalhos citados.</w:t>
      </w:r>
    </w:p>
    <w:p w14:paraId="39A3BE35" w14:textId="77777777" w:rsidR="00D64459" w:rsidRPr="00493E39" w:rsidRDefault="008B2120">
      <w:pPr>
        <w:ind w:firstLine="709"/>
        <w:jc w:val="both"/>
        <w:rPr>
          <w:rFonts w:cs="Arial"/>
          <w:lang w:val="pt-BR"/>
        </w:rPr>
      </w:pPr>
      <w:r w:rsidRPr="00493E39">
        <w:rPr>
          <w:rFonts w:cs="Arial"/>
          <w:lang w:val="pt-BR"/>
        </w:rPr>
        <w:t xml:space="preserve">A primeira constatação é que o regime posterior se parece com as economias da literatura internacional, e o anterior não. Choi et al. (2018) estimam, em painel de 72 economias entre 1970 e 2015, que uma alta de 10% eleva a inflação em cerca de 0,4 </w:t>
      </w:r>
      <w:r w:rsidRPr="00493E39">
        <w:rPr>
          <w:rFonts w:cs="Arial"/>
          <w:lang w:val="pt-BR"/>
        </w:rPr>
        <w:lastRenderedPageBreak/>
        <w:t>ponto percentual no ano do choque. O análogo desta amostra em doze meses é de 0,10 na especificação de amostra completa, mas de −0,06 no regime anterior e de 0,25 no posterior. Para os Estados Unidos, Känzig (2021) obtém, com choques de oferta identificados por anúncios da OPEP, elevação de 0,4% no nível de preços ao consumidor no pico da resposta, o que corresponde a repasse de cerca de 4,5%; no regime posterior, o IPCA atinge 0,33 ponto no pico, um mês após o choque, repasse de 3,3%. Sob a paridade, a magnitude brasileira é, portanto, da mesma ordem da norte-americana e algo inferior à média histórica do painel de Choi et al. (2018), o que é compatível com o declínio do repasse ao longo do tempo que aqueles autores documentam.</w:t>
      </w:r>
    </w:p>
    <w:p w14:paraId="59C4DB5B" w14:textId="77777777" w:rsidR="00D64459" w:rsidRPr="00493E39" w:rsidRDefault="008B2120">
      <w:pPr>
        <w:ind w:firstLine="709"/>
        <w:jc w:val="both"/>
        <w:rPr>
          <w:rFonts w:cs="Arial"/>
          <w:lang w:val="pt-BR"/>
        </w:rPr>
      </w:pPr>
      <w:r w:rsidRPr="00493E39">
        <w:rPr>
          <w:rFonts w:cs="Arial"/>
          <w:lang w:val="pt-BR"/>
        </w:rPr>
        <w:t>O mesmo artigo traz evidência específica sobre o Brasil que corrobora o resultado por via independente. Com dados mensais de 2000 a 2015, Choi et al. (2018) estimam o efeito instantâneo do petróleo sobre a inflação país a país, e o Brasil aparece em último lugar entre as 71 economias, com coeficiente de −0,008, equivalente a −0,08 ponto por alta de 10%, contra cerca de 0,1 ponto em média nas economias avançadas e nas em desenvolvimento e 0,25 nos Estados Unidos, o maior entre as avançadas. A janela daquele exercício coincide quase inteiramente com o regime anterior deste trabalho, em que o efeito no mês do choque é de 0,005 ponto por alta de 10%; no regime posterior ele passa a 0,16, entre a média internacional e o valor norte-americano. Registre-se que, medido o petróleo em dólares e não em moeda local, o coeficiente brasileiro daquele trabalho passa a 0,012, ao passo que o norte-americano permanece em 0,025, e que a especificação não inclui os controles domésticos usados aqui. A sensibilidade do coeficiente brasileiro à moeda de medida é compatível com a ausência de repasse sistemático naquele período.</w:t>
      </w:r>
    </w:p>
    <w:p w14:paraId="702025AC" w14:textId="77777777" w:rsidR="00D64459" w:rsidRPr="00493E39" w:rsidRDefault="008B2120">
      <w:pPr>
        <w:ind w:firstLine="709"/>
        <w:jc w:val="both"/>
        <w:rPr>
          <w:rFonts w:cs="Arial"/>
          <w:lang w:val="pt-BR"/>
        </w:rPr>
      </w:pPr>
      <w:r w:rsidRPr="00493E39">
        <w:rPr>
          <w:rFonts w:cs="Arial"/>
          <w:lang w:val="pt-BR"/>
        </w:rPr>
        <w:t xml:space="preserve">A comparação com os Estados Unidos também esclarece onde a mudança ocorreu. Blanchard e Galí (2007) mostram que, de antes para depois de 1984, quase todas as respostas norte-americanas ao petróleo se atenuaram, com uma exceção: a resposta da inflação ao consumidor no impacto permaneceu muito semelhante entre os períodos, o que os autores atribuem ao reflexo mecânico do petróleo no componente de energia do índice; o que diminuiu foi a persistência. No Brasil ocorre o inverso. O que muda entre os regimes é precisamente o impacto, que passa de 0,005 para 0,16 ponto </w:t>
      </w:r>
      <w:r w:rsidRPr="00493E39">
        <w:rPr>
          <w:rFonts w:cs="Arial"/>
          <w:lang w:val="pt-BR"/>
        </w:rPr>
        <w:lastRenderedPageBreak/>
        <w:t>por alta de 10%, e a primeira volta responde por 63% do efeito no mês do choque, como registra a seção 4.5.1. Onde o preço do combustível é de mercado, o elo mecânico é estável e o que varia ao longo do tempo é a persistência; onde o preço é administrado, é o próprio elo mecânico que a regra liga ou desliga. A gasolina ao consumidor ilustra o ponto: no regime posterior, sua elasticidade ao petróleo chega a 0,37 no mês seguinte ao choque, da mesma ordem dos cerca de 35% que Känzig (2021) reporta para o componente de energia do índice norte-americano após um ano.</w:t>
      </w:r>
    </w:p>
    <w:p w14:paraId="1C521BBE" w14:textId="77777777" w:rsidR="00D64459" w:rsidRPr="00493E39" w:rsidRDefault="008B2120">
      <w:pPr>
        <w:ind w:firstLine="709"/>
        <w:jc w:val="both"/>
        <w:rPr>
          <w:rFonts w:cs="Arial"/>
          <w:lang w:val="pt-BR"/>
        </w:rPr>
      </w:pPr>
      <w:r w:rsidRPr="00493E39">
        <w:rPr>
          <w:rFonts w:cs="Arial"/>
          <w:lang w:val="pt-BR"/>
        </w:rPr>
        <w:t>Quanto ao mecanismo, a literatura europeia oferece o termo de comparação para a decomposição da seção 4.5. Baba e Lee (2022) encontram repasse ao núcleo que parte de 0,002 no primeiro trimestre e chega a 0,03 em três anos, e López et al. (2026), para choques de gás na área do euro, atribuem aos efeitos indiretos cerca de 75% da resposta acumulada da inflação cheia ao fim de três anos. No regime posterior brasileiro, a segunda volta responde por 87% do efeito em seis meses e por 80% em doze, com elasticidade de 0,015 e 0,020 nesses horizontes. A direção é a mesma, com a parcela de custos crescendo até dominar, mas aqui o deslocamento se completa em meses, e não em anos. A comparação requer cautela redobrada: a segunda volta deste trabalho é obtida por subtração dos pesos da cesta, não é significativa em todos os horizontes e não equivale ao núcleo examinado por aqueles autores.</w:t>
      </w:r>
    </w:p>
    <w:p w14:paraId="14FEFD00" w14:textId="77777777" w:rsidR="00D64459" w:rsidRPr="00493E39" w:rsidRDefault="008B2120">
      <w:pPr>
        <w:ind w:firstLine="709"/>
        <w:jc w:val="both"/>
        <w:rPr>
          <w:rFonts w:cs="Arial"/>
          <w:lang w:val="pt-BR"/>
        </w:rPr>
      </w:pPr>
      <w:r w:rsidRPr="00493E39">
        <w:rPr>
          <w:rFonts w:cs="Arial"/>
          <w:lang w:val="pt-BR"/>
        </w:rPr>
        <w:t>A literatura de corte transversal antecipa o mecanismo que o caso brasileiro exibe ao longo do tempo. Gelos e Ustyugova (2017) observam que o repasse dos combustíveis é bem mais disperso entre as economias em desenvolvimento do que entre as avançadas e sugerem que a dispersão reflete o uso de controles de preço e de subsídios; Choi et al. (2018) e López et al. (2026) também associam o tamanho do repasse à regulação dos preços domésticos de energia; e a seção 4.8 mostra, com a base de Akcura (2025), que o repasse mediano dos países de preço desregulado é cerca de 2,8 vezes o dos países de preço regulado. O Brasil oferece a contrapartida que nenhum corte transversal pode oferecer: a mesma economia observada nos dois extremos, com a passagem de um a outro datada pelos próprios dados.</w:t>
      </w:r>
    </w:p>
    <w:p w14:paraId="153CAC97" w14:textId="77777777" w:rsidR="00D64459" w:rsidRPr="00493E39" w:rsidRDefault="008B2120">
      <w:pPr>
        <w:ind w:firstLine="709"/>
        <w:jc w:val="both"/>
        <w:rPr>
          <w:rFonts w:cs="Arial"/>
          <w:lang w:val="pt-BR"/>
        </w:rPr>
      </w:pPr>
      <w:r w:rsidRPr="00493E39">
        <w:rPr>
          <w:rFonts w:cs="Arial"/>
          <w:lang w:val="pt-BR"/>
        </w:rPr>
        <w:t xml:space="preserve">Na literatura brasileira, o termo de comparação mais direto é o do Banco Central do Brasil (2022), que calibra o efeito de uma alta de 10% do petróleo em reais sobre o IPCA, via gasolina, entre 0,20 e 0,27 ponto com os pesos de 2021 e entre 0,31 e 0,43 </w:t>
      </w:r>
      <w:r w:rsidRPr="00493E39">
        <w:rPr>
          <w:rFonts w:cs="Arial"/>
          <w:lang w:val="pt-BR"/>
        </w:rPr>
        <w:lastRenderedPageBreak/>
        <w:t>com os de 2022. O canal dos combustíveis estimado aqui para o regime posterior, de 0,23 ponto por alta de 10% em três meses, situa-se dentro do primeiro intervalo, ao passo que o do regime anterior, de 0,003, fica muito abaixo dele. A proximidade deve ser lida com as ressalvas da seção 4.5.2: a calibração mede o petróleo em reais e considera apenas a gasolina, enquanto o canal estimado usa o Brent em dólares, com o câmbio entre os controles, e inclui diesel e etanol. Ainda assim, ela indica que a hipótese de repasse integral à refinaria, na qual a calibração se apoia, descreve o regime posterior e não o anterior. Os trabalhos que documentaram a contenção por via contábil, Almeida, Oliveira e Losekann (2015) e Azevedo e Serigati (2015), descrevem o mecanismo pelo qual o repasse anterior ficou próximo de zero, e Jesus Jr., Uchôa e Fernandes (2025) concluem que manter o preço abaixo da referência pouco afeta a inflação, resultado coerente com o regime anterior estimado aqui. O que este trabalho acrescenta é a datação da mudança pelos próprios dados, a medida do canal e a extensão da amostra até 2025.</w:t>
      </w:r>
    </w:p>
    <w:p w14:paraId="53B5CA30" w14:textId="77777777" w:rsidR="00D64459" w:rsidRPr="00493E39" w:rsidRDefault="008B2120">
      <w:pPr>
        <w:ind w:firstLine="709"/>
        <w:jc w:val="both"/>
        <w:rPr>
          <w:rFonts w:cs="Arial"/>
          <w:lang w:val="pt-BR"/>
        </w:rPr>
      </w:pPr>
      <w:r w:rsidRPr="00493E39">
        <w:rPr>
          <w:rFonts w:cs="Arial"/>
          <w:lang w:val="pt-BR"/>
        </w:rPr>
        <w:t>Em conjunto, a literatura confirma a leitura do capítulo por três vias distintas. Sob a paridade, o Brasil exibe magnitudes da ordem das reportadas para os Estados Unidos e para o painel internacional; antes dela, aparecia em último lugar na comparação internacional de Choi et al. (2018); e a estimativa de amostra completa, de 0,10 ponto em doze meses, fica abaixo das referências internacionais e não descreve nenhum dos dois regimes. É a regra de formação de preços que explica por que o Brasil passou de um extremo a outro da distribuição internacional sem mudança correspondente em seu regime monetário.</w:t>
      </w:r>
    </w:p>
    <w:p w14:paraId="121DA881" w14:textId="77777777" w:rsidR="00D64459" w:rsidRPr="00493E39" w:rsidRDefault="008B2120">
      <w:pPr>
        <w:pStyle w:val="Heading2"/>
        <w:spacing w:before="280" w:after="160"/>
        <w:rPr>
          <w:rFonts w:ascii="Arial" w:hAnsi="Arial" w:cs="Arial"/>
          <w:lang w:val="pt-BR"/>
        </w:rPr>
      </w:pPr>
      <w:bookmarkStart w:id="33" w:name="_Toc239713582"/>
      <w:r w:rsidRPr="00493E39">
        <w:rPr>
          <w:rFonts w:ascii="Arial" w:hAnsi="Arial" w:cs="Arial"/>
          <w:sz w:val="24"/>
          <w:lang w:val="pt-BR"/>
        </w:rPr>
        <w:t>4.10 Síntese</w:t>
      </w:r>
      <w:bookmarkEnd w:id="33"/>
    </w:p>
    <w:p w14:paraId="16D61BBB" w14:textId="77777777" w:rsidR="00D64459" w:rsidRPr="00493E39" w:rsidRDefault="008B2120">
      <w:pPr>
        <w:ind w:firstLine="709"/>
        <w:jc w:val="both"/>
        <w:rPr>
          <w:rFonts w:cs="Arial"/>
          <w:lang w:val="pt-BR"/>
        </w:rPr>
      </w:pPr>
      <w:r w:rsidRPr="00493E39">
        <w:rPr>
          <w:rFonts w:cs="Arial"/>
          <w:lang w:val="pt-BR"/>
        </w:rPr>
        <w:t xml:space="preserve">Quatro proposições resultam do conjunto: a transmissão do preço internacional do petróleo à inflação brasileira aumentou substancialmente após março de 2017; concentra-se nos dois primeiros meses após o choque; transita majoritariamente pelos preços domésticos de combustíveis, com a composição deslocando-se da aritmética da cesta para a propagação de custos até o sexto mês; e a data da mudança é identificada pelos próprios dados, e não imposta pela cronologia institucional. O que as sustenta, </w:t>
      </w:r>
      <w:r w:rsidRPr="00493E39">
        <w:rPr>
          <w:rFonts w:cs="Arial"/>
          <w:lang w:val="pt-BR"/>
        </w:rPr>
        <w:lastRenderedPageBreak/>
        <w:t>porém, não é nenhuma delas isoladamente, e sim a convergência entre exercícios de naturezas distintas, examinada na conclusão.</w:t>
      </w:r>
    </w:p>
    <w:p w14:paraId="2EF2979F" w14:textId="77777777" w:rsidR="00D64459" w:rsidRPr="00493E39" w:rsidRDefault="008B2120">
      <w:pPr>
        <w:pStyle w:val="Heading1"/>
        <w:spacing w:before="280" w:after="160"/>
        <w:rPr>
          <w:rFonts w:ascii="Arial" w:hAnsi="Arial" w:cs="Arial"/>
          <w:lang w:val="pt-BR"/>
        </w:rPr>
      </w:pPr>
      <w:bookmarkStart w:id="34" w:name="_Toc239713583"/>
      <w:r w:rsidRPr="00493E39">
        <w:rPr>
          <w:rFonts w:ascii="Arial" w:hAnsi="Arial" w:cs="Arial"/>
          <w:lang w:val="pt-BR"/>
        </w:rPr>
        <w:t>5 CONCLUSÃO</w:t>
      </w:r>
      <w:bookmarkEnd w:id="34"/>
    </w:p>
    <w:p w14:paraId="2BAF7B91" w14:textId="77777777" w:rsidR="00D64459" w:rsidRPr="00493E39" w:rsidRDefault="008B2120">
      <w:pPr>
        <w:ind w:firstLine="709"/>
        <w:jc w:val="both"/>
        <w:rPr>
          <w:rFonts w:cs="Arial"/>
          <w:lang w:val="pt-BR"/>
        </w:rPr>
      </w:pPr>
      <w:r w:rsidRPr="00493E39">
        <w:rPr>
          <w:rFonts w:cs="Arial"/>
          <w:lang w:val="pt-BR"/>
        </w:rPr>
        <w:t>Este trabalho perguntou quanto de um choque no preço internacional do petróleo chega à inflação brasileira, quando esse efeito se materializa e por qual canal ele transita. Nenhuma das três perguntas tem resposta única, porque todas dependem da regra pela qual o preço internacional se converte em preço doméstico de combustível. No Brasil essa regra mudou, e a mudança é o que torna a pergunta respondível.</w:t>
      </w:r>
    </w:p>
    <w:p w14:paraId="06242420" w14:textId="77777777" w:rsidR="00D64459" w:rsidRPr="00493E39" w:rsidRDefault="008B2120">
      <w:pPr>
        <w:ind w:firstLine="709"/>
        <w:jc w:val="both"/>
        <w:rPr>
          <w:rFonts w:cs="Arial"/>
          <w:lang w:val="pt-BR"/>
        </w:rPr>
      </w:pPr>
      <w:r w:rsidRPr="00493E39">
        <w:rPr>
          <w:rFonts w:cs="Arial"/>
          <w:lang w:val="pt-BR"/>
        </w:rPr>
        <w:t xml:space="preserve">O resultado central é que o repasse aumentou de forma acentuada em torno do primeiro trimestre de 2017. A data é estimada pelos próprios dados, mas identificada com folga de anos, e a seção </w:t>
      </w:r>
      <w:proofErr w:type="gramStart"/>
      <w:r w:rsidRPr="00493E39">
        <w:rPr>
          <w:rFonts w:cs="Arial"/>
          <w:lang w:val="pt-BR"/>
        </w:rPr>
        <w:t>4.7.4 mostra</w:t>
      </w:r>
      <w:proofErr w:type="gramEnd"/>
      <w:r w:rsidRPr="00493E39">
        <w:rPr>
          <w:rFonts w:cs="Arial"/>
          <w:lang w:val="pt-BR"/>
        </w:rPr>
        <w:t xml:space="preserve"> que impor outubro de 2016, mês do anúncio da política, reproduz integralmente o resultado sem estimar data alguma. No mês do choque, a resposta do IPCA cheio passa de 0,005 para algo entre 0,088 e 0,176 ponto percentual, conforme o tratamento dado às observações da pandemia. A mudança, porém, não é apenas de intensidade, e é aqui que a evidência é mais firme. Nas dezoito estimativas do regime anterior não há um único coeficiente distinguível de zero, ao passo que as dezoito do posterior são todas significativas nos horizontes de até três meses, e dezesseis sobrevivem ao critério uniforme. Com dinâmica livre entre regimes, surgem coeficientes anteriores pequenos nos combustíveis, e o do índice cheio permanece nulo. No índice, o coeficiente anterior tampouco é impreciso: seu erro-padrão no impacto é de 0,024. O repasse ao índice não era menor, não era detectável, e passou a ser sistemático.</w:t>
      </w:r>
    </w:p>
    <w:p w14:paraId="338A86D0" w14:textId="77777777" w:rsidR="00D64459" w:rsidRPr="00493E39" w:rsidRDefault="008B2120">
      <w:pPr>
        <w:ind w:firstLine="709"/>
        <w:jc w:val="both"/>
        <w:rPr>
          <w:rFonts w:cs="Arial"/>
          <w:lang w:val="pt-BR"/>
        </w:rPr>
      </w:pPr>
      <w:r w:rsidRPr="00493E39">
        <w:rPr>
          <w:rFonts w:cs="Arial"/>
          <w:lang w:val="pt-BR"/>
        </w:rPr>
        <w:t>O efeito é rápido e concentrado: os dois primeiros meses entregam integralmente o repasse verificado em três, e entre o segundo e o décimo mês praticamente nenhuma série responde, salvo a refinaria, que devolve parte do salto no terceiro mês. Para a política monetária, a janela de transmissão é estreita e se fecha cedo.</w:t>
      </w:r>
    </w:p>
    <w:p w14:paraId="6462B353" w14:textId="77777777" w:rsidR="00D64459" w:rsidRPr="00493E39" w:rsidRDefault="008B2120">
      <w:pPr>
        <w:ind w:firstLine="709"/>
        <w:jc w:val="both"/>
        <w:rPr>
          <w:rFonts w:cs="Arial"/>
          <w:lang w:val="pt-BR"/>
        </w:rPr>
      </w:pPr>
      <w:r w:rsidRPr="00493E39">
        <w:rPr>
          <w:rFonts w:cs="Arial"/>
          <w:lang w:val="pt-BR"/>
        </w:rPr>
        <w:t xml:space="preserve">Quanto ao canal, a evidência é nítida. Os preços domésticos de combustíveis respondem por 0,003 ponto percentual do efeito sobre o IPCA em três meses no regime anterior e por 0,249 no posterior, diferença de 0,246 ponto com erro-padrão de 0,053 e p inferior a 0,001. A paridade não apenas elevou o repasse: elevou-o pela via prevista </w:t>
      </w:r>
      <w:r w:rsidRPr="00493E39">
        <w:rPr>
          <w:rFonts w:cs="Arial"/>
          <w:lang w:val="pt-BR"/>
        </w:rPr>
        <w:lastRenderedPageBreak/>
        <w:t>pela mudança institucional. Dentro dessa parcela, a separação entre efeito aritmético e econômico sugere que a composição se desloca com o tempo, de 63% de primeira volta no mês do choque para 13% em seis. Essa parte é a mais frágil e assim deve ser lida: a segunda volta não alcança significância isolada em três meses e as duas construções que convergem não são independentes.</w:t>
      </w:r>
    </w:p>
    <w:p w14:paraId="39866838" w14:textId="77777777" w:rsidR="00D64459" w:rsidRPr="00493E39" w:rsidRDefault="008B2120">
      <w:pPr>
        <w:ind w:firstLine="709"/>
        <w:jc w:val="both"/>
        <w:rPr>
          <w:rFonts w:cs="Arial"/>
          <w:lang w:val="pt-BR"/>
        </w:rPr>
      </w:pPr>
      <w:r w:rsidRPr="00493E39">
        <w:rPr>
          <w:rFonts w:cs="Arial"/>
          <w:lang w:val="pt-BR"/>
        </w:rPr>
        <w:t>A contribuição está menos em qualquer um desses números isoladamente e mais no que a convergência entre eles permite afirmar: as rejeições do teste de quebra, o p-valor ajustado por seleção, o canal dos combustíveis e a resposta mensal delimitam todos o mesmo horizonte e o mesmo mecanismo, por procedimentos distintos. A convergência não é, porém, independência estatística: os exercícios partilham amostra, choque e especificação, de sorte que ela indica robustez a escolhas de procedimento, e não acúmulo de evidências separadas.</w:t>
      </w:r>
    </w:p>
    <w:p w14:paraId="745909DA" w14:textId="77777777" w:rsidR="00D64459" w:rsidRPr="00493E39" w:rsidRDefault="008B2120">
      <w:pPr>
        <w:ind w:firstLine="709"/>
        <w:jc w:val="both"/>
        <w:rPr>
          <w:rFonts w:cs="Arial"/>
          <w:lang w:val="pt-BR"/>
        </w:rPr>
      </w:pPr>
      <w:r w:rsidRPr="00493E39">
        <w:rPr>
          <w:rFonts w:cs="Arial"/>
          <w:lang w:val="pt-BR"/>
        </w:rPr>
        <w:t>A implicação de política decorre disso. A magnitude com que um choque internacional atinge a inflação brasileira não é constante da economia, e sim atributo da regra de formação de preços vigente, de modo que a calibragem do repasse precisa ser revista sempre que a regra mudar.</w:t>
      </w:r>
    </w:p>
    <w:p w14:paraId="16DBE469" w14:textId="77777777" w:rsidR="00D64459" w:rsidRPr="00493E39" w:rsidRDefault="008B2120">
      <w:pPr>
        <w:ind w:firstLine="709"/>
        <w:jc w:val="both"/>
        <w:rPr>
          <w:rFonts w:cs="Arial"/>
          <w:lang w:val="pt-BR"/>
        </w:rPr>
      </w:pPr>
      <w:r w:rsidRPr="00493E39">
        <w:rPr>
          <w:rFonts w:cs="Arial"/>
          <w:lang w:val="pt-BR"/>
        </w:rPr>
        <w:t>Cinco limitações delimitam o alcance dos resultados. A etapa que condiciona no preço do combustível não é causalmente identificada, de modo que a leitura defensável é contábil e não causal. A data da quebra é identificada com folga de anos, e a faixa compatível vai de abril de 2016 a fevereiro de 2021. A conclusão apoia-se no horizonte de impacto, e não no de três meses, onde o teste para o efeito total é sensível ao número de defasagens. E o nível do repasse, bem como a data que os dados elegem, dependem do tratamento das observações da pandemia. E o zero anterior dos combustíveis depende de impor dinâmica comum aos regimes. Nada disso altera o contraste entre regimes, que rejeita nas duas construções, nem o padrão de significância, que a seção 4.7.4 reproduz impondo a data institucional.</w:t>
      </w:r>
    </w:p>
    <w:p w14:paraId="0CD65F7F" w14:textId="77777777" w:rsidR="00D64459" w:rsidRPr="00493E39" w:rsidRDefault="008B2120">
      <w:pPr>
        <w:ind w:firstLine="709"/>
        <w:jc w:val="both"/>
        <w:rPr>
          <w:rFonts w:cs="Arial"/>
          <w:lang w:val="pt-BR"/>
        </w:rPr>
      </w:pPr>
      <w:r w:rsidRPr="00493E39">
        <w:rPr>
          <w:rFonts w:cs="Arial"/>
          <w:lang w:val="pt-BR"/>
        </w:rPr>
        <w:t>Três extensões decorrem naturalmente: instrumentar o preço doméstico de combustível pela cotação internacional do produto refinado, o que identificaria causalmente o efeito de segunda volta; aprofundar a assimetria do Apêndice K.4, que aparece sob a paridade e não sem ela; e reavaliar o período posterior a maio de 2023 quando houver observações suficientes.</w:t>
      </w:r>
    </w:p>
    <w:p w14:paraId="171A4C54" w14:textId="77777777" w:rsidR="00D64459" w:rsidRPr="00493E39" w:rsidRDefault="008B2120">
      <w:pPr>
        <w:ind w:firstLine="709"/>
        <w:jc w:val="both"/>
        <w:rPr>
          <w:rFonts w:cs="Arial"/>
          <w:lang w:val="pt-BR"/>
        </w:rPr>
      </w:pPr>
      <w:r w:rsidRPr="00493E39">
        <w:rPr>
          <w:rFonts w:cs="Arial"/>
          <w:lang w:val="pt-BR"/>
        </w:rPr>
        <w:lastRenderedPageBreak/>
        <w:t>O trabalho deixa, como resultado mais durável, uma advertência metodológica, e ela é um contraexemplo trabalhado antes de ser uma recomendação. Sobre os mesmos dados, a especificação de amostra completa não rejeita ausência de efeito sobre o IPCA cheio, com p de 0,194, ao passo que a especificação por regime rejeita a igualdade entre períodos nas seis séries. A diferença não está na potência da amostra, e sim em permitir que o coeficiente difira entre regras de precificação. O objeto de interesse não estava perdido nos dados: estava escondido pela agregação. A advertência não se restringe ao Brasil, e vale para qualquer economia cuja regra de conversão do preço internacional em preço doméstico tenha mudado dentro da janela estimada, condição frequente na América Latina.</w:t>
      </w:r>
    </w:p>
    <w:p w14:paraId="66EEE70A" w14:textId="77777777" w:rsidR="00D64459" w:rsidRPr="00493E39" w:rsidRDefault="008B2120">
      <w:pPr>
        <w:pStyle w:val="Heading1"/>
        <w:pageBreakBefore/>
        <w:spacing w:before="280" w:after="280"/>
        <w:jc w:val="center"/>
        <w:rPr>
          <w:rFonts w:ascii="Arial" w:hAnsi="Arial" w:cs="Arial"/>
          <w:lang w:val="pt-BR"/>
        </w:rPr>
      </w:pPr>
      <w:bookmarkStart w:id="35" w:name="_Toc239713584"/>
      <w:r w:rsidRPr="00493E39">
        <w:rPr>
          <w:rFonts w:ascii="Arial" w:hAnsi="Arial" w:cs="Arial"/>
          <w:lang w:val="pt-BR"/>
        </w:rPr>
        <w:lastRenderedPageBreak/>
        <w:t>REFERÊNCIAS</w:t>
      </w:r>
      <w:bookmarkEnd w:id="35"/>
    </w:p>
    <w:p w14:paraId="76225122" w14:textId="77777777" w:rsidR="00D64459" w:rsidRPr="00493E39" w:rsidRDefault="008B2120">
      <w:pPr>
        <w:spacing w:after="240" w:line="240" w:lineRule="auto"/>
        <w:rPr>
          <w:rFonts w:cs="Arial"/>
          <w:lang w:val="pt-BR"/>
        </w:rPr>
      </w:pPr>
      <w:r w:rsidRPr="00493E39">
        <w:rPr>
          <w:rFonts w:cs="Arial"/>
          <w:lang w:val="pt-BR"/>
        </w:rPr>
        <w:t>AGÊNCIA NACIONAL DO PETRÓLEO, GÁS NATURAL E BIOCOMBUSTÍVEIS. Série histórica de preços de combustíveis. Rio de Janeiro: ANP, 2025. Base de dados.</w:t>
      </w:r>
    </w:p>
    <w:p w14:paraId="1D8F71C6" w14:textId="77777777" w:rsidR="00D64459" w:rsidRPr="00493E39" w:rsidRDefault="008B2120">
      <w:pPr>
        <w:spacing w:after="240" w:line="240" w:lineRule="auto"/>
        <w:rPr>
          <w:rFonts w:cs="Arial"/>
          <w:lang w:val="pt-BR"/>
        </w:rPr>
      </w:pPr>
      <w:r w:rsidRPr="00493E39">
        <w:rPr>
          <w:rFonts w:cs="Arial"/>
          <w:lang w:val="pt-BR"/>
        </w:rPr>
        <w:t xml:space="preserve">AKCURA, E. A global assessment </w:t>
      </w:r>
      <w:proofErr w:type="spellStart"/>
      <w:r w:rsidRPr="00493E39">
        <w:rPr>
          <w:rFonts w:cs="Arial"/>
          <w:lang w:val="pt-BR"/>
        </w:rPr>
        <w:t>of</w:t>
      </w:r>
      <w:proofErr w:type="spellEnd"/>
      <w:r w:rsidRPr="00493E39">
        <w:rPr>
          <w:rFonts w:cs="Arial"/>
          <w:lang w:val="pt-BR"/>
        </w:rPr>
        <w:t xml:space="preserve"> </w:t>
      </w:r>
      <w:proofErr w:type="spellStart"/>
      <w:r w:rsidRPr="00493E39">
        <w:rPr>
          <w:rFonts w:cs="Arial"/>
          <w:lang w:val="pt-BR"/>
        </w:rPr>
        <w:t>domestic</w:t>
      </w:r>
      <w:proofErr w:type="spellEnd"/>
      <w:r w:rsidRPr="00493E39">
        <w:rPr>
          <w:rFonts w:cs="Arial"/>
          <w:lang w:val="pt-BR"/>
        </w:rPr>
        <w:t xml:space="preserve"> </w:t>
      </w:r>
      <w:proofErr w:type="spellStart"/>
      <w:r w:rsidRPr="00493E39">
        <w:rPr>
          <w:rFonts w:cs="Arial"/>
          <w:lang w:val="pt-BR"/>
        </w:rPr>
        <w:t>petroleum</w:t>
      </w:r>
      <w:proofErr w:type="spellEnd"/>
      <w:r w:rsidRPr="00493E39">
        <w:rPr>
          <w:rFonts w:cs="Arial"/>
          <w:lang w:val="pt-BR"/>
        </w:rPr>
        <w:t xml:space="preserve"> </w:t>
      </w:r>
      <w:proofErr w:type="spellStart"/>
      <w:r w:rsidRPr="00493E39">
        <w:rPr>
          <w:rFonts w:cs="Arial"/>
          <w:lang w:val="pt-BR"/>
        </w:rPr>
        <w:t>fuel</w:t>
      </w:r>
      <w:proofErr w:type="spellEnd"/>
      <w:r w:rsidRPr="00493E39">
        <w:rPr>
          <w:rFonts w:cs="Arial"/>
          <w:lang w:val="pt-BR"/>
        </w:rPr>
        <w:t xml:space="preserve"> </w:t>
      </w:r>
      <w:proofErr w:type="spellStart"/>
      <w:r w:rsidRPr="00493E39">
        <w:rPr>
          <w:rFonts w:cs="Arial"/>
          <w:lang w:val="pt-BR"/>
        </w:rPr>
        <w:t>prices</w:t>
      </w:r>
      <w:proofErr w:type="spellEnd"/>
      <w:r w:rsidRPr="00493E39">
        <w:rPr>
          <w:rFonts w:cs="Arial"/>
          <w:lang w:val="pt-BR"/>
        </w:rPr>
        <w:t>. Washington: World Bank, 2025. (</w:t>
      </w:r>
      <w:proofErr w:type="spellStart"/>
      <w:r w:rsidRPr="00493E39">
        <w:rPr>
          <w:rFonts w:cs="Arial"/>
          <w:lang w:val="pt-BR"/>
        </w:rPr>
        <w:t>Policy</w:t>
      </w:r>
      <w:proofErr w:type="spellEnd"/>
      <w:r w:rsidRPr="00493E39">
        <w:rPr>
          <w:rFonts w:cs="Arial"/>
          <w:lang w:val="pt-BR"/>
        </w:rPr>
        <w:t xml:space="preserve"> </w:t>
      </w:r>
      <w:proofErr w:type="spellStart"/>
      <w:r w:rsidRPr="00493E39">
        <w:rPr>
          <w:rFonts w:cs="Arial"/>
          <w:lang w:val="pt-BR"/>
        </w:rPr>
        <w:t>Research</w:t>
      </w:r>
      <w:proofErr w:type="spellEnd"/>
      <w:r w:rsidRPr="00493E39">
        <w:rPr>
          <w:rFonts w:cs="Arial"/>
          <w:lang w:val="pt-BR"/>
        </w:rPr>
        <w:t xml:space="preserve"> </w:t>
      </w:r>
      <w:proofErr w:type="spellStart"/>
      <w:r w:rsidRPr="00493E39">
        <w:rPr>
          <w:rFonts w:cs="Arial"/>
          <w:lang w:val="pt-BR"/>
        </w:rPr>
        <w:t>Working</w:t>
      </w:r>
      <w:proofErr w:type="spellEnd"/>
      <w:r w:rsidRPr="00493E39">
        <w:rPr>
          <w:rFonts w:cs="Arial"/>
          <w:lang w:val="pt-BR"/>
        </w:rPr>
        <w:t xml:space="preserve"> </w:t>
      </w:r>
      <w:proofErr w:type="spellStart"/>
      <w:r w:rsidRPr="00493E39">
        <w:rPr>
          <w:rFonts w:cs="Arial"/>
          <w:lang w:val="pt-BR"/>
        </w:rPr>
        <w:t>Paper</w:t>
      </w:r>
      <w:proofErr w:type="spellEnd"/>
      <w:r w:rsidRPr="00493E39">
        <w:rPr>
          <w:rFonts w:cs="Arial"/>
          <w:lang w:val="pt-BR"/>
        </w:rPr>
        <w:t>, n. 11153).</w:t>
      </w:r>
    </w:p>
    <w:p w14:paraId="230C8C7A" w14:textId="77777777" w:rsidR="00D64459" w:rsidRPr="00493E39" w:rsidRDefault="008B2120">
      <w:pPr>
        <w:spacing w:after="240" w:line="240" w:lineRule="auto"/>
        <w:rPr>
          <w:rFonts w:cs="Arial"/>
        </w:rPr>
      </w:pPr>
      <w:r w:rsidRPr="00493E39">
        <w:rPr>
          <w:rFonts w:cs="Arial"/>
          <w:lang w:val="pt-BR"/>
        </w:rPr>
        <w:t xml:space="preserve">ALMEIDA, E. L. F. de; OLIVEIRA, P. V. de; LOSEKANN, L. Impactos da contenção dos preços de combustíveis no Brasil e opções de mecanismos de precificação. </w:t>
      </w:r>
      <w:r w:rsidRPr="00493E39">
        <w:rPr>
          <w:rFonts w:cs="Arial"/>
        </w:rPr>
        <w:t>Revista de Economia Política, v. 35, n. 3, p. 531-556, 2015.</w:t>
      </w:r>
    </w:p>
    <w:p w14:paraId="3375EC1A" w14:textId="77777777" w:rsidR="00D64459" w:rsidRPr="00493E39" w:rsidRDefault="008B2120">
      <w:pPr>
        <w:spacing w:after="240" w:line="240" w:lineRule="auto"/>
        <w:rPr>
          <w:rFonts w:cs="Arial"/>
        </w:rPr>
      </w:pPr>
      <w:r w:rsidRPr="00493E39">
        <w:rPr>
          <w:rFonts w:cs="Arial"/>
        </w:rPr>
        <w:t xml:space="preserve">ANDREWS, D. W. K. Tests for parameter instability and structural change with unknown change point. </w:t>
      </w:r>
      <w:proofErr w:type="spellStart"/>
      <w:r w:rsidRPr="00493E39">
        <w:rPr>
          <w:rFonts w:cs="Arial"/>
        </w:rPr>
        <w:t>Econometrica</w:t>
      </w:r>
      <w:proofErr w:type="spellEnd"/>
      <w:r w:rsidRPr="00493E39">
        <w:rPr>
          <w:rFonts w:cs="Arial"/>
        </w:rPr>
        <w:t>, v. 61, n. 4, p. 821-856, 1993.</w:t>
      </w:r>
    </w:p>
    <w:p w14:paraId="4DEF7BBC" w14:textId="77777777" w:rsidR="00D64459" w:rsidRPr="00493E39" w:rsidRDefault="008B2120">
      <w:pPr>
        <w:spacing w:after="240" w:line="240" w:lineRule="auto"/>
        <w:rPr>
          <w:rFonts w:cs="Arial"/>
          <w:lang w:val="pt-BR"/>
        </w:rPr>
      </w:pPr>
      <w:r w:rsidRPr="00493E39">
        <w:rPr>
          <w:rFonts w:cs="Arial"/>
        </w:rPr>
        <w:t xml:space="preserve">ANDREWS, I.; STOCK, J. H.; SUN, L. Weak instruments in instrumental variables regression: theory and practice. </w:t>
      </w:r>
      <w:r w:rsidRPr="00493E39">
        <w:rPr>
          <w:rFonts w:cs="Arial"/>
          <w:lang w:val="pt-BR"/>
        </w:rPr>
        <w:t xml:space="preserve">Annual Review </w:t>
      </w:r>
      <w:proofErr w:type="spellStart"/>
      <w:r w:rsidRPr="00493E39">
        <w:rPr>
          <w:rFonts w:cs="Arial"/>
          <w:lang w:val="pt-BR"/>
        </w:rPr>
        <w:t>of</w:t>
      </w:r>
      <w:proofErr w:type="spellEnd"/>
      <w:r w:rsidRPr="00493E39">
        <w:rPr>
          <w:rFonts w:cs="Arial"/>
          <w:lang w:val="pt-BR"/>
        </w:rPr>
        <w:t xml:space="preserve"> </w:t>
      </w:r>
      <w:proofErr w:type="spellStart"/>
      <w:r w:rsidRPr="00493E39">
        <w:rPr>
          <w:rFonts w:cs="Arial"/>
          <w:lang w:val="pt-BR"/>
        </w:rPr>
        <w:t>Economics</w:t>
      </w:r>
      <w:proofErr w:type="spellEnd"/>
      <w:r w:rsidRPr="00493E39">
        <w:rPr>
          <w:rFonts w:cs="Arial"/>
          <w:lang w:val="pt-BR"/>
        </w:rPr>
        <w:t>, v. 11, p. 727-753, 2019.</w:t>
      </w:r>
    </w:p>
    <w:p w14:paraId="776AB06A" w14:textId="77777777" w:rsidR="00D64459" w:rsidRPr="00493E39" w:rsidRDefault="008B2120">
      <w:pPr>
        <w:spacing w:after="240" w:line="240" w:lineRule="auto"/>
        <w:rPr>
          <w:rFonts w:cs="Arial"/>
        </w:rPr>
      </w:pPr>
      <w:r w:rsidRPr="00493E39">
        <w:rPr>
          <w:rFonts w:cs="Arial"/>
          <w:lang w:val="pt-BR"/>
        </w:rPr>
        <w:t xml:space="preserve">AZEVEDO, P. F. de; SERIGATI, F. C. Preços administrados e discricionariedade do Executivo. </w:t>
      </w:r>
      <w:r w:rsidRPr="00493E39">
        <w:rPr>
          <w:rFonts w:cs="Arial"/>
        </w:rPr>
        <w:t>Revista de Economia Política, v. 35, n. 3, p. 510-530, 2015.</w:t>
      </w:r>
    </w:p>
    <w:p w14:paraId="52FEB989" w14:textId="77777777" w:rsidR="00D64459" w:rsidRPr="00493E39" w:rsidRDefault="008B2120">
      <w:pPr>
        <w:spacing w:after="240" w:line="240" w:lineRule="auto"/>
        <w:rPr>
          <w:rFonts w:cs="Arial"/>
        </w:rPr>
      </w:pPr>
      <w:r w:rsidRPr="00493E39">
        <w:rPr>
          <w:rFonts w:cs="Arial"/>
        </w:rPr>
        <w:t>BABA, C.; LEE, J. Second-round effects of oil price shocks: implications for Europe's inflation outlook. Washington: International Monetary Fund, 2022. (IMF Working Paper, WP/22/173).</w:t>
      </w:r>
    </w:p>
    <w:p w14:paraId="11208D52" w14:textId="77777777" w:rsidR="00D64459" w:rsidRPr="00493E39" w:rsidRDefault="008B2120">
      <w:pPr>
        <w:spacing w:after="240" w:line="240" w:lineRule="auto"/>
        <w:rPr>
          <w:rFonts w:cs="Arial"/>
        </w:rPr>
      </w:pPr>
      <w:r w:rsidRPr="00493E39">
        <w:rPr>
          <w:rFonts w:cs="Arial"/>
        </w:rPr>
        <w:t>BACON, R. W. Rockets and feathers: the asymmetric speed of adjustment of UK retail gasoline prices to cost changes. Energy Economics, v. 13, n. 3, p. 211-218, 1991.</w:t>
      </w:r>
    </w:p>
    <w:p w14:paraId="28DA4062" w14:textId="77777777" w:rsidR="00D64459" w:rsidRPr="00493E39" w:rsidRDefault="008B2120">
      <w:pPr>
        <w:spacing w:after="240" w:line="240" w:lineRule="auto"/>
        <w:rPr>
          <w:rFonts w:cs="Arial"/>
        </w:rPr>
      </w:pPr>
      <w:r w:rsidRPr="00493E39">
        <w:rPr>
          <w:rFonts w:cs="Arial"/>
        </w:rPr>
        <w:t>BAI, J.; LUMSDAINE, R. L.; STOCK, J. H. Testing for and dating common breaks in multivariate time series. The Review of Economic Studies, v. 65, n. 3, p. 395-432, 1998.</w:t>
      </w:r>
    </w:p>
    <w:p w14:paraId="57E4AEEA" w14:textId="77777777" w:rsidR="00D64459" w:rsidRPr="00493E39" w:rsidRDefault="008B2120">
      <w:pPr>
        <w:spacing w:after="240" w:line="240" w:lineRule="auto"/>
        <w:rPr>
          <w:rFonts w:cs="Arial"/>
        </w:rPr>
      </w:pPr>
      <w:r w:rsidRPr="00493E39">
        <w:rPr>
          <w:rFonts w:cs="Arial"/>
        </w:rPr>
        <w:t xml:space="preserve">BAI, J.; PERRON, P. Estimating and testing linear models with multiple structural changes. </w:t>
      </w:r>
      <w:proofErr w:type="spellStart"/>
      <w:r w:rsidRPr="00493E39">
        <w:rPr>
          <w:rFonts w:cs="Arial"/>
        </w:rPr>
        <w:t>Econometrica</w:t>
      </w:r>
      <w:proofErr w:type="spellEnd"/>
      <w:r w:rsidRPr="00493E39">
        <w:rPr>
          <w:rFonts w:cs="Arial"/>
        </w:rPr>
        <w:t>, v. 66, n. 1, p. 47-78, 1998.</w:t>
      </w:r>
    </w:p>
    <w:p w14:paraId="7B173380" w14:textId="77777777" w:rsidR="00D64459" w:rsidRPr="00493E39" w:rsidRDefault="008B2120">
      <w:pPr>
        <w:spacing w:after="240" w:line="240" w:lineRule="auto"/>
        <w:rPr>
          <w:rFonts w:cs="Arial"/>
          <w:lang w:val="pt-BR"/>
        </w:rPr>
      </w:pPr>
      <w:r w:rsidRPr="00493E39">
        <w:rPr>
          <w:rFonts w:cs="Arial"/>
        </w:rPr>
        <w:t xml:space="preserve">BANCO CENTRAL DO BRASIL. Exchange rate pass-through: estimates from local projections. In: Monetary Policy Report, Brasília, mar. 2026. </w:t>
      </w:r>
      <w:r w:rsidRPr="00493E39">
        <w:rPr>
          <w:rFonts w:cs="Arial"/>
          <w:lang w:val="pt-BR"/>
        </w:rPr>
        <w:t>Box, p. 66-70.</w:t>
      </w:r>
    </w:p>
    <w:p w14:paraId="441FB64D" w14:textId="77777777" w:rsidR="00D64459" w:rsidRPr="00493E39" w:rsidRDefault="008B2120">
      <w:pPr>
        <w:spacing w:after="240" w:line="240" w:lineRule="auto"/>
        <w:rPr>
          <w:rFonts w:cs="Arial"/>
          <w:lang w:val="pt-BR"/>
        </w:rPr>
      </w:pPr>
      <w:r w:rsidRPr="00493E39">
        <w:rPr>
          <w:rFonts w:cs="Arial"/>
          <w:lang w:val="pt-BR"/>
        </w:rPr>
        <w:t>BANCO CENTRAL DO BRASIL. Repasse do preço do petróleo em reais para a inflação e mensuração de riscos. In: Relatório de Inflação, Brasília, mar. 2022. Boxe, p. 58-62.</w:t>
      </w:r>
    </w:p>
    <w:p w14:paraId="0FA18B1B" w14:textId="77777777" w:rsidR="00D64459" w:rsidRPr="00493E39" w:rsidRDefault="008B2120">
      <w:pPr>
        <w:spacing w:after="240" w:line="240" w:lineRule="auto"/>
        <w:rPr>
          <w:rFonts w:cs="Arial"/>
        </w:rPr>
      </w:pPr>
      <w:r w:rsidRPr="00493E39">
        <w:rPr>
          <w:rFonts w:cs="Arial"/>
          <w:lang w:val="pt-BR"/>
        </w:rPr>
        <w:t xml:space="preserve">BANCO CENTRAL DO BRASIL. Sistema Gerenciador de Séries Temporais. Brasília: BCB, 2025. Séries 432, 3695 e 4448, e Sistema de Expectativas de Mercado (Focus). </w:t>
      </w:r>
      <w:r w:rsidRPr="00493E39">
        <w:rPr>
          <w:rFonts w:cs="Arial"/>
        </w:rPr>
        <w:t>Base de dados.</w:t>
      </w:r>
    </w:p>
    <w:p w14:paraId="43624A33" w14:textId="77777777" w:rsidR="00D64459" w:rsidRPr="00493E39" w:rsidRDefault="008B2120">
      <w:pPr>
        <w:spacing w:after="240" w:line="240" w:lineRule="auto"/>
        <w:rPr>
          <w:rFonts w:cs="Arial"/>
        </w:rPr>
      </w:pPr>
      <w:r w:rsidRPr="00493E39">
        <w:rPr>
          <w:rFonts w:cs="Arial"/>
        </w:rPr>
        <w:t>BLANCHARD, O. J.; GALÍ, J. The macroeconomic effects of oil shocks: why are the 2000s so different from the 1970s? Cambridge: National Bureau of Economic Research, 2007. (NBER Working Paper, n. 13368).</w:t>
      </w:r>
    </w:p>
    <w:p w14:paraId="29261DCF" w14:textId="77777777" w:rsidR="00D64459" w:rsidRPr="00493E39" w:rsidRDefault="008B2120">
      <w:pPr>
        <w:spacing w:after="240" w:line="240" w:lineRule="auto"/>
        <w:rPr>
          <w:rFonts w:cs="Arial"/>
        </w:rPr>
      </w:pPr>
      <w:r w:rsidRPr="00493E39">
        <w:rPr>
          <w:rFonts w:cs="Arial"/>
        </w:rPr>
        <w:lastRenderedPageBreak/>
        <w:t>BORENSTEIN, S.; CAMERON, A. C.; GILBERT, R. Do gasoline prices respond asymmetrically to crude oil price changes? The Quarterly Journal of Economics, v. 112, n. 1, p. 305-339, 1997.</w:t>
      </w:r>
    </w:p>
    <w:p w14:paraId="36524B44" w14:textId="77777777" w:rsidR="00D64459" w:rsidRPr="00493E39" w:rsidRDefault="008B2120">
      <w:pPr>
        <w:spacing w:after="240" w:line="240" w:lineRule="auto"/>
        <w:rPr>
          <w:rFonts w:cs="Arial"/>
        </w:rPr>
      </w:pPr>
      <w:r w:rsidRPr="00493E39">
        <w:rPr>
          <w:rFonts w:cs="Arial"/>
        </w:rPr>
        <w:t>CARDOSO, A. R.; SEVERNINI, E. Price stabilization policy, gasoline consumption, and health externality: evidence from Brazil. Pittsburgh: Carnegie Mellon University, 2023. Working paper.</w:t>
      </w:r>
    </w:p>
    <w:p w14:paraId="0E1E4AF8" w14:textId="77777777" w:rsidR="00D64459" w:rsidRPr="00493E39" w:rsidRDefault="008B2120">
      <w:pPr>
        <w:spacing w:after="240" w:line="240" w:lineRule="auto"/>
        <w:rPr>
          <w:rFonts w:cs="Arial"/>
        </w:rPr>
      </w:pPr>
      <w:r w:rsidRPr="00493E39">
        <w:rPr>
          <w:rFonts w:cs="Arial"/>
        </w:rPr>
        <w:t>CHOI, S.; FURCERI, D.; LOUNGANI, P.; MISHRA, S.; POPLAWSKI-RIBEIRO, M. Oil prices and inflation dynamics: evidence from advanced and developing economies. Journal of International Money and Finance, v. 82, p. 71-96, 2018.</w:t>
      </w:r>
    </w:p>
    <w:p w14:paraId="3B2EC8B6" w14:textId="77777777" w:rsidR="00D64459" w:rsidRPr="00493E39" w:rsidRDefault="008B2120">
      <w:pPr>
        <w:spacing w:after="240" w:line="240" w:lineRule="auto"/>
        <w:rPr>
          <w:rFonts w:cs="Arial"/>
        </w:rPr>
      </w:pPr>
      <w:r w:rsidRPr="00493E39">
        <w:rPr>
          <w:rFonts w:cs="Arial"/>
        </w:rPr>
        <w:t xml:space="preserve">CONFLITTI, C.; LUCIANI, M. Oil price </w:t>
      </w:r>
      <w:proofErr w:type="gramStart"/>
      <w:r w:rsidRPr="00493E39">
        <w:rPr>
          <w:rFonts w:cs="Arial"/>
        </w:rPr>
        <w:t>pass-through</w:t>
      </w:r>
      <w:proofErr w:type="gramEnd"/>
      <w:r w:rsidRPr="00493E39">
        <w:rPr>
          <w:rFonts w:cs="Arial"/>
        </w:rPr>
        <w:t xml:space="preserve"> into core inflation. The Energy Journal, v. 40, n. 6, p. 221-247, 2019.</w:t>
      </w:r>
    </w:p>
    <w:p w14:paraId="0CD6C5F0" w14:textId="77777777" w:rsidR="00D64459" w:rsidRPr="00493E39" w:rsidRDefault="008B2120">
      <w:pPr>
        <w:spacing w:after="240" w:line="240" w:lineRule="auto"/>
        <w:rPr>
          <w:rFonts w:cs="Arial"/>
        </w:rPr>
      </w:pPr>
      <w:r w:rsidRPr="00493E39">
        <w:rPr>
          <w:rFonts w:cs="Arial"/>
        </w:rPr>
        <w:t>CORREA, A. da S.; MINELLA, A. Nonlinear mechanisms of the exchange rate pass-through: a Phillips curve model with threshold for Brazil. Revista Brasileira de Economia, v. 64, n. 3, p. 231-243, 2010.</w:t>
      </w:r>
    </w:p>
    <w:p w14:paraId="2674372B" w14:textId="77777777" w:rsidR="00D64459" w:rsidRPr="00493E39" w:rsidRDefault="008B2120">
      <w:pPr>
        <w:spacing w:after="240" w:line="240" w:lineRule="auto"/>
        <w:rPr>
          <w:rFonts w:cs="Arial"/>
        </w:rPr>
      </w:pPr>
      <w:r w:rsidRPr="00493E39">
        <w:rPr>
          <w:rFonts w:cs="Arial"/>
        </w:rPr>
        <w:t>DAVIDSON, R.; FLACHAIRE, E. The wild bootstrap, tamed at last. Journal of Econometrics, v. 146, n. 1, p. 162-169, 2008.</w:t>
      </w:r>
    </w:p>
    <w:p w14:paraId="53754230" w14:textId="77777777" w:rsidR="00D64459" w:rsidRPr="00493E39" w:rsidRDefault="008B2120">
      <w:pPr>
        <w:spacing w:after="240" w:line="240" w:lineRule="auto"/>
        <w:rPr>
          <w:rFonts w:cs="Arial"/>
          <w:lang w:val="pt-BR"/>
        </w:rPr>
      </w:pPr>
      <w:r w:rsidRPr="00493E39">
        <w:rPr>
          <w:rFonts w:cs="Arial"/>
          <w:lang w:val="pt-BR"/>
        </w:rPr>
        <w:t>FIGUEIREDO, F. M. R.; FERREIRA, T. P. Os preços administrados e a inflação no Brasil. Brasília: Banco Central do Brasil, 2002. (Trabalhos para Discussão, n. 59).</w:t>
      </w:r>
    </w:p>
    <w:p w14:paraId="444A69C1" w14:textId="77777777" w:rsidR="00D64459" w:rsidRPr="00493E39" w:rsidRDefault="008B2120">
      <w:pPr>
        <w:spacing w:after="240" w:line="240" w:lineRule="auto"/>
        <w:rPr>
          <w:rFonts w:cs="Arial"/>
        </w:rPr>
      </w:pPr>
      <w:r w:rsidRPr="00AD093D">
        <w:rPr>
          <w:rFonts w:cs="Arial"/>
        </w:rPr>
        <w:t xml:space="preserve">GELOS, G.; USTYUGOVA, Y. Inflation responses to commodity price shocks: how and why do countries differ? </w:t>
      </w:r>
      <w:r w:rsidRPr="00493E39">
        <w:rPr>
          <w:rFonts w:cs="Arial"/>
        </w:rPr>
        <w:t>Journal of International Money and Finance, v. 72, p. 28-47, 2017.</w:t>
      </w:r>
    </w:p>
    <w:p w14:paraId="75C7F058" w14:textId="77777777" w:rsidR="00D64459" w:rsidRPr="00493E39" w:rsidRDefault="008B2120">
      <w:pPr>
        <w:spacing w:after="240" w:line="240" w:lineRule="auto"/>
        <w:rPr>
          <w:rFonts w:cs="Arial"/>
        </w:rPr>
      </w:pPr>
      <w:r w:rsidRPr="00493E39">
        <w:rPr>
          <w:rFonts w:cs="Arial"/>
        </w:rPr>
        <w:t xml:space="preserve">HALE, T.; ANGRIST, N.; GOLDSZMIDT, R. et al. A global panel database of pandemic policies (Oxford COVID-19 Government Response Tracker). Nature Human </w:t>
      </w:r>
      <w:proofErr w:type="spellStart"/>
      <w:r w:rsidRPr="00493E39">
        <w:rPr>
          <w:rFonts w:cs="Arial"/>
        </w:rPr>
        <w:t>Behaviour</w:t>
      </w:r>
      <w:proofErr w:type="spellEnd"/>
      <w:r w:rsidRPr="00493E39">
        <w:rPr>
          <w:rFonts w:cs="Arial"/>
        </w:rPr>
        <w:t>, v. 5, p. 529-538, 2021.</w:t>
      </w:r>
    </w:p>
    <w:p w14:paraId="125C5B01" w14:textId="77777777" w:rsidR="00D64459" w:rsidRPr="00493E39" w:rsidRDefault="008B2120">
      <w:pPr>
        <w:spacing w:after="240" w:line="240" w:lineRule="auto"/>
        <w:rPr>
          <w:rFonts w:cs="Arial"/>
        </w:rPr>
      </w:pPr>
      <w:r w:rsidRPr="00493E39">
        <w:rPr>
          <w:rFonts w:cs="Arial"/>
        </w:rPr>
        <w:t>HAMILTON, J. D. What is an oil shock? Journal of Econometrics, v. 113, n. 2, p. 363-398, 2003.</w:t>
      </w:r>
    </w:p>
    <w:p w14:paraId="7C1BF2BA" w14:textId="77777777" w:rsidR="00D64459" w:rsidRPr="00493E39" w:rsidRDefault="008B2120">
      <w:pPr>
        <w:spacing w:after="240" w:line="240" w:lineRule="auto"/>
        <w:rPr>
          <w:rFonts w:cs="Arial"/>
          <w:lang w:val="pt-BR"/>
        </w:rPr>
      </w:pPr>
      <w:r w:rsidRPr="00493E39">
        <w:rPr>
          <w:rFonts w:cs="Arial"/>
        </w:rPr>
        <w:t xml:space="preserve">HANSEN, B. E. Testing for structural change in conditional models. </w:t>
      </w:r>
      <w:proofErr w:type="spellStart"/>
      <w:r w:rsidRPr="00493E39">
        <w:rPr>
          <w:rFonts w:cs="Arial"/>
          <w:lang w:val="pt-BR"/>
        </w:rPr>
        <w:t>Journal</w:t>
      </w:r>
      <w:proofErr w:type="spellEnd"/>
      <w:r w:rsidRPr="00493E39">
        <w:rPr>
          <w:rFonts w:cs="Arial"/>
          <w:lang w:val="pt-BR"/>
        </w:rPr>
        <w:t xml:space="preserve"> </w:t>
      </w:r>
      <w:proofErr w:type="spellStart"/>
      <w:r w:rsidRPr="00493E39">
        <w:rPr>
          <w:rFonts w:cs="Arial"/>
          <w:lang w:val="pt-BR"/>
        </w:rPr>
        <w:t>of</w:t>
      </w:r>
      <w:proofErr w:type="spellEnd"/>
      <w:r w:rsidRPr="00493E39">
        <w:rPr>
          <w:rFonts w:cs="Arial"/>
          <w:lang w:val="pt-BR"/>
        </w:rPr>
        <w:t xml:space="preserve"> </w:t>
      </w:r>
      <w:proofErr w:type="spellStart"/>
      <w:r w:rsidRPr="00493E39">
        <w:rPr>
          <w:rFonts w:cs="Arial"/>
          <w:lang w:val="pt-BR"/>
        </w:rPr>
        <w:t>Econometrics</w:t>
      </w:r>
      <w:proofErr w:type="spellEnd"/>
      <w:r w:rsidRPr="00493E39">
        <w:rPr>
          <w:rFonts w:cs="Arial"/>
          <w:lang w:val="pt-BR"/>
        </w:rPr>
        <w:t>, v. 97, n. 1, p. 93-115, 2000.</w:t>
      </w:r>
    </w:p>
    <w:p w14:paraId="573BC0B5" w14:textId="77777777" w:rsidR="00D64459" w:rsidRPr="00493E39" w:rsidRDefault="008B2120">
      <w:pPr>
        <w:spacing w:after="240" w:line="240" w:lineRule="auto"/>
        <w:rPr>
          <w:rFonts w:cs="Arial"/>
          <w:lang w:val="pt-BR"/>
        </w:rPr>
      </w:pPr>
      <w:r w:rsidRPr="00493E39">
        <w:rPr>
          <w:rFonts w:cs="Arial"/>
          <w:lang w:val="pt-BR"/>
        </w:rPr>
        <w:t>INSTITUTO BRASILEIRO DE GEOGRAFIA E ESTATÍSTICA. Índice Nacional de Preços ao Consumidor Amplo. Rio de Janeiro: IBGE, 2025. Tabelas 1737 e 7060 do SIDRA, e séries especiais por grau de comercialização. Base de dados.</w:t>
      </w:r>
    </w:p>
    <w:p w14:paraId="2A5CB267" w14:textId="77777777" w:rsidR="00D64459" w:rsidRPr="00493E39" w:rsidRDefault="008B2120">
      <w:pPr>
        <w:spacing w:after="240" w:line="240" w:lineRule="auto"/>
        <w:rPr>
          <w:rFonts w:cs="Arial"/>
          <w:lang w:val="pt-BR"/>
        </w:rPr>
      </w:pPr>
      <w:r w:rsidRPr="00493E39">
        <w:rPr>
          <w:rFonts w:cs="Arial"/>
          <w:lang w:val="pt-BR"/>
        </w:rPr>
        <w:t xml:space="preserve">INSTITUTO DE PESQUISA ECONÔMICA APLICADA. </w:t>
      </w:r>
      <w:proofErr w:type="spellStart"/>
      <w:r w:rsidRPr="00493E39">
        <w:rPr>
          <w:rFonts w:cs="Arial"/>
          <w:lang w:val="pt-BR"/>
        </w:rPr>
        <w:t>Ipeadata</w:t>
      </w:r>
      <w:proofErr w:type="spellEnd"/>
      <w:r w:rsidRPr="00493E39">
        <w:rPr>
          <w:rFonts w:cs="Arial"/>
          <w:lang w:val="pt-BR"/>
        </w:rPr>
        <w:t xml:space="preserve">: preço do petróleo Brent. Brasília: Ipea, 2025. Base de dados, fonte primária U.S. Energy </w:t>
      </w:r>
      <w:proofErr w:type="spellStart"/>
      <w:r w:rsidRPr="00493E39">
        <w:rPr>
          <w:rFonts w:cs="Arial"/>
          <w:lang w:val="pt-BR"/>
        </w:rPr>
        <w:t>Information</w:t>
      </w:r>
      <w:proofErr w:type="spellEnd"/>
      <w:r w:rsidRPr="00493E39">
        <w:rPr>
          <w:rFonts w:cs="Arial"/>
          <w:lang w:val="pt-BR"/>
        </w:rPr>
        <w:t xml:space="preserve"> </w:t>
      </w:r>
      <w:proofErr w:type="spellStart"/>
      <w:r w:rsidRPr="00493E39">
        <w:rPr>
          <w:rFonts w:cs="Arial"/>
          <w:lang w:val="pt-BR"/>
        </w:rPr>
        <w:t>Administration</w:t>
      </w:r>
      <w:proofErr w:type="spellEnd"/>
      <w:r w:rsidRPr="00493E39">
        <w:rPr>
          <w:rFonts w:cs="Arial"/>
          <w:lang w:val="pt-BR"/>
        </w:rPr>
        <w:t>.</w:t>
      </w:r>
    </w:p>
    <w:p w14:paraId="4134DA4E" w14:textId="77777777" w:rsidR="00D64459" w:rsidRPr="00493E39" w:rsidRDefault="008B2120">
      <w:pPr>
        <w:spacing w:after="240" w:line="240" w:lineRule="auto"/>
        <w:rPr>
          <w:rFonts w:cs="Arial"/>
        </w:rPr>
      </w:pPr>
      <w:r w:rsidRPr="00493E39">
        <w:rPr>
          <w:rFonts w:cs="Arial"/>
        </w:rPr>
        <w:lastRenderedPageBreak/>
        <w:t>JESUS JR., L. B. de; UCHÔA, C. F. A.; FERNANDES, R. A. S. An analysis of the fuel price policy dilemma in Brazil. Journal of Commodity Markets, v. 39, 2025. DOI: 10.1016/j.jcomm.2025.100499.</w:t>
      </w:r>
    </w:p>
    <w:p w14:paraId="23A7C7B7" w14:textId="77777777" w:rsidR="00D64459" w:rsidRPr="00493E39" w:rsidRDefault="008B2120">
      <w:pPr>
        <w:spacing w:after="240" w:line="240" w:lineRule="auto"/>
        <w:rPr>
          <w:rFonts w:cs="Arial"/>
        </w:rPr>
      </w:pPr>
      <w:r w:rsidRPr="00493E39">
        <w:rPr>
          <w:rFonts w:cs="Arial"/>
        </w:rPr>
        <w:t>JORDÀ, Ò. Estimation and inference of impulse responses by local projections. American Economic Review, v. 95, n. 1, p. 161-182, 2005.</w:t>
      </w:r>
    </w:p>
    <w:p w14:paraId="76A5881A" w14:textId="77777777" w:rsidR="00D64459" w:rsidRPr="00493E39" w:rsidRDefault="008B2120">
      <w:pPr>
        <w:spacing w:after="240" w:line="240" w:lineRule="auto"/>
        <w:rPr>
          <w:rFonts w:cs="Arial"/>
        </w:rPr>
      </w:pPr>
      <w:r w:rsidRPr="00493E39">
        <w:rPr>
          <w:rFonts w:cs="Arial"/>
        </w:rPr>
        <w:t>KÄNZIG, D. R. The macroeconomic effects of oil supply news: evidence from OPEC announcements. American Economic Review, v. 111, n. 4, p. 1092-1125, 2021.</w:t>
      </w:r>
    </w:p>
    <w:p w14:paraId="4763385E" w14:textId="77777777" w:rsidR="00D64459" w:rsidRPr="00493E39" w:rsidRDefault="008B2120">
      <w:pPr>
        <w:spacing w:after="240" w:line="240" w:lineRule="auto"/>
        <w:rPr>
          <w:rFonts w:cs="Arial"/>
        </w:rPr>
      </w:pPr>
      <w:r w:rsidRPr="00493E39">
        <w:rPr>
          <w:rFonts w:cs="Arial"/>
        </w:rPr>
        <w:t>KILIAN, L. Not all oil price shocks are alike: disentangling demand and supply shocks in the crude oil market. American Economic Review, v. 99, n. 3, p. 1053-1069, 2009.</w:t>
      </w:r>
    </w:p>
    <w:p w14:paraId="44764FC8" w14:textId="77777777" w:rsidR="00D64459" w:rsidRPr="00493E39" w:rsidRDefault="008B2120">
      <w:pPr>
        <w:spacing w:after="240" w:line="240" w:lineRule="auto"/>
        <w:rPr>
          <w:rFonts w:cs="Arial"/>
        </w:rPr>
      </w:pPr>
      <w:r w:rsidRPr="00493E39">
        <w:rPr>
          <w:rFonts w:cs="Arial"/>
        </w:rPr>
        <w:t>LENZA, M.; PRIMICERI, G. E. How to estimate a VAR after March 2020. Cambridge: National Bureau of Economic Research, 2020. (NBER Working Paper, n. 27771).</w:t>
      </w:r>
    </w:p>
    <w:p w14:paraId="09DF7923" w14:textId="77777777" w:rsidR="00D64459" w:rsidRPr="00493E39" w:rsidRDefault="008B2120">
      <w:pPr>
        <w:spacing w:after="240" w:line="240" w:lineRule="auto"/>
        <w:rPr>
          <w:rFonts w:cs="Arial"/>
        </w:rPr>
      </w:pPr>
      <w:r w:rsidRPr="00493E39">
        <w:rPr>
          <w:rFonts w:cs="Arial"/>
        </w:rPr>
        <w:t>LÓPEZ, L.; ODENDAHL, F.; PARRAGA RODRIGUEZ, S.; SILGADO-GÓMEZ, E. The pass-through to inflation of gas price shocks. Frankfurt: European Central Bank, 2026. (ECB Working Paper, n. 2968).</w:t>
      </w:r>
    </w:p>
    <w:p w14:paraId="1D41E0A2" w14:textId="77777777" w:rsidR="00D64459" w:rsidRPr="00493E39" w:rsidRDefault="008B2120">
      <w:pPr>
        <w:spacing w:after="240" w:line="240" w:lineRule="auto"/>
        <w:rPr>
          <w:rFonts w:cs="Arial"/>
        </w:rPr>
      </w:pPr>
      <w:r w:rsidRPr="00493E39">
        <w:rPr>
          <w:rFonts w:cs="Arial"/>
        </w:rPr>
        <w:t xml:space="preserve">MONTIEL OLEA, J. L.; PLAGBORG-MØLLER, M. Local projection inference is simpler and more robust than you think. </w:t>
      </w:r>
      <w:proofErr w:type="spellStart"/>
      <w:r w:rsidRPr="00493E39">
        <w:rPr>
          <w:rFonts w:cs="Arial"/>
        </w:rPr>
        <w:t>Econometrica</w:t>
      </w:r>
      <w:proofErr w:type="spellEnd"/>
      <w:r w:rsidRPr="00493E39">
        <w:rPr>
          <w:rFonts w:cs="Arial"/>
        </w:rPr>
        <w:t>, v. 89, n. 4, p. 1789-1823, 2021.</w:t>
      </w:r>
    </w:p>
    <w:p w14:paraId="03535DA1" w14:textId="77777777" w:rsidR="00D64459" w:rsidRPr="00493E39" w:rsidRDefault="008B2120">
      <w:pPr>
        <w:spacing w:after="240" w:line="240" w:lineRule="auto"/>
        <w:rPr>
          <w:rFonts w:cs="Arial"/>
        </w:rPr>
      </w:pPr>
      <w:r w:rsidRPr="00493E39">
        <w:rPr>
          <w:rFonts w:cs="Arial"/>
        </w:rPr>
        <w:t>MONTIEL OLEA, J. L.; PLAGBORG-MØLLER, M. Simultaneous confidence bands: theory, implementation, and an application to SVARs. Journal of Applied Econometrics, v. 34, n. 1, p. 1-17, 2019.</w:t>
      </w:r>
    </w:p>
    <w:p w14:paraId="303B9480" w14:textId="77777777" w:rsidR="00D64459" w:rsidRPr="00493E39" w:rsidRDefault="008B2120">
      <w:pPr>
        <w:spacing w:after="240" w:line="240" w:lineRule="auto"/>
        <w:rPr>
          <w:rFonts w:cs="Arial"/>
        </w:rPr>
      </w:pPr>
      <w:r w:rsidRPr="00493E39">
        <w:rPr>
          <w:rFonts w:cs="Arial"/>
        </w:rPr>
        <w:t>MORK, K. A. Oil and the macroeconomy when prices go up and down: an extension of Hamilton's results. Journal of Political Economy, v. 97, n. 3, p. 740-744, 1989.</w:t>
      </w:r>
    </w:p>
    <w:p w14:paraId="78BCB004" w14:textId="77777777" w:rsidR="00D64459" w:rsidRPr="00493E39" w:rsidRDefault="008B2120">
      <w:pPr>
        <w:spacing w:after="240" w:line="240" w:lineRule="auto"/>
        <w:rPr>
          <w:rFonts w:cs="Arial"/>
        </w:rPr>
      </w:pPr>
      <w:r w:rsidRPr="00493E39">
        <w:rPr>
          <w:rFonts w:cs="Arial"/>
        </w:rPr>
        <w:t xml:space="preserve">NEWEY, W. K.; WEST, K. D. A simple, positive semi-definite, heteroskedasticity and autocorrelation consistent covariance matrix. </w:t>
      </w:r>
      <w:proofErr w:type="spellStart"/>
      <w:r w:rsidRPr="00493E39">
        <w:rPr>
          <w:rFonts w:cs="Arial"/>
        </w:rPr>
        <w:t>Econometrica</w:t>
      </w:r>
      <w:proofErr w:type="spellEnd"/>
      <w:r w:rsidRPr="00493E39">
        <w:rPr>
          <w:rFonts w:cs="Arial"/>
        </w:rPr>
        <w:t>, v. 55, n. 3, p. 703-708, 1987.</w:t>
      </w:r>
    </w:p>
    <w:p w14:paraId="79B97F2A" w14:textId="77777777" w:rsidR="00D64459" w:rsidRPr="00493E39" w:rsidRDefault="008B2120">
      <w:pPr>
        <w:spacing w:after="240" w:line="240" w:lineRule="auto"/>
        <w:rPr>
          <w:rFonts w:cs="Arial"/>
        </w:rPr>
      </w:pPr>
      <w:r w:rsidRPr="00493E39">
        <w:rPr>
          <w:rFonts w:cs="Arial"/>
        </w:rPr>
        <w:t>RAMEY, V. A. Macroeconomic shocks and their propagation. In: TAYLOR, J. B.; UHLIG, H. (ed.). Handbook of Macroeconomics. Amsterdam: Elsevier, 2016. v. 2A, cap. 2, p. 71-162.</w:t>
      </w:r>
    </w:p>
    <w:p w14:paraId="5C5055E2" w14:textId="77777777" w:rsidR="00D64459" w:rsidRPr="00493E39" w:rsidRDefault="008B2120">
      <w:pPr>
        <w:spacing w:after="240" w:line="240" w:lineRule="auto"/>
        <w:rPr>
          <w:rFonts w:cs="Arial"/>
        </w:rPr>
      </w:pPr>
      <w:r w:rsidRPr="00493E39">
        <w:rPr>
          <w:rFonts w:cs="Arial"/>
        </w:rPr>
        <w:t>RYAN, R.; MICHIEKA, N. Not all oil price shocks are alike: a replication study of Kilian (American Economic Review, 2009). Journal of Comments and Replications in Economics, v. 4, n. 2025-8, 2025.</w:t>
      </w:r>
    </w:p>
    <w:p w14:paraId="10FBA109" w14:textId="77777777" w:rsidR="00D64459" w:rsidRPr="00493E39" w:rsidRDefault="008B2120">
      <w:pPr>
        <w:spacing w:after="240" w:line="240" w:lineRule="auto"/>
        <w:rPr>
          <w:rFonts w:cs="Arial"/>
        </w:rPr>
      </w:pPr>
      <w:r w:rsidRPr="00493E39">
        <w:rPr>
          <w:rFonts w:cs="Arial"/>
        </w:rPr>
        <w:t>SALKEVER, D. S. The use of dummy variables to compute predictions, prediction errors, and confidence intervals. Journal of Econometrics, v. 4, n. 4, p. 393-397, 1976.</w:t>
      </w:r>
    </w:p>
    <w:p w14:paraId="205D9942" w14:textId="77777777" w:rsidR="00D64459" w:rsidRPr="00493E39" w:rsidRDefault="008B2120">
      <w:pPr>
        <w:spacing w:after="240" w:line="240" w:lineRule="auto"/>
        <w:rPr>
          <w:rFonts w:cs="Arial"/>
        </w:rPr>
      </w:pPr>
      <w:r w:rsidRPr="00493E39">
        <w:rPr>
          <w:rFonts w:cs="Arial"/>
        </w:rPr>
        <w:t>SHIN, Y.; YU, B.; GREENWOOD-NIMMO, M. Modelling asymmetric cointegration and dynamic multipliers in a nonlinear ARDL framework. In: SICKLES, R. C.; HORRACE, W. C. (ed.). Festschrift in honor of Peter Schmidt. New York: Springer, 2014. p. 281-314.</w:t>
      </w:r>
    </w:p>
    <w:p w14:paraId="41CD3B4A" w14:textId="77777777" w:rsidR="00D64459" w:rsidRPr="00493E39" w:rsidRDefault="008B2120">
      <w:pPr>
        <w:spacing w:after="240" w:line="240" w:lineRule="auto"/>
        <w:rPr>
          <w:rFonts w:cs="Arial"/>
        </w:rPr>
      </w:pPr>
      <w:r w:rsidRPr="00493E39">
        <w:rPr>
          <w:rFonts w:cs="Arial"/>
        </w:rPr>
        <w:lastRenderedPageBreak/>
        <w:t xml:space="preserve">STAIGER, D.; STOCK, J. H. Instrumental variables regression with weak instruments. </w:t>
      </w:r>
      <w:proofErr w:type="spellStart"/>
      <w:r w:rsidRPr="00493E39">
        <w:rPr>
          <w:rFonts w:cs="Arial"/>
        </w:rPr>
        <w:t>Econometrica</w:t>
      </w:r>
      <w:proofErr w:type="spellEnd"/>
      <w:r w:rsidRPr="00493E39">
        <w:rPr>
          <w:rFonts w:cs="Arial"/>
        </w:rPr>
        <w:t>, v. 65, n. 3, p. 557-586, 1997.</w:t>
      </w:r>
    </w:p>
    <w:p w14:paraId="79685634" w14:textId="77777777" w:rsidR="00D64459" w:rsidRPr="00493E39" w:rsidRDefault="008B2120">
      <w:pPr>
        <w:spacing w:after="240" w:line="240" w:lineRule="auto"/>
        <w:rPr>
          <w:rFonts w:cs="Arial"/>
        </w:rPr>
      </w:pPr>
      <w:r w:rsidRPr="00493E39">
        <w:rPr>
          <w:rFonts w:cs="Arial"/>
        </w:rPr>
        <w:t>TEULINGS, C. N.; ZUBANOV, N. Is economic recovery a myth? Robust estimation of impulse responses. Journal of Applied Econometrics, v. 29, n. 3, p. 497-514, 2014.</w:t>
      </w:r>
    </w:p>
    <w:p w14:paraId="32BFFE4E" w14:textId="77777777" w:rsidR="00D64459" w:rsidRPr="00493E39" w:rsidRDefault="008B2120">
      <w:pPr>
        <w:spacing w:after="240" w:line="240" w:lineRule="auto"/>
        <w:rPr>
          <w:rFonts w:cs="Arial"/>
        </w:rPr>
      </w:pPr>
      <w:r w:rsidRPr="00493E39">
        <w:rPr>
          <w:rFonts w:cs="Arial"/>
        </w:rPr>
        <w:t>UNITED STATES ENERGY INFORMATION ADMINISTRATION. Petroleum and other liquids: spot prices. Washington: EIA, 2025. Base de dados.</w:t>
      </w:r>
    </w:p>
    <w:p w14:paraId="0A8BC218" w14:textId="77777777" w:rsidR="00D64459" w:rsidRPr="00493E39" w:rsidRDefault="008B2120">
      <w:pPr>
        <w:spacing w:after="240" w:line="240" w:lineRule="auto"/>
        <w:rPr>
          <w:rFonts w:cs="Arial"/>
          <w:lang w:val="pt-BR"/>
        </w:rPr>
      </w:pPr>
      <w:r w:rsidRPr="00493E39">
        <w:rPr>
          <w:rFonts w:cs="Arial"/>
        </w:rPr>
        <w:t xml:space="preserve">WORLD BANK. Global fuel subsidies and price control measures database. </w:t>
      </w:r>
      <w:r w:rsidRPr="00493E39">
        <w:rPr>
          <w:rFonts w:cs="Arial"/>
          <w:lang w:val="pt-BR"/>
        </w:rPr>
        <w:t>Washington: World Bank, 2025. Base de dados que acompanha AKCURA (2025).</w:t>
      </w:r>
    </w:p>
    <w:p w14:paraId="2EA1B856" w14:textId="77777777" w:rsidR="00D64459" w:rsidRPr="00493E39" w:rsidRDefault="008B2120">
      <w:pPr>
        <w:rPr>
          <w:rFonts w:cs="Arial"/>
          <w:lang w:val="pt-BR"/>
        </w:rPr>
      </w:pPr>
      <w:r w:rsidRPr="00493E39">
        <w:rPr>
          <w:rFonts w:cs="Arial"/>
          <w:lang w:val="pt-BR"/>
        </w:rPr>
        <w:br w:type="page"/>
      </w:r>
    </w:p>
    <w:p w14:paraId="0D2975C4" w14:textId="77777777" w:rsidR="00D64459" w:rsidRPr="00493E39" w:rsidRDefault="008B2120">
      <w:pPr>
        <w:pStyle w:val="Heading1"/>
        <w:spacing w:before="280" w:after="280"/>
        <w:jc w:val="center"/>
        <w:rPr>
          <w:rFonts w:ascii="Arial" w:hAnsi="Arial" w:cs="Arial"/>
          <w:lang w:val="pt-BR"/>
        </w:rPr>
      </w:pPr>
      <w:bookmarkStart w:id="36" w:name="_Toc239713585"/>
      <w:r w:rsidRPr="00493E39">
        <w:rPr>
          <w:rFonts w:ascii="Arial" w:hAnsi="Arial" w:cs="Arial"/>
          <w:lang w:val="pt-BR"/>
        </w:rPr>
        <w:lastRenderedPageBreak/>
        <w:t>APÊNDICE A – SÉRIES UTILIZADAS, EM NÍVEL</w:t>
      </w:r>
      <w:bookmarkEnd w:id="36"/>
    </w:p>
    <w:p w14:paraId="0A978E5D" w14:textId="77777777" w:rsidR="00D64459" w:rsidRPr="00493E39" w:rsidRDefault="008B2120">
      <w:pPr>
        <w:ind w:firstLine="709"/>
        <w:jc w:val="both"/>
        <w:rPr>
          <w:rFonts w:cs="Arial"/>
          <w:lang w:val="pt-BR"/>
        </w:rPr>
      </w:pPr>
      <w:r w:rsidRPr="00493E39">
        <w:rPr>
          <w:rFonts w:cs="Arial"/>
          <w:lang w:val="pt-BR"/>
        </w:rPr>
        <w:t>Este apêndice reúne as séries do modelo em nível, na unidade original de cada uma. As séries de preços aparecem como índices com base em janeiro de 2003; câmbio, meta Selic e expectativa de inflação, nas respectivas unidades.</w:t>
      </w:r>
    </w:p>
    <w:p w14:paraId="733D3510"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A.1 – Séries em nível, janeiro de 2003 a setembro de 2025</w:t>
      </w:r>
    </w:p>
    <w:p w14:paraId="0E299842" w14:textId="77777777" w:rsidR="00D64459" w:rsidRPr="00493E39" w:rsidRDefault="008B2120">
      <w:pPr>
        <w:spacing w:after="40"/>
        <w:jc w:val="center"/>
        <w:rPr>
          <w:rFonts w:cs="Arial"/>
        </w:rPr>
      </w:pPr>
      <w:r w:rsidRPr="00493E39">
        <w:rPr>
          <w:rFonts w:cs="Arial"/>
          <w:noProof/>
        </w:rPr>
        <w:drawing>
          <wp:inline distT="0" distB="0" distL="0" distR="0" wp14:anchorId="58CA678E" wp14:editId="67F38754">
            <wp:extent cx="5580000" cy="5689412"/>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ries_nivel.png"/>
                    <pic:cNvPicPr/>
                  </pic:nvPicPr>
                  <pic:blipFill>
                    <a:blip r:embed="rId18"/>
                    <a:stretch>
                      <a:fillRect/>
                    </a:stretch>
                  </pic:blipFill>
                  <pic:spPr>
                    <a:xfrm>
                      <a:off x="0" y="0"/>
                      <a:ext cx="5580000" cy="5689412"/>
                    </a:xfrm>
                    <a:prstGeom prst="rect">
                      <a:avLst/>
                    </a:prstGeom>
                  </pic:spPr>
                </pic:pic>
              </a:graphicData>
            </a:graphic>
          </wp:inline>
        </w:drawing>
      </w:r>
    </w:p>
    <w:p w14:paraId="6CC2CFC0" w14:textId="77777777" w:rsidR="00D64459" w:rsidRPr="00493E39" w:rsidRDefault="008B2120">
      <w:pPr>
        <w:spacing w:line="240" w:lineRule="auto"/>
        <w:jc w:val="both"/>
        <w:rPr>
          <w:rFonts w:cs="Arial"/>
          <w:lang w:val="pt-BR"/>
        </w:rPr>
      </w:pPr>
      <w:r w:rsidRPr="00493E39">
        <w:rPr>
          <w:rFonts w:cs="Arial"/>
          <w:sz w:val="18"/>
          <w:lang w:val="pt-BR"/>
        </w:rPr>
        <w:t>Nota: a linha tracejada marca março de 2017 e a faixa cinza, os meses de pandemia tratados por indicadoras.</w:t>
      </w:r>
    </w:p>
    <w:p w14:paraId="08A8E64D"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5297BAAA" w14:textId="77777777" w:rsidR="00D64459" w:rsidRPr="00493E39" w:rsidRDefault="008B2120">
      <w:pPr>
        <w:rPr>
          <w:rFonts w:cs="Arial"/>
          <w:lang w:val="pt-BR"/>
        </w:rPr>
      </w:pPr>
      <w:r w:rsidRPr="00493E39">
        <w:rPr>
          <w:rFonts w:cs="Arial"/>
          <w:lang w:val="pt-BR"/>
        </w:rPr>
        <w:br w:type="page"/>
      </w:r>
    </w:p>
    <w:p w14:paraId="21E0E96C" w14:textId="77777777" w:rsidR="00D64459" w:rsidRPr="00493E39" w:rsidRDefault="008B2120">
      <w:pPr>
        <w:pStyle w:val="Heading1"/>
        <w:spacing w:before="280" w:after="280"/>
        <w:jc w:val="center"/>
        <w:rPr>
          <w:rFonts w:ascii="Arial" w:hAnsi="Arial" w:cs="Arial"/>
          <w:lang w:val="pt-BR"/>
        </w:rPr>
      </w:pPr>
      <w:bookmarkStart w:id="37" w:name="_Toc239713586"/>
      <w:r w:rsidRPr="00493E39">
        <w:rPr>
          <w:rFonts w:ascii="Arial" w:hAnsi="Arial" w:cs="Arial"/>
          <w:lang w:val="pt-BR"/>
        </w:rPr>
        <w:lastRenderedPageBreak/>
        <w:t>APÊNDICE B – SÉRIES EM ESCALA LOGARÍTMICA</w:t>
      </w:r>
      <w:bookmarkEnd w:id="37"/>
    </w:p>
    <w:p w14:paraId="4C6789A8" w14:textId="77777777" w:rsidR="00D64459" w:rsidRPr="00493E39" w:rsidRDefault="008B2120">
      <w:pPr>
        <w:ind w:firstLine="709"/>
        <w:jc w:val="both"/>
        <w:rPr>
          <w:rFonts w:cs="Arial"/>
          <w:lang w:val="pt-BR"/>
        </w:rPr>
      </w:pPr>
      <w:r w:rsidRPr="00493E39">
        <w:rPr>
          <w:rFonts w:cs="Arial"/>
          <w:lang w:val="pt-BR"/>
        </w:rPr>
        <w:t>As séries que o modelo transforma em logaritmo aparecem aqui como 100</w:t>
      </w:r>
      <w:proofErr w:type="gramStart"/>
      <w:r w:rsidRPr="00493E39">
        <w:rPr>
          <w:rFonts w:cs="Arial"/>
          <w:lang w:val="pt-BR"/>
        </w:rPr>
        <w:t>·[</w:t>
      </w:r>
      <w:proofErr w:type="spellStart"/>
      <w:proofErr w:type="gramEnd"/>
      <w:r w:rsidRPr="00493E39">
        <w:rPr>
          <w:rFonts w:cs="Arial"/>
          <w:lang w:val="pt-BR"/>
        </w:rPr>
        <w:t>ln</w:t>
      </w:r>
      <w:proofErr w:type="spellEnd"/>
      <w:r w:rsidRPr="00493E39">
        <w:rPr>
          <w:rFonts w:cs="Arial"/>
          <w:lang w:val="pt-BR"/>
        </w:rPr>
        <w:t xml:space="preserve"> P(t) − </w:t>
      </w:r>
      <w:proofErr w:type="spellStart"/>
      <w:r w:rsidRPr="00493E39">
        <w:rPr>
          <w:rFonts w:cs="Arial"/>
          <w:lang w:val="pt-BR"/>
        </w:rPr>
        <w:t>ln</w:t>
      </w:r>
      <w:proofErr w:type="spellEnd"/>
      <w:r w:rsidRPr="00493E39">
        <w:rPr>
          <w:rFonts w:cs="Arial"/>
          <w:lang w:val="pt-BR"/>
        </w:rPr>
        <w:t xml:space="preserve"> P(</w:t>
      </w:r>
      <w:proofErr w:type="spellStart"/>
      <w:r w:rsidRPr="00493E39">
        <w:rPr>
          <w:rFonts w:cs="Arial"/>
          <w:lang w:val="pt-BR"/>
        </w:rPr>
        <w:t>jan</w:t>
      </w:r>
      <w:proofErr w:type="spellEnd"/>
      <w:r w:rsidRPr="00493E39">
        <w:rPr>
          <w:rFonts w:cs="Arial"/>
          <w:lang w:val="pt-BR"/>
        </w:rPr>
        <w:t>/2003)], em pontos logarítmicos. Ponto logarítmico não equivale a porcento fora de variações pequenas: os 126 pontos acumulados pelo IPCA Geral na amostra correspondem a alta efetiva de 253%. Meta Selic e expectativa não aparecem, por já serem taxas.</w:t>
      </w:r>
    </w:p>
    <w:p w14:paraId="3B18DF6D"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B.1 – Séries em escala logarítmica</w:t>
      </w:r>
    </w:p>
    <w:p w14:paraId="444039EE" w14:textId="77777777" w:rsidR="00D64459" w:rsidRPr="00493E39" w:rsidRDefault="008B2120">
      <w:pPr>
        <w:spacing w:after="40"/>
        <w:jc w:val="center"/>
        <w:rPr>
          <w:rFonts w:cs="Arial"/>
        </w:rPr>
      </w:pPr>
      <w:r w:rsidRPr="00493E39">
        <w:rPr>
          <w:rFonts w:cs="Arial"/>
          <w:noProof/>
        </w:rPr>
        <w:drawing>
          <wp:inline distT="0" distB="0" distL="0" distR="0" wp14:anchorId="049B8C11" wp14:editId="5E5926E4">
            <wp:extent cx="5580000" cy="4376471"/>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ries_log.png"/>
                    <pic:cNvPicPr/>
                  </pic:nvPicPr>
                  <pic:blipFill>
                    <a:blip r:embed="rId19"/>
                    <a:stretch>
                      <a:fillRect/>
                    </a:stretch>
                  </pic:blipFill>
                  <pic:spPr>
                    <a:xfrm>
                      <a:off x="0" y="0"/>
                      <a:ext cx="5580000" cy="4376471"/>
                    </a:xfrm>
                    <a:prstGeom prst="rect">
                      <a:avLst/>
                    </a:prstGeom>
                  </pic:spPr>
                </pic:pic>
              </a:graphicData>
            </a:graphic>
          </wp:inline>
        </w:drawing>
      </w:r>
    </w:p>
    <w:p w14:paraId="6EFB376D" w14:textId="77777777" w:rsidR="00D64459" w:rsidRPr="00493E39" w:rsidRDefault="008B2120">
      <w:pPr>
        <w:spacing w:line="240" w:lineRule="auto"/>
        <w:jc w:val="both"/>
        <w:rPr>
          <w:rFonts w:cs="Arial"/>
          <w:lang w:val="pt-BR"/>
        </w:rPr>
      </w:pPr>
      <w:r w:rsidRPr="00493E39">
        <w:rPr>
          <w:rFonts w:cs="Arial"/>
          <w:sz w:val="18"/>
          <w:lang w:val="pt-BR"/>
        </w:rPr>
        <w:t>Nota: valores em pontos logarítmicos, não em porcento.</w:t>
      </w:r>
    </w:p>
    <w:p w14:paraId="368A33E1"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6EF50C23" w14:textId="77777777" w:rsidR="00D64459" w:rsidRPr="00493E39" w:rsidRDefault="008B2120">
      <w:pPr>
        <w:rPr>
          <w:rFonts w:cs="Arial"/>
          <w:lang w:val="pt-BR"/>
        </w:rPr>
      </w:pPr>
      <w:r w:rsidRPr="00493E39">
        <w:rPr>
          <w:rFonts w:cs="Arial"/>
          <w:lang w:val="pt-BR"/>
        </w:rPr>
        <w:br w:type="page"/>
      </w:r>
    </w:p>
    <w:p w14:paraId="49DF8CE8" w14:textId="77777777" w:rsidR="00D64459" w:rsidRPr="00493E39" w:rsidRDefault="008B2120">
      <w:pPr>
        <w:pStyle w:val="Heading1"/>
        <w:spacing w:before="280" w:after="280"/>
        <w:jc w:val="center"/>
        <w:rPr>
          <w:rFonts w:ascii="Arial" w:hAnsi="Arial" w:cs="Arial"/>
          <w:lang w:val="pt-BR"/>
        </w:rPr>
      </w:pPr>
      <w:bookmarkStart w:id="38" w:name="_Toc239713587"/>
      <w:r w:rsidRPr="00493E39">
        <w:rPr>
          <w:rFonts w:ascii="Arial" w:hAnsi="Arial" w:cs="Arial"/>
          <w:lang w:val="pt-BR"/>
        </w:rPr>
        <w:lastRenderedPageBreak/>
        <w:t>APÊNDICE C – IDENTIFICAÇÃO POR INSTRUMENTO EXTERNO</w:t>
      </w:r>
      <w:bookmarkEnd w:id="38"/>
    </w:p>
    <w:p w14:paraId="202D733B" w14:textId="77777777" w:rsidR="00D64459" w:rsidRPr="00493E39" w:rsidRDefault="008B2120">
      <w:pPr>
        <w:ind w:firstLine="709"/>
        <w:jc w:val="both"/>
        <w:rPr>
          <w:rFonts w:cs="Arial"/>
          <w:lang w:val="pt-BR"/>
        </w:rPr>
      </w:pPr>
      <w:r w:rsidRPr="00493E39">
        <w:rPr>
          <w:rFonts w:cs="Arial"/>
          <w:lang w:val="pt-BR"/>
        </w:rPr>
        <w:t xml:space="preserve">O Apêndice K.1 reporta a projeção sobre o choque de notícia de oferta de </w:t>
      </w:r>
      <w:proofErr w:type="spellStart"/>
      <w:r w:rsidRPr="00493E39">
        <w:rPr>
          <w:rFonts w:cs="Arial"/>
          <w:lang w:val="pt-BR"/>
        </w:rPr>
        <w:t>Känzig</w:t>
      </w:r>
      <w:proofErr w:type="spellEnd"/>
      <w:r w:rsidRPr="00493E39">
        <w:rPr>
          <w:rFonts w:cs="Arial"/>
          <w:lang w:val="pt-BR"/>
        </w:rPr>
        <w:t xml:space="preserve"> (2021) e a ressalva de que o arquivo daquele autor contém duas séries com propriedades muito distintas. A figura a seguir contrapõe as duas: à esquerda, a forma reduzida sobre cada uma; à direita, o intervalo convencional de mínimos quadrados em dois estágios comparado ao conjunto de Anderson-Rubin, robusto a instrumento fraco. Com o instrumento externo bruto, cuja estatística F de primeiro estágio fica entre 2,9 e 6,8, o conjunto de Anderson-Rubin é cerca de 80% mais amplo e nunca exclui o zero.</w:t>
      </w:r>
    </w:p>
    <w:p w14:paraId="0AAA54D6"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C.1 – Forma reduzida e conjuntos de Anderson-Rubin para o IPCA Geral</w:t>
      </w:r>
    </w:p>
    <w:p w14:paraId="43854446" w14:textId="77777777" w:rsidR="00D64459" w:rsidRPr="00493E39" w:rsidRDefault="008B2120">
      <w:pPr>
        <w:spacing w:after="40"/>
        <w:jc w:val="center"/>
        <w:rPr>
          <w:rFonts w:cs="Arial"/>
        </w:rPr>
      </w:pPr>
      <w:r w:rsidRPr="00493E39">
        <w:rPr>
          <w:rFonts w:cs="Arial"/>
          <w:noProof/>
        </w:rPr>
        <w:drawing>
          <wp:inline distT="0" distB="0" distL="0" distR="0" wp14:anchorId="1D35D3F2" wp14:editId="35109998">
            <wp:extent cx="5580000" cy="2183478"/>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p_iv_reduzida_ar_final_ipca_geral.png"/>
                    <pic:cNvPicPr/>
                  </pic:nvPicPr>
                  <pic:blipFill>
                    <a:blip r:embed="rId20"/>
                    <a:stretch>
                      <a:fillRect/>
                    </a:stretch>
                  </pic:blipFill>
                  <pic:spPr>
                    <a:xfrm>
                      <a:off x="0" y="0"/>
                      <a:ext cx="5580000" cy="2183478"/>
                    </a:xfrm>
                    <a:prstGeom prst="rect">
                      <a:avLst/>
                    </a:prstGeom>
                  </pic:spPr>
                </pic:pic>
              </a:graphicData>
            </a:graphic>
          </wp:inline>
        </w:drawing>
      </w:r>
    </w:p>
    <w:p w14:paraId="6A99038C" w14:textId="77777777" w:rsidR="00D64459" w:rsidRPr="00493E39" w:rsidRDefault="008B2120">
      <w:pPr>
        <w:spacing w:line="240" w:lineRule="auto"/>
        <w:jc w:val="both"/>
        <w:rPr>
          <w:rFonts w:cs="Arial"/>
          <w:lang w:val="pt-BR"/>
        </w:rPr>
      </w:pPr>
      <w:r w:rsidRPr="00493E39">
        <w:rPr>
          <w:rFonts w:cs="Arial"/>
          <w:sz w:val="18"/>
          <w:lang w:val="pt-BR"/>
        </w:rPr>
        <w:t xml:space="preserve">Nota: à esquerda, a forma reduzida do IPCA Geral sobre cada uma das duas séries do arquivo de </w:t>
      </w:r>
      <w:proofErr w:type="spellStart"/>
      <w:r w:rsidRPr="00493E39">
        <w:rPr>
          <w:rFonts w:cs="Arial"/>
          <w:sz w:val="18"/>
          <w:lang w:val="pt-BR"/>
        </w:rPr>
        <w:t>Känzig</w:t>
      </w:r>
      <w:proofErr w:type="spellEnd"/>
      <w:r w:rsidRPr="00493E39">
        <w:rPr>
          <w:rFonts w:cs="Arial"/>
          <w:sz w:val="18"/>
          <w:lang w:val="pt-BR"/>
        </w:rPr>
        <w:t xml:space="preserve"> (2021); à direita, o intervalo convencional de dois estágios e o conjunto de Anderson-Rubin, robusto a instrumento fraco, calculados sobre o instrumento externo bruto.</w:t>
      </w:r>
    </w:p>
    <w:p w14:paraId="0B2A1510"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6876BC4F" w14:textId="77777777" w:rsidR="00D64459" w:rsidRPr="00493E39" w:rsidRDefault="008B2120">
      <w:pPr>
        <w:rPr>
          <w:rFonts w:cs="Arial"/>
          <w:lang w:val="pt-BR"/>
        </w:rPr>
      </w:pPr>
      <w:r w:rsidRPr="00493E39">
        <w:rPr>
          <w:rFonts w:cs="Arial"/>
          <w:lang w:val="pt-BR"/>
        </w:rPr>
        <w:br w:type="page"/>
      </w:r>
    </w:p>
    <w:p w14:paraId="2E231710" w14:textId="77777777" w:rsidR="00D64459" w:rsidRPr="00493E39" w:rsidRDefault="008B2120">
      <w:pPr>
        <w:pStyle w:val="Heading1"/>
        <w:spacing w:before="280" w:after="280"/>
        <w:jc w:val="center"/>
        <w:rPr>
          <w:rFonts w:ascii="Arial" w:hAnsi="Arial" w:cs="Arial"/>
          <w:lang w:val="pt-BR"/>
        </w:rPr>
      </w:pPr>
      <w:bookmarkStart w:id="39" w:name="_Toc239713588"/>
      <w:r w:rsidRPr="00493E39">
        <w:rPr>
          <w:rFonts w:ascii="Arial" w:hAnsi="Arial" w:cs="Arial"/>
          <w:lang w:val="pt-BR"/>
        </w:rPr>
        <w:lastRenderedPageBreak/>
        <w:t>APÊNDICE D – DIAGNÓSTICO DA GASOLINA NA REFINARIA</w:t>
      </w:r>
      <w:bookmarkEnd w:id="39"/>
    </w:p>
    <w:p w14:paraId="13389E07" w14:textId="77777777" w:rsidR="00D64459" w:rsidRPr="00493E39" w:rsidRDefault="008B2120">
      <w:pPr>
        <w:ind w:firstLine="709"/>
        <w:jc w:val="both"/>
        <w:rPr>
          <w:rFonts w:cs="Arial"/>
          <w:lang w:val="pt-BR"/>
        </w:rPr>
      </w:pPr>
      <w:r w:rsidRPr="00493E39">
        <w:rPr>
          <w:rFonts w:cs="Arial"/>
          <w:lang w:val="pt-BR"/>
        </w:rPr>
        <w:t>A Tabela 7 documenta que a equação de impacto da gasolina na refinaria não deixa autocorrelação residual detectável em nenhuma das subamostras. A figura a seguir mostra o comportamento do preço: à esquerda, a variação mensal do preço na refinaria, em tom claro antes de março de 2017 e escuro depois; à direita, a fração de meses sem alteração de preço, por regime e por série. O contraste entre 16,6% de meses parados e nenhum é o que sustenta a leitura de transição de um preço administrado para um preço indexado.</w:t>
      </w:r>
    </w:p>
    <w:p w14:paraId="7E132484"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D.1 – Variação mensal do preço na refinaria e frequência de reajuste por regime</w:t>
      </w:r>
    </w:p>
    <w:p w14:paraId="3F6CE213" w14:textId="77777777" w:rsidR="00D64459" w:rsidRPr="00493E39" w:rsidRDefault="008B2120">
      <w:pPr>
        <w:spacing w:after="40"/>
        <w:jc w:val="center"/>
        <w:rPr>
          <w:rFonts w:cs="Arial"/>
        </w:rPr>
      </w:pPr>
      <w:r w:rsidRPr="00493E39">
        <w:rPr>
          <w:rFonts w:cs="Arial"/>
          <w:noProof/>
        </w:rPr>
        <w:drawing>
          <wp:inline distT="0" distB="0" distL="0" distR="0" wp14:anchorId="58E13C47" wp14:editId="53D24463">
            <wp:extent cx="5580000" cy="209250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nostico_refinaria.png"/>
                    <pic:cNvPicPr/>
                  </pic:nvPicPr>
                  <pic:blipFill>
                    <a:blip r:embed="rId21"/>
                    <a:stretch>
                      <a:fillRect/>
                    </a:stretch>
                  </pic:blipFill>
                  <pic:spPr>
                    <a:xfrm>
                      <a:off x="0" y="0"/>
                      <a:ext cx="5580000" cy="2092500"/>
                    </a:xfrm>
                    <a:prstGeom prst="rect">
                      <a:avLst/>
                    </a:prstGeom>
                  </pic:spPr>
                </pic:pic>
              </a:graphicData>
            </a:graphic>
          </wp:inline>
        </w:drawing>
      </w:r>
    </w:p>
    <w:p w14:paraId="4F29D223"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126F5D63" w14:textId="77777777" w:rsidR="00D64459" w:rsidRPr="00493E39" w:rsidRDefault="008B2120">
      <w:pPr>
        <w:ind w:firstLine="709"/>
        <w:jc w:val="both"/>
        <w:rPr>
          <w:rFonts w:cs="Arial"/>
          <w:lang w:val="pt-BR"/>
        </w:rPr>
      </w:pPr>
      <w:r w:rsidRPr="00493E39">
        <w:rPr>
          <w:rFonts w:cs="Arial"/>
          <w:lang w:val="pt-BR"/>
        </w:rPr>
        <w:t xml:space="preserve">A figura seguinte examina diretamente os resíduos da equação de impacto, que são o objeto do teste. À esquerda, a série residual, separada pelos dois regimes; à direita, o </w:t>
      </w:r>
      <w:proofErr w:type="spellStart"/>
      <w:r w:rsidRPr="00493E39">
        <w:rPr>
          <w:rFonts w:cs="Arial"/>
          <w:lang w:val="pt-BR"/>
        </w:rPr>
        <w:t>correlograma</w:t>
      </w:r>
      <w:proofErr w:type="spellEnd"/>
      <w:r w:rsidRPr="00493E39">
        <w:rPr>
          <w:rFonts w:cs="Arial"/>
          <w:lang w:val="pt-BR"/>
        </w:rPr>
        <w:t xml:space="preserve"> de cada um. O desvio-padrão residual passa de 2,25 no regime anterior para 4,27 no posterior, e a autocorrelação de primeira ordem é de −0,026 no anterior e de −0,031 no posterior. Os meses parados do regime anterior não produzem dependência serial detectável, e o regime indexado tem variância residual maior.</w:t>
      </w:r>
    </w:p>
    <w:p w14:paraId="555E5C2E"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D.2 – Resíduos da equação de impacto da gasolina na refinaria, por regime</w:t>
      </w:r>
    </w:p>
    <w:p w14:paraId="200339EA" w14:textId="77777777" w:rsidR="00D64459" w:rsidRPr="00493E39" w:rsidRDefault="008B2120">
      <w:pPr>
        <w:spacing w:after="40"/>
        <w:jc w:val="center"/>
        <w:rPr>
          <w:rFonts w:cs="Arial"/>
        </w:rPr>
      </w:pPr>
      <w:r w:rsidRPr="00493E39">
        <w:rPr>
          <w:rFonts w:cs="Arial"/>
          <w:noProof/>
        </w:rPr>
        <w:drawing>
          <wp:inline distT="0" distB="0" distL="0" distR="0" wp14:anchorId="44966694" wp14:editId="58EA02B9">
            <wp:extent cx="5580000" cy="1953341"/>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duos_refinaria.png"/>
                    <pic:cNvPicPr/>
                  </pic:nvPicPr>
                  <pic:blipFill>
                    <a:blip r:embed="rId22"/>
                    <a:stretch>
                      <a:fillRect/>
                    </a:stretch>
                  </pic:blipFill>
                  <pic:spPr>
                    <a:xfrm>
                      <a:off x="0" y="0"/>
                      <a:ext cx="5580000" cy="1953341"/>
                    </a:xfrm>
                    <a:prstGeom prst="rect">
                      <a:avLst/>
                    </a:prstGeom>
                  </pic:spPr>
                </pic:pic>
              </a:graphicData>
            </a:graphic>
          </wp:inline>
        </w:drawing>
      </w:r>
    </w:p>
    <w:p w14:paraId="36D17A62" w14:textId="77777777" w:rsidR="00D64459" w:rsidRPr="00493E39" w:rsidRDefault="008B2120">
      <w:pPr>
        <w:spacing w:line="240" w:lineRule="auto"/>
        <w:jc w:val="both"/>
        <w:rPr>
          <w:rFonts w:cs="Arial"/>
          <w:lang w:val="pt-BR"/>
        </w:rPr>
      </w:pPr>
      <w:r w:rsidRPr="00493E39">
        <w:rPr>
          <w:rFonts w:cs="Arial"/>
          <w:sz w:val="18"/>
          <w:lang w:val="pt-BR"/>
        </w:rPr>
        <w:t xml:space="preserve">Nota: as linhas tracejadas do </w:t>
      </w:r>
      <w:proofErr w:type="spellStart"/>
      <w:r w:rsidRPr="00493E39">
        <w:rPr>
          <w:rFonts w:cs="Arial"/>
          <w:sz w:val="18"/>
          <w:lang w:val="pt-BR"/>
        </w:rPr>
        <w:t>correlograma</w:t>
      </w:r>
      <w:proofErr w:type="spellEnd"/>
      <w:r w:rsidRPr="00493E39">
        <w:rPr>
          <w:rFonts w:cs="Arial"/>
          <w:sz w:val="18"/>
          <w:lang w:val="pt-BR"/>
        </w:rPr>
        <w:t xml:space="preserve"> marcam a banda de dois erros-padrão assintóticos.</w:t>
      </w:r>
    </w:p>
    <w:p w14:paraId="1D50DA2B"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41CE71EC" w14:textId="77777777" w:rsidR="00D64459" w:rsidRPr="00493E39" w:rsidRDefault="008B2120">
      <w:pPr>
        <w:rPr>
          <w:rFonts w:cs="Arial"/>
          <w:lang w:val="pt-BR"/>
        </w:rPr>
      </w:pPr>
      <w:r w:rsidRPr="00493E39">
        <w:rPr>
          <w:rFonts w:cs="Arial"/>
          <w:lang w:val="pt-BR"/>
        </w:rPr>
        <w:br w:type="page"/>
      </w:r>
    </w:p>
    <w:p w14:paraId="27F53D75" w14:textId="77777777" w:rsidR="00D64459" w:rsidRPr="00493E39" w:rsidRDefault="008B2120">
      <w:pPr>
        <w:pStyle w:val="Heading1"/>
        <w:spacing w:before="280" w:after="280"/>
        <w:jc w:val="center"/>
        <w:rPr>
          <w:rFonts w:ascii="Arial" w:hAnsi="Arial" w:cs="Arial"/>
          <w:lang w:val="pt-BR"/>
        </w:rPr>
      </w:pPr>
      <w:bookmarkStart w:id="40" w:name="_Toc239713589"/>
      <w:r w:rsidRPr="00493E39">
        <w:rPr>
          <w:rFonts w:ascii="Arial" w:hAnsi="Arial" w:cs="Arial"/>
          <w:lang w:val="pt-BR"/>
        </w:rPr>
        <w:lastRenderedPageBreak/>
        <w:t>APÊNDICE E – SENSIBILIDADE AO NÚMERO DE DEFASAGENS</w:t>
      </w:r>
      <w:bookmarkEnd w:id="40"/>
    </w:p>
    <w:p w14:paraId="0643795D" w14:textId="77777777" w:rsidR="00D64459" w:rsidRPr="00493E39" w:rsidRDefault="008B2120">
      <w:pPr>
        <w:ind w:firstLine="709"/>
        <w:jc w:val="both"/>
        <w:rPr>
          <w:rFonts w:cs="Arial"/>
          <w:lang w:val="pt-BR"/>
        </w:rPr>
      </w:pPr>
      <w:r w:rsidRPr="00493E39">
        <w:rPr>
          <w:rFonts w:cs="Arial"/>
          <w:lang w:val="pt-BR"/>
        </w:rPr>
        <w:t>O Apêndice K.2 reporta que o resultado de regime no horizonte de impacto é invariante ao número de defasagens adotado, e que em três meses a estabilidade não se mantém. A figura apresenta a escada completa, de uma a doze defasagens, para as variáveis principais.</w:t>
      </w:r>
    </w:p>
    <w:p w14:paraId="65939FAD"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E.1 – Coeficiente do choque por número de defasagens</w:t>
      </w:r>
    </w:p>
    <w:p w14:paraId="6B61A735" w14:textId="77777777" w:rsidR="00D64459" w:rsidRPr="00493E39" w:rsidRDefault="008B2120">
      <w:pPr>
        <w:spacing w:after="40"/>
        <w:jc w:val="center"/>
        <w:rPr>
          <w:rFonts w:cs="Arial"/>
        </w:rPr>
      </w:pPr>
      <w:r w:rsidRPr="00493E39">
        <w:rPr>
          <w:rFonts w:cs="Arial"/>
          <w:noProof/>
        </w:rPr>
        <w:drawing>
          <wp:inline distT="0" distB="0" distL="0" distR="0" wp14:anchorId="24774D93" wp14:editId="0FE7B621">
            <wp:extent cx="5580000" cy="376043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scada_defasagens.png"/>
                    <pic:cNvPicPr/>
                  </pic:nvPicPr>
                  <pic:blipFill>
                    <a:blip r:embed="rId23"/>
                    <a:stretch>
                      <a:fillRect/>
                    </a:stretch>
                  </pic:blipFill>
                  <pic:spPr>
                    <a:xfrm>
                      <a:off x="0" y="0"/>
                      <a:ext cx="5580000" cy="3760435"/>
                    </a:xfrm>
                    <a:prstGeom prst="rect">
                      <a:avLst/>
                    </a:prstGeom>
                  </pic:spPr>
                </pic:pic>
              </a:graphicData>
            </a:graphic>
          </wp:inline>
        </w:drawing>
      </w:r>
    </w:p>
    <w:p w14:paraId="1C5883A8" w14:textId="77777777" w:rsidR="00D64459" w:rsidRPr="00493E39" w:rsidRDefault="008B2120">
      <w:pPr>
        <w:spacing w:line="240" w:lineRule="auto"/>
        <w:jc w:val="both"/>
        <w:rPr>
          <w:rFonts w:cs="Arial"/>
          <w:lang w:val="pt-BR"/>
        </w:rPr>
      </w:pPr>
      <w:r w:rsidRPr="00493E39">
        <w:rPr>
          <w:rFonts w:cs="Arial"/>
          <w:sz w:val="18"/>
          <w:lang w:val="pt-BR"/>
        </w:rPr>
        <w:t>Nota: resposta acumulada ao choque do petróleo com três, seis e doze defasagens, estimada na amostra comum às três ordens. A faixa é o intervalo pontual de 90% da especificação principal, de três defasagens.</w:t>
      </w:r>
    </w:p>
    <w:p w14:paraId="0ABF90FC"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7229DBED" w14:textId="77777777" w:rsidR="00D64459" w:rsidRPr="00493E39" w:rsidRDefault="008B2120">
      <w:pPr>
        <w:rPr>
          <w:rFonts w:cs="Arial"/>
          <w:lang w:val="pt-BR"/>
        </w:rPr>
      </w:pPr>
      <w:r w:rsidRPr="00493E39">
        <w:rPr>
          <w:rFonts w:cs="Arial"/>
          <w:lang w:val="pt-BR"/>
        </w:rPr>
        <w:br w:type="page"/>
      </w:r>
    </w:p>
    <w:p w14:paraId="4AE6FEC5" w14:textId="77777777" w:rsidR="00D64459" w:rsidRPr="00493E39" w:rsidRDefault="008B2120">
      <w:pPr>
        <w:pStyle w:val="Heading1"/>
        <w:spacing w:before="280" w:after="280"/>
        <w:jc w:val="center"/>
        <w:rPr>
          <w:rFonts w:ascii="Arial" w:hAnsi="Arial" w:cs="Arial"/>
          <w:lang w:val="pt-BR"/>
        </w:rPr>
      </w:pPr>
      <w:bookmarkStart w:id="41" w:name="_Toc239713590"/>
      <w:r w:rsidRPr="00493E39">
        <w:rPr>
          <w:rFonts w:ascii="Arial" w:hAnsi="Arial" w:cs="Arial"/>
          <w:lang w:val="pt-BR"/>
        </w:rPr>
        <w:lastRenderedPageBreak/>
        <w:t>APÊNDICE F – COMPARAÇÃO ENTRE A DATA ESTIMADA E A DATA DO ANÚNCIO</w:t>
      </w:r>
      <w:bookmarkEnd w:id="41"/>
    </w:p>
    <w:p w14:paraId="1AC8A628" w14:textId="77777777" w:rsidR="00D64459" w:rsidRPr="00493E39" w:rsidRDefault="008B2120">
      <w:pPr>
        <w:ind w:firstLine="709"/>
        <w:jc w:val="both"/>
        <w:rPr>
          <w:rFonts w:cs="Arial"/>
          <w:lang w:val="pt-BR"/>
        </w:rPr>
      </w:pPr>
      <w:r w:rsidRPr="00493E39">
        <w:rPr>
          <w:rFonts w:cs="Arial"/>
          <w:lang w:val="pt-BR"/>
        </w:rPr>
        <w:t xml:space="preserve">A seção 4.7.4 reporta que o resultado não depende de a data de corte ter sido estimada. Este apêndice apresenta a verificação completa. As duas linhas de painéis usam a mesma especificação, </w:t>
      </w:r>
      <w:proofErr w:type="gramStart"/>
      <w:r w:rsidRPr="00493E39">
        <w:rPr>
          <w:rFonts w:cs="Arial"/>
          <w:lang w:val="pt-BR"/>
        </w:rPr>
        <w:t>a mesma</w:t>
      </w:r>
      <w:proofErr w:type="gramEnd"/>
      <w:r w:rsidRPr="00493E39">
        <w:rPr>
          <w:rFonts w:cs="Arial"/>
          <w:lang w:val="pt-BR"/>
        </w:rPr>
        <w:t xml:space="preserve"> amostra e o mesmo código, e diferem apenas na data que separa os dois regimes: acima, outubro de 2016, mês em que a política de paridade de importação foi anunciada, imposta sem estimação; abaixo, março de 2017, estimada por </w:t>
      </w:r>
      <w:proofErr w:type="spellStart"/>
      <w:r w:rsidRPr="00493E39">
        <w:rPr>
          <w:rFonts w:cs="Arial"/>
          <w:lang w:val="pt-BR"/>
        </w:rPr>
        <w:t>sup</w:t>
      </w:r>
      <w:proofErr w:type="spellEnd"/>
      <w:r w:rsidRPr="00493E39">
        <w:rPr>
          <w:rFonts w:cs="Arial"/>
          <w:lang w:val="pt-BR"/>
        </w:rPr>
        <w:t>-Wald conforme o Capítulo 3.</w:t>
      </w:r>
    </w:p>
    <w:p w14:paraId="1E9B172A" w14:textId="77777777" w:rsidR="00D64459" w:rsidRPr="00493E39" w:rsidRDefault="008B2120">
      <w:pPr>
        <w:ind w:firstLine="709"/>
        <w:jc w:val="both"/>
        <w:rPr>
          <w:rFonts w:cs="Arial"/>
          <w:lang w:val="pt-BR"/>
        </w:rPr>
      </w:pPr>
      <w:r w:rsidRPr="00493E39">
        <w:rPr>
          <w:rFonts w:cs="Arial"/>
          <w:lang w:val="pt-BR"/>
        </w:rPr>
        <w:t>A leitura relevante não é a coincidência das magnitudes, que de todo modo é próxima, e sim a reprodução do padrão qualitativo. Em ambos os cortes a resposta do regime anterior permanece indistinguível de zero nos horizontes curtos, e a do regime posterior é significativa e de ordem de grandeza várias vezes maior. Impor uma data exógena tem, ainda, a vantagem de dispensar a correção para inferência após seleção discutida na seção 4.6.</w:t>
      </w:r>
    </w:p>
    <w:p w14:paraId="3ED45670"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F.1 – Resposta acumulada por regime sob os dois cortes</w:t>
      </w:r>
    </w:p>
    <w:p w14:paraId="7304D8A8" w14:textId="77777777" w:rsidR="00D64459" w:rsidRPr="00493E39" w:rsidRDefault="008B2120">
      <w:pPr>
        <w:spacing w:after="40"/>
        <w:jc w:val="center"/>
        <w:rPr>
          <w:rFonts w:cs="Arial"/>
        </w:rPr>
      </w:pPr>
      <w:r w:rsidRPr="00493E39">
        <w:rPr>
          <w:rFonts w:cs="Arial"/>
          <w:noProof/>
        </w:rPr>
        <w:drawing>
          <wp:inline distT="0" distB="0" distL="0" distR="0" wp14:anchorId="4742CC88" wp14:editId="68AD4E40">
            <wp:extent cx="5580000" cy="258884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rte_alternativo_completo.png"/>
                    <pic:cNvPicPr/>
                  </pic:nvPicPr>
                  <pic:blipFill>
                    <a:blip r:embed="rId24"/>
                    <a:stretch>
                      <a:fillRect/>
                    </a:stretch>
                  </pic:blipFill>
                  <pic:spPr>
                    <a:xfrm>
                      <a:off x="0" y="0"/>
                      <a:ext cx="5580000" cy="2588840"/>
                    </a:xfrm>
                    <a:prstGeom prst="rect">
                      <a:avLst/>
                    </a:prstGeom>
                  </pic:spPr>
                </pic:pic>
              </a:graphicData>
            </a:graphic>
          </wp:inline>
        </w:drawing>
      </w:r>
    </w:p>
    <w:p w14:paraId="1BF89A4C" w14:textId="77777777" w:rsidR="00D64459" w:rsidRPr="00493E39" w:rsidRDefault="008B2120">
      <w:pPr>
        <w:spacing w:line="240" w:lineRule="auto"/>
        <w:jc w:val="both"/>
        <w:rPr>
          <w:rFonts w:cs="Arial"/>
          <w:lang w:val="pt-BR"/>
        </w:rPr>
      </w:pPr>
      <w:r w:rsidRPr="00493E39">
        <w:rPr>
          <w:rFonts w:cs="Arial"/>
          <w:sz w:val="18"/>
          <w:lang w:val="pt-BR"/>
        </w:rPr>
        <w:t>Nota: tom claro para o regime anterior e escuro para o posterior. Faixas sombreadas: intervalo pontual de 90%. Linha superior de painéis, corte imposto em outubro de 2016; linha inferior, corte estimado em março de 2017.</w:t>
      </w:r>
    </w:p>
    <w:p w14:paraId="2B44136D"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6DAA10D1" w14:textId="77777777" w:rsidR="00D64459" w:rsidRPr="00493E39" w:rsidRDefault="008B2120">
      <w:pPr>
        <w:rPr>
          <w:rFonts w:cs="Arial"/>
          <w:lang w:val="pt-BR"/>
        </w:rPr>
      </w:pPr>
      <w:r w:rsidRPr="00493E39">
        <w:rPr>
          <w:rFonts w:cs="Arial"/>
          <w:lang w:val="pt-BR"/>
        </w:rPr>
        <w:br w:type="page"/>
      </w:r>
    </w:p>
    <w:p w14:paraId="3054020F" w14:textId="77777777" w:rsidR="00D64459" w:rsidRPr="00493E39" w:rsidRDefault="008B2120">
      <w:pPr>
        <w:pStyle w:val="Heading1"/>
        <w:spacing w:before="280" w:after="280"/>
        <w:jc w:val="center"/>
        <w:rPr>
          <w:rFonts w:ascii="Arial" w:hAnsi="Arial" w:cs="Arial"/>
          <w:lang w:val="pt-BR"/>
        </w:rPr>
      </w:pPr>
      <w:bookmarkStart w:id="42" w:name="_Toc239713591"/>
      <w:r w:rsidRPr="00493E39">
        <w:rPr>
          <w:rFonts w:ascii="Arial" w:hAnsi="Arial" w:cs="Arial"/>
          <w:lang w:val="pt-BR"/>
        </w:rPr>
        <w:lastRenderedPageBreak/>
        <w:t>APÊNDICE G – INSTRUMENTOS EXTERNOS TESTADOS E NÃO ADOTADOS</w:t>
      </w:r>
      <w:bookmarkEnd w:id="42"/>
    </w:p>
    <w:p w14:paraId="21DFD517" w14:textId="77777777" w:rsidR="00D64459" w:rsidRPr="00493E39" w:rsidRDefault="008B2120">
      <w:pPr>
        <w:ind w:firstLine="709"/>
        <w:jc w:val="both"/>
        <w:rPr>
          <w:rFonts w:cs="Arial"/>
          <w:lang w:val="pt-BR"/>
        </w:rPr>
      </w:pPr>
      <w:r w:rsidRPr="00493E39">
        <w:rPr>
          <w:rFonts w:cs="Arial"/>
          <w:lang w:val="pt-BR"/>
        </w:rPr>
        <w:t>O Apêndice K.1 registra que a identificação do trabalho não repousa sobre variável instrumental. Este apêndice reporta as estatísticas dos instrumentos externos que foram testados e descartados, para documentar a tentativa e permitir que o leitor avalie a decisão.</w:t>
      </w:r>
    </w:p>
    <w:p w14:paraId="22FE8C74" w14:textId="77777777" w:rsidR="00D64459" w:rsidRPr="00493E39" w:rsidRDefault="008B2120">
      <w:pPr>
        <w:ind w:firstLine="709"/>
        <w:jc w:val="both"/>
        <w:rPr>
          <w:rFonts w:cs="Arial"/>
          <w:lang w:val="pt-BR"/>
        </w:rPr>
      </w:pPr>
      <w:r w:rsidRPr="00493E39">
        <w:rPr>
          <w:rFonts w:cs="Arial"/>
          <w:lang w:val="pt-BR"/>
        </w:rPr>
        <w:t xml:space="preserve">Além da projeção sobre o choque de KÄNZIG (2021), construíram-se dois instrumentos a partir da margem de refino internacional, obtida subtraindo-se a cotação do Brent das cotações da gasolina e do diesel de ultrabaixo teor de enxofre na Costa do Golfo dos Estados Unidos, ambas publicadas pela U.S. Energy </w:t>
      </w:r>
      <w:proofErr w:type="spellStart"/>
      <w:r w:rsidRPr="00493E39">
        <w:rPr>
          <w:rFonts w:cs="Arial"/>
          <w:lang w:val="pt-BR"/>
        </w:rPr>
        <w:t>Information</w:t>
      </w:r>
      <w:proofErr w:type="spellEnd"/>
      <w:r w:rsidRPr="00493E39">
        <w:rPr>
          <w:rFonts w:cs="Arial"/>
          <w:lang w:val="pt-BR"/>
        </w:rPr>
        <w:t xml:space="preserve"> </w:t>
      </w:r>
      <w:proofErr w:type="spellStart"/>
      <w:r w:rsidRPr="00493E39">
        <w:rPr>
          <w:rFonts w:cs="Arial"/>
          <w:lang w:val="pt-BR"/>
        </w:rPr>
        <w:t>Administration</w:t>
      </w:r>
      <w:proofErr w:type="spellEnd"/>
      <w:r w:rsidRPr="00493E39">
        <w:rPr>
          <w:rFonts w:cs="Arial"/>
          <w:lang w:val="pt-BR"/>
        </w:rPr>
        <w:t>. O instrumento é o resíduo da regressão da variação logarítmica do derivado sobre a do Brent, portanto ortogonal ao choque de petróleo por construção, com correlação amostral nula até a terceira casa decimal. A lógica econômica é que interrupções de capacidade de refino, tipicamente climáticas, movem a margem sem mover o preço do óleo cru.</w:t>
      </w:r>
    </w:p>
    <w:p w14:paraId="1A5F015B" w14:textId="77777777" w:rsidR="00D64459" w:rsidRPr="00493E39" w:rsidRDefault="008B2120">
      <w:pPr>
        <w:keepNext/>
        <w:spacing w:before="200" w:after="40" w:line="240" w:lineRule="auto"/>
        <w:rPr>
          <w:rFonts w:cs="Arial"/>
          <w:lang w:val="pt-BR"/>
        </w:rPr>
      </w:pPr>
      <w:r w:rsidRPr="00493E39">
        <w:rPr>
          <w:rFonts w:cs="Arial"/>
          <w:sz w:val="20"/>
          <w:lang w:val="pt-BR"/>
        </w:rPr>
        <w:t>Tabela G.1 – Estatística F de primeiro estágio, horizonte de impacto</w:t>
      </w:r>
    </w:p>
    <w:tbl>
      <w:tblPr>
        <w:tblW w:w="0" w:type="auto"/>
        <w:jc w:val="center"/>
        <w:tblLook w:val="04A0" w:firstRow="1" w:lastRow="0" w:firstColumn="1" w:lastColumn="0" w:noHBand="0" w:noVBand="1"/>
      </w:tblPr>
      <w:tblGrid>
        <w:gridCol w:w="3396"/>
        <w:gridCol w:w="2603"/>
        <w:gridCol w:w="1811"/>
        <w:gridCol w:w="1811"/>
      </w:tblGrid>
      <w:tr w:rsidR="00D64459" w:rsidRPr="00493E39" w14:paraId="3BFE4E5F" w14:textId="77777777">
        <w:trPr>
          <w:tblHeader/>
          <w:jc w:val="center"/>
        </w:trPr>
        <w:tc>
          <w:tcPr>
            <w:tcW w:w="3402" w:type="dxa"/>
            <w:tcBorders>
              <w:top w:val="single" w:sz="12" w:space="0" w:color="000000"/>
              <w:bottom w:val="single" w:sz="6" w:space="0" w:color="000000"/>
            </w:tcBorders>
          </w:tcPr>
          <w:p w14:paraId="49C3B0E9" w14:textId="77777777" w:rsidR="00D64459" w:rsidRPr="00493E39" w:rsidRDefault="008B2120">
            <w:pPr>
              <w:spacing w:after="20" w:line="240" w:lineRule="auto"/>
              <w:rPr>
                <w:rFonts w:cs="Arial"/>
              </w:rPr>
            </w:pPr>
            <w:proofErr w:type="spellStart"/>
            <w:r w:rsidRPr="00493E39">
              <w:rPr>
                <w:rFonts w:cs="Arial"/>
                <w:b/>
                <w:sz w:val="18"/>
              </w:rPr>
              <w:t>Instrumento</w:t>
            </w:r>
            <w:proofErr w:type="spellEnd"/>
          </w:p>
        </w:tc>
        <w:tc>
          <w:tcPr>
            <w:tcW w:w="2608" w:type="dxa"/>
            <w:tcBorders>
              <w:top w:val="single" w:sz="12" w:space="0" w:color="000000"/>
              <w:bottom w:val="single" w:sz="6" w:space="0" w:color="000000"/>
            </w:tcBorders>
          </w:tcPr>
          <w:p w14:paraId="7366C4F7" w14:textId="77777777" w:rsidR="00D64459" w:rsidRPr="00493E39" w:rsidRDefault="008B2120">
            <w:pPr>
              <w:spacing w:after="20" w:line="240" w:lineRule="auto"/>
              <w:rPr>
                <w:rFonts w:cs="Arial"/>
              </w:rPr>
            </w:pPr>
            <w:proofErr w:type="spellStart"/>
            <w:r w:rsidRPr="00493E39">
              <w:rPr>
                <w:rFonts w:cs="Arial"/>
                <w:b/>
                <w:sz w:val="18"/>
              </w:rPr>
              <w:t>Variável</w:t>
            </w:r>
            <w:proofErr w:type="spellEnd"/>
            <w:r w:rsidRPr="00493E39">
              <w:rPr>
                <w:rFonts w:cs="Arial"/>
                <w:b/>
                <w:sz w:val="18"/>
              </w:rPr>
              <w:t xml:space="preserve"> </w:t>
            </w:r>
            <w:proofErr w:type="spellStart"/>
            <w:r w:rsidRPr="00493E39">
              <w:rPr>
                <w:rFonts w:cs="Arial"/>
                <w:b/>
                <w:sz w:val="18"/>
              </w:rPr>
              <w:t>endógena</w:t>
            </w:r>
            <w:proofErr w:type="spellEnd"/>
          </w:p>
        </w:tc>
        <w:tc>
          <w:tcPr>
            <w:tcW w:w="1814" w:type="dxa"/>
            <w:tcBorders>
              <w:top w:val="single" w:sz="12" w:space="0" w:color="000000"/>
              <w:bottom w:val="single" w:sz="6" w:space="0" w:color="000000"/>
            </w:tcBorders>
          </w:tcPr>
          <w:p w14:paraId="489F2E44" w14:textId="77777777" w:rsidR="00D64459" w:rsidRPr="00493E39" w:rsidRDefault="008B2120">
            <w:pPr>
              <w:spacing w:after="20" w:line="240" w:lineRule="auto"/>
              <w:rPr>
                <w:rFonts w:cs="Arial"/>
              </w:rPr>
            </w:pPr>
            <w:r w:rsidRPr="00493E39">
              <w:rPr>
                <w:rFonts w:cs="Arial"/>
                <w:b/>
                <w:sz w:val="18"/>
              </w:rPr>
              <w:t>Regime posterior</w:t>
            </w:r>
          </w:p>
        </w:tc>
        <w:tc>
          <w:tcPr>
            <w:tcW w:w="1814" w:type="dxa"/>
            <w:tcBorders>
              <w:top w:val="single" w:sz="12" w:space="0" w:color="000000"/>
              <w:bottom w:val="single" w:sz="6" w:space="0" w:color="000000"/>
            </w:tcBorders>
          </w:tcPr>
          <w:p w14:paraId="1DBECE55" w14:textId="77777777" w:rsidR="00D64459" w:rsidRPr="00493E39" w:rsidRDefault="008B2120">
            <w:pPr>
              <w:spacing w:after="20" w:line="240" w:lineRule="auto"/>
              <w:rPr>
                <w:rFonts w:cs="Arial"/>
              </w:rPr>
            </w:pPr>
            <w:r w:rsidRPr="00493E39">
              <w:rPr>
                <w:rFonts w:cs="Arial"/>
                <w:b/>
                <w:sz w:val="18"/>
              </w:rPr>
              <w:t>Regime anterior</w:t>
            </w:r>
          </w:p>
        </w:tc>
      </w:tr>
      <w:tr w:rsidR="00D64459" w:rsidRPr="00493E39" w14:paraId="5305E23D" w14:textId="77777777">
        <w:trPr>
          <w:jc w:val="center"/>
        </w:trPr>
        <w:tc>
          <w:tcPr>
            <w:tcW w:w="3402" w:type="dxa"/>
          </w:tcPr>
          <w:p w14:paraId="261174E5" w14:textId="77777777" w:rsidR="00D64459" w:rsidRPr="00493E39" w:rsidRDefault="008B2120">
            <w:pPr>
              <w:spacing w:after="20" w:line="240" w:lineRule="auto"/>
              <w:rPr>
                <w:rFonts w:cs="Arial"/>
                <w:lang w:val="pt-BR"/>
              </w:rPr>
            </w:pPr>
            <w:r w:rsidRPr="00493E39">
              <w:rPr>
                <w:rFonts w:cs="Arial"/>
                <w:sz w:val="18"/>
                <w:lang w:val="pt-BR"/>
              </w:rPr>
              <w:t>Margem de refino da gasolina</w:t>
            </w:r>
          </w:p>
        </w:tc>
        <w:tc>
          <w:tcPr>
            <w:tcW w:w="2608" w:type="dxa"/>
          </w:tcPr>
          <w:p w14:paraId="06BE3BA1" w14:textId="77777777" w:rsidR="00D64459" w:rsidRPr="00493E39" w:rsidRDefault="008B2120">
            <w:pPr>
              <w:spacing w:after="20" w:line="240" w:lineRule="auto"/>
              <w:jc w:val="center"/>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ao</w:t>
            </w:r>
            <w:proofErr w:type="spellEnd"/>
            <w:r w:rsidRPr="00493E39">
              <w:rPr>
                <w:rFonts w:cs="Arial"/>
                <w:sz w:val="18"/>
              </w:rPr>
              <w:t xml:space="preserve"> </w:t>
            </w:r>
            <w:proofErr w:type="spellStart"/>
            <w:r w:rsidRPr="00493E39">
              <w:rPr>
                <w:rFonts w:cs="Arial"/>
                <w:sz w:val="18"/>
              </w:rPr>
              <w:t>consumidor</w:t>
            </w:r>
            <w:proofErr w:type="spellEnd"/>
          </w:p>
        </w:tc>
        <w:tc>
          <w:tcPr>
            <w:tcW w:w="1814" w:type="dxa"/>
          </w:tcPr>
          <w:p w14:paraId="4B023913" w14:textId="77777777" w:rsidR="00D64459" w:rsidRPr="00493E39" w:rsidRDefault="008B2120">
            <w:pPr>
              <w:spacing w:after="20" w:line="240" w:lineRule="auto"/>
              <w:jc w:val="center"/>
              <w:rPr>
                <w:rFonts w:cs="Arial"/>
              </w:rPr>
            </w:pPr>
            <w:r w:rsidRPr="00493E39">
              <w:rPr>
                <w:rFonts w:cs="Arial"/>
                <w:sz w:val="18"/>
              </w:rPr>
              <w:t>5,45</w:t>
            </w:r>
          </w:p>
        </w:tc>
        <w:tc>
          <w:tcPr>
            <w:tcW w:w="1814" w:type="dxa"/>
          </w:tcPr>
          <w:p w14:paraId="2F54607A" w14:textId="77777777" w:rsidR="00D64459" w:rsidRPr="00493E39" w:rsidRDefault="008B2120">
            <w:pPr>
              <w:spacing w:after="20" w:line="240" w:lineRule="auto"/>
              <w:jc w:val="center"/>
              <w:rPr>
                <w:rFonts w:cs="Arial"/>
              </w:rPr>
            </w:pPr>
            <w:r w:rsidRPr="00493E39">
              <w:rPr>
                <w:rFonts w:cs="Arial"/>
                <w:sz w:val="18"/>
              </w:rPr>
              <w:t>1,48</w:t>
            </w:r>
          </w:p>
        </w:tc>
      </w:tr>
      <w:tr w:rsidR="00D64459" w:rsidRPr="00493E39" w14:paraId="0A34BAD2" w14:textId="77777777">
        <w:trPr>
          <w:jc w:val="center"/>
        </w:trPr>
        <w:tc>
          <w:tcPr>
            <w:tcW w:w="3402" w:type="dxa"/>
          </w:tcPr>
          <w:p w14:paraId="23C527A9" w14:textId="77777777" w:rsidR="00D64459" w:rsidRPr="00493E39" w:rsidRDefault="008B2120">
            <w:pPr>
              <w:spacing w:after="20" w:line="240" w:lineRule="auto"/>
              <w:rPr>
                <w:rFonts w:cs="Arial"/>
                <w:lang w:val="pt-BR"/>
              </w:rPr>
            </w:pPr>
            <w:r w:rsidRPr="00493E39">
              <w:rPr>
                <w:rFonts w:cs="Arial"/>
                <w:sz w:val="18"/>
                <w:lang w:val="pt-BR"/>
              </w:rPr>
              <w:t>Margem de refino do diesel</w:t>
            </w:r>
          </w:p>
        </w:tc>
        <w:tc>
          <w:tcPr>
            <w:tcW w:w="2608" w:type="dxa"/>
          </w:tcPr>
          <w:p w14:paraId="5D8F4EA4" w14:textId="77777777" w:rsidR="00D64459" w:rsidRPr="00493E39" w:rsidRDefault="008B2120">
            <w:pPr>
              <w:spacing w:after="20" w:line="240" w:lineRule="auto"/>
              <w:jc w:val="center"/>
              <w:rPr>
                <w:rFonts w:cs="Arial"/>
              </w:rPr>
            </w:pPr>
            <w:proofErr w:type="spellStart"/>
            <w:r w:rsidRPr="00493E39">
              <w:rPr>
                <w:rFonts w:cs="Arial"/>
                <w:sz w:val="18"/>
              </w:rPr>
              <w:t>Óleo</w:t>
            </w:r>
            <w:proofErr w:type="spellEnd"/>
            <w:r w:rsidRPr="00493E39">
              <w:rPr>
                <w:rFonts w:cs="Arial"/>
                <w:sz w:val="18"/>
              </w:rPr>
              <w:t xml:space="preserve"> diesel</w:t>
            </w:r>
          </w:p>
        </w:tc>
        <w:tc>
          <w:tcPr>
            <w:tcW w:w="1814" w:type="dxa"/>
          </w:tcPr>
          <w:p w14:paraId="5DC8D805" w14:textId="77777777" w:rsidR="00D64459" w:rsidRPr="00493E39" w:rsidRDefault="008B2120">
            <w:pPr>
              <w:spacing w:after="20" w:line="240" w:lineRule="auto"/>
              <w:jc w:val="center"/>
              <w:rPr>
                <w:rFonts w:cs="Arial"/>
              </w:rPr>
            </w:pPr>
            <w:r w:rsidRPr="00493E39">
              <w:rPr>
                <w:rFonts w:cs="Arial"/>
                <w:sz w:val="18"/>
              </w:rPr>
              <w:t>0,25</w:t>
            </w:r>
          </w:p>
        </w:tc>
        <w:tc>
          <w:tcPr>
            <w:tcW w:w="1814" w:type="dxa"/>
          </w:tcPr>
          <w:p w14:paraId="7D142DFA" w14:textId="77777777" w:rsidR="00D64459" w:rsidRPr="00493E39" w:rsidRDefault="008B2120">
            <w:pPr>
              <w:spacing w:after="20" w:line="240" w:lineRule="auto"/>
              <w:jc w:val="center"/>
              <w:rPr>
                <w:rFonts w:cs="Arial"/>
              </w:rPr>
            </w:pPr>
            <w:r w:rsidRPr="00493E39">
              <w:rPr>
                <w:rFonts w:cs="Arial"/>
                <w:sz w:val="18"/>
              </w:rPr>
              <w:t>0,91</w:t>
            </w:r>
          </w:p>
        </w:tc>
      </w:tr>
      <w:tr w:rsidR="00D64459" w:rsidRPr="00493E39" w14:paraId="7A0CFC09" w14:textId="77777777">
        <w:trPr>
          <w:jc w:val="center"/>
        </w:trPr>
        <w:tc>
          <w:tcPr>
            <w:tcW w:w="3402" w:type="dxa"/>
            <w:tcBorders>
              <w:bottom w:val="single" w:sz="12" w:space="0" w:color="000000"/>
            </w:tcBorders>
          </w:tcPr>
          <w:p w14:paraId="23EFCC74" w14:textId="77777777" w:rsidR="00D64459" w:rsidRPr="00493E39" w:rsidRDefault="008B2120">
            <w:pPr>
              <w:spacing w:after="20" w:line="240" w:lineRule="auto"/>
              <w:rPr>
                <w:rFonts w:cs="Arial"/>
              </w:rPr>
            </w:pPr>
            <w:proofErr w:type="spellStart"/>
            <w:r w:rsidRPr="00493E39">
              <w:rPr>
                <w:rFonts w:cs="Arial"/>
                <w:sz w:val="18"/>
              </w:rPr>
              <w:t>Surpresa</w:t>
            </w:r>
            <w:proofErr w:type="spellEnd"/>
            <w:r w:rsidRPr="00493E39">
              <w:rPr>
                <w:rFonts w:cs="Arial"/>
                <w:sz w:val="18"/>
              </w:rPr>
              <w:t xml:space="preserve"> externa de </w:t>
            </w:r>
            <w:proofErr w:type="spellStart"/>
            <w:r w:rsidRPr="00493E39">
              <w:rPr>
                <w:rFonts w:cs="Arial"/>
                <w:sz w:val="18"/>
              </w:rPr>
              <w:t>oferta</w:t>
            </w:r>
            <w:proofErr w:type="spellEnd"/>
          </w:p>
        </w:tc>
        <w:tc>
          <w:tcPr>
            <w:tcW w:w="2608" w:type="dxa"/>
            <w:tcBorders>
              <w:bottom w:val="single" w:sz="12" w:space="0" w:color="000000"/>
            </w:tcBorders>
          </w:tcPr>
          <w:p w14:paraId="41834087" w14:textId="77777777" w:rsidR="00D64459" w:rsidRPr="00493E39" w:rsidRDefault="008B2120">
            <w:pPr>
              <w:spacing w:after="20" w:line="240" w:lineRule="auto"/>
              <w:jc w:val="center"/>
              <w:rPr>
                <w:rFonts w:cs="Arial"/>
              </w:rPr>
            </w:pPr>
            <w:proofErr w:type="spellStart"/>
            <w:r w:rsidRPr="00493E39">
              <w:rPr>
                <w:rFonts w:cs="Arial"/>
                <w:sz w:val="18"/>
              </w:rPr>
              <w:t>Preço</w:t>
            </w:r>
            <w:proofErr w:type="spellEnd"/>
            <w:r w:rsidRPr="00493E39">
              <w:rPr>
                <w:rFonts w:cs="Arial"/>
                <w:sz w:val="18"/>
              </w:rPr>
              <w:t xml:space="preserve"> do </w:t>
            </w:r>
            <w:proofErr w:type="spellStart"/>
            <w:r w:rsidRPr="00493E39">
              <w:rPr>
                <w:rFonts w:cs="Arial"/>
                <w:sz w:val="18"/>
              </w:rPr>
              <w:t>petróleo</w:t>
            </w:r>
            <w:proofErr w:type="spellEnd"/>
          </w:p>
        </w:tc>
        <w:tc>
          <w:tcPr>
            <w:tcW w:w="1814" w:type="dxa"/>
            <w:tcBorders>
              <w:bottom w:val="single" w:sz="12" w:space="0" w:color="000000"/>
            </w:tcBorders>
          </w:tcPr>
          <w:p w14:paraId="634F5255" w14:textId="77777777" w:rsidR="00D64459" w:rsidRPr="00493E39" w:rsidRDefault="008B2120">
            <w:pPr>
              <w:spacing w:after="20" w:line="240" w:lineRule="auto"/>
              <w:jc w:val="center"/>
              <w:rPr>
                <w:rFonts w:cs="Arial"/>
              </w:rPr>
            </w:pPr>
            <w:r w:rsidRPr="00493E39">
              <w:rPr>
                <w:rFonts w:cs="Arial"/>
                <w:sz w:val="18"/>
              </w:rPr>
              <w:t>2,9 a 6,8</w:t>
            </w:r>
          </w:p>
        </w:tc>
        <w:tc>
          <w:tcPr>
            <w:tcW w:w="1814" w:type="dxa"/>
            <w:tcBorders>
              <w:bottom w:val="single" w:sz="12" w:space="0" w:color="000000"/>
            </w:tcBorders>
          </w:tcPr>
          <w:p w14:paraId="7516782B" w14:textId="77777777" w:rsidR="00D64459" w:rsidRPr="00493E39" w:rsidRDefault="008B2120">
            <w:pPr>
              <w:spacing w:after="20" w:line="240" w:lineRule="auto"/>
              <w:jc w:val="center"/>
              <w:rPr>
                <w:rFonts w:cs="Arial"/>
              </w:rPr>
            </w:pPr>
            <w:r w:rsidRPr="00493E39">
              <w:rPr>
                <w:rFonts w:cs="Arial"/>
                <w:sz w:val="18"/>
              </w:rPr>
              <w:t>2,9 a 6,8</w:t>
            </w:r>
          </w:p>
        </w:tc>
      </w:tr>
    </w:tbl>
    <w:p w14:paraId="5F2DCD32" w14:textId="77777777" w:rsidR="00D64459" w:rsidRPr="00493E39" w:rsidRDefault="008B2120">
      <w:pPr>
        <w:spacing w:line="240" w:lineRule="auto"/>
        <w:jc w:val="both"/>
        <w:rPr>
          <w:rFonts w:cs="Arial"/>
          <w:lang w:val="pt-BR"/>
        </w:rPr>
      </w:pPr>
      <w:r w:rsidRPr="00493E39">
        <w:rPr>
          <w:rFonts w:cs="Arial"/>
          <w:sz w:val="18"/>
          <w:lang w:val="pt-BR"/>
        </w:rPr>
        <w:t>Nota: F robusto sobre o instrumento excluído, com os mesmos controles da especificação principal. O regime posterior tem 108 observações; o anterior, 161 para a gasolina e 123 para o diesel, cuja série da EIA começa em junho de 2006. A faixa da surpresa externa de oferta refere-se ao conjunto de variáveis e horizontes. O limiar convencional de instrumento forte é 10.</w:t>
      </w:r>
    </w:p>
    <w:p w14:paraId="7B25CE9A"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7473E92C" w14:textId="77777777" w:rsidR="00D64459" w:rsidRPr="00493E39" w:rsidRDefault="008B2120">
      <w:pPr>
        <w:ind w:firstLine="709"/>
        <w:jc w:val="both"/>
        <w:rPr>
          <w:rFonts w:cs="Arial"/>
          <w:lang w:val="pt-BR"/>
        </w:rPr>
      </w:pPr>
      <w:r w:rsidRPr="00493E39">
        <w:rPr>
          <w:rFonts w:cs="Arial"/>
          <w:lang w:val="pt-BR"/>
        </w:rPr>
        <w:t>A margem da gasolina reproduz o padrão de regime previsto pela hipótese do trabalho, com tração quase quatro vezes maior sob a regra de paridade, e é o único dos instrumentos a mover um índice de preços de forma significativa, ainda assim restrito ao grupo Transportes e ao regime posterior. A margem do diesel não apresenta primeiro estágio em regime algum, o que sugere que a estrutura tributária e logística daquele combustível dissolve o sinal internacional antes que ele alcance o preço final.</w:t>
      </w:r>
    </w:p>
    <w:p w14:paraId="1DC5274F" w14:textId="77777777" w:rsidR="00D64459" w:rsidRPr="00493E39" w:rsidRDefault="008B2120">
      <w:pPr>
        <w:keepNext/>
        <w:spacing w:before="200" w:after="40" w:line="240" w:lineRule="auto"/>
        <w:rPr>
          <w:rFonts w:cs="Arial"/>
          <w:lang w:val="pt-BR"/>
        </w:rPr>
      </w:pPr>
      <w:r w:rsidRPr="00493E39">
        <w:rPr>
          <w:rFonts w:cs="Arial"/>
          <w:sz w:val="20"/>
          <w:lang w:val="pt-BR"/>
        </w:rPr>
        <w:t>Tabela G.2 – Forma reduzida sobre a margem de refino da gasolina</w:t>
      </w:r>
    </w:p>
    <w:tbl>
      <w:tblPr>
        <w:tblW w:w="0" w:type="auto"/>
        <w:jc w:val="center"/>
        <w:tblLook w:val="04A0" w:firstRow="1" w:lastRow="0" w:firstColumn="1" w:lastColumn="0" w:noHBand="0" w:noVBand="1"/>
      </w:tblPr>
      <w:tblGrid>
        <w:gridCol w:w="3056"/>
        <w:gridCol w:w="793"/>
        <w:gridCol w:w="2886"/>
        <w:gridCol w:w="2886"/>
      </w:tblGrid>
      <w:tr w:rsidR="00D64459" w:rsidRPr="00493E39" w14:paraId="7E816120" w14:textId="77777777">
        <w:trPr>
          <w:tblHeader/>
          <w:jc w:val="center"/>
        </w:trPr>
        <w:tc>
          <w:tcPr>
            <w:tcW w:w="3061" w:type="dxa"/>
            <w:tcBorders>
              <w:top w:val="single" w:sz="12" w:space="0" w:color="000000"/>
              <w:bottom w:val="single" w:sz="6" w:space="0" w:color="000000"/>
            </w:tcBorders>
          </w:tcPr>
          <w:p w14:paraId="2F81D1F3" w14:textId="77777777" w:rsidR="00D64459" w:rsidRPr="00493E39" w:rsidRDefault="008B2120">
            <w:pPr>
              <w:spacing w:after="20" w:line="240" w:lineRule="auto"/>
              <w:rPr>
                <w:rFonts w:cs="Arial"/>
              </w:rPr>
            </w:pPr>
            <w:proofErr w:type="spellStart"/>
            <w:r w:rsidRPr="00493E39">
              <w:rPr>
                <w:rFonts w:cs="Arial"/>
                <w:b/>
                <w:sz w:val="18"/>
              </w:rPr>
              <w:t>Desfecho</w:t>
            </w:r>
            <w:proofErr w:type="spellEnd"/>
          </w:p>
        </w:tc>
        <w:tc>
          <w:tcPr>
            <w:tcW w:w="794" w:type="dxa"/>
            <w:tcBorders>
              <w:top w:val="single" w:sz="12" w:space="0" w:color="000000"/>
              <w:bottom w:val="single" w:sz="6" w:space="0" w:color="000000"/>
            </w:tcBorders>
          </w:tcPr>
          <w:p w14:paraId="22601F5C" w14:textId="77777777" w:rsidR="00D64459" w:rsidRPr="00493E39" w:rsidRDefault="008B2120">
            <w:pPr>
              <w:spacing w:after="20" w:line="240" w:lineRule="auto"/>
              <w:rPr>
                <w:rFonts w:cs="Arial"/>
              </w:rPr>
            </w:pPr>
            <w:r w:rsidRPr="00493E39">
              <w:rPr>
                <w:rFonts w:cs="Arial"/>
                <w:b/>
                <w:sz w:val="18"/>
              </w:rPr>
              <w:t>h</w:t>
            </w:r>
          </w:p>
        </w:tc>
        <w:tc>
          <w:tcPr>
            <w:tcW w:w="2891" w:type="dxa"/>
            <w:tcBorders>
              <w:top w:val="single" w:sz="12" w:space="0" w:color="000000"/>
              <w:bottom w:val="single" w:sz="6" w:space="0" w:color="000000"/>
            </w:tcBorders>
          </w:tcPr>
          <w:p w14:paraId="5C9FDC38" w14:textId="77777777" w:rsidR="00D64459" w:rsidRPr="00493E39" w:rsidRDefault="008B2120">
            <w:pPr>
              <w:spacing w:after="20" w:line="240" w:lineRule="auto"/>
              <w:rPr>
                <w:rFonts w:cs="Arial"/>
              </w:rPr>
            </w:pPr>
            <w:r w:rsidRPr="00493E39">
              <w:rPr>
                <w:rFonts w:cs="Arial"/>
                <w:b/>
                <w:sz w:val="18"/>
              </w:rPr>
              <w:t>Regime posterior</w:t>
            </w:r>
          </w:p>
        </w:tc>
        <w:tc>
          <w:tcPr>
            <w:tcW w:w="2891" w:type="dxa"/>
            <w:tcBorders>
              <w:top w:val="single" w:sz="12" w:space="0" w:color="000000"/>
              <w:bottom w:val="single" w:sz="6" w:space="0" w:color="000000"/>
            </w:tcBorders>
          </w:tcPr>
          <w:p w14:paraId="7BD03B57" w14:textId="77777777" w:rsidR="00D64459" w:rsidRPr="00493E39" w:rsidRDefault="008B2120">
            <w:pPr>
              <w:spacing w:after="20" w:line="240" w:lineRule="auto"/>
              <w:rPr>
                <w:rFonts w:cs="Arial"/>
              </w:rPr>
            </w:pPr>
            <w:r w:rsidRPr="00493E39">
              <w:rPr>
                <w:rFonts w:cs="Arial"/>
                <w:b/>
                <w:sz w:val="18"/>
              </w:rPr>
              <w:t>Regime anterior</w:t>
            </w:r>
          </w:p>
        </w:tc>
      </w:tr>
      <w:tr w:rsidR="00D64459" w:rsidRPr="00493E39" w14:paraId="675561C7" w14:textId="77777777">
        <w:trPr>
          <w:jc w:val="center"/>
        </w:trPr>
        <w:tc>
          <w:tcPr>
            <w:tcW w:w="3061" w:type="dxa"/>
          </w:tcPr>
          <w:p w14:paraId="447817D0" w14:textId="77777777" w:rsidR="00D64459" w:rsidRPr="00493E39" w:rsidRDefault="008B2120">
            <w:pPr>
              <w:spacing w:after="20" w:line="240" w:lineRule="auto"/>
              <w:rPr>
                <w:rFonts w:cs="Arial"/>
              </w:rPr>
            </w:pPr>
            <w:r w:rsidRPr="00493E39">
              <w:rPr>
                <w:rFonts w:cs="Arial"/>
                <w:sz w:val="18"/>
              </w:rPr>
              <w:t xml:space="preserve">IPCA </w:t>
            </w:r>
            <w:proofErr w:type="spellStart"/>
            <w:r w:rsidRPr="00493E39">
              <w:rPr>
                <w:rFonts w:cs="Arial"/>
                <w:sz w:val="18"/>
              </w:rPr>
              <w:t>Transportes</w:t>
            </w:r>
            <w:proofErr w:type="spellEnd"/>
          </w:p>
        </w:tc>
        <w:tc>
          <w:tcPr>
            <w:tcW w:w="794" w:type="dxa"/>
          </w:tcPr>
          <w:p w14:paraId="4E3664E6" w14:textId="77777777" w:rsidR="00D64459" w:rsidRPr="00493E39" w:rsidRDefault="008B2120">
            <w:pPr>
              <w:spacing w:after="20" w:line="240" w:lineRule="auto"/>
              <w:jc w:val="center"/>
              <w:rPr>
                <w:rFonts w:cs="Arial"/>
              </w:rPr>
            </w:pPr>
            <w:r w:rsidRPr="00493E39">
              <w:rPr>
                <w:rFonts w:cs="Arial"/>
                <w:sz w:val="18"/>
              </w:rPr>
              <w:t>0</w:t>
            </w:r>
          </w:p>
        </w:tc>
        <w:tc>
          <w:tcPr>
            <w:tcW w:w="2891" w:type="dxa"/>
          </w:tcPr>
          <w:p w14:paraId="17C99955" w14:textId="77777777" w:rsidR="00D64459" w:rsidRPr="00493E39" w:rsidRDefault="008B2120">
            <w:pPr>
              <w:spacing w:after="20" w:line="240" w:lineRule="auto"/>
              <w:jc w:val="center"/>
              <w:rPr>
                <w:rFonts w:cs="Arial"/>
              </w:rPr>
            </w:pPr>
            <w:r w:rsidRPr="00493E39">
              <w:rPr>
                <w:rFonts w:cs="Arial"/>
                <w:sz w:val="18"/>
              </w:rPr>
              <w:t>0,357**</w:t>
            </w:r>
          </w:p>
        </w:tc>
        <w:tc>
          <w:tcPr>
            <w:tcW w:w="2891" w:type="dxa"/>
          </w:tcPr>
          <w:p w14:paraId="2C0C1A30" w14:textId="77777777" w:rsidR="00D64459" w:rsidRPr="00493E39" w:rsidRDefault="008B2120">
            <w:pPr>
              <w:spacing w:after="20" w:line="240" w:lineRule="auto"/>
              <w:jc w:val="center"/>
              <w:rPr>
                <w:rFonts w:cs="Arial"/>
              </w:rPr>
            </w:pPr>
            <w:r w:rsidRPr="00493E39">
              <w:rPr>
                <w:rFonts w:cs="Arial"/>
                <w:sz w:val="18"/>
              </w:rPr>
              <w:t>0,005</w:t>
            </w:r>
          </w:p>
        </w:tc>
      </w:tr>
      <w:tr w:rsidR="00D64459" w:rsidRPr="00493E39" w14:paraId="32292913" w14:textId="77777777">
        <w:trPr>
          <w:jc w:val="center"/>
        </w:trPr>
        <w:tc>
          <w:tcPr>
            <w:tcW w:w="3061" w:type="dxa"/>
          </w:tcPr>
          <w:p w14:paraId="5194EDED" w14:textId="77777777" w:rsidR="00D64459" w:rsidRPr="00493E39" w:rsidRDefault="00D64459">
            <w:pPr>
              <w:spacing w:after="20" w:line="240" w:lineRule="auto"/>
              <w:rPr>
                <w:rFonts w:cs="Arial"/>
              </w:rPr>
            </w:pPr>
          </w:p>
        </w:tc>
        <w:tc>
          <w:tcPr>
            <w:tcW w:w="794" w:type="dxa"/>
          </w:tcPr>
          <w:p w14:paraId="597886BF" w14:textId="77777777" w:rsidR="00D64459" w:rsidRPr="00493E39" w:rsidRDefault="008B2120">
            <w:pPr>
              <w:spacing w:after="20" w:line="240" w:lineRule="auto"/>
              <w:jc w:val="center"/>
              <w:rPr>
                <w:rFonts w:cs="Arial"/>
              </w:rPr>
            </w:pPr>
            <w:r w:rsidRPr="00493E39">
              <w:rPr>
                <w:rFonts w:cs="Arial"/>
                <w:sz w:val="18"/>
              </w:rPr>
              <w:t>1</w:t>
            </w:r>
          </w:p>
        </w:tc>
        <w:tc>
          <w:tcPr>
            <w:tcW w:w="2891" w:type="dxa"/>
          </w:tcPr>
          <w:p w14:paraId="7FD62B91" w14:textId="77777777" w:rsidR="00D64459" w:rsidRPr="00493E39" w:rsidRDefault="008B2120">
            <w:pPr>
              <w:spacing w:after="20" w:line="240" w:lineRule="auto"/>
              <w:jc w:val="center"/>
              <w:rPr>
                <w:rFonts w:cs="Arial"/>
              </w:rPr>
            </w:pPr>
            <w:r w:rsidRPr="00493E39">
              <w:rPr>
                <w:rFonts w:cs="Arial"/>
                <w:sz w:val="18"/>
              </w:rPr>
              <w:t>0,620**</w:t>
            </w:r>
          </w:p>
        </w:tc>
        <w:tc>
          <w:tcPr>
            <w:tcW w:w="2891" w:type="dxa"/>
          </w:tcPr>
          <w:p w14:paraId="5652663D" w14:textId="77777777" w:rsidR="00D64459" w:rsidRPr="00493E39" w:rsidRDefault="008B2120">
            <w:pPr>
              <w:spacing w:after="20" w:line="240" w:lineRule="auto"/>
              <w:jc w:val="center"/>
              <w:rPr>
                <w:rFonts w:cs="Arial"/>
              </w:rPr>
            </w:pPr>
            <w:r w:rsidRPr="00493E39">
              <w:rPr>
                <w:rFonts w:cs="Arial"/>
                <w:sz w:val="18"/>
              </w:rPr>
              <w:t>0,105</w:t>
            </w:r>
          </w:p>
        </w:tc>
      </w:tr>
      <w:tr w:rsidR="00D64459" w:rsidRPr="00493E39" w14:paraId="436FE298" w14:textId="77777777">
        <w:trPr>
          <w:jc w:val="center"/>
        </w:trPr>
        <w:tc>
          <w:tcPr>
            <w:tcW w:w="3061" w:type="dxa"/>
          </w:tcPr>
          <w:p w14:paraId="70197B7E" w14:textId="77777777" w:rsidR="00D64459" w:rsidRPr="00493E39" w:rsidRDefault="008B2120">
            <w:pPr>
              <w:spacing w:after="20" w:line="240" w:lineRule="auto"/>
              <w:rPr>
                <w:rFonts w:cs="Arial"/>
              </w:rPr>
            </w:pPr>
            <w:proofErr w:type="spellStart"/>
            <w:r w:rsidRPr="00493E39">
              <w:rPr>
                <w:rFonts w:cs="Arial"/>
                <w:sz w:val="18"/>
              </w:rPr>
              <w:t>Não</w:t>
            </w:r>
            <w:proofErr w:type="spellEnd"/>
            <w:r w:rsidRPr="00493E39">
              <w:rPr>
                <w:rFonts w:cs="Arial"/>
                <w:sz w:val="18"/>
              </w:rPr>
              <w:t xml:space="preserve"> </w:t>
            </w:r>
            <w:proofErr w:type="spellStart"/>
            <w:r w:rsidRPr="00493E39">
              <w:rPr>
                <w:rFonts w:cs="Arial"/>
                <w:sz w:val="18"/>
              </w:rPr>
              <w:t>comercializáveis</w:t>
            </w:r>
            <w:proofErr w:type="spellEnd"/>
          </w:p>
        </w:tc>
        <w:tc>
          <w:tcPr>
            <w:tcW w:w="794" w:type="dxa"/>
          </w:tcPr>
          <w:p w14:paraId="1CA37674" w14:textId="77777777" w:rsidR="00D64459" w:rsidRPr="00493E39" w:rsidRDefault="008B2120">
            <w:pPr>
              <w:spacing w:after="20" w:line="240" w:lineRule="auto"/>
              <w:jc w:val="center"/>
              <w:rPr>
                <w:rFonts w:cs="Arial"/>
              </w:rPr>
            </w:pPr>
            <w:r w:rsidRPr="00493E39">
              <w:rPr>
                <w:rFonts w:cs="Arial"/>
                <w:sz w:val="18"/>
              </w:rPr>
              <w:t>0</w:t>
            </w:r>
          </w:p>
        </w:tc>
        <w:tc>
          <w:tcPr>
            <w:tcW w:w="2891" w:type="dxa"/>
          </w:tcPr>
          <w:p w14:paraId="46040659" w14:textId="77777777" w:rsidR="00D64459" w:rsidRPr="00493E39" w:rsidRDefault="008B2120">
            <w:pPr>
              <w:spacing w:after="20" w:line="240" w:lineRule="auto"/>
              <w:jc w:val="center"/>
              <w:rPr>
                <w:rFonts w:cs="Arial"/>
              </w:rPr>
            </w:pPr>
            <w:r w:rsidRPr="00493E39">
              <w:rPr>
                <w:rFonts w:cs="Arial"/>
                <w:sz w:val="18"/>
              </w:rPr>
              <w:t>−0,012</w:t>
            </w:r>
          </w:p>
        </w:tc>
        <w:tc>
          <w:tcPr>
            <w:tcW w:w="2891" w:type="dxa"/>
          </w:tcPr>
          <w:p w14:paraId="237465BE" w14:textId="77777777" w:rsidR="00D64459" w:rsidRPr="00493E39" w:rsidRDefault="008B2120">
            <w:pPr>
              <w:spacing w:after="20" w:line="240" w:lineRule="auto"/>
              <w:jc w:val="center"/>
              <w:rPr>
                <w:rFonts w:cs="Arial"/>
              </w:rPr>
            </w:pPr>
            <w:r w:rsidRPr="00493E39">
              <w:rPr>
                <w:rFonts w:cs="Arial"/>
                <w:sz w:val="18"/>
              </w:rPr>
              <w:t>−0,013</w:t>
            </w:r>
          </w:p>
        </w:tc>
      </w:tr>
      <w:tr w:rsidR="00D64459" w:rsidRPr="00493E39" w14:paraId="3ABFCA38" w14:textId="77777777">
        <w:trPr>
          <w:jc w:val="center"/>
        </w:trPr>
        <w:tc>
          <w:tcPr>
            <w:tcW w:w="3061" w:type="dxa"/>
          </w:tcPr>
          <w:p w14:paraId="3654C061" w14:textId="77777777" w:rsidR="00D64459" w:rsidRPr="00493E39" w:rsidRDefault="00D64459">
            <w:pPr>
              <w:spacing w:after="20" w:line="240" w:lineRule="auto"/>
              <w:rPr>
                <w:rFonts w:cs="Arial"/>
              </w:rPr>
            </w:pPr>
          </w:p>
        </w:tc>
        <w:tc>
          <w:tcPr>
            <w:tcW w:w="794" w:type="dxa"/>
          </w:tcPr>
          <w:p w14:paraId="6C6516F0" w14:textId="77777777" w:rsidR="00D64459" w:rsidRPr="00493E39" w:rsidRDefault="008B2120">
            <w:pPr>
              <w:spacing w:after="20" w:line="240" w:lineRule="auto"/>
              <w:jc w:val="center"/>
              <w:rPr>
                <w:rFonts w:cs="Arial"/>
              </w:rPr>
            </w:pPr>
            <w:r w:rsidRPr="00493E39">
              <w:rPr>
                <w:rFonts w:cs="Arial"/>
                <w:sz w:val="18"/>
              </w:rPr>
              <w:t>3</w:t>
            </w:r>
          </w:p>
        </w:tc>
        <w:tc>
          <w:tcPr>
            <w:tcW w:w="2891" w:type="dxa"/>
          </w:tcPr>
          <w:p w14:paraId="7D2DDCE3" w14:textId="77777777" w:rsidR="00D64459" w:rsidRPr="00493E39" w:rsidRDefault="008B2120">
            <w:pPr>
              <w:spacing w:after="20" w:line="240" w:lineRule="auto"/>
              <w:jc w:val="center"/>
              <w:rPr>
                <w:rFonts w:cs="Arial"/>
              </w:rPr>
            </w:pPr>
            <w:r w:rsidRPr="00493E39">
              <w:rPr>
                <w:rFonts w:cs="Arial"/>
                <w:sz w:val="18"/>
              </w:rPr>
              <w:t>−0,098</w:t>
            </w:r>
          </w:p>
        </w:tc>
        <w:tc>
          <w:tcPr>
            <w:tcW w:w="2891" w:type="dxa"/>
          </w:tcPr>
          <w:p w14:paraId="637FD94A" w14:textId="77777777" w:rsidR="00D64459" w:rsidRPr="00493E39" w:rsidRDefault="008B2120">
            <w:pPr>
              <w:spacing w:after="20" w:line="240" w:lineRule="auto"/>
              <w:jc w:val="center"/>
              <w:rPr>
                <w:rFonts w:cs="Arial"/>
              </w:rPr>
            </w:pPr>
            <w:r w:rsidRPr="00493E39">
              <w:rPr>
                <w:rFonts w:cs="Arial"/>
                <w:sz w:val="18"/>
              </w:rPr>
              <w:t>0,004</w:t>
            </w:r>
          </w:p>
        </w:tc>
      </w:tr>
      <w:tr w:rsidR="00D64459" w:rsidRPr="00493E39" w14:paraId="6ACF8BA9" w14:textId="77777777">
        <w:trPr>
          <w:jc w:val="center"/>
        </w:trPr>
        <w:tc>
          <w:tcPr>
            <w:tcW w:w="3061" w:type="dxa"/>
          </w:tcPr>
          <w:p w14:paraId="6ABD941E" w14:textId="77777777" w:rsidR="00D64459" w:rsidRPr="00493E39" w:rsidRDefault="008B2120">
            <w:pPr>
              <w:spacing w:after="20" w:line="240" w:lineRule="auto"/>
              <w:rPr>
                <w:rFonts w:cs="Arial"/>
              </w:rPr>
            </w:pPr>
            <w:proofErr w:type="spellStart"/>
            <w:r w:rsidRPr="00493E39">
              <w:rPr>
                <w:rFonts w:cs="Arial"/>
                <w:sz w:val="18"/>
              </w:rPr>
              <w:t>Comercializáveis</w:t>
            </w:r>
            <w:proofErr w:type="spellEnd"/>
          </w:p>
        </w:tc>
        <w:tc>
          <w:tcPr>
            <w:tcW w:w="794" w:type="dxa"/>
          </w:tcPr>
          <w:p w14:paraId="05E83192" w14:textId="77777777" w:rsidR="00D64459" w:rsidRPr="00493E39" w:rsidRDefault="008B2120">
            <w:pPr>
              <w:spacing w:after="20" w:line="240" w:lineRule="auto"/>
              <w:jc w:val="center"/>
              <w:rPr>
                <w:rFonts w:cs="Arial"/>
              </w:rPr>
            </w:pPr>
            <w:r w:rsidRPr="00493E39">
              <w:rPr>
                <w:rFonts w:cs="Arial"/>
                <w:sz w:val="18"/>
              </w:rPr>
              <w:t>0</w:t>
            </w:r>
          </w:p>
        </w:tc>
        <w:tc>
          <w:tcPr>
            <w:tcW w:w="2891" w:type="dxa"/>
          </w:tcPr>
          <w:p w14:paraId="37C26C61" w14:textId="77777777" w:rsidR="00D64459" w:rsidRPr="00493E39" w:rsidRDefault="008B2120">
            <w:pPr>
              <w:spacing w:after="20" w:line="240" w:lineRule="auto"/>
              <w:jc w:val="center"/>
              <w:rPr>
                <w:rFonts w:cs="Arial"/>
              </w:rPr>
            </w:pPr>
            <w:r w:rsidRPr="00493E39">
              <w:rPr>
                <w:rFonts w:cs="Arial"/>
                <w:sz w:val="18"/>
              </w:rPr>
              <w:t>−0,001</w:t>
            </w:r>
          </w:p>
        </w:tc>
        <w:tc>
          <w:tcPr>
            <w:tcW w:w="2891" w:type="dxa"/>
          </w:tcPr>
          <w:p w14:paraId="38C4A3E0" w14:textId="77777777" w:rsidR="00D64459" w:rsidRPr="00493E39" w:rsidRDefault="008B2120">
            <w:pPr>
              <w:spacing w:after="20" w:line="240" w:lineRule="auto"/>
              <w:jc w:val="center"/>
              <w:rPr>
                <w:rFonts w:cs="Arial"/>
              </w:rPr>
            </w:pPr>
            <w:r w:rsidRPr="00493E39">
              <w:rPr>
                <w:rFonts w:cs="Arial"/>
                <w:sz w:val="18"/>
              </w:rPr>
              <w:t>−0,022</w:t>
            </w:r>
          </w:p>
        </w:tc>
      </w:tr>
      <w:tr w:rsidR="00D64459" w:rsidRPr="00493E39" w14:paraId="56272B49" w14:textId="77777777">
        <w:trPr>
          <w:jc w:val="center"/>
        </w:trPr>
        <w:tc>
          <w:tcPr>
            <w:tcW w:w="3061" w:type="dxa"/>
            <w:tcBorders>
              <w:bottom w:val="single" w:sz="12" w:space="0" w:color="000000"/>
            </w:tcBorders>
          </w:tcPr>
          <w:p w14:paraId="372DB095" w14:textId="77777777" w:rsidR="00D64459" w:rsidRPr="00493E39" w:rsidRDefault="008B2120">
            <w:pPr>
              <w:spacing w:after="20" w:line="240" w:lineRule="auto"/>
              <w:rPr>
                <w:rFonts w:cs="Arial"/>
              </w:rPr>
            </w:pPr>
            <w:r w:rsidRPr="00493E39">
              <w:rPr>
                <w:rFonts w:cs="Arial"/>
                <w:sz w:val="18"/>
              </w:rPr>
              <w:t>IPCA Geral</w:t>
            </w:r>
          </w:p>
        </w:tc>
        <w:tc>
          <w:tcPr>
            <w:tcW w:w="794" w:type="dxa"/>
            <w:tcBorders>
              <w:bottom w:val="single" w:sz="12" w:space="0" w:color="000000"/>
            </w:tcBorders>
          </w:tcPr>
          <w:p w14:paraId="6EDC040A" w14:textId="77777777" w:rsidR="00D64459" w:rsidRPr="00493E39" w:rsidRDefault="008B2120">
            <w:pPr>
              <w:spacing w:after="20" w:line="240" w:lineRule="auto"/>
              <w:jc w:val="center"/>
              <w:rPr>
                <w:rFonts w:cs="Arial"/>
              </w:rPr>
            </w:pPr>
            <w:r w:rsidRPr="00493E39">
              <w:rPr>
                <w:rFonts w:cs="Arial"/>
                <w:sz w:val="18"/>
              </w:rPr>
              <w:t>1</w:t>
            </w:r>
          </w:p>
        </w:tc>
        <w:tc>
          <w:tcPr>
            <w:tcW w:w="2891" w:type="dxa"/>
            <w:tcBorders>
              <w:bottom w:val="single" w:sz="12" w:space="0" w:color="000000"/>
            </w:tcBorders>
          </w:tcPr>
          <w:p w14:paraId="0993F184" w14:textId="77777777" w:rsidR="00D64459" w:rsidRPr="00493E39" w:rsidRDefault="008B2120">
            <w:pPr>
              <w:spacing w:after="20" w:line="240" w:lineRule="auto"/>
              <w:jc w:val="center"/>
              <w:rPr>
                <w:rFonts w:cs="Arial"/>
              </w:rPr>
            </w:pPr>
            <w:r w:rsidRPr="00493E39">
              <w:rPr>
                <w:rFonts w:cs="Arial"/>
                <w:sz w:val="18"/>
              </w:rPr>
              <w:t>0,111*</w:t>
            </w:r>
          </w:p>
        </w:tc>
        <w:tc>
          <w:tcPr>
            <w:tcW w:w="2891" w:type="dxa"/>
            <w:tcBorders>
              <w:bottom w:val="single" w:sz="12" w:space="0" w:color="000000"/>
            </w:tcBorders>
          </w:tcPr>
          <w:p w14:paraId="0BA50E6D" w14:textId="77777777" w:rsidR="00D64459" w:rsidRPr="00493E39" w:rsidRDefault="008B2120">
            <w:pPr>
              <w:spacing w:after="20" w:line="240" w:lineRule="auto"/>
              <w:jc w:val="center"/>
              <w:rPr>
                <w:rFonts w:cs="Arial"/>
              </w:rPr>
            </w:pPr>
            <w:r w:rsidRPr="00493E39">
              <w:rPr>
                <w:rFonts w:cs="Arial"/>
                <w:sz w:val="18"/>
              </w:rPr>
              <w:t>0,025</w:t>
            </w:r>
          </w:p>
        </w:tc>
      </w:tr>
    </w:tbl>
    <w:p w14:paraId="37B4787F" w14:textId="77777777" w:rsidR="00D64459" w:rsidRPr="00493E39" w:rsidRDefault="008B2120">
      <w:pPr>
        <w:spacing w:line="240" w:lineRule="auto"/>
        <w:jc w:val="both"/>
        <w:rPr>
          <w:rFonts w:cs="Arial"/>
          <w:lang w:val="pt-BR"/>
        </w:rPr>
      </w:pPr>
      <w:r w:rsidRPr="00493E39">
        <w:rPr>
          <w:rFonts w:cs="Arial"/>
          <w:sz w:val="18"/>
          <w:lang w:val="pt-BR"/>
        </w:rPr>
        <w:t>Nota: coeficiente do instrumento em regressão que dispensa primeiro estágio, ao estilo da forma reduzida. Asteriscos indicam significância a 10% (*) e 5% (**). A ausência de sinal em comercializáveis e não comercializáveis, que excluem combustíveis por construção, indica que este instrumento não tem potência para detectar propagação de segunda volta.</w:t>
      </w:r>
    </w:p>
    <w:p w14:paraId="217F65F9"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2F77C006" w14:textId="77777777" w:rsidR="00D64459" w:rsidRPr="00493E39" w:rsidRDefault="008B2120">
      <w:pPr>
        <w:ind w:firstLine="709"/>
        <w:jc w:val="both"/>
        <w:rPr>
          <w:rFonts w:cs="Arial"/>
          <w:lang w:val="pt-BR"/>
        </w:rPr>
      </w:pPr>
      <w:r w:rsidRPr="00493E39">
        <w:rPr>
          <w:rFonts w:cs="Arial"/>
          <w:lang w:val="pt-BR"/>
        </w:rPr>
        <w:t>Nenhum dos instrumentos alcança o limiar convencional. Reporta-se o conjunto porque a busca por identificação externa é parte do desenho da pesquisa, e porque o contraste entre regimes observado no primeiro estágio da gasolina corrobora, ainda que sem potência para inferência, a leitura central do trabalho: o preço doméstico só responde à referência internacional sob a regra de paridade.</w:t>
      </w:r>
    </w:p>
    <w:p w14:paraId="200E735C" w14:textId="77777777" w:rsidR="00D64459" w:rsidRPr="00493E39" w:rsidRDefault="008B2120">
      <w:pPr>
        <w:rPr>
          <w:rFonts w:cs="Arial"/>
          <w:lang w:val="pt-BR"/>
        </w:rPr>
      </w:pPr>
      <w:r w:rsidRPr="00493E39">
        <w:rPr>
          <w:rFonts w:cs="Arial"/>
          <w:lang w:val="pt-BR"/>
        </w:rPr>
        <w:br w:type="page"/>
      </w:r>
    </w:p>
    <w:p w14:paraId="656C4758" w14:textId="77777777" w:rsidR="00D64459" w:rsidRPr="00493E39" w:rsidRDefault="008B2120">
      <w:pPr>
        <w:pStyle w:val="Heading1"/>
        <w:spacing w:before="280" w:after="280"/>
        <w:jc w:val="center"/>
        <w:rPr>
          <w:rFonts w:ascii="Arial" w:hAnsi="Arial" w:cs="Arial"/>
          <w:lang w:val="pt-BR"/>
        </w:rPr>
      </w:pPr>
      <w:bookmarkStart w:id="43" w:name="_Toc239713592"/>
      <w:r w:rsidRPr="00493E39">
        <w:rPr>
          <w:rFonts w:ascii="Arial" w:hAnsi="Arial" w:cs="Arial"/>
          <w:lang w:val="pt-BR"/>
        </w:rPr>
        <w:lastRenderedPageBreak/>
        <w:t>APÊNDICE H – CONTRAFACTUAL E DESAGREGAÇÃO DO ÍNDICE</w:t>
      </w:r>
      <w:bookmarkEnd w:id="43"/>
    </w:p>
    <w:p w14:paraId="05F9DA48" w14:textId="77777777" w:rsidR="00D64459" w:rsidRPr="00493E39" w:rsidRDefault="008B2120">
      <w:pPr>
        <w:ind w:firstLine="709"/>
        <w:jc w:val="both"/>
        <w:rPr>
          <w:rFonts w:cs="Arial"/>
          <w:lang w:val="pt-BR"/>
        </w:rPr>
      </w:pPr>
      <w:r w:rsidRPr="00493E39">
        <w:rPr>
          <w:rFonts w:cs="Arial"/>
          <w:lang w:val="pt-BR"/>
        </w:rPr>
        <w:t>Este apêndice reporta os números do exercício contrafactual da seção 4.7.5 e as estimativas por regime para os subgrupos de comercializáveis e não comercializáveis do IPCA.</w:t>
      </w:r>
    </w:p>
    <w:p w14:paraId="5D37B16E" w14:textId="77777777" w:rsidR="00D64459" w:rsidRPr="00493E39" w:rsidRDefault="008B2120">
      <w:pPr>
        <w:keepNext/>
        <w:spacing w:before="200" w:after="40" w:line="240" w:lineRule="auto"/>
        <w:rPr>
          <w:rFonts w:cs="Arial"/>
          <w:lang w:val="pt-BR"/>
        </w:rPr>
      </w:pPr>
      <w:r w:rsidRPr="00493E39">
        <w:rPr>
          <w:rFonts w:cs="Arial"/>
          <w:sz w:val="20"/>
          <w:lang w:val="pt-BR"/>
        </w:rPr>
        <w:t>Tabela H.1 – Contribuição dos choques de petróleo ao IPCA por ano civil, 2020 a 2022</w:t>
      </w:r>
    </w:p>
    <w:tbl>
      <w:tblPr>
        <w:tblW w:w="0" w:type="auto"/>
        <w:jc w:val="center"/>
        <w:tblLook w:val="04A0" w:firstRow="1" w:lastRow="0" w:firstColumn="1" w:lastColumn="0" w:noHBand="0" w:noVBand="1"/>
      </w:tblPr>
      <w:tblGrid>
        <w:gridCol w:w="3420"/>
        <w:gridCol w:w="2067"/>
        <w:gridCol w:w="2067"/>
        <w:gridCol w:w="2067"/>
      </w:tblGrid>
      <w:tr w:rsidR="00D64459" w:rsidRPr="00493E39" w14:paraId="36C910D0" w14:textId="77777777">
        <w:trPr>
          <w:tblHeader/>
          <w:jc w:val="center"/>
        </w:trPr>
        <w:tc>
          <w:tcPr>
            <w:tcW w:w="3420" w:type="dxa"/>
            <w:tcBorders>
              <w:top w:val="single" w:sz="12" w:space="0" w:color="000000"/>
              <w:bottom w:val="single" w:sz="6" w:space="0" w:color="000000"/>
            </w:tcBorders>
          </w:tcPr>
          <w:p w14:paraId="3C9EA86C" w14:textId="77777777" w:rsidR="00D64459" w:rsidRPr="00493E39" w:rsidRDefault="008B2120">
            <w:pPr>
              <w:spacing w:after="20" w:line="240" w:lineRule="auto"/>
              <w:rPr>
                <w:rFonts w:cs="Arial"/>
              </w:rPr>
            </w:pPr>
            <w:proofErr w:type="spellStart"/>
            <w:r w:rsidRPr="00493E39">
              <w:rPr>
                <w:rFonts w:cs="Arial"/>
                <w:b/>
                <w:sz w:val="18"/>
              </w:rPr>
              <w:t>Parametrização</w:t>
            </w:r>
            <w:proofErr w:type="spellEnd"/>
          </w:p>
        </w:tc>
        <w:tc>
          <w:tcPr>
            <w:tcW w:w="2067" w:type="dxa"/>
            <w:tcBorders>
              <w:top w:val="single" w:sz="12" w:space="0" w:color="000000"/>
              <w:bottom w:val="single" w:sz="6" w:space="0" w:color="000000"/>
            </w:tcBorders>
          </w:tcPr>
          <w:p w14:paraId="2DAFFA72" w14:textId="77777777" w:rsidR="00D64459" w:rsidRPr="00493E39" w:rsidRDefault="008B2120">
            <w:pPr>
              <w:spacing w:after="20" w:line="240" w:lineRule="auto"/>
              <w:rPr>
                <w:rFonts w:cs="Arial"/>
              </w:rPr>
            </w:pPr>
            <w:r w:rsidRPr="00493E39">
              <w:rPr>
                <w:rFonts w:cs="Arial"/>
                <w:b/>
                <w:sz w:val="18"/>
              </w:rPr>
              <w:t>2020</w:t>
            </w:r>
          </w:p>
        </w:tc>
        <w:tc>
          <w:tcPr>
            <w:tcW w:w="2067" w:type="dxa"/>
            <w:tcBorders>
              <w:top w:val="single" w:sz="12" w:space="0" w:color="000000"/>
              <w:bottom w:val="single" w:sz="6" w:space="0" w:color="000000"/>
            </w:tcBorders>
          </w:tcPr>
          <w:p w14:paraId="001A6929" w14:textId="77777777" w:rsidR="00D64459" w:rsidRPr="00493E39" w:rsidRDefault="008B2120">
            <w:pPr>
              <w:spacing w:after="20" w:line="240" w:lineRule="auto"/>
              <w:rPr>
                <w:rFonts w:cs="Arial"/>
              </w:rPr>
            </w:pPr>
            <w:r w:rsidRPr="00493E39">
              <w:rPr>
                <w:rFonts w:cs="Arial"/>
                <w:b/>
                <w:sz w:val="18"/>
              </w:rPr>
              <w:t>2021</w:t>
            </w:r>
          </w:p>
        </w:tc>
        <w:tc>
          <w:tcPr>
            <w:tcW w:w="2067" w:type="dxa"/>
            <w:tcBorders>
              <w:top w:val="single" w:sz="12" w:space="0" w:color="000000"/>
              <w:bottom w:val="single" w:sz="6" w:space="0" w:color="000000"/>
            </w:tcBorders>
          </w:tcPr>
          <w:p w14:paraId="5327BEA1" w14:textId="77777777" w:rsidR="00D64459" w:rsidRPr="00493E39" w:rsidRDefault="008B2120">
            <w:pPr>
              <w:spacing w:after="20" w:line="240" w:lineRule="auto"/>
              <w:rPr>
                <w:rFonts w:cs="Arial"/>
                <w:lang w:val="pt-BR"/>
              </w:rPr>
            </w:pPr>
            <w:r w:rsidRPr="00493E39">
              <w:rPr>
                <w:rFonts w:cs="Arial"/>
                <w:b/>
                <w:sz w:val="18"/>
                <w:lang w:val="pt-BR"/>
              </w:rPr>
              <w:t>2022</w:t>
            </w:r>
          </w:p>
        </w:tc>
      </w:tr>
      <w:tr w:rsidR="00D64459" w:rsidRPr="00493E39" w14:paraId="00487476" w14:textId="77777777">
        <w:trPr>
          <w:jc w:val="center"/>
        </w:trPr>
        <w:tc>
          <w:tcPr>
            <w:tcW w:w="3420" w:type="dxa"/>
          </w:tcPr>
          <w:p w14:paraId="5A96CBBC" w14:textId="77777777" w:rsidR="00D64459" w:rsidRPr="00493E39" w:rsidRDefault="008B2120">
            <w:pPr>
              <w:spacing w:after="20" w:line="240" w:lineRule="auto"/>
              <w:rPr>
                <w:rFonts w:cs="Arial"/>
                <w:lang w:val="pt-BR"/>
              </w:rPr>
            </w:pPr>
            <w:r w:rsidRPr="00493E39">
              <w:rPr>
                <w:rFonts w:cs="Arial"/>
                <w:sz w:val="18"/>
                <w:lang w:val="pt-BR"/>
              </w:rPr>
              <w:t>Coeficientes do regime posterior (observado)</w:t>
            </w:r>
          </w:p>
        </w:tc>
        <w:tc>
          <w:tcPr>
            <w:tcW w:w="2067" w:type="dxa"/>
          </w:tcPr>
          <w:p w14:paraId="6612D2C5" w14:textId="77777777" w:rsidR="00D64459" w:rsidRPr="00493E39" w:rsidRDefault="008B2120">
            <w:pPr>
              <w:spacing w:after="20" w:line="240" w:lineRule="auto"/>
              <w:jc w:val="center"/>
              <w:rPr>
                <w:rFonts w:cs="Arial"/>
              </w:rPr>
            </w:pPr>
            <w:r w:rsidRPr="00493E39">
              <w:rPr>
                <w:rFonts w:cs="Arial"/>
                <w:sz w:val="18"/>
              </w:rPr>
              <w:t>−2,27 p.p. (−51,4%)</w:t>
            </w:r>
          </w:p>
        </w:tc>
        <w:tc>
          <w:tcPr>
            <w:tcW w:w="2067" w:type="dxa"/>
          </w:tcPr>
          <w:p w14:paraId="1040F595" w14:textId="77777777" w:rsidR="00D64459" w:rsidRPr="00493E39" w:rsidRDefault="008B2120">
            <w:pPr>
              <w:spacing w:after="20" w:line="240" w:lineRule="auto"/>
              <w:jc w:val="center"/>
              <w:rPr>
                <w:rFonts w:cs="Arial"/>
              </w:rPr>
            </w:pPr>
            <w:r w:rsidRPr="00493E39">
              <w:rPr>
                <w:rFonts w:cs="Arial"/>
                <w:sz w:val="18"/>
              </w:rPr>
              <w:t>+1,86 p.p. (19,4%)</w:t>
            </w:r>
          </w:p>
        </w:tc>
        <w:tc>
          <w:tcPr>
            <w:tcW w:w="2067" w:type="dxa"/>
          </w:tcPr>
          <w:p w14:paraId="7B2CC9D9" w14:textId="77777777" w:rsidR="00D64459" w:rsidRPr="00493E39" w:rsidRDefault="008B2120">
            <w:pPr>
              <w:spacing w:after="20" w:line="240" w:lineRule="auto"/>
              <w:jc w:val="center"/>
              <w:rPr>
                <w:rFonts w:cs="Arial"/>
              </w:rPr>
            </w:pPr>
            <w:r w:rsidRPr="00493E39">
              <w:rPr>
                <w:rFonts w:cs="Arial"/>
                <w:sz w:val="18"/>
              </w:rPr>
              <w:t>+0,94 p.p. (16,7%)</w:t>
            </w:r>
          </w:p>
        </w:tc>
      </w:tr>
      <w:tr w:rsidR="00D64459" w:rsidRPr="00493E39" w14:paraId="39388C26" w14:textId="77777777">
        <w:trPr>
          <w:jc w:val="center"/>
        </w:trPr>
        <w:tc>
          <w:tcPr>
            <w:tcW w:w="3420" w:type="dxa"/>
          </w:tcPr>
          <w:p w14:paraId="76A87242" w14:textId="77777777" w:rsidR="00D64459" w:rsidRPr="00493E39" w:rsidRDefault="008B2120">
            <w:pPr>
              <w:spacing w:after="20" w:line="240" w:lineRule="auto"/>
              <w:rPr>
                <w:rFonts w:cs="Arial"/>
                <w:lang w:val="pt-BR"/>
              </w:rPr>
            </w:pPr>
            <w:r w:rsidRPr="00493E39">
              <w:rPr>
                <w:rFonts w:cs="Arial"/>
                <w:sz w:val="18"/>
                <w:lang w:val="pt-BR"/>
              </w:rPr>
              <w:t>Coeficientes do regime anterior (contrafactual)</w:t>
            </w:r>
          </w:p>
        </w:tc>
        <w:tc>
          <w:tcPr>
            <w:tcW w:w="2067" w:type="dxa"/>
          </w:tcPr>
          <w:p w14:paraId="3734524D" w14:textId="77777777" w:rsidR="00D64459" w:rsidRPr="00493E39" w:rsidRDefault="008B2120">
            <w:pPr>
              <w:spacing w:after="20" w:line="240" w:lineRule="auto"/>
              <w:jc w:val="center"/>
              <w:rPr>
                <w:rFonts w:cs="Arial"/>
              </w:rPr>
            </w:pPr>
            <w:r w:rsidRPr="00493E39">
              <w:rPr>
                <w:rFonts w:cs="Arial"/>
                <w:sz w:val="18"/>
              </w:rPr>
              <w:t>+0,04 p.p. (1,0%)</w:t>
            </w:r>
          </w:p>
        </w:tc>
        <w:tc>
          <w:tcPr>
            <w:tcW w:w="2067" w:type="dxa"/>
          </w:tcPr>
          <w:p w14:paraId="271A04A3" w14:textId="77777777" w:rsidR="00D64459" w:rsidRPr="00493E39" w:rsidRDefault="008B2120">
            <w:pPr>
              <w:spacing w:after="20" w:line="240" w:lineRule="auto"/>
              <w:jc w:val="center"/>
              <w:rPr>
                <w:rFonts w:cs="Arial"/>
              </w:rPr>
            </w:pPr>
            <w:r w:rsidRPr="00493E39">
              <w:rPr>
                <w:rFonts w:cs="Arial"/>
                <w:sz w:val="18"/>
              </w:rPr>
              <w:t>+0,14 p.p. (1,5%)</w:t>
            </w:r>
          </w:p>
        </w:tc>
        <w:tc>
          <w:tcPr>
            <w:tcW w:w="2067" w:type="dxa"/>
          </w:tcPr>
          <w:p w14:paraId="6D4633A7" w14:textId="77777777" w:rsidR="00D64459" w:rsidRPr="00493E39" w:rsidRDefault="008B2120">
            <w:pPr>
              <w:spacing w:after="20" w:line="240" w:lineRule="auto"/>
              <w:jc w:val="center"/>
              <w:rPr>
                <w:rFonts w:cs="Arial"/>
              </w:rPr>
            </w:pPr>
            <w:r w:rsidRPr="00493E39">
              <w:rPr>
                <w:rFonts w:cs="Arial"/>
                <w:sz w:val="18"/>
              </w:rPr>
              <w:t>−0,22 p.p. (−3,8%)</w:t>
            </w:r>
          </w:p>
        </w:tc>
      </w:tr>
      <w:tr w:rsidR="00D64459" w:rsidRPr="00493E39" w14:paraId="13818146" w14:textId="77777777">
        <w:trPr>
          <w:jc w:val="center"/>
        </w:trPr>
        <w:tc>
          <w:tcPr>
            <w:tcW w:w="3420" w:type="dxa"/>
          </w:tcPr>
          <w:p w14:paraId="496558A8" w14:textId="77777777" w:rsidR="00D64459" w:rsidRPr="00493E39" w:rsidRDefault="008B2120">
            <w:pPr>
              <w:spacing w:after="20" w:line="240" w:lineRule="auto"/>
              <w:rPr>
                <w:rFonts w:cs="Arial"/>
                <w:lang w:val="pt-BR"/>
              </w:rPr>
            </w:pPr>
            <w:r w:rsidRPr="00493E39">
              <w:rPr>
                <w:rFonts w:cs="Arial"/>
                <w:sz w:val="18"/>
                <w:lang w:val="pt-BR"/>
              </w:rPr>
              <w:t>Diferença atribuível à regra de preços</w:t>
            </w:r>
          </w:p>
        </w:tc>
        <w:tc>
          <w:tcPr>
            <w:tcW w:w="2067" w:type="dxa"/>
          </w:tcPr>
          <w:p w14:paraId="5007107A" w14:textId="77777777" w:rsidR="00D64459" w:rsidRPr="00493E39" w:rsidRDefault="008B2120">
            <w:pPr>
              <w:spacing w:after="20" w:line="240" w:lineRule="auto"/>
              <w:jc w:val="center"/>
              <w:rPr>
                <w:rFonts w:cs="Arial"/>
              </w:rPr>
            </w:pPr>
            <w:r w:rsidRPr="00493E39">
              <w:rPr>
                <w:rFonts w:cs="Arial"/>
                <w:sz w:val="18"/>
              </w:rPr>
              <w:t>−2,31 p.p. (−52,4%)</w:t>
            </w:r>
          </w:p>
        </w:tc>
        <w:tc>
          <w:tcPr>
            <w:tcW w:w="2067" w:type="dxa"/>
          </w:tcPr>
          <w:p w14:paraId="2C30A934" w14:textId="77777777" w:rsidR="00D64459" w:rsidRPr="00493E39" w:rsidRDefault="008B2120">
            <w:pPr>
              <w:spacing w:after="20" w:line="240" w:lineRule="auto"/>
              <w:jc w:val="center"/>
              <w:rPr>
                <w:rFonts w:cs="Arial"/>
              </w:rPr>
            </w:pPr>
            <w:r w:rsidRPr="00493E39">
              <w:rPr>
                <w:rFonts w:cs="Arial"/>
                <w:sz w:val="18"/>
              </w:rPr>
              <w:t>+1,72 p.p. (18,0%)</w:t>
            </w:r>
          </w:p>
        </w:tc>
        <w:tc>
          <w:tcPr>
            <w:tcW w:w="2067" w:type="dxa"/>
          </w:tcPr>
          <w:p w14:paraId="3A10044B" w14:textId="77777777" w:rsidR="00D64459" w:rsidRPr="00493E39" w:rsidRDefault="008B2120">
            <w:pPr>
              <w:spacing w:after="20" w:line="240" w:lineRule="auto"/>
              <w:jc w:val="center"/>
              <w:rPr>
                <w:rFonts w:cs="Arial"/>
              </w:rPr>
            </w:pPr>
            <w:r w:rsidRPr="00493E39">
              <w:rPr>
                <w:rFonts w:cs="Arial"/>
                <w:sz w:val="18"/>
              </w:rPr>
              <w:t>+1,15 p.p. (20,5%)</w:t>
            </w:r>
          </w:p>
        </w:tc>
      </w:tr>
      <w:tr w:rsidR="00D64459" w:rsidRPr="00493E39" w14:paraId="457E8052" w14:textId="77777777">
        <w:trPr>
          <w:jc w:val="center"/>
        </w:trPr>
        <w:tc>
          <w:tcPr>
            <w:tcW w:w="3420" w:type="dxa"/>
            <w:tcBorders>
              <w:bottom w:val="single" w:sz="12" w:space="0" w:color="000000"/>
            </w:tcBorders>
          </w:tcPr>
          <w:p w14:paraId="6A490D9A" w14:textId="77777777" w:rsidR="00D64459" w:rsidRPr="00493E39" w:rsidRDefault="008B2120">
            <w:pPr>
              <w:spacing w:after="20" w:line="240" w:lineRule="auto"/>
              <w:rPr>
                <w:rFonts w:cs="Arial"/>
                <w:lang w:val="pt-BR"/>
              </w:rPr>
            </w:pPr>
            <w:r w:rsidRPr="00493E39">
              <w:rPr>
                <w:rFonts w:cs="Arial"/>
                <w:sz w:val="18"/>
                <w:lang w:val="pt-BR"/>
              </w:rPr>
              <w:t>Variação do IPCA no ano, em pontos logarítmicos (e em %)</w:t>
            </w:r>
          </w:p>
        </w:tc>
        <w:tc>
          <w:tcPr>
            <w:tcW w:w="2067" w:type="dxa"/>
            <w:tcBorders>
              <w:bottom w:val="single" w:sz="12" w:space="0" w:color="000000"/>
            </w:tcBorders>
          </w:tcPr>
          <w:p w14:paraId="0F9BCF79" w14:textId="77777777" w:rsidR="00D64459" w:rsidRPr="00493E39" w:rsidRDefault="008B2120">
            <w:pPr>
              <w:spacing w:after="20" w:line="240" w:lineRule="auto"/>
              <w:jc w:val="center"/>
              <w:rPr>
                <w:rFonts w:cs="Arial"/>
              </w:rPr>
            </w:pPr>
            <w:r w:rsidRPr="00493E39">
              <w:rPr>
                <w:rFonts w:cs="Arial"/>
                <w:sz w:val="18"/>
              </w:rPr>
              <w:t>4,42 (4,52%)</w:t>
            </w:r>
          </w:p>
        </w:tc>
        <w:tc>
          <w:tcPr>
            <w:tcW w:w="2067" w:type="dxa"/>
            <w:tcBorders>
              <w:bottom w:val="single" w:sz="12" w:space="0" w:color="000000"/>
            </w:tcBorders>
          </w:tcPr>
          <w:p w14:paraId="61D80096" w14:textId="77777777" w:rsidR="00D64459" w:rsidRPr="00493E39" w:rsidRDefault="008B2120">
            <w:pPr>
              <w:spacing w:after="20" w:line="240" w:lineRule="auto"/>
              <w:jc w:val="center"/>
              <w:rPr>
                <w:rFonts w:cs="Arial"/>
              </w:rPr>
            </w:pPr>
            <w:r w:rsidRPr="00493E39">
              <w:rPr>
                <w:rFonts w:cs="Arial"/>
                <w:sz w:val="18"/>
              </w:rPr>
              <w:t>9,59 (10,06%)</w:t>
            </w:r>
          </w:p>
        </w:tc>
        <w:tc>
          <w:tcPr>
            <w:tcW w:w="2067" w:type="dxa"/>
            <w:tcBorders>
              <w:bottom w:val="single" w:sz="12" w:space="0" w:color="000000"/>
            </w:tcBorders>
          </w:tcPr>
          <w:p w14:paraId="67731877" w14:textId="77777777" w:rsidR="00D64459" w:rsidRPr="00493E39" w:rsidRDefault="008B2120">
            <w:pPr>
              <w:spacing w:after="20" w:line="240" w:lineRule="auto"/>
              <w:jc w:val="center"/>
              <w:rPr>
                <w:rFonts w:cs="Arial"/>
              </w:rPr>
            </w:pPr>
            <w:r w:rsidRPr="00493E39">
              <w:rPr>
                <w:rFonts w:cs="Arial"/>
                <w:sz w:val="18"/>
              </w:rPr>
              <w:t>5,62 (5,79%)</w:t>
            </w:r>
          </w:p>
        </w:tc>
      </w:tr>
    </w:tbl>
    <w:p w14:paraId="210DA3A1" w14:textId="77777777" w:rsidR="00D64459" w:rsidRPr="00493E39" w:rsidRDefault="008B2120">
      <w:pPr>
        <w:spacing w:line="240" w:lineRule="auto"/>
        <w:jc w:val="both"/>
        <w:rPr>
          <w:rFonts w:cs="Arial"/>
          <w:lang w:val="pt-BR"/>
        </w:rPr>
      </w:pPr>
      <w:r w:rsidRPr="00493E39">
        <w:rPr>
          <w:rFonts w:cs="Arial"/>
          <w:sz w:val="18"/>
          <w:lang w:val="pt-BR"/>
        </w:rPr>
        <w:t>Nota: contribuição obtida aplicando-se os coeficientes não acumulados de cada regime aos choques ocorridos em cada ano, com a soma reiniciada em janeiro; entre parênteses, a proporção da variação logarítmica do IPCA no ano. Exercício de equilíbrio parcial: mede a contribuição dos choques de petróleo mantido o restante no caminho observado, e não a trajetória da inflação sob regra alternativa. Para 2020, ver a ressalva da seção 4.7.5.</w:t>
      </w:r>
    </w:p>
    <w:p w14:paraId="234B292A"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1576E349" w14:textId="77777777" w:rsidR="00D64459" w:rsidRPr="00493E39" w:rsidRDefault="008B2120">
      <w:pPr>
        <w:ind w:firstLine="709"/>
        <w:jc w:val="both"/>
        <w:rPr>
          <w:rFonts w:cs="Arial"/>
          <w:lang w:val="pt-BR"/>
        </w:rPr>
      </w:pPr>
      <w:r w:rsidRPr="00493E39">
        <w:rPr>
          <w:rFonts w:cs="Arial"/>
          <w:lang w:val="pt-BR"/>
        </w:rPr>
        <w:t>As trajetórias mensais constam da Figura 12. Em 2022 a contribuição contrafactual termina levemente negativa porque, sob os coeficientes do regime anterior, as quedas do preço do petróleo do segundo semestre pesam mais que as altas do primeiro, ao passo que sob a paridade as altas do primeiro semestre dominam. Em 2020 a contribuição sob a paridade atinge −3,56 pontos em maio, depois dos choques negativos de março e abril, e termina o ano em −2,27.</w:t>
      </w:r>
    </w:p>
    <w:p w14:paraId="0CFA35C0" w14:textId="77777777" w:rsidR="00D64459" w:rsidRPr="00493E39" w:rsidRDefault="008B2120">
      <w:pPr>
        <w:keepNext/>
        <w:spacing w:before="200" w:after="40" w:line="240" w:lineRule="auto"/>
        <w:rPr>
          <w:rFonts w:cs="Arial"/>
          <w:lang w:val="pt-BR"/>
        </w:rPr>
      </w:pPr>
      <w:r w:rsidRPr="00493E39">
        <w:rPr>
          <w:rFonts w:cs="Arial"/>
          <w:sz w:val="20"/>
          <w:lang w:val="pt-BR"/>
        </w:rPr>
        <w:t>Tabela H.2 – Resposta acumulada por regime, subgrupos que excluem combustíveis</w:t>
      </w:r>
    </w:p>
    <w:tbl>
      <w:tblPr>
        <w:tblW w:w="0" w:type="auto"/>
        <w:jc w:val="center"/>
        <w:tblLook w:val="04A0" w:firstRow="1" w:lastRow="0" w:firstColumn="1" w:lastColumn="0" w:noHBand="0" w:noVBand="1"/>
      </w:tblPr>
      <w:tblGrid>
        <w:gridCol w:w="2835"/>
        <w:gridCol w:w="680"/>
        <w:gridCol w:w="1928"/>
        <w:gridCol w:w="1928"/>
        <w:gridCol w:w="1701"/>
      </w:tblGrid>
      <w:tr w:rsidR="00D64459" w:rsidRPr="00493E39" w14:paraId="0B3272B3" w14:textId="77777777">
        <w:trPr>
          <w:tblHeader/>
          <w:jc w:val="center"/>
        </w:trPr>
        <w:tc>
          <w:tcPr>
            <w:tcW w:w="2835" w:type="dxa"/>
            <w:tcBorders>
              <w:top w:val="single" w:sz="12" w:space="0" w:color="000000"/>
              <w:bottom w:val="single" w:sz="6" w:space="0" w:color="000000"/>
            </w:tcBorders>
          </w:tcPr>
          <w:p w14:paraId="75ECAC23" w14:textId="77777777" w:rsidR="00D64459" w:rsidRPr="00493E39" w:rsidRDefault="008B2120">
            <w:pPr>
              <w:spacing w:after="20" w:line="240" w:lineRule="auto"/>
              <w:rPr>
                <w:rFonts w:cs="Arial"/>
              </w:rPr>
            </w:pPr>
            <w:proofErr w:type="spellStart"/>
            <w:r w:rsidRPr="00493E39">
              <w:rPr>
                <w:rFonts w:cs="Arial"/>
                <w:b/>
                <w:sz w:val="18"/>
              </w:rPr>
              <w:t>Subgrupo</w:t>
            </w:r>
            <w:proofErr w:type="spellEnd"/>
          </w:p>
        </w:tc>
        <w:tc>
          <w:tcPr>
            <w:tcW w:w="680" w:type="dxa"/>
            <w:tcBorders>
              <w:top w:val="single" w:sz="12" w:space="0" w:color="000000"/>
              <w:bottom w:val="single" w:sz="6" w:space="0" w:color="000000"/>
            </w:tcBorders>
          </w:tcPr>
          <w:p w14:paraId="1394AD0F" w14:textId="77777777" w:rsidR="00D64459" w:rsidRPr="00493E39" w:rsidRDefault="008B2120">
            <w:pPr>
              <w:spacing w:after="20" w:line="240" w:lineRule="auto"/>
              <w:rPr>
                <w:rFonts w:cs="Arial"/>
              </w:rPr>
            </w:pPr>
            <w:r w:rsidRPr="00493E39">
              <w:rPr>
                <w:rFonts w:cs="Arial"/>
                <w:b/>
                <w:sz w:val="18"/>
              </w:rPr>
              <w:t>h</w:t>
            </w:r>
          </w:p>
        </w:tc>
        <w:tc>
          <w:tcPr>
            <w:tcW w:w="1928" w:type="dxa"/>
            <w:tcBorders>
              <w:top w:val="single" w:sz="12" w:space="0" w:color="000000"/>
              <w:bottom w:val="single" w:sz="6" w:space="0" w:color="000000"/>
            </w:tcBorders>
          </w:tcPr>
          <w:p w14:paraId="49BFD31E" w14:textId="77777777" w:rsidR="00D64459" w:rsidRPr="00493E39" w:rsidRDefault="008B2120">
            <w:pPr>
              <w:spacing w:after="20" w:line="240" w:lineRule="auto"/>
              <w:rPr>
                <w:rFonts w:cs="Arial"/>
              </w:rPr>
            </w:pPr>
            <w:r w:rsidRPr="00493E39">
              <w:rPr>
                <w:rFonts w:cs="Arial"/>
                <w:b/>
                <w:sz w:val="18"/>
              </w:rPr>
              <w:t>Regime anterior</w:t>
            </w:r>
          </w:p>
        </w:tc>
        <w:tc>
          <w:tcPr>
            <w:tcW w:w="1928" w:type="dxa"/>
            <w:tcBorders>
              <w:top w:val="single" w:sz="12" w:space="0" w:color="000000"/>
              <w:bottom w:val="single" w:sz="6" w:space="0" w:color="000000"/>
            </w:tcBorders>
          </w:tcPr>
          <w:p w14:paraId="5F13085A" w14:textId="77777777" w:rsidR="00D64459" w:rsidRPr="00493E39" w:rsidRDefault="008B2120">
            <w:pPr>
              <w:spacing w:after="20" w:line="240" w:lineRule="auto"/>
              <w:rPr>
                <w:rFonts w:cs="Arial"/>
              </w:rPr>
            </w:pPr>
            <w:r w:rsidRPr="00493E39">
              <w:rPr>
                <w:rFonts w:cs="Arial"/>
                <w:b/>
                <w:sz w:val="18"/>
              </w:rPr>
              <w:t>Regime posterior</w:t>
            </w:r>
          </w:p>
        </w:tc>
        <w:tc>
          <w:tcPr>
            <w:tcW w:w="1701" w:type="dxa"/>
            <w:tcBorders>
              <w:top w:val="single" w:sz="12" w:space="0" w:color="000000"/>
              <w:bottom w:val="single" w:sz="6" w:space="0" w:color="000000"/>
            </w:tcBorders>
          </w:tcPr>
          <w:p w14:paraId="78345875" w14:textId="77777777" w:rsidR="00D64459" w:rsidRPr="00493E39" w:rsidRDefault="008B2120">
            <w:pPr>
              <w:spacing w:after="20" w:line="240" w:lineRule="auto"/>
              <w:rPr>
                <w:rFonts w:cs="Arial"/>
              </w:rPr>
            </w:pPr>
            <w:r w:rsidRPr="00493E39">
              <w:rPr>
                <w:rFonts w:cs="Arial"/>
                <w:b/>
                <w:sz w:val="18"/>
              </w:rPr>
              <w:t>Wald (p)</w:t>
            </w:r>
          </w:p>
        </w:tc>
      </w:tr>
      <w:tr w:rsidR="00D64459" w:rsidRPr="00493E39" w14:paraId="6C7BB6ED" w14:textId="77777777">
        <w:trPr>
          <w:jc w:val="center"/>
        </w:trPr>
        <w:tc>
          <w:tcPr>
            <w:tcW w:w="2835" w:type="dxa"/>
          </w:tcPr>
          <w:p w14:paraId="2966E99D" w14:textId="77777777" w:rsidR="00D64459" w:rsidRPr="00493E39" w:rsidRDefault="008B2120">
            <w:pPr>
              <w:spacing w:after="20" w:line="240" w:lineRule="auto"/>
              <w:rPr>
                <w:rFonts w:cs="Arial"/>
              </w:rPr>
            </w:pPr>
            <w:proofErr w:type="spellStart"/>
            <w:r w:rsidRPr="00493E39">
              <w:rPr>
                <w:rFonts w:cs="Arial"/>
                <w:sz w:val="18"/>
              </w:rPr>
              <w:t>Comercializáveis</w:t>
            </w:r>
            <w:proofErr w:type="spellEnd"/>
          </w:p>
        </w:tc>
        <w:tc>
          <w:tcPr>
            <w:tcW w:w="680" w:type="dxa"/>
          </w:tcPr>
          <w:p w14:paraId="6C1CE26E" w14:textId="77777777" w:rsidR="00D64459" w:rsidRPr="00493E39" w:rsidRDefault="008B2120">
            <w:pPr>
              <w:spacing w:after="20" w:line="240" w:lineRule="auto"/>
              <w:jc w:val="center"/>
              <w:rPr>
                <w:rFonts w:cs="Arial"/>
              </w:rPr>
            </w:pPr>
            <w:r w:rsidRPr="00493E39">
              <w:rPr>
                <w:rFonts w:cs="Arial"/>
                <w:sz w:val="18"/>
              </w:rPr>
              <w:t>0</w:t>
            </w:r>
          </w:p>
        </w:tc>
        <w:tc>
          <w:tcPr>
            <w:tcW w:w="1928" w:type="dxa"/>
          </w:tcPr>
          <w:p w14:paraId="2B279138" w14:textId="77777777" w:rsidR="00D64459" w:rsidRPr="00493E39" w:rsidRDefault="008B2120">
            <w:pPr>
              <w:spacing w:after="20" w:line="240" w:lineRule="auto"/>
              <w:jc w:val="center"/>
              <w:rPr>
                <w:rFonts w:cs="Arial"/>
              </w:rPr>
            </w:pPr>
            <w:r w:rsidRPr="00493E39">
              <w:rPr>
                <w:rFonts w:cs="Arial"/>
                <w:sz w:val="18"/>
              </w:rPr>
              <w:t>0,052*</w:t>
            </w:r>
          </w:p>
        </w:tc>
        <w:tc>
          <w:tcPr>
            <w:tcW w:w="1928" w:type="dxa"/>
          </w:tcPr>
          <w:p w14:paraId="27FAE38B" w14:textId="77777777" w:rsidR="00D64459" w:rsidRPr="00493E39" w:rsidRDefault="008B2120">
            <w:pPr>
              <w:spacing w:after="20" w:line="240" w:lineRule="auto"/>
              <w:jc w:val="center"/>
              <w:rPr>
                <w:rFonts w:cs="Arial"/>
              </w:rPr>
            </w:pPr>
            <w:r w:rsidRPr="00493E39">
              <w:rPr>
                <w:rFonts w:cs="Arial"/>
                <w:sz w:val="18"/>
              </w:rPr>
              <w:t>0,101</w:t>
            </w:r>
          </w:p>
        </w:tc>
        <w:tc>
          <w:tcPr>
            <w:tcW w:w="1701" w:type="dxa"/>
          </w:tcPr>
          <w:p w14:paraId="5EF808F0" w14:textId="77777777" w:rsidR="00D64459" w:rsidRPr="00493E39" w:rsidRDefault="008B2120">
            <w:pPr>
              <w:spacing w:after="20" w:line="240" w:lineRule="auto"/>
              <w:jc w:val="center"/>
              <w:rPr>
                <w:rFonts w:cs="Arial"/>
              </w:rPr>
            </w:pPr>
            <w:r w:rsidRPr="00493E39">
              <w:rPr>
                <w:rFonts w:cs="Arial"/>
                <w:sz w:val="18"/>
              </w:rPr>
              <w:t>0,482</w:t>
            </w:r>
          </w:p>
        </w:tc>
      </w:tr>
      <w:tr w:rsidR="00D64459" w:rsidRPr="00493E39" w14:paraId="726A481F" w14:textId="77777777">
        <w:trPr>
          <w:jc w:val="center"/>
        </w:trPr>
        <w:tc>
          <w:tcPr>
            <w:tcW w:w="2835" w:type="dxa"/>
          </w:tcPr>
          <w:p w14:paraId="612596D6" w14:textId="77777777" w:rsidR="00D64459" w:rsidRPr="00493E39" w:rsidRDefault="00D64459">
            <w:pPr>
              <w:spacing w:after="20" w:line="240" w:lineRule="auto"/>
              <w:rPr>
                <w:rFonts w:cs="Arial"/>
              </w:rPr>
            </w:pPr>
          </w:p>
        </w:tc>
        <w:tc>
          <w:tcPr>
            <w:tcW w:w="680" w:type="dxa"/>
          </w:tcPr>
          <w:p w14:paraId="7A186994" w14:textId="77777777" w:rsidR="00D64459" w:rsidRPr="00493E39" w:rsidRDefault="008B2120">
            <w:pPr>
              <w:spacing w:after="20" w:line="240" w:lineRule="auto"/>
              <w:jc w:val="center"/>
              <w:rPr>
                <w:rFonts w:cs="Arial"/>
              </w:rPr>
            </w:pPr>
            <w:r w:rsidRPr="00493E39">
              <w:rPr>
                <w:rFonts w:cs="Arial"/>
                <w:sz w:val="18"/>
              </w:rPr>
              <w:t>1</w:t>
            </w:r>
          </w:p>
        </w:tc>
        <w:tc>
          <w:tcPr>
            <w:tcW w:w="1928" w:type="dxa"/>
          </w:tcPr>
          <w:p w14:paraId="15974ACE" w14:textId="77777777" w:rsidR="00D64459" w:rsidRPr="00493E39" w:rsidRDefault="008B2120">
            <w:pPr>
              <w:spacing w:after="20" w:line="240" w:lineRule="auto"/>
              <w:jc w:val="center"/>
              <w:rPr>
                <w:rFonts w:cs="Arial"/>
              </w:rPr>
            </w:pPr>
            <w:r w:rsidRPr="00493E39">
              <w:rPr>
                <w:rFonts w:cs="Arial"/>
                <w:sz w:val="18"/>
              </w:rPr>
              <w:t>0,128**</w:t>
            </w:r>
          </w:p>
        </w:tc>
        <w:tc>
          <w:tcPr>
            <w:tcW w:w="1928" w:type="dxa"/>
          </w:tcPr>
          <w:p w14:paraId="681D7403" w14:textId="77777777" w:rsidR="00D64459" w:rsidRPr="00493E39" w:rsidRDefault="008B2120">
            <w:pPr>
              <w:spacing w:after="20" w:line="240" w:lineRule="auto"/>
              <w:jc w:val="center"/>
              <w:rPr>
                <w:rFonts w:cs="Arial"/>
              </w:rPr>
            </w:pPr>
            <w:r w:rsidRPr="00493E39">
              <w:rPr>
                <w:rFonts w:cs="Arial"/>
                <w:sz w:val="18"/>
              </w:rPr>
              <w:t>0,215**</w:t>
            </w:r>
          </w:p>
        </w:tc>
        <w:tc>
          <w:tcPr>
            <w:tcW w:w="1701" w:type="dxa"/>
          </w:tcPr>
          <w:p w14:paraId="4CF87340" w14:textId="77777777" w:rsidR="00D64459" w:rsidRPr="00493E39" w:rsidRDefault="008B2120">
            <w:pPr>
              <w:spacing w:after="20" w:line="240" w:lineRule="auto"/>
              <w:jc w:val="center"/>
              <w:rPr>
                <w:rFonts w:cs="Arial"/>
              </w:rPr>
            </w:pPr>
            <w:r w:rsidRPr="00493E39">
              <w:rPr>
                <w:rFonts w:cs="Arial"/>
                <w:sz w:val="18"/>
              </w:rPr>
              <w:t>0,471</w:t>
            </w:r>
          </w:p>
        </w:tc>
      </w:tr>
      <w:tr w:rsidR="00D64459" w:rsidRPr="00493E39" w14:paraId="045D23C1" w14:textId="77777777">
        <w:trPr>
          <w:jc w:val="center"/>
        </w:trPr>
        <w:tc>
          <w:tcPr>
            <w:tcW w:w="2835" w:type="dxa"/>
          </w:tcPr>
          <w:p w14:paraId="725DC059" w14:textId="77777777" w:rsidR="00D64459" w:rsidRPr="00493E39" w:rsidRDefault="00D64459">
            <w:pPr>
              <w:spacing w:after="20" w:line="240" w:lineRule="auto"/>
              <w:rPr>
                <w:rFonts w:cs="Arial"/>
              </w:rPr>
            </w:pPr>
          </w:p>
        </w:tc>
        <w:tc>
          <w:tcPr>
            <w:tcW w:w="680" w:type="dxa"/>
          </w:tcPr>
          <w:p w14:paraId="11A9168A" w14:textId="77777777" w:rsidR="00D64459" w:rsidRPr="00493E39" w:rsidRDefault="008B2120">
            <w:pPr>
              <w:spacing w:after="20" w:line="240" w:lineRule="auto"/>
              <w:jc w:val="center"/>
              <w:rPr>
                <w:rFonts w:cs="Arial"/>
              </w:rPr>
            </w:pPr>
            <w:r w:rsidRPr="00493E39">
              <w:rPr>
                <w:rFonts w:cs="Arial"/>
                <w:sz w:val="18"/>
              </w:rPr>
              <w:t>3</w:t>
            </w:r>
          </w:p>
        </w:tc>
        <w:tc>
          <w:tcPr>
            <w:tcW w:w="1928" w:type="dxa"/>
          </w:tcPr>
          <w:p w14:paraId="1ED25785" w14:textId="77777777" w:rsidR="00D64459" w:rsidRPr="00493E39" w:rsidRDefault="008B2120">
            <w:pPr>
              <w:spacing w:after="20" w:line="240" w:lineRule="auto"/>
              <w:jc w:val="center"/>
              <w:rPr>
                <w:rFonts w:cs="Arial"/>
              </w:rPr>
            </w:pPr>
            <w:r w:rsidRPr="00493E39">
              <w:rPr>
                <w:rFonts w:cs="Arial"/>
                <w:sz w:val="18"/>
              </w:rPr>
              <w:t>0,253**</w:t>
            </w:r>
          </w:p>
        </w:tc>
        <w:tc>
          <w:tcPr>
            <w:tcW w:w="1928" w:type="dxa"/>
          </w:tcPr>
          <w:p w14:paraId="06744351" w14:textId="77777777" w:rsidR="00D64459" w:rsidRPr="00493E39" w:rsidRDefault="008B2120">
            <w:pPr>
              <w:spacing w:after="20" w:line="240" w:lineRule="auto"/>
              <w:jc w:val="center"/>
              <w:rPr>
                <w:rFonts w:cs="Arial"/>
              </w:rPr>
            </w:pPr>
            <w:r w:rsidRPr="00493E39">
              <w:rPr>
                <w:rFonts w:cs="Arial"/>
                <w:sz w:val="18"/>
              </w:rPr>
              <w:t>0,183</w:t>
            </w:r>
          </w:p>
        </w:tc>
        <w:tc>
          <w:tcPr>
            <w:tcW w:w="1701" w:type="dxa"/>
          </w:tcPr>
          <w:p w14:paraId="35471E2B" w14:textId="77777777" w:rsidR="00D64459" w:rsidRPr="00493E39" w:rsidRDefault="008B2120">
            <w:pPr>
              <w:spacing w:after="20" w:line="240" w:lineRule="auto"/>
              <w:jc w:val="center"/>
              <w:rPr>
                <w:rFonts w:cs="Arial"/>
              </w:rPr>
            </w:pPr>
            <w:r w:rsidRPr="00493E39">
              <w:rPr>
                <w:rFonts w:cs="Arial"/>
                <w:sz w:val="18"/>
              </w:rPr>
              <w:t>0,729</w:t>
            </w:r>
          </w:p>
        </w:tc>
      </w:tr>
      <w:tr w:rsidR="00D64459" w:rsidRPr="00493E39" w14:paraId="7DDBCA64" w14:textId="77777777">
        <w:trPr>
          <w:jc w:val="center"/>
        </w:trPr>
        <w:tc>
          <w:tcPr>
            <w:tcW w:w="2835" w:type="dxa"/>
          </w:tcPr>
          <w:p w14:paraId="04314536" w14:textId="77777777" w:rsidR="00D64459" w:rsidRPr="00493E39" w:rsidRDefault="00D64459">
            <w:pPr>
              <w:spacing w:after="20" w:line="240" w:lineRule="auto"/>
              <w:rPr>
                <w:rFonts w:cs="Arial"/>
              </w:rPr>
            </w:pPr>
          </w:p>
        </w:tc>
        <w:tc>
          <w:tcPr>
            <w:tcW w:w="680" w:type="dxa"/>
          </w:tcPr>
          <w:p w14:paraId="7138CE87" w14:textId="77777777" w:rsidR="00D64459" w:rsidRPr="00493E39" w:rsidRDefault="008B2120">
            <w:pPr>
              <w:spacing w:after="20" w:line="240" w:lineRule="auto"/>
              <w:jc w:val="center"/>
              <w:rPr>
                <w:rFonts w:cs="Arial"/>
              </w:rPr>
            </w:pPr>
            <w:r w:rsidRPr="00493E39">
              <w:rPr>
                <w:rFonts w:cs="Arial"/>
                <w:sz w:val="18"/>
              </w:rPr>
              <w:t>6</w:t>
            </w:r>
          </w:p>
        </w:tc>
        <w:tc>
          <w:tcPr>
            <w:tcW w:w="1928" w:type="dxa"/>
          </w:tcPr>
          <w:p w14:paraId="2B580DCD" w14:textId="77777777" w:rsidR="00D64459" w:rsidRPr="00493E39" w:rsidRDefault="008B2120">
            <w:pPr>
              <w:spacing w:after="20" w:line="240" w:lineRule="auto"/>
              <w:jc w:val="center"/>
              <w:rPr>
                <w:rFonts w:cs="Arial"/>
              </w:rPr>
            </w:pPr>
            <w:r w:rsidRPr="00493E39">
              <w:rPr>
                <w:rFonts w:cs="Arial"/>
                <w:sz w:val="18"/>
              </w:rPr>
              <w:t>0,168</w:t>
            </w:r>
          </w:p>
        </w:tc>
        <w:tc>
          <w:tcPr>
            <w:tcW w:w="1928" w:type="dxa"/>
          </w:tcPr>
          <w:p w14:paraId="6C163595" w14:textId="77777777" w:rsidR="00D64459" w:rsidRPr="00493E39" w:rsidRDefault="008B2120">
            <w:pPr>
              <w:spacing w:after="20" w:line="240" w:lineRule="auto"/>
              <w:jc w:val="center"/>
              <w:rPr>
                <w:rFonts w:cs="Arial"/>
              </w:rPr>
            </w:pPr>
            <w:r w:rsidRPr="00493E39">
              <w:rPr>
                <w:rFonts w:cs="Arial"/>
                <w:sz w:val="18"/>
              </w:rPr>
              <w:t>0,234*</w:t>
            </w:r>
          </w:p>
        </w:tc>
        <w:tc>
          <w:tcPr>
            <w:tcW w:w="1701" w:type="dxa"/>
          </w:tcPr>
          <w:p w14:paraId="2B12733E" w14:textId="77777777" w:rsidR="00D64459" w:rsidRPr="00493E39" w:rsidRDefault="008B2120">
            <w:pPr>
              <w:spacing w:after="20" w:line="240" w:lineRule="auto"/>
              <w:jc w:val="center"/>
              <w:rPr>
                <w:rFonts w:cs="Arial"/>
              </w:rPr>
            </w:pPr>
            <w:r w:rsidRPr="00493E39">
              <w:rPr>
                <w:rFonts w:cs="Arial"/>
                <w:sz w:val="18"/>
              </w:rPr>
              <w:t>0,789</w:t>
            </w:r>
          </w:p>
        </w:tc>
      </w:tr>
      <w:tr w:rsidR="00D64459" w:rsidRPr="00493E39" w14:paraId="0DBD4F50" w14:textId="77777777">
        <w:trPr>
          <w:jc w:val="center"/>
        </w:trPr>
        <w:tc>
          <w:tcPr>
            <w:tcW w:w="2835" w:type="dxa"/>
          </w:tcPr>
          <w:p w14:paraId="73F0595C" w14:textId="77777777" w:rsidR="00D64459" w:rsidRPr="00493E39" w:rsidRDefault="008B2120">
            <w:pPr>
              <w:spacing w:after="20" w:line="240" w:lineRule="auto"/>
              <w:rPr>
                <w:rFonts w:cs="Arial"/>
              </w:rPr>
            </w:pPr>
            <w:proofErr w:type="spellStart"/>
            <w:r w:rsidRPr="00493E39">
              <w:rPr>
                <w:rFonts w:cs="Arial"/>
                <w:sz w:val="18"/>
              </w:rPr>
              <w:t>Não</w:t>
            </w:r>
            <w:proofErr w:type="spellEnd"/>
            <w:r w:rsidRPr="00493E39">
              <w:rPr>
                <w:rFonts w:cs="Arial"/>
                <w:sz w:val="18"/>
              </w:rPr>
              <w:t xml:space="preserve"> </w:t>
            </w:r>
            <w:proofErr w:type="spellStart"/>
            <w:r w:rsidRPr="00493E39">
              <w:rPr>
                <w:rFonts w:cs="Arial"/>
                <w:sz w:val="18"/>
              </w:rPr>
              <w:t>comercializáveis</w:t>
            </w:r>
            <w:proofErr w:type="spellEnd"/>
          </w:p>
        </w:tc>
        <w:tc>
          <w:tcPr>
            <w:tcW w:w="680" w:type="dxa"/>
          </w:tcPr>
          <w:p w14:paraId="66A10226" w14:textId="77777777" w:rsidR="00D64459" w:rsidRPr="00493E39" w:rsidRDefault="008B2120">
            <w:pPr>
              <w:spacing w:after="20" w:line="240" w:lineRule="auto"/>
              <w:jc w:val="center"/>
              <w:rPr>
                <w:rFonts w:cs="Arial"/>
              </w:rPr>
            </w:pPr>
            <w:r w:rsidRPr="00493E39">
              <w:rPr>
                <w:rFonts w:cs="Arial"/>
                <w:sz w:val="18"/>
              </w:rPr>
              <w:t>0</w:t>
            </w:r>
          </w:p>
        </w:tc>
        <w:tc>
          <w:tcPr>
            <w:tcW w:w="1928" w:type="dxa"/>
          </w:tcPr>
          <w:p w14:paraId="49DC6304" w14:textId="77777777" w:rsidR="00D64459" w:rsidRPr="00493E39" w:rsidRDefault="008B2120">
            <w:pPr>
              <w:spacing w:after="20" w:line="240" w:lineRule="auto"/>
              <w:jc w:val="center"/>
              <w:rPr>
                <w:rFonts w:cs="Arial"/>
              </w:rPr>
            </w:pPr>
            <w:r w:rsidRPr="00493E39">
              <w:rPr>
                <w:rFonts w:cs="Arial"/>
                <w:sz w:val="18"/>
              </w:rPr>
              <w:t>0,002</w:t>
            </w:r>
          </w:p>
        </w:tc>
        <w:tc>
          <w:tcPr>
            <w:tcW w:w="1928" w:type="dxa"/>
          </w:tcPr>
          <w:p w14:paraId="26CF69EB" w14:textId="77777777" w:rsidR="00D64459" w:rsidRPr="00493E39" w:rsidRDefault="008B2120">
            <w:pPr>
              <w:spacing w:after="20" w:line="240" w:lineRule="auto"/>
              <w:jc w:val="center"/>
              <w:rPr>
                <w:rFonts w:cs="Arial"/>
              </w:rPr>
            </w:pPr>
            <w:r w:rsidRPr="00493E39">
              <w:rPr>
                <w:rFonts w:cs="Arial"/>
                <w:sz w:val="18"/>
              </w:rPr>
              <w:t>0,015</w:t>
            </w:r>
          </w:p>
        </w:tc>
        <w:tc>
          <w:tcPr>
            <w:tcW w:w="1701" w:type="dxa"/>
          </w:tcPr>
          <w:p w14:paraId="7E1F3190" w14:textId="77777777" w:rsidR="00D64459" w:rsidRPr="00493E39" w:rsidRDefault="008B2120">
            <w:pPr>
              <w:spacing w:after="20" w:line="240" w:lineRule="auto"/>
              <w:jc w:val="center"/>
              <w:rPr>
                <w:rFonts w:cs="Arial"/>
              </w:rPr>
            </w:pPr>
            <w:r w:rsidRPr="00493E39">
              <w:rPr>
                <w:rFonts w:cs="Arial"/>
                <w:sz w:val="18"/>
              </w:rPr>
              <w:t>0,826</w:t>
            </w:r>
          </w:p>
        </w:tc>
      </w:tr>
      <w:tr w:rsidR="00D64459" w:rsidRPr="00493E39" w14:paraId="676E689A" w14:textId="77777777">
        <w:trPr>
          <w:jc w:val="center"/>
        </w:trPr>
        <w:tc>
          <w:tcPr>
            <w:tcW w:w="2835" w:type="dxa"/>
          </w:tcPr>
          <w:p w14:paraId="3298560D" w14:textId="77777777" w:rsidR="00D64459" w:rsidRPr="00493E39" w:rsidRDefault="00D64459">
            <w:pPr>
              <w:spacing w:after="20" w:line="240" w:lineRule="auto"/>
              <w:rPr>
                <w:rFonts w:cs="Arial"/>
              </w:rPr>
            </w:pPr>
          </w:p>
        </w:tc>
        <w:tc>
          <w:tcPr>
            <w:tcW w:w="680" w:type="dxa"/>
          </w:tcPr>
          <w:p w14:paraId="192A0E16" w14:textId="77777777" w:rsidR="00D64459" w:rsidRPr="00493E39" w:rsidRDefault="008B2120">
            <w:pPr>
              <w:spacing w:after="20" w:line="240" w:lineRule="auto"/>
              <w:jc w:val="center"/>
              <w:rPr>
                <w:rFonts w:cs="Arial"/>
              </w:rPr>
            </w:pPr>
            <w:r w:rsidRPr="00493E39">
              <w:rPr>
                <w:rFonts w:cs="Arial"/>
                <w:sz w:val="18"/>
              </w:rPr>
              <w:t>1</w:t>
            </w:r>
          </w:p>
        </w:tc>
        <w:tc>
          <w:tcPr>
            <w:tcW w:w="1928" w:type="dxa"/>
          </w:tcPr>
          <w:p w14:paraId="7D6B21E7" w14:textId="77777777" w:rsidR="00D64459" w:rsidRPr="00493E39" w:rsidRDefault="008B2120">
            <w:pPr>
              <w:spacing w:after="20" w:line="240" w:lineRule="auto"/>
              <w:jc w:val="center"/>
              <w:rPr>
                <w:rFonts w:cs="Arial"/>
              </w:rPr>
            </w:pPr>
            <w:r w:rsidRPr="00493E39">
              <w:rPr>
                <w:rFonts w:cs="Arial"/>
                <w:sz w:val="18"/>
              </w:rPr>
              <w:t>0,001</w:t>
            </w:r>
          </w:p>
        </w:tc>
        <w:tc>
          <w:tcPr>
            <w:tcW w:w="1928" w:type="dxa"/>
          </w:tcPr>
          <w:p w14:paraId="120098CD" w14:textId="77777777" w:rsidR="00D64459" w:rsidRPr="00493E39" w:rsidRDefault="008B2120">
            <w:pPr>
              <w:spacing w:after="20" w:line="240" w:lineRule="auto"/>
              <w:jc w:val="center"/>
              <w:rPr>
                <w:rFonts w:cs="Arial"/>
              </w:rPr>
            </w:pPr>
            <w:r w:rsidRPr="00493E39">
              <w:rPr>
                <w:rFonts w:cs="Arial"/>
                <w:sz w:val="18"/>
              </w:rPr>
              <w:t>0,060</w:t>
            </w:r>
          </w:p>
        </w:tc>
        <w:tc>
          <w:tcPr>
            <w:tcW w:w="1701" w:type="dxa"/>
          </w:tcPr>
          <w:p w14:paraId="3BF2A9F1" w14:textId="77777777" w:rsidR="00D64459" w:rsidRPr="00493E39" w:rsidRDefault="008B2120">
            <w:pPr>
              <w:spacing w:after="20" w:line="240" w:lineRule="auto"/>
              <w:jc w:val="center"/>
              <w:rPr>
                <w:rFonts w:cs="Arial"/>
              </w:rPr>
            </w:pPr>
            <w:r w:rsidRPr="00493E39">
              <w:rPr>
                <w:rFonts w:cs="Arial"/>
                <w:sz w:val="18"/>
              </w:rPr>
              <w:t>0,589</w:t>
            </w:r>
          </w:p>
        </w:tc>
      </w:tr>
      <w:tr w:rsidR="00D64459" w:rsidRPr="00493E39" w14:paraId="7ED5A72F" w14:textId="77777777">
        <w:trPr>
          <w:jc w:val="center"/>
        </w:trPr>
        <w:tc>
          <w:tcPr>
            <w:tcW w:w="2835" w:type="dxa"/>
          </w:tcPr>
          <w:p w14:paraId="11AFC4EC" w14:textId="77777777" w:rsidR="00D64459" w:rsidRPr="00493E39" w:rsidRDefault="00D64459">
            <w:pPr>
              <w:spacing w:after="20" w:line="240" w:lineRule="auto"/>
              <w:rPr>
                <w:rFonts w:cs="Arial"/>
              </w:rPr>
            </w:pPr>
          </w:p>
        </w:tc>
        <w:tc>
          <w:tcPr>
            <w:tcW w:w="680" w:type="dxa"/>
          </w:tcPr>
          <w:p w14:paraId="1F225792" w14:textId="77777777" w:rsidR="00D64459" w:rsidRPr="00493E39" w:rsidRDefault="008B2120">
            <w:pPr>
              <w:spacing w:after="20" w:line="240" w:lineRule="auto"/>
              <w:jc w:val="center"/>
              <w:rPr>
                <w:rFonts w:cs="Arial"/>
              </w:rPr>
            </w:pPr>
            <w:r w:rsidRPr="00493E39">
              <w:rPr>
                <w:rFonts w:cs="Arial"/>
                <w:sz w:val="18"/>
              </w:rPr>
              <w:t>3</w:t>
            </w:r>
          </w:p>
        </w:tc>
        <w:tc>
          <w:tcPr>
            <w:tcW w:w="1928" w:type="dxa"/>
          </w:tcPr>
          <w:p w14:paraId="03863A9C" w14:textId="77777777" w:rsidR="00D64459" w:rsidRPr="00493E39" w:rsidRDefault="008B2120">
            <w:pPr>
              <w:spacing w:after="20" w:line="240" w:lineRule="auto"/>
              <w:jc w:val="center"/>
              <w:rPr>
                <w:rFonts w:cs="Arial"/>
              </w:rPr>
            </w:pPr>
            <w:r w:rsidRPr="00493E39">
              <w:rPr>
                <w:rFonts w:cs="Arial"/>
                <w:sz w:val="18"/>
              </w:rPr>
              <w:t>0,084</w:t>
            </w:r>
          </w:p>
        </w:tc>
        <w:tc>
          <w:tcPr>
            <w:tcW w:w="1928" w:type="dxa"/>
          </w:tcPr>
          <w:p w14:paraId="4F83197C" w14:textId="77777777" w:rsidR="00D64459" w:rsidRPr="00493E39" w:rsidRDefault="008B2120">
            <w:pPr>
              <w:spacing w:after="20" w:line="240" w:lineRule="auto"/>
              <w:jc w:val="center"/>
              <w:rPr>
                <w:rFonts w:cs="Arial"/>
              </w:rPr>
            </w:pPr>
            <w:r w:rsidRPr="00493E39">
              <w:rPr>
                <w:rFonts w:cs="Arial"/>
                <w:sz w:val="18"/>
              </w:rPr>
              <w:t>0,164</w:t>
            </w:r>
          </w:p>
        </w:tc>
        <w:tc>
          <w:tcPr>
            <w:tcW w:w="1701" w:type="dxa"/>
          </w:tcPr>
          <w:p w14:paraId="73758754" w14:textId="77777777" w:rsidR="00D64459" w:rsidRPr="00493E39" w:rsidRDefault="008B2120">
            <w:pPr>
              <w:spacing w:after="20" w:line="240" w:lineRule="auto"/>
              <w:jc w:val="center"/>
              <w:rPr>
                <w:rFonts w:cs="Arial"/>
              </w:rPr>
            </w:pPr>
            <w:r w:rsidRPr="00493E39">
              <w:rPr>
                <w:rFonts w:cs="Arial"/>
                <w:sz w:val="18"/>
              </w:rPr>
              <w:t>0,665</w:t>
            </w:r>
          </w:p>
        </w:tc>
      </w:tr>
      <w:tr w:rsidR="00D64459" w:rsidRPr="00493E39" w14:paraId="6638F5DB" w14:textId="77777777">
        <w:trPr>
          <w:jc w:val="center"/>
        </w:trPr>
        <w:tc>
          <w:tcPr>
            <w:tcW w:w="2835" w:type="dxa"/>
            <w:tcBorders>
              <w:bottom w:val="single" w:sz="12" w:space="0" w:color="000000"/>
            </w:tcBorders>
          </w:tcPr>
          <w:p w14:paraId="657BB813" w14:textId="77777777" w:rsidR="00D64459" w:rsidRPr="00493E39" w:rsidRDefault="00D64459">
            <w:pPr>
              <w:spacing w:after="20" w:line="240" w:lineRule="auto"/>
              <w:rPr>
                <w:rFonts w:cs="Arial"/>
              </w:rPr>
            </w:pPr>
          </w:p>
        </w:tc>
        <w:tc>
          <w:tcPr>
            <w:tcW w:w="680" w:type="dxa"/>
            <w:tcBorders>
              <w:bottom w:val="single" w:sz="12" w:space="0" w:color="000000"/>
            </w:tcBorders>
          </w:tcPr>
          <w:p w14:paraId="5651906F" w14:textId="77777777" w:rsidR="00D64459" w:rsidRPr="00493E39" w:rsidRDefault="008B2120">
            <w:pPr>
              <w:spacing w:after="20" w:line="240" w:lineRule="auto"/>
              <w:jc w:val="center"/>
              <w:rPr>
                <w:rFonts w:cs="Arial"/>
              </w:rPr>
            </w:pPr>
            <w:r w:rsidRPr="00493E39">
              <w:rPr>
                <w:rFonts w:cs="Arial"/>
                <w:sz w:val="18"/>
              </w:rPr>
              <w:t>6</w:t>
            </w:r>
          </w:p>
        </w:tc>
        <w:tc>
          <w:tcPr>
            <w:tcW w:w="1928" w:type="dxa"/>
            <w:tcBorders>
              <w:bottom w:val="single" w:sz="12" w:space="0" w:color="000000"/>
            </w:tcBorders>
          </w:tcPr>
          <w:p w14:paraId="121EE2DF" w14:textId="77777777" w:rsidR="00D64459" w:rsidRPr="00493E39" w:rsidRDefault="008B2120">
            <w:pPr>
              <w:spacing w:after="20" w:line="240" w:lineRule="auto"/>
              <w:jc w:val="center"/>
              <w:rPr>
                <w:rFonts w:cs="Arial"/>
              </w:rPr>
            </w:pPr>
            <w:r w:rsidRPr="00493E39">
              <w:rPr>
                <w:rFonts w:cs="Arial"/>
                <w:sz w:val="18"/>
              </w:rPr>
              <w:t>0,117</w:t>
            </w:r>
          </w:p>
        </w:tc>
        <w:tc>
          <w:tcPr>
            <w:tcW w:w="1928" w:type="dxa"/>
            <w:tcBorders>
              <w:bottom w:val="single" w:sz="12" w:space="0" w:color="000000"/>
            </w:tcBorders>
          </w:tcPr>
          <w:p w14:paraId="45F231BE" w14:textId="77777777" w:rsidR="00D64459" w:rsidRPr="00493E39" w:rsidRDefault="008B2120">
            <w:pPr>
              <w:spacing w:after="20" w:line="240" w:lineRule="auto"/>
              <w:jc w:val="center"/>
              <w:rPr>
                <w:rFonts w:cs="Arial"/>
              </w:rPr>
            </w:pPr>
            <w:r w:rsidRPr="00493E39">
              <w:rPr>
                <w:rFonts w:cs="Arial"/>
                <w:sz w:val="18"/>
              </w:rPr>
              <w:t>0,228</w:t>
            </w:r>
          </w:p>
        </w:tc>
        <w:tc>
          <w:tcPr>
            <w:tcW w:w="1701" w:type="dxa"/>
            <w:tcBorders>
              <w:bottom w:val="single" w:sz="12" w:space="0" w:color="000000"/>
            </w:tcBorders>
          </w:tcPr>
          <w:p w14:paraId="776B30B8" w14:textId="77777777" w:rsidR="00D64459" w:rsidRPr="00493E39" w:rsidRDefault="008B2120">
            <w:pPr>
              <w:spacing w:after="20" w:line="240" w:lineRule="auto"/>
              <w:jc w:val="center"/>
              <w:rPr>
                <w:rFonts w:cs="Arial"/>
              </w:rPr>
            </w:pPr>
            <w:r w:rsidRPr="00493E39">
              <w:rPr>
                <w:rFonts w:cs="Arial"/>
                <w:sz w:val="18"/>
              </w:rPr>
              <w:t>0,593</w:t>
            </w:r>
          </w:p>
        </w:tc>
      </w:tr>
    </w:tbl>
    <w:p w14:paraId="323CCBDE" w14:textId="77777777" w:rsidR="00D64459" w:rsidRPr="00493E39" w:rsidRDefault="008B2120">
      <w:pPr>
        <w:spacing w:line="240" w:lineRule="auto"/>
        <w:jc w:val="both"/>
        <w:rPr>
          <w:rFonts w:cs="Arial"/>
          <w:lang w:val="pt-BR"/>
        </w:rPr>
      </w:pPr>
      <w:r w:rsidRPr="00493E39">
        <w:rPr>
          <w:rFonts w:cs="Arial"/>
          <w:sz w:val="18"/>
          <w:lang w:val="pt-BR"/>
        </w:rPr>
        <w:t>Nota: mesma especificação da Tabela 2, com os subgrupos como dependentes. Asteriscos indicam significância a 10% (*) e 5% (**). Combustíveis são classificados como preços monitorados e não integram nenhum dos dois subgrupos.</w:t>
      </w:r>
    </w:p>
    <w:p w14:paraId="6165E068"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1C5EF10A" w14:textId="77777777" w:rsidR="00D64459" w:rsidRPr="00493E39" w:rsidRDefault="008B2120">
      <w:pPr>
        <w:ind w:firstLine="709"/>
        <w:jc w:val="both"/>
        <w:rPr>
          <w:rFonts w:cs="Arial"/>
          <w:lang w:val="pt-BR"/>
        </w:rPr>
      </w:pPr>
      <w:r w:rsidRPr="00493E39">
        <w:rPr>
          <w:rFonts w:cs="Arial"/>
          <w:lang w:val="pt-BR"/>
        </w:rPr>
        <w:t xml:space="preserve">Nenhum dos oito testes de igualdade entre regimes rejeita, e os p-valores situam-se entre 0,47 e 0,83. A leitura defensável é que o contraste entre regimes </w:t>
      </w:r>
      <w:r w:rsidRPr="00493E39">
        <w:rPr>
          <w:rFonts w:cs="Arial"/>
          <w:lang w:val="pt-BR"/>
        </w:rPr>
        <w:lastRenderedPageBreak/>
        <w:t>documentado no capítulo se concentra nos agregados que contêm combustível. Isso não invalida a decomposição da seção 4.5, que identifica parcela do efeito não atribuível ao canal dos combustíveis por construção algébrica, mas indica que essa parcela não é grande o bastante para produzir resposta diferencial estatisticamente detectável em subgrupos estimados separadamente, cujas séries são mais ruidosas que a do índice cheio.</w:t>
      </w:r>
    </w:p>
    <w:p w14:paraId="0151DEC2" w14:textId="77777777" w:rsidR="00D64459" w:rsidRPr="00493E39" w:rsidRDefault="008B2120">
      <w:pPr>
        <w:rPr>
          <w:rFonts w:cs="Arial"/>
          <w:lang w:val="pt-BR"/>
        </w:rPr>
      </w:pPr>
      <w:r w:rsidRPr="00493E39">
        <w:rPr>
          <w:rFonts w:cs="Arial"/>
          <w:lang w:val="pt-BR"/>
        </w:rPr>
        <w:br w:type="page"/>
      </w:r>
    </w:p>
    <w:p w14:paraId="3CDB6EF3" w14:textId="77777777" w:rsidR="00D64459" w:rsidRPr="00493E39" w:rsidRDefault="008B2120">
      <w:pPr>
        <w:pStyle w:val="Heading1"/>
        <w:spacing w:before="280" w:after="280"/>
        <w:jc w:val="center"/>
        <w:rPr>
          <w:rFonts w:ascii="Arial" w:hAnsi="Arial" w:cs="Arial"/>
          <w:lang w:val="pt-BR"/>
        </w:rPr>
      </w:pPr>
      <w:bookmarkStart w:id="44" w:name="_Toc239713593"/>
      <w:r w:rsidRPr="00493E39">
        <w:rPr>
          <w:rFonts w:ascii="Arial" w:hAnsi="Arial" w:cs="Arial"/>
          <w:lang w:val="pt-BR"/>
        </w:rPr>
        <w:lastRenderedPageBreak/>
        <w:t>APÊNDICE I – O REPASSE BRASILEIRO EM PERSPECTIVA INTERNACIONAL</w:t>
      </w:r>
      <w:bookmarkEnd w:id="44"/>
    </w:p>
    <w:p w14:paraId="493C3C24" w14:textId="77777777" w:rsidR="00D64459" w:rsidRPr="00493E39" w:rsidRDefault="008B2120">
      <w:pPr>
        <w:ind w:firstLine="709"/>
        <w:jc w:val="both"/>
        <w:rPr>
          <w:rFonts w:cs="Arial"/>
          <w:lang w:val="pt-BR"/>
        </w:rPr>
      </w:pPr>
      <w:r w:rsidRPr="00493E39">
        <w:rPr>
          <w:rFonts w:cs="Arial"/>
          <w:lang w:val="pt-BR"/>
        </w:rPr>
        <w:t xml:space="preserve">Este apêndice reporta os números do exercício comparado da seção 4.8. O repasse é calculado pela medida de </w:t>
      </w:r>
      <w:proofErr w:type="spellStart"/>
      <w:r w:rsidRPr="00493E39">
        <w:rPr>
          <w:rFonts w:cs="Arial"/>
          <w:lang w:val="pt-BR"/>
        </w:rPr>
        <w:t>Akcura</w:t>
      </w:r>
      <w:proofErr w:type="spellEnd"/>
      <w:r w:rsidRPr="00493E39">
        <w:rPr>
          <w:rFonts w:cs="Arial"/>
          <w:lang w:val="pt-BR"/>
        </w:rPr>
        <w:t xml:space="preserve"> (2025), a razão entre a variação do preço de varejo e a variação da referência internacional defasada em um mês, entre abril de 2020 e junho de 2022, o segundo subperíodo daquele trabalho. Os preços de varejo são expressos em dólares por litro, de sorte que a variação cambial não integra o cálculo, e a referência é a gasolina convencional da Costa do Golfo dos Estados Unidos, duas adaptações em relação àquele trabalho, que usa moeda local e a cotação regional mais próxima de cada país. A classificação da regra de preço e a existência de fundo de estabilização provêm da base de medidas de controle de preços do mesmo autor, nos anos de 2021 e 2022.</w:t>
      </w:r>
    </w:p>
    <w:p w14:paraId="26DC0A8B" w14:textId="77777777" w:rsidR="00D64459" w:rsidRPr="00493E39" w:rsidRDefault="008B2120">
      <w:pPr>
        <w:keepNext/>
        <w:spacing w:before="200" w:after="40" w:line="240" w:lineRule="auto"/>
        <w:rPr>
          <w:rFonts w:cs="Arial"/>
          <w:lang w:val="pt-BR"/>
        </w:rPr>
      </w:pPr>
      <w:r w:rsidRPr="00493E39">
        <w:rPr>
          <w:rFonts w:cs="Arial"/>
          <w:sz w:val="20"/>
          <w:lang w:val="pt-BR"/>
        </w:rPr>
        <w:t>Tabela I.1 – Repasse do preço internacional ao varejo de gasolina, América Latina e Caribe, abril de 2020 a junho de 2022</w:t>
      </w:r>
    </w:p>
    <w:tbl>
      <w:tblPr>
        <w:tblW w:w="0" w:type="auto"/>
        <w:jc w:val="center"/>
        <w:tblLook w:val="04A0" w:firstRow="1" w:lastRow="0" w:firstColumn="1" w:lastColumn="0" w:noHBand="0" w:noVBand="1"/>
      </w:tblPr>
      <w:tblGrid>
        <w:gridCol w:w="567"/>
        <w:gridCol w:w="3061"/>
        <w:gridCol w:w="1361"/>
        <w:gridCol w:w="2041"/>
        <w:gridCol w:w="2041"/>
      </w:tblGrid>
      <w:tr w:rsidR="00D64459" w:rsidRPr="00493E39" w14:paraId="48E4082A" w14:textId="77777777">
        <w:trPr>
          <w:tblHeader/>
          <w:jc w:val="center"/>
        </w:trPr>
        <w:tc>
          <w:tcPr>
            <w:tcW w:w="567" w:type="dxa"/>
            <w:tcBorders>
              <w:top w:val="single" w:sz="12" w:space="0" w:color="000000"/>
              <w:bottom w:val="single" w:sz="6" w:space="0" w:color="000000"/>
            </w:tcBorders>
          </w:tcPr>
          <w:p w14:paraId="628D4BB0" w14:textId="77777777" w:rsidR="00D64459" w:rsidRPr="00493E39" w:rsidRDefault="00D64459">
            <w:pPr>
              <w:spacing w:after="20" w:line="240" w:lineRule="auto"/>
              <w:rPr>
                <w:rFonts w:cs="Arial"/>
                <w:lang w:val="pt-BR"/>
              </w:rPr>
            </w:pPr>
          </w:p>
        </w:tc>
        <w:tc>
          <w:tcPr>
            <w:tcW w:w="3061" w:type="dxa"/>
            <w:tcBorders>
              <w:top w:val="single" w:sz="12" w:space="0" w:color="000000"/>
              <w:bottom w:val="single" w:sz="6" w:space="0" w:color="000000"/>
            </w:tcBorders>
          </w:tcPr>
          <w:p w14:paraId="619D8CEE" w14:textId="77777777" w:rsidR="00D64459" w:rsidRPr="00493E39" w:rsidRDefault="008B2120">
            <w:pPr>
              <w:spacing w:after="20" w:line="240" w:lineRule="auto"/>
              <w:rPr>
                <w:rFonts w:cs="Arial"/>
              </w:rPr>
            </w:pPr>
            <w:r w:rsidRPr="00493E39">
              <w:rPr>
                <w:rFonts w:cs="Arial"/>
                <w:b/>
                <w:sz w:val="18"/>
              </w:rPr>
              <w:t>País</w:t>
            </w:r>
          </w:p>
        </w:tc>
        <w:tc>
          <w:tcPr>
            <w:tcW w:w="1361" w:type="dxa"/>
            <w:tcBorders>
              <w:top w:val="single" w:sz="12" w:space="0" w:color="000000"/>
              <w:bottom w:val="single" w:sz="6" w:space="0" w:color="000000"/>
            </w:tcBorders>
          </w:tcPr>
          <w:p w14:paraId="7434792C" w14:textId="77777777" w:rsidR="00D64459" w:rsidRPr="00493E39" w:rsidRDefault="008B2120">
            <w:pPr>
              <w:spacing w:after="20" w:line="240" w:lineRule="auto"/>
              <w:rPr>
                <w:rFonts w:cs="Arial"/>
              </w:rPr>
            </w:pPr>
            <w:proofErr w:type="spellStart"/>
            <w:r w:rsidRPr="00493E39">
              <w:rPr>
                <w:rFonts w:cs="Arial"/>
                <w:b/>
                <w:sz w:val="18"/>
              </w:rPr>
              <w:t>Repasse</w:t>
            </w:r>
            <w:proofErr w:type="spellEnd"/>
          </w:p>
        </w:tc>
        <w:tc>
          <w:tcPr>
            <w:tcW w:w="2041" w:type="dxa"/>
            <w:tcBorders>
              <w:top w:val="single" w:sz="12" w:space="0" w:color="000000"/>
              <w:bottom w:val="single" w:sz="6" w:space="0" w:color="000000"/>
            </w:tcBorders>
          </w:tcPr>
          <w:p w14:paraId="1C1990B6" w14:textId="77777777" w:rsidR="00D64459" w:rsidRPr="00493E39" w:rsidRDefault="008B2120">
            <w:pPr>
              <w:spacing w:after="20" w:line="240" w:lineRule="auto"/>
              <w:rPr>
                <w:rFonts w:cs="Arial"/>
              </w:rPr>
            </w:pPr>
            <w:proofErr w:type="spellStart"/>
            <w:r w:rsidRPr="00493E39">
              <w:rPr>
                <w:rFonts w:cs="Arial"/>
                <w:b/>
                <w:sz w:val="18"/>
              </w:rPr>
              <w:t>Regra</w:t>
            </w:r>
            <w:proofErr w:type="spellEnd"/>
            <w:r w:rsidRPr="00493E39">
              <w:rPr>
                <w:rFonts w:cs="Arial"/>
                <w:b/>
                <w:sz w:val="18"/>
              </w:rPr>
              <w:t xml:space="preserve"> de </w:t>
            </w:r>
            <w:proofErr w:type="spellStart"/>
            <w:r w:rsidRPr="00493E39">
              <w:rPr>
                <w:rFonts w:cs="Arial"/>
                <w:b/>
                <w:sz w:val="18"/>
              </w:rPr>
              <w:t>preço</w:t>
            </w:r>
            <w:proofErr w:type="spellEnd"/>
          </w:p>
        </w:tc>
        <w:tc>
          <w:tcPr>
            <w:tcW w:w="2041" w:type="dxa"/>
            <w:tcBorders>
              <w:top w:val="single" w:sz="12" w:space="0" w:color="000000"/>
              <w:bottom w:val="single" w:sz="6" w:space="0" w:color="000000"/>
            </w:tcBorders>
          </w:tcPr>
          <w:p w14:paraId="1BD1562F" w14:textId="77777777" w:rsidR="00D64459" w:rsidRPr="00493E39" w:rsidRDefault="008B2120">
            <w:pPr>
              <w:spacing w:after="20" w:line="240" w:lineRule="auto"/>
              <w:rPr>
                <w:rFonts w:cs="Arial"/>
              </w:rPr>
            </w:pPr>
            <w:r w:rsidRPr="00493E39">
              <w:rPr>
                <w:rFonts w:cs="Arial"/>
                <w:b/>
                <w:sz w:val="18"/>
              </w:rPr>
              <w:t xml:space="preserve">Fundo de </w:t>
            </w:r>
            <w:proofErr w:type="spellStart"/>
            <w:r w:rsidRPr="00493E39">
              <w:rPr>
                <w:rFonts w:cs="Arial"/>
                <w:b/>
                <w:sz w:val="18"/>
              </w:rPr>
              <w:t>estab</w:t>
            </w:r>
            <w:proofErr w:type="spellEnd"/>
            <w:r w:rsidRPr="00493E39">
              <w:rPr>
                <w:rFonts w:cs="Arial"/>
                <w:b/>
                <w:sz w:val="18"/>
              </w:rPr>
              <w:t>.</w:t>
            </w:r>
          </w:p>
        </w:tc>
      </w:tr>
      <w:tr w:rsidR="00D64459" w:rsidRPr="00493E39" w14:paraId="1E1A9A09" w14:textId="77777777">
        <w:trPr>
          <w:jc w:val="center"/>
        </w:trPr>
        <w:tc>
          <w:tcPr>
            <w:tcW w:w="567" w:type="dxa"/>
          </w:tcPr>
          <w:p w14:paraId="6F1A0AD9" w14:textId="77777777" w:rsidR="00D64459" w:rsidRPr="00493E39" w:rsidRDefault="008B2120">
            <w:pPr>
              <w:spacing w:after="20" w:line="240" w:lineRule="auto"/>
              <w:rPr>
                <w:rFonts w:cs="Arial"/>
              </w:rPr>
            </w:pPr>
            <w:r w:rsidRPr="00493E39">
              <w:rPr>
                <w:rFonts w:cs="Arial"/>
                <w:sz w:val="18"/>
              </w:rPr>
              <w:t>1</w:t>
            </w:r>
          </w:p>
        </w:tc>
        <w:tc>
          <w:tcPr>
            <w:tcW w:w="3061" w:type="dxa"/>
          </w:tcPr>
          <w:p w14:paraId="551F0DA2" w14:textId="77777777" w:rsidR="00D64459" w:rsidRPr="00493E39" w:rsidRDefault="008B2120">
            <w:pPr>
              <w:spacing w:after="20" w:line="240" w:lineRule="auto"/>
              <w:jc w:val="center"/>
              <w:rPr>
                <w:rFonts w:cs="Arial"/>
              </w:rPr>
            </w:pPr>
            <w:r w:rsidRPr="00493E39">
              <w:rPr>
                <w:rFonts w:cs="Arial"/>
                <w:sz w:val="18"/>
              </w:rPr>
              <w:t>Panamá</w:t>
            </w:r>
          </w:p>
        </w:tc>
        <w:tc>
          <w:tcPr>
            <w:tcW w:w="1361" w:type="dxa"/>
          </w:tcPr>
          <w:p w14:paraId="235AE1C9" w14:textId="77777777" w:rsidR="00D64459" w:rsidRPr="00493E39" w:rsidRDefault="008B2120">
            <w:pPr>
              <w:spacing w:after="20" w:line="240" w:lineRule="auto"/>
              <w:jc w:val="center"/>
              <w:rPr>
                <w:rFonts w:cs="Arial"/>
              </w:rPr>
            </w:pPr>
            <w:r w:rsidRPr="00493E39">
              <w:rPr>
                <w:rFonts w:cs="Arial"/>
                <w:sz w:val="18"/>
              </w:rPr>
              <w:t>1,235</w:t>
            </w:r>
          </w:p>
        </w:tc>
        <w:tc>
          <w:tcPr>
            <w:tcW w:w="2041" w:type="dxa"/>
          </w:tcPr>
          <w:p w14:paraId="70949F01"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10A4D20B" w14:textId="77777777" w:rsidR="00D64459" w:rsidRPr="00493E39" w:rsidRDefault="008B2120">
            <w:pPr>
              <w:spacing w:after="20" w:line="240" w:lineRule="auto"/>
              <w:jc w:val="center"/>
              <w:rPr>
                <w:rFonts w:cs="Arial"/>
              </w:rPr>
            </w:pPr>
            <w:r w:rsidRPr="00493E39">
              <w:rPr>
                <w:rFonts w:cs="Arial"/>
                <w:sz w:val="18"/>
              </w:rPr>
              <w:t>não</w:t>
            </w:r>
          </w:p>
        </w:tc>
      </w:tr>
      <w:tr w:rsidR="00D64459" w:rsidRPr="00493E39" w14:paraId="0A320BCF" w14:textId="77777777">
        <w:trPr>
          <w:jc w:val="center"/>
        </w:trPr>
        <w:tc>
          <w:tcPr>
            <w:tcW w:w="567" w:type="dxa"/>
          </w:tcPr>
          <w:p w14:paraId="7D93FAEC" w14:textId="77777777" w:rsidR="00D64459" w:rsidRPr="00493E39" w:rsidRDefault="008B2120">
            <w:pPr>
              <w:spacing w:after="20" w:line="240" w:lineRule="auto"/>
              <w:rPr>
                <w:rFonts w:cs="Arial"/>
              </w:rPr>
            </w:pPr>
            <w:r w:rsidRPr="00493E39">
              <w:rPr>
                <w:rFonts w:cs="Arial"/>
                <w:sz w:val="18"/>
              </w:rPr>
              <w:t>2</w:t>
            </w:r>
          </w:p>
        </w:tc>
        <w:tc>
          <w:tcPr>
            <w:tcW w:w="3061" w:type="dxa"/>
          </w:tcPr>
          <w:p w14:paraId="310E1DA8" w14:textId="77777777" w:rsidR="00D64459" w:rsidRPr="00493E39" w:rsidRDefault="008B2120">
            <w:pPr>
              <w:spacing w:after="20" w:line="240" w:lineRule="auto"/>
              <w:jc w:val="center"/>
              <w:rPr>
                <w:rFonts w:cs="Arial"/>
              </w:rPr>
            </w:pPr>
            <w:r w:rsidRPr="00493E39">
              <w:rPr>
                <w:rFonts w:cs="Arial"/>
                <w:sz w:val="18"/>
              </w:rPr>
              <w:t>Belize</w:t>
            </w:r>
          </w:p>
        </w:tc>
        <w:tc>
          <w:tcPr>
            <w:tcW w:w="1361" w:type="dxa"/>
          </w:tcPr>
          <w:p w14:paraId="05947B7E" w14:textId="77777777" w:rsidR="00D64459" w:rsidRPr="00493E39" w:rsidRDefault="008B2120">
            <w:pPr>
              <w:spacing w:after="20" w:line="240" w:lineRule="auto"/>
              <w:jc w:val="center"/>
              <w:rPr>
                <w:rFonts w:cs="Arial"/>
              </w:rPr>
            </w:pPr>
            <w:r w:rsidRPr="00493E39">
              <w:rPr>
                <w:rFonts w:cs="Arial"/>
                <w:sz w:val="18"/>
              </w:rPr>
              <w:t>1,071</w:t>
            </w:r>
          </w:p>
        </w:tc>
        <w:tc>
          <w:tcPr>
            <w:tcW w:w="2041" w:type="dxa"/>
          </w:tcPr>
          <w:p w14:paraId="2C5252DD"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6D41A3B3"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4060BB40" w14:textId="77777777">
        <w:trPr>
          <w:jc w:val="center"/>
        </w:trPr>
        <w:tc>
          <w:tcPr>
            <w:tcW w:w="567" w:type="dxa"/>
          </w:tcPr>
          <w:p w14:paraId="3CFBA864" w14:textId="77777777" w:rsidR="00D64459" w:rsidRPr="00493E39" w:rsidRDefault="008B2120">
            <w:pPr>
              <w:spacing w:after="20" w:line="240" w:lineRule="auto"/>
              <w:rPr>
                <w:rFonts w:cs="Arial"/>
              </w:rPr>
            </w:pPr>
            <w:r w:rsidRPr="00493E39">
              <w:rPr>
                <w:rFonts w:cs="Arial"/>
                <w:sz w:val="18"/>
              </w:rPr>
              <w:t>3</w:t>
            </w:r>
          </w:p>
        </w:tc>
        <w:tc>
          <w:tcPr>
            <w:tcW w:w="3061" w:type="dxa"/>
          </w:tcPr>
          <w:p w14:paraId="1D77D3E8" w14:textId="77777777" w:rsidR="00D64459" w:rsidRPr="00493E39" w:rsidRDefault="008B2120">
            <w:pPr>
              <w:spacing w:after="20" w:line="240" w:lineRule="auto"/>
              <w:jc w:val="center"/>
              <w:rPr>
                <w:rFonts w:cs="Arial"/>
              </w:rPr>
            </w:pPr>
            <w:r w:rsidRPr="00493E39">
              <w:rPr>
                <w:rFonts w:cs="Arial"/>
                <w:sz w:val="18"/>
              </w:rPr>
              <w:t>Peru</w:t>
            </w:r>
          </w:p>
        </w:tc>
        <w:tc>
          <w:tcPr>
            <w:tcW w:w="1361" w:type="dxa"/>
          </w:tcPr>
          <w:p w14:paraId="19091B03" w14:textId="77777777" w:rsidR="00D64459" w:rsidRPr="00493E39" w:rsidRDefault="008B2120">
            <w:pPr>
              <w:spacing w:after="20" w:line="240" w:lineRule="auto"/>
              <w:jc w:val="center"/>
              <w:rPr>
                <w:rFonts w:cs="Arial"/>
              </w:rPr>
            </w:pPr>
            <w:r w:rsidRPr="00493E39">
              <w:rPr>
                <w:rFonts w:cs="Arial"/>
                <w:sz w:val="18"/>
              </w:rPr>
              <w:t>1,049</w:t>
            </w:r>
          </w:p>
        </w:tc>
        <w:tc>
          <w:tcPr>
            <w:tcW w:w="2041" w:type="dxa"/>
          </w:tcPr>
          <w:p w14:paraId="0D5E109E" w14:textId="77777777" w:rsidR="00D64459" w:rsidRPr="00493E39" w:rsidRDefault="008B2120">
            <w:pPr>
              <w:spacing w:after="20" w:line="240" w:lineRule="auto"/>
              <w:jc w:val="center"/>
              <w:rPr>
                <w:rFonts w:cs="Arial"/>
              </w:rPr>
            </w:pPr>
            <w:proofErr w:type="spellStart"/>
            <w:r w:rsidRPr="00493E39">
              <w:rPr>
                <w:rFonts w:cs="Arial"/>
                <w:sz w:val="18"/>
              </w:rPr>
              <w:t>desregulado</w:t>
            </w:r>
            <w:proofErr w:type="spellEnd"/>
          </w:p>
        </w:tc>
        <w:tc>
          <w:tcPr>
            <w:tcW w:w="2041" w:type="dxa"/>
          </w:tcPr>
          <w:p w14:paraId="6CB03EA9" w14:textId="77777777" w:rsidR="00D64459" w:rsidRPr="00493E39" w:rsidRDefault="008B2120">
            <w:pPr>
              <w:spacing w:after="20" w:line="240" w:lineRule="auto"/>
              <w:jc w:val="center"/>
              <w:rPr>
                <w:rFonts w:cs="Arial"/>
              </w:rPr>
            </w:pPr>
            <w:r w:rsidRPr="00493E39">
              <w:rPr>
                <w:rFonts w:cs="Arial"/>
                <w:sz w:val="18"/>
              </w:rPr>
              <w:t>sim</w:t>
            </w:r>
          </w:p>
        </w:tc>
      </w:tr>
      <w:tr w:rsidR="00D64459" w:rsidRPr="00493E39" w14:paraId="778A1F71" w14:textId="77777777">
        <w:trPr>
          <w:jc w:val="center"/>
        </w:trPr>
        <w:tc>
          <w:tcPr>
            <w:tcW w:w="567" w:type="dxa"/>
          </w:tcPr>
          <w:p w14:paraId="59FC68C8" w14:textId="77777777" w:rsidR="00D64459" w:rsidRPr="00493E39" w:rsidRDefault="008B2120">
            <w:pPr>
              <w:spacing w:after="20" w:line="240" w:lineRule="auto"/>
              <w:rPr>
                <w:rFonts w:cs="Arial"/>
              </w:rPr>
            </w:pPr>
            <w:r w:rsidRPr="00493E39">
              <w:rPr>
                <w:rFonts w:cs="Arial"/>
                <w:sz w:val="18"/>
              </w:rPr>
              <w:t>4</w:t>
            </w:r>
          </w:p>
        </w:tc>
        <w:tc>
          <w:tcPr>
            <w:tcW w:w="3061" w:type="dxa"/>
          </w:tcPr>
          <w:p w14:paraId="434C9507" w14:textId="77777777" w:rsidR="00D64459" w:rsidRPr="00493E39" w:rsidRDefault="008B2120">
            <w:pPr>
              <w:spacing w:after="20" w:line="240" w:lineRule="auto"/>
              <w:jc w:val="center"/>
              <w:rPr>
                <w:rFonts w:cs="Arial"/>
              </w:rPr>
            </w:pPr>
            <w:r w:rsidRPr="00493E39">
              <w:rPr>
                <w:rFonts w:cs="Arial"/>
                <w:sz w:val="18"/>
              </w:rPr>
              <w:t>Guatemala</w:t>
            </w:r>
          </w:p>
        </w:tc>
        <w:tc>
          <w:tcPr>
            <w:tcW w:w="1361" w:type="dxa"/>
          </w:tcPr>
          <w:p w14:paraId="6BFDF53F" w14:textId="77777777" w:rsidR="00D64459" w:rsidRPr="00493E39" w:rsidRDefault="008B2120">
            <w:pPr>
              <w:spacing w:after="20" w:line="240" w:lineRule="auto"/>
              <w:jc w:val="center"/>
              <w:rPr>
                <w:rFonts w:cs="Arial"/>
              </w:rPr>
            </w:pPr>
            <w:r w:rsidRPr="00493E39">
              <w:rPr>
                <w:rFonts w:cs="Arial"/>
                <w:sz w:val="18"/>
              </w:rPr>
              <w:t>0,983</w:t>
            </w:r>
          </w:p>
        </w:tc>
        <w:tc>
          <w:tcPr>
            <w:tcW w:w="2041" w:type="dxa"/>
          </w:tcPr>
          <w:p w14:paraId="08B66B93" w14:textId="77777777" w:rsidR="00D64459" w:rsidRPr="00493E39" w:rsidRDefault="008B2120">
            <w:pPr>
              <w:spacing w:after="20" w:line="240" w:lineRule="auto"/>
              <w:jc w:val="center"/>
              <w:rPr>
                <w:rFonts w:cs="Arial"/>
              </w:rPr>
            </w:pPr>
            <w:proofErr w:type="spellStart"/>
            <w:r w:rsidRPr="00493E39">
              <w:rPr>
                <w:rFonts w:cs="Arial"/>
                <w:sz w:val="18"/>
              </w:rPr>
              <w:t>desregulado</w:t>
            </w:r>
            <w:proofErr w:type="spellEnd"/>
          </w:p>
        </w:tc>
        <w:tc>
          <w:tcPr>
            <w:tcW w:w="2041" w:type="dxa"/>
          </w:tcPr>
          <w:p w14:paraId="59499947"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0B19AC00" w14:textId="77777777">
        <w:trPr>
          <w:jc w:val="center"/>
        </w:trPr>
        <w:tc>
          <w:tcPr>
            <w:tcW w:w="567" w:type="dxa"/>
          </w:tcPr>
          <w:p w14:paraId="08E52C6A" w14:textId="77777777" w:rsidR="00D64459" w:rsidRPr="00493E39" w:rsidRDefault="008B2120">
            <w:pPr>
              <w:spacing w:after="20" w:line="240" w:lineRule="auto"/>
              <w:rPr>
                <w:rFonts w:cs="Arial"/>
              </w:rPr>
            </w:pPr>
            <w:r w:rsidRPr="00493E39">
              <w:rPr>
                <w:rFonts w:cs="Arial"/>
                <w:sz w:val="18"/>
              </w:rPr>
              <w:t>5</w:t>
            </w:r>
          </w:p>
        </w:tc>
        <w:tc>
          <w:tcPr>
            <w:tcW w:w="3061" w:type="dxa"/>
          </w:tcPr>
          <w:p w14:paraId="5AE58372" w14:textId="77777777" w:rsidR="00D64459" w:rsidRPr="00493E39" w:rsidRDefault="008B2120">
            <w:pPr>
              <w:spacing w:after="20" w:line="240" w:lineRule="auto"/>
              <w:jc w:val="center"/>
              <w:rPr>
                <w:rFonts w:cs="Arial"/>
              </w:rPr>
            </w:pPr>
            <w:r w:rsidRPr="00493E39">
              <w:rPr>
                <w:rFonts w:cs="Arial"/>
                <w:sz w:val="18"/>
              </w:rPr>
              <w:t>Honduras</w:t>
            </w:r>
          </w:p>
        </w:tc>
        <w:tc>
          <w:tcPr>
            <w:tcW w:w="1361" w:type="dxa"/>
          </w:tcPr>
          <w:p w14:paraId="31F09B4F" w14:textId="77777777" w:rsidR="00D64459" w:rsidRPr="00493E39" w:rsidRDefault="008B2120">
            <w:pPr>
              <w:spacing w:after="20" w:line="240" w:lineRule="auto"/>
              <w:jc w:val="center"/>
              <w:rPr>
                <w:rFonts w:cs="Arial"/>
              </w:rPr>
            </w:pPr>
            <w:r w:rsidRPr="00493E39">
              <w:rPr>
                <w:rFonts w:cs="Arial"/>
                <w:sz w:val="18"/>
              </w:rPr>
              <w:t>0,869</w:t>
            </w:r>
          </w:p>
        </w:tc>
        <w:tc>
          <w:tcPr>
            <w:tcW w:w="2041" w:type="dxa"/>
          </w:tcPr>
          <w:p w14:paraId="7682F8F1"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19952E30"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248ABC85" w14:textId="77777777">
        <w:trPr>
          <w:jc w:val="center"/>
        </w:trPr>
        <w:tc>
          <w:tcPr>
            <w:tcW w:w="567" w:type="dxa"/>
          </w:tcPr>
          <w:p w14:paraId="72E83731" w14:textId="77777777" w:rsidR="00D64459" w:rsidRPr="00493E39" w:rsidRDefault="008B2120">
            <w:pPr>
              <w:spacing w:after="20" w:line="240" w:lineRule="auto"/>
              <w:rPr>
                <w:rFonts w:cs="Arial"/>
              </w:rPr>
            </w:pPr>
            <w:r w:rsidRPr="00493E39">
              <w:rPr>
                <w:rFonts w:cs="Arial"/>
                <w:sz w:val="18"/>
              </w:rPr>
              <w:t>6</w:t>
            </w:r>
          </w:p>
        </w:tc>
        <w:tc>
          <w:tcPr>
            <w:tcW w:w="3061" w:type="dxa"/>
          </w:tcPr>
          <w:p w14:paraId="519A3FAC" w14:textId="77777777" w:rsidR="00D64459" w:rsidRPr="00493E39" w:rsidRDefault="008B2120">
            <w:pPr>
              <w:spacing w:after="20" w:line="240" w:lineRule="auto"/>
              <w:jc w:val="center"/>
              <w:rPr>
                <w:rFonts w:cs="Arial"/>
              </w:rPr>
            </w:pPr>
            <w:r w:rsidRPr="00493E39">
              <w:rPr>
                <w:rFonts w:cs="Arial"/>
                <w:sz w:val="18"/>
              </w:rPr>
              <w:t>Brasil</w:t>
            </w:r>
          </w:p>
        </w:tc>
        <w:tc>
          <w:tcPr>
            <w:tcW w:w="1361" w:type="dxa"/>
          </w:tcPr>
          <w:p w14:paraId="2589807A" w14:textId="77777777" w:rsidR="00D64459" w:rsidRPr="00493E39" w:rsidRDefault="008B2120">
            <w:pPr>
              <w:spacing w:after="20" w:line="240" w:lineRule="auto"/>
              <w:jc w:val="center"/>
              <w:rPr>
                <w:rFonts w:cs="Arial"/>
              </w:rPr>
            </w:pPr>
            <w:r w:rsidRPr="00493E39">
              <w:rPr>
                <w:rFonts w:cs="Arial"/>
                <w:sz w:val="18"/>
              </w:rPr>
              <w:t>0,868</w:t>
            </w:r>
          </w:p>
        </w:tc>
        <w:tc>
          <w:tcPr>
            <w:tcW w:w="2041" w:type="dxa"/>
          </w:tcPr>
          <w:p w14:paraId="27129DBE" w14:textId="77777777" w:rsidR="00D64459" w:rsidRPr="00493E39" w:rsidRDefault="008B2120">
            <w:pPr>
              <w:spacing w:after="20" w:line="240" w:lineRule="auto"/>
              <w:jc w:val="center"/>
              <w:rPr>
                <w:rFonts w:cs="Arial"/>
              </w:rPr>
            </w:pPr>
            <w:proofErr w:type="spellStart"/>
            <w:r w:rsidRPr="00493E39">
              <w:rPr>
                <w:rFonts w:cs="Arial"/>
                <w:sz w:val="18"/>
              </w:rPr>
              <w:t>desregulado</w:t>
            </w:r>
            <w:proofErr w:type="spellEnd"/>
          </w:p>
        </w:tc>
        <w:tc>
          <w:tcPr>
            <w:tcW w:w="2041" w:type="dxa"/>
          </w:tcPr>
          <w:p w14:paraId="103A3833"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736D6222" w14:textId="77777777">
        <w:trPr>
          <w:jc w:val="center"/>
        </w:trPr>
        <w:tc>
          <w:tcPr>
            <w:tcW w:w="567" w:type="dxa"/>
          </w:tcPr>
          <w:p w14:paraId="796EF26F" w14:textId="77777777" w:rsidR="00D64459" w:rsidRPr="00493E39" w:rsidRDefault="008B2120">
            <w:pPr>
              <w:spacing w:after="20" w:line="240" w:lineRule="auto"/>
              <w:rPr>
                <w:rFonts w:cs="Arial"/>
              </w:rPr>
            </w:pPr>
            <w:r w:rsidRPr="00493E39">
              <w:rPr>
                <w:rFonts w:cs="Arial"/>
                <w:sz w:val="18"/>
              </w:rPr>
              <w:t>7</w:t>
            </w:r>
          </w:p>
        </w:tc>
        <w:tc>
          <w:tcPr>
            <w:tcW w:w="3061" w:type="dxa"/>
          </w:tcPr>
          <w:p w14:paraId="30578E67" w14:textId="77777777" w:rsidR="00D64459" w:rsidRPr="00493E39" w:rsidRDefault="008B2120">
            <w:pPr>
              <w:spacing w:after="20" w:line="240" w:lineRule="auto"/>
              <w:jc w:val="center"/>
              <w:rPr>
                <w:rFonts w:cs="Arial"/>
              </w:rPr>
            </w:pPr>
            <w:r w:rsidRPr="00493E39">
              <w:rPr>
                <w:rFonts w:cs="Arial"/>
                <w:sz w:val="18"/>
              </w:rPr>
              <w:t>Nicarágua</w:t>
            </w:r>
          </w:p>
        </w:tc>
        <w:tc>
          <w:tcPr>
            <w:tcW w:w="1361" w:type="dxa"/>
          </w:tcPr>
          <w:p w14:paraId="29FEC57C" w14:textId="77777777" w:rsidR="00D64459" w:rsidRPr="00493E39" w:rsidRDefault="008B2120">
            <w:pPr>
              <w:spacing w:after="20" w:line="240" w:lineRule="auto"/>
              <w:jc w:val="center"/>
              <w:rPr>
                <w:rFonts w:cs="Arial"/>
              </w:rPr>
            </w:pPr>
            <w:r w:rsidRPr="00493E39">
              <w:rPr>
                <w:rFonts w:cs="Arial"/>
                <w:sz w:val="18"/>
              </w:rPr>
              <w:t>0,829</w:t>
            </w:r>
          </w:p>
        </w:tc>
        <w:tc>
          <w:tcPr>
            <w:tcW w:w="2041" w:type="dxa"/>
          </w:tcPr>
          <w:p w14:paraId="2DEAE523"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2765474F"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16BC9BBC" w14:textId="77777777">
        <w:trPr>
          <w:jc w:val="center"/>
        </w:trPr>
        <w:tc>
          <w:tcPr>
            <w:tcW w:w="567" w:type="dxa"/>
          </w:tcPr>
          <w:p w14:paraId="465ABAA5" w14:textId="77777777" w:rsidR="00D64459" w:rsidRPr="00493E39" w:rsidRDefault="008B2120">
            <w:pPr>
              <w:spacing w:after="20" w:line="240" w:lineRule="auto"/>
              <w:rPr>
                <w:rFonts w:cs="Arial"/>
              </w:rPr>
            </w:pPr>
            <w:r w:rsidRPr="00493E39">
              <w:rPr>
                <w:rFonts w:cs="Arial"/>
                <w:sz w:val="18"/>
              </w:rPr>
              <w:t>8</w:t>
            </w:r>
          </w:p>
        </w:tc>
        <w:tc>
          <w:tcPr>
            <w:tcW w:w="3061" w:type="dxa"/>
          </w:tcPr>
          <w:p w14:paraId="21B7355E" w14:textId="77777777" w:rsidR="00D64459" w:rsidRPr="00493E39" w:rsidRDefault="008B2120">
            <w:pPr>
              <w:spacing w:after="20" w:line="240" w:lineRule="auto"/>
              <w:jc w:val="center"/>
              <w:rPr>
                <w:rFonts w:cs="Arial"/>
              </w:rPr>
            </w:pPr>
            <w:r w:rsidRPr="00493E39">
              <w:rPr>
                <w:rFonts w:cs="Arial"/>
                <w:sz w:val="18"/>
              </w:rPr>
              <w:t>República Dominicana</w:t>
            </w:r>
          </w:p>
        </w:tc>
        <w:tc>
          <w:tcPr>
            <w:tcW w:w="1361" w:type="dxa"/>
          </w:tcPr>
          <w:p w14:paraId="0C87206F" w14:textId="77777777" w:rsidR="00D64459" w:rsidRPr="00493E39" w:rsidRDefault="008B2120">
            <w:pPr>
              <w:spacing w:after="20" w:line="240" w:lineRule="auto"/>
              <w:jc w:val="center"/>
              <w:rPr>
                <w:rFonts w:cs="Arial"/>
              </w:rPr>
            </w:pPr>
            <w:r w:rsidRPr="00493E39">
              <w:rPr>
                <w:rFonts w:cs="Arial"/>
                <w:sz w:val="18"/>
              </w:rPr>
              <w:t>0,744</w:t>
            </w:r>
          </w:p>
        </w:tc>
        <w:tc>
          <w:tcPr>
            <w:tcW w:w="2041" w:type="dxa"/>
          </w:tcPr>
          <w:p w14:paraId="36F3E82A"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461E62AF"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4A16F325" w14:textId="77777777">
        <w:trPr>
          <w:jc w:val="center"/>
        </w:trPr>
        <w:tc>
          <w:tcPr>
            <w:tcW w:w="567" w:type="dxa"/>
          </w:tcPr>
          <w:p w14:paraId="5CAF2BB3" w14:textId="77777777" w:rsidR="00D64459" w:rsidRPr="00493E39" w:rsidRDefault="008B2120">
            <w:pPr>
              <w:spacing w:after="20" w:line="240" w:lineRule="auto"/>
              <w:rPr>
                <w:rFonts w:cs="Arial"/>
              </w:rPr>
            </w:pPr>
            <w:r w:rsidRPr="00493E39">
              <w:rPr>
                <w:rFonts w:cs="Arial"/>
                <w:sz w:val="18"/>
              </w:rPr>
              <w:t>9</w:t>
            </w:r>
          </w:p>
        </w:tc>
        <w:tc>
          <w:tcPr>
            <w:tcW w:w="3061" w:type="dxa"/>
          </w:tcPr>
          <w:p w14:paraId="472C58E7" w14:textId="77777777" w:rsidR="00D64459" w:rsidRPr="00493E39" w:rsidRDefault="008B2120">
            <w:pPr>
              <w:spacing w:after="20" w:line="240" w:lineRule="auto"/>
              <w:jc w:val="center"/>
              <w:rPr>
                <w:rFonts w:cs="Arial"/>
              </w:rPr>
            </w:pPr>
            <w:r w:rsidRPr="00493E39">
              <w:rPr>
                <w:rFonts w:cs="Arial"/>
                <w:sz w:val="18"/>
              </w:rPr>
              <w:t>Jamaica</w:t>
            </w:r>
          </w:p>
        </w:tc>
        <w:tc>
          <w:tcPr>
            <w:tcW w:w="1361" w:type="dxa"/>
          </w:tcPr>
          <w:p w14:paraId="0B5B7ED2" w14:textId="77777777" w:rsidR="00D64459" w:rsidRPr="00493E39" w:rsidRDefault="008B2120">
            <w:pPr>
              <w:spacing w:after="20" w:line="240" w:lineRule="auto"/>
              <w:jc w:val="center"/>
              <w:rPr>
                <w:rFonts w:cs="Arial"/>
              </w:rPr>
            </w:pPr>
            <w:r w:rsidRPr="00493E39">
              <w:rPr>
                <w:rFonts w:cs="Arial"/>
                <w:sz w:val="18"/>
              </w:rPr>
              <w:t>0,727</w:t>
            </w:r>
          </w:p>
        </w:tc>
        <w:tc>
          <w:tcPr>
            <w:tcW w:w="2041" w:type="dxa"/>
          </w:tcPr>
          <w:p w14:paraId="501CFD27" w14:textId="77777777" w:rsidR="00D64459" w:rsidRPr="00493E39" w:rsidRDefault="008B2120">
            <w:pPr>
              <w:spacing w:after="20" w:line="240" w:lineRule="auto"/>
              <w:jc w:val="center"/>
              <w:rPr>
                <w:rFonts w:cs="Arial"/>
              </w:rPr>
            </w:pPr>
            <w:proofErr w:type="spellStart"/>
            <w:r w:rsidRPr="00493E39">
              <w:rPr>
                <w:rFonts w:cs="Arial"/>
                <w:sz w:val="18"/>
              </w:rPr>
              <w:t>desregulado</w:t>
            </w:r>
            <w:proofErr w:type="spellEnd"/>
          </w:p>
        </w:tc>
        <w:tc>
          <w:tcPr>
            <w:tcW w:w="2041" w:type="dxa"/>
          </w:tcPr>
          <w:p w14:paraId="0328AA39"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760388A5" w14:textId="77777777">
        <w:trPr>
          <w:jc w:val="center"/>
        </w:trPr>
        <w:tc>
          <w:tcPr>
            <w:tcW w:w="567" w:type="dxa"/>
          </w:tcPr>
          <w:p w14:paraId="6D7AB340" w14:textId="77777777" w:rsidR="00D64459" w:rsidRPr="00493E39" w:rsidRDefault="008B2120">
            <w:pPr>
              <w:spacing w:after="20" w:line="240" w:lineRule="auto"/>
              <w:rPr>
                <w:rFonts w:cs="Arial"/>
              </w:rPr>
            </w:pPr>
            <w:r w:rsidRPr="00493E39">
              <w:rPr>
                <w:rFonts w:cs="Arial"/>
                <w:sz w:val="18"/>
              </w:rPr>
              <w:t>10</w:t>
            </w:r>
          </w:p>
        </w:tc>
        <w:tc>
          <w:tcPr>
            <w:tcW w:w="3061" w:type="dxa"/>
          </w:tcPr>
          <w:p w14:paraId="173B82CE" w14:textId="77777777" w:rsidR="00D64459" w:rsidRPr="00493E39" w:rsidRDefault="008B2120">
            <w:pPr>
              <w:spacing w:after="20" w:line="240" w:lineRule="auto"/>
              <w:jc w:val="center"/>
              <w:rPr>
                <w:rFonts w:cs="Arial"/>
              </w:rPr>
            </w:pPr>
            <w:r w:rsidRPr="00493E39">
              <w:rPr>
                <w:rFonts w:cs="Arial"/>
                <w:sz w:val="18"/>
              </w:rPr>
              <w:t>El Salvador</w:t>
            </w:r>
          </w:p>
        </w:tc>
        <w:tc>
          <w:tcPr>
            <w:tcW w:w="1361" w:type="dxa"/>
          </w:tcPr>
          <w:p w14:paraId="6115E9AF" w14:textId="77777777" w:rsidR="00D64459" w:rsidRPr="00493E39" w:rsidRDefault="008B2120">
            <w:pPr>
              <w:spacing w:after="20" w:line="240" w:lineRule="auto"/>
              <w:jc w:val="center"/>
              <w:rPr>
                <w:rFonts w:cs="Arial"/>
              </w:rPr>
            </w:pPr>
            <w:r w:rsidRPr="00493E39">
              <w:rPr>
                <w:rFonts w:cs="Arial"/>
                <w:sz w:val="18"/>
              </w:rPr>
              <w:t>0,695</w:t>
            </w:r>
          </w:p>
        </w:tc>
        <w:tc>
          <w:tcPr>
            <w:tcW w:w="2041" w:type="dxa"/>
          </w:tcPr>
          <w:p w14:paraId="20B2B80A"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034B2CD5"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1E0B41A8" w14:textId="77777777">
        <w:trPr>
          <w:jc w:val="center"/>
        </w:trPr>
        <w:tc>
          <w:tcPr>
            <w:tcW w:w="567" w:type="dxa"/>
          </w:tcPr>
          <w:p w14:paraId="009E14AA" w14:textId="77777777" w:rsidR="00D64459" w:rsidRPr="00493E39" w:rsidRDefault="008B2120">
            <w:pPr>
              <w:spacing w:after="20" w:line="240" w:lineRule="auto"/>
              <w:rPr>
                <w:rFonts w:cs="Arial"/>
              </w:rPr>
            </w:pPr>
            <w:r w:rsidRPr="00493E39">
              <w:rPr>
                <w:rFonts w:cs="Arial"/>
                <w:sz w:val="18"/>
              </w:rPr>
              <w:t>11</w:t>
            </w:r>
          </w:p>
        </w:tc>
        <w:tc>
          <w:tcPr>
            <w:tcW w:w="3061" w:type="dxa"/>
          </w:tcPr>
          <w:p w14:paraId="4B8B6565" w14:textId="77777777" w:rsidR="00D64459" w:rsidRPr="00493E39" w:rsidRDefault="008B2120">
            <w:pPr>
              <w:spacing w:after="20" w:line="240" w:lineRule="auto"/>
              <w:jc w:val="center"/>
              <w:rPr>
                <w:rFonts w:cs="Arial"/>
              </w:rPr>
            </w:pPr>
            <w:r w:rsidRPr="00493E39">
              <w:rPr>
                <w:rFonts w:cs="Arial"/>
                <w:sz w:val="18"/>
              </w:rPr>
              <w:t>Costa Rica</w:t>
            </w:r>
          </w:p>
        </w:tc>
        <w:tc>
          <w:tcPr>
            <w:tcW w:w="1361" w:type="dxa"/>
          </w:tcPr>
          <w:p w14:paraId="3DBDB0E7" w14:textId="77777777" w:rsidR="00D64459" w:rsidRPr="00493E39" w:rsidRDefault="008B2120">
            <w:pPr>
              <w:spacing w:after="20" w:line="240" w:lineRule="auto"/>
              <w:jc w:val="center"/>
              <w:rPr>
                <w:rFonts w:cs="Arial"/>
              </w:rPr>
            </w:pPr>
            <w:r w:rsidRPr="00493E39">
              <w:rPr>
                <w:rFonts w:cs="Arial"/>
                <w:sz w:val="18"/>
              </w:rPr>
              <w:t>0,621</w:t>
            </w:r>
          </w:p>
        </w:tc>
        <w:tc>
          <w:tcPr>
            <w:tcW w:w="2041" w:type="dxa"/>
          </w:tcPr>
          <w:p w14:paraId="313871B9"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5D6F9DF2"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210B8270" w14:textId="77777777">
        <w:trPr>
          <w:jc w:val="center"/>
        </w:trPr>
        <w:tc>
          <w:tcPr>
            <w:tcW w:w="567" w:type="dxa"/>
          </w:tcPr>
          <w:p w14:paraId="30E27D5C" w14:textId="77777777" w:rsidR="00D64459" w:rsidRPr="00493E39" w:rsidRDefault="008B2120">
            <w:pPr>
              <w:spacing w:after="20" w:line="240" w:lineRule="auto"/>
              <w:rPr>
                <w:rFonts w:cs="Arial"/>
              </w:rPr>
            </w:pPr>
            <w:r w:rsidRPr="00493E39">
              <w:rPr>
                <w:rFonts w:cs="Arial"/>
                <w:sz w:val="18"/>
              </w:rPr>
              <w:t>12</w:t>
            </w:r>
          </w:p>
        </w:tc>
        <w:tc>
          <w:tcPr>
            <w:tcW w:w="3061" w:type="dxa"/>
          </w:tcPr>
          <w:p w14:paraId="7BEFF627" w14:textId="77777777" w:rsidR="00D64459" w:rsidRPr="00493E39" w:rsidRDefault="008B2120">
            <w:pPr>
              <w:spacing w:after="20" w:line="240" w:lineRule="auto"/>
              <w:jc w:val="center"/>
              <w:rPr>
                <w:rFonts w:cs="Arial"/>
              </w:rPr>
            </w:pPr>
            <w:r w:rsidRPr="00493E39">
              <w:rPr>
                <w:rFonts w:cs="Arial"/>
                <w:sz w:val="18"/>
              </w:rPr>
              <w:t>México</w:t>
            </w:r>
          </w:p>
        </w:tc>
        <w:tc>
          <w:tcPr>
            <w:tcW w:w="1361" w:type="dxa"/>
          </w:tcPr>
          <w:p w14:paraId="3FC33E2A" w14:textId="77777777" w:rsidR="00D64459" w:rsidRPr="00493E39" w:rsidRDefault="008B2120">
            <w:pPr>
              <w:spacing w:after="20" w:line="240" w:lineRule="auto"/>
              <w:jc w:val="center"/>
              <w:rPr>
                <w:rFonts w:cs="Arial"/>
              </w:rPr>
            </w:pPr>
            <w:r w:rsidRPr="00493E39">
              <w:rPr>
                <w:rFonts w:cs="Arial"/>
                <w:sz w:val="18"/>
              </w:rPr>
              <w:t>0,601</w:t>
            </w:r>
          </w:p>
        </w:tc>
        <w:tc>
          <w:tcPr>
            <w:tcW w:w="2041" w:type="dxa"/>
          </w:tcPr>
          <w:p w14:paraId="40349ECF" w14:textId="77777777" w:rsidR="00D64459" w:rsidRPr="00493E39" w:rsidRDefault="008B2120">
            <w:pPr>
              <w:spacing w:after="20" w:line="240" w:lineRule="auto"/>
              <w:jc w:val="center"/>
              <w:rPr>
                <w:rFonts w:cs="Arial"/>
              </w:rPr>
            </w:pPr>
            <w:proofErr w:type="spellStart"/>
            <w:r w:rsidRPr="00493E39">
              <w:rPr>
                <w:rFonts w:cs="Arial"/>
                <w:sz w:val="18"/>
              </w:rPr>
              <w:t>desregulado</w:t>
            </w:r>
            <w:proofErr w:type="spellEnd"/>
          </w:p>
        </w:tc>
        <w:tc>
          <w:tcPr>
            <w:tcW w:w="2041" w:type="dxa"/>
          </w:tcPr>
          <w:p w14:paraId="3DBD44F7" w14:textId="77777777" w:rsidR="00D64459" w:rsidRPr="00493E39" w:rsidRDefault="008B2120">
            <w:pPr>
              <w:spacing w:after="20" w:line="240" w:lineRule="auto"/>
              <w:jc w:val="center"/>
              <w:rPr>
                <w:rFonts w:cs="Arial"/>
              </w:rPr>
            </w:pPr>
            <w:r w:rsidRPr="00493E39">
              <w:rPr>
                <w:rFonts w:cs="Arial"/>
                <w:sz w:val="18"/>
              </w:rPr>
              <w:t>não</w:t>
            </w:r>
          </w:p>
        </w:tc>
      </w:tr>
      <w:tr w:rsidR="00D64459" w:rsidRPr="00493E39" w14:paraId="26B5404E" w14:textId="77777777">
        <w:trPr>
          <w:jc w:val="center"/>
        </w:trPr>
        <w:tc>
          <w:tcPr>
            <w:tcW w:w="567" w:type="dxa"/>
          </w:tcPr>
          <w:p w14:paraId="5197B9D5" w14:textId="77777777" w:rsidR="00D64459" w:rsidRPr="00493E39" w:rsidRDefault="008B2120">
            <w:pPr>
              <w:spacing w:after="20" w:line="240" w:lineRule="auto"/>
              <w:rPr>
                <w:rFonts w:cs="Arial"/>
              </w:rPr>
            </w:pPr>
            <w:r w:rsidRPr="00493E39">
              <w:rPr>
                <w:rFonts w:cs="Arial"/>
                <w:sz w:val="18"/>
              </w:rPr>
              <w:t>13</w:t>
            </w:r>
          </w:p>
        </w:tc>
        <w:tc>
          <w:tcPr>
            <w:tcW w:w="3061" w:type="dxa"/>
          </w:tcPr>
          <w:p w14:paraId="44C11498" w14:textId="77777777" w:rsidR="00D64459" w:rsidRPr="00493E39" w:rsidRDefault="008B2120">
            <w:pPr>
              <w:spacing w:after="20" w:line="240" w:lineRule="auto"/>
              <w:jc w:val="center"/>
              <w:rPr>
                <w:rFonts w:cs="Arial"/>
              </w:rPr>
            </w:pPr>
            <w:r w:rsidRPr="00493E39">
              <w:rPr>
                <w:rFonts w:cs="Arial"/>
                <w:sz w:val="18"/>
              </w:rPr>
              <w:t>Chile</w:t>
            </w:r>
          </w:p>
        </w:tc>
        <w:tc>
          <w:tcPr>
            <w:tcW w:w="1361" w:type="dxa"/>
          </w:tcPr>
          <w:p w14:paraId="3E3FDA7E" w14:textId="77777777" w:rsidR="00D64459" w:rsidRPr="00493E39" w:rsidRDefault="008B2120">
            <w:pPr>
              <w:spacing w:after="20" w:line="240" w:lineRule="auto"/>
              <w:jc w:val="center"/>
              <w:rPr>
                <w:rFonts w:cs="Arial"/>
              </w:rPr>
            </w:pPr>
            <w:r w:rsidRPr="00493E39">
              <w:rPr>
                <w:rFonts w:cs="Arial"/>
                <w:sz w:val="18"/>
              </w:rPr>
              <w:t>0,476</w:t>
            </w:r>
          </w:p>
        </w:tc>
        <w:tc>
          <w:tcPr>
            <w:tcW w:w="2041" w:type="dxa"/>
          </w:tcPr>
          <w:p w14:paraId="32ADF45B" w14:textId="77777777" w:rsidR="00D64459" w:rsidRPr="00493E39" w:rsidRDefault="008B2120">
            <w:pPr>
              <w:spacing w:after="20" w:line="240" w:lineRule="auto"/>
              <w:jc w:val="center"/>
              <w:rPr>
                <w:rFonts w:cs="Arial"/>
              </w:rPr>
            </w:pPr>
            <w:proofErr w:type="spellStart"/>
            <w:r w:rsidRPr="00493E39">
              <w:rPr>
                <w:rFonts w:cs="Arial"/>
                <w:sz w:val="18"/>
              </w:rPr>
              <w:t>desregulado</w:t>
            </w:r>
            <w:proofErr w:type="spellEnd"/>
          </w:p>
        </w:tc>
        <w:tc>
          <w:tcPr>
            <w:tcW w:w="2041" w:type="dxa"/>
          </w:tcPr>
          <w:p w14:paraId="56842611" w14:textId="77777777" w:rsidR="00D64459" w:rsidRPr="00493E39" w:rsidRDefault="008B2120">
            <w:pPr>
              <w:spacing w:after="20" w:line="240" w:lineRule="auto"/>
              <w:jc w:val="center"/>
              <w:rPr>
                <w:rFonts w:cs="Arial"/>
              </w:rPr>
            </w:pPr>
            <w:r w:rsidRPr="00493E39">
              <w:rPr>
                <w:rFonts w:cs="Arial"/>
                <w:sz w:val="18"/>
              </w:rPr>
              <w:t>sim</w:t>
            </w:r>
          </w:p>
        </w:tc>
      </w:tr>
      <w:tr w:rsidR="00D64459" w:rsidRPr="00493E39" w14:paraId="3D2775F8" w14:textId="77777777">
        <w:trPr>
          <w:jc w:val="center"/>
        </w:trPr>
        <w:tc>
          <w:tcPr>
            <w:tcW w:w="567" w:type="dxa"/>
          </w:tcPr>
          <w:p w14:paraId="1270B9EB" w14:textId="77777777" w:rsidR="00D64459" w:rsidRPr="00493E39" w:rsidRDefault="008B2120">
            <w:pPr>
              <w:spacing w:after="20" w:line="240" w:lineRule="auto"/>
              <w:rPr>
                <w:rFonts w:cs="Arial"/>
              </w:rPr>
            </w:pPr>
            <w:r w:rsidRPr="00493E39">
              <w:rPr>
                <w:rFonts w:cs="Arial"/>
                <w:sz w:val="18"/>
              </w:rPr>
              <w:t>14</w:t>
            </w:r>
          </w:p>
        </w:tc>
        <w:tc>
          <w:tcPr>
            <w:tcW w:w="3061" w:type="dxa"/>
          </w:tcPr>
          <w:p w14:paraId="09992E16" w14:textId="77777777" w:rsidR="00D64459" w:rsidRPr="00493E39" w:rsidRDefault="008B2120">
            <w:pPr>
              <w:spacing w:after="20" w:line="240" w:lineRule="auto"/>
              <w:jc w:val="center"/>
              <w:rPr>
                <w:rFonts w:cs="Arial"/>
              </w:rPr>
            </w:pPr>
            <w:r w:rsidRPr="00493E39">
              <w:rPr>
                <w:rFonts w:cs="Arial"/>
                <w:sz w:val="18"/>
              </w:rPr>
              <w:t>Argentina</w:t>
            </w:r>
          </w:p>
        </w:tc>
        <w:tc>
          <w:tcPr>
            <w:tcW w:w="1361" w:type="dxa"/>
          </w:tcPr>
          <w:p w14:paraId="5489C0EE" w14:textId="77777777" w:rsidR="00D64459" w:rsidRPr="00493E39" w:rsidRDefault="008B2120">
            <w:pPr>
              <w:spacing w:after="20" w:line="240" w:lineRule="auto"/>
              <w:jc w:val="center"/>
              <w:rPr>
                <w:rFonts w:cs="Arial"/>
              </w:rPr>
            </w:pPr>
            <w:r w:rsidRPr="00493E39">
              <w:rPr>
                <w:rFonts w:cs="Arial"/>
                <w:sz w:val="18"/>
              </w:rPr>
              <w:t>0,288</w:t>
            </w:r>
          </w:p>
        </w:tc>
        <w:tc>
          <w:tcPr>
            <w:tcW w:w="2041" w:type="dxa"/>
          </w:tcPr>
          <w:p w14:paraId="43BB5A7B"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058AE95E"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45A06502" w14:textId="77777777">
        <w:trPr>
          <w:jc w:val="center"/>
        </w:trPr>
        <w:tc>
          <w:tcPr>
            <w:tcW w:w="567" w:type="dxa"/>
          </w:tcPr>
          <w:p w14:paraId="2DE57520" w14:textId="77777777" w:rsidR="00D64459" w:rsidRPr="00493E39" w:rsidRDefault="008B2120">
            <w:pPr>
              <w:spacing w:after="20" w:line="240" w:lineRule="auto"/>
              <w:rPr>
                <w:rFonts w:cs="Arial"/>
              </w:rPr>
            </w:pPr>
            <w:r w:rsidRPr="00493E39">
              <w:rPr>
                <w:rFonts w:cs="Arial"/>
                <w:sz w:val="18"/>
              </w:rPr>
              <w:t>15</w:t>
            </w:r>
          </w:p>
        </w:tc>
        <w:tc>
          <w:tcPr>
            <w:tcW w:w="3061" w:type="dxa"/>
          </w:tcPr>
          <w:p w14:paraId="56CB11C8" w14:textId="77777777" w:rsidR="00D64459" w:rsidRPr="00493E39" w:rsidRDefault="008B2120">
            <w:pPr>
              <w:spacing w:after="20" w:line="240" w:lineRule="auto"/>
              <w:jc w:val="center"/>
              <w:rPr>
                <w:rFonts w:cs="Arial"/>
              </w:rPr>
            </w:pPr>
            <w:proofErr w:type="spellStart"/>
            <w:r w:rsidRPr="00493E39">
              <w:rPr>
                <w:rFonts w:cs="Arial"/>
                <w:sz w:val="18"/>
              </w:rPr>
              <w:t>Equador</w:t>
            </w:r>
            <w:proofErr w:type="spellEnd"/>
          </w:p>
        </w:tc>
        <w:tc>
          <w:tcPr>
            <w:tcW w:w="1361" w:type="dxa"/>
          </w:tcPr>
          <w:p w14:paraId="47761899" w14:textId="77777777" w:rsidR="00D64459" w:rsidRPr="00493E39" w:rsidRDefault="008B2120">
            <w:pPr>
              <w:spacing w:after="20" w:line="240" w:lineRule="auto"/>
              <w:jc w:val="center"/>
              <w:rPr>
                <w:rFonts w:cs="Arial"/>
              </w:rPr>
            </w:pPr>
            <w:r w:rsidRPr="00493E39">
              <w:rPr>
                <w:rFonts w:cs="Arial"/>
                <w:sz w:val="18"/>
              </w:rPr>
              <w:t>0,240</w:t>
            </w:r>
          </w:p>
        </w:tc>
        <w:tc>
          <w:tcPr>
            <w:tcW w:w="2041" w:type="dxa"/>
          </w:tcPr>
          <w:p w14:paraId="189A717D"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Pr>
          <w:p w14:paraId="78007BF5"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r w:rsidR="00D64459" w:rsidRPr="00493E39" w14:paraId="382B53EF" w14:textId="77777777">
        <w:trPr>
          <w:jc w:val="center"/>
        </w:trPr>
        <w:tc>
          <w:tcPr>
            <w:tcW w:w="567" w:type="dxa"/>
            <w:tcBorders>
              <w:bottom w:val="single" w:sz="12" w:space="0" w:color="000000"/>
            </w:tcBorders>
          </w:tcPr>
          <w:p w14:paraId="354FD312" w14:textId="77777777" w:rsidR="00D64459" w:rsidRPr="00493E39" w:rsidRDefault="008B2120">
            <w:pPr>
              <w:spacing w:after="20" w:line="240" w:lineRule="auto"/>
              <w:rPr>
                <w:rFonts w:cs="Arial"/>
              </w:rPr>
            </w:pPr>
            <w:r w:rsidRPr="00493E39">
              <w:rPr>
                <w:rFonts w:cs="Arial"/>
                <w:sz w:val="18"/>
              </w:rPr>
              <w:t>16</w:t>
            </w:r>
          </w:p>
        </w:tc>
        <w:tc>
          <w:tcPr>
            <w:tcW w:w="3061" w:type="dxa"/>
            <w:tcBorders>
              <w:bottom w:val="single" w:sz="12" w:space="0" w:color="000000"/>
            </w:tcBorders>
          </w:tcPr>
          <w:p w14:paraId="52612F1B" w14:textId="77777777" w:rsidR="00D64459" w:rsidRPr="00493E39" w:rsidRDefault="008B2120">
            <w:pPr>
              <w:spacing w:after="20" w:line="240" w:lineRule="auto"/>
              <w:jc w:val="center"/>
              <w:rPr>
                <w:rFonts w:cs="Arial"/>
              </w:rPr>
            </w:pPr>
            <w:proofErr w:type="spellStart"/>
            <w:r w:rsidRPr="00493E39">
              <w:rPr>
                <w:rFonts w:cs="Arial"/>
                <w:sz w:val="18"/>
              </w:rPr>
              <w:t>Bolívia</w:t>
            </w:r>
            <w:proofErr w:type="spellEnd"/>
          </w:p>
        </w:tc>
        <w:tc>
          <w:tcPr>
            <w:tcW w:w="1361" w:type="dxa"/>
            <w:tcBorders>
              <w:bottom w:val="single" w:sz="12" w:space="0" w:color="000000"/>
            </w:tcBorders>
          </w:tcPr>
          <w:p w14:paraId="75590947" w14:textId="77777777" w:rsidR="00D64459" w:rsidRPr="00493E39" w:rsidRDefault="008B2120">
            <w:pPr>
              <w:spacing w:after="20" w:line="240" w:lineRule="auto"/>
              <w:jc w:val="center"/>
              <w:rPr>
                <w:rFonts w:cs="Arial"/>
              </w:rPr>
            </w:pPr>
            <w:r w:rsidRPr="00493E39">
              <w:rPr>
                <w:rFonts w:cs="Arial"/>
                <w:sz w:val="18"/>
              </w:rPr>
              <w:t>0,002</w:t>
            </w:r>
          </w:p>
        </w:tc>
        <w:tc>
          <w:tcPr>
            <w:tcW w:w="2041" w:type="dxa"/>
            <w:tcBorders>
              <w:bottom w:val="single" w:sz="12" w:space="0" w:color="000000"/>
            </w:tcBorders>
          </w:tcPr>
          <w:p w14:paraId="73C5ED43" w14:textId="77777777" w:rsidR="00D64459" w:rsidRPr="00493E39" w:rsidRDefault="008B2120">
            <w:pPr>
              <w:spacing w:after="20" w:line="240" w:lineRule="auto"/>
              <w:jc w:val="center"/>
              <w:rPr>
                <w:rFonts w:cs="Arial"/>
              </w:rPr>
            </w:pPr>
            <w:proofErr w:type="spellStart"/>
            <w:r w:rsidRPr="00493E39">
              <w:rPr>
                <w:rFonts w:cs="Arial"/>
                <w:sz w:val="18"/>
              </w:rPr>
              <w:t>regulado</w:t>
            </w:r>
            <w:proofErr w:type="spellEnd"/>
          </w:p>
        </w:tc>
        <w:tc>
          <w:tcPr>
            <w:tcW w:w="2041" w:type="dxa"/>
            <w:tcBorders>
              <w:bottom w:val="single" w:sz="12" w:space="0" w:color="000000"/>
            </w:tcBorders>
          </w:tcPr>
          <w:p w14:paraId="0B2C28F1" w14:textId="77777777" w:rsidR="00D64459" w:rsidRPr="00493E39" w:rsidRDefault="008B2120">
            <w:pPr>
              <w:spacing w:after="20" w:line="240" w:lineRule="auto"/>
              <w:jc w:val="center"/>
              <w:rPr>
                <w:rFonts w:cs="Arial"/>
              </w:rPr>
            </w:pPr>
            <w:proofErr w:type="spellStart"/>
            <w:r w:rsidRPr="00493E39">
              <w:rPr>
                <w:rFonts w:cs="Arial"/>
                <w:sz w:val="18"/>
              </w:rPr>
              <w:t>não</w:t>
            </w:r>
            <w:proofErr w:type="spellEnd"/>
          </w:p>
        </w:tc>
      </w:tr>
    </w:tbl>
    <w:p w14:paraId="713FBC02" w14:textId="77777777" w:rsidR="00D64459" w:rsidRPr="00493E39" w:rsidRDefault="008B2120">
      <w:pPr>
        <w:spacing w:line="240" w:lineRule="auto"/>
        <w:jc w:val="both"/>
        <w:rPr>
          <w:rFonts w:cs="Arial"/>
          <w:lang w:val="pt-BR"/>
        </w:rPr>
      </w:pPr>
      <w:r w:rsidRPr="00493E39">
        <w:rPr>
          <w:rFonts w:cs="Arial"/>
          <w:sz w:val="18"/>
          <w:lang w:val="pt-BR"/>
        </w:rPr>
        <w:t>Nota: repasse de 1,000 corresponde à transmissão integral da variação internacional ao preço de varejo. A Bolívia pratica preço congelado no período. A Colômbia não dispõe de série de preços utilizável nesta base e por isso não consta da tabela.</w:t>
      </w:r>
    </w:p>
    <w:p w14:paraId="351C7DCE"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21132307" w14:textId="77777777" w:rsidR="00D64459" w:rsidRPr="00493E39" w:rsidRDefault="008B2120">
      <w:pPr>
        <w:ind w:firstLine="709"/>
        <w:jc w:val="both"/>
        <w:rPr>
          <w:rFonts w:cs="Arial"/>
          <w:lang w:val="pt-BR"/>
        </w:rPr>
      </w:pPr>
      <w:r w:rsidRPr="00493E39">
        <w:rPr>
          <w:rFonts w:cs="Arial"/>
          <w:lang w:val="pt-BR"/>
        </w:rPr>
        <w:t xml:space="preserve">A ordenação regional não se explica apenas pela classificação binária da regra de preço. Panamá e Belize, classificados como de preço regulado, apresentam os dois maiores repasses da região, e o Peru, classificado como desregulado, vem em terceiro ainda mantendo fundo de estabilização. O que o quadro sustenta é a associação </w:t>
      </w:r>
      <w:r w:rsidRPr="00493E39">
        <w:rPr>
          <w:rFonts w:cs="Arial"/>
          <w:lang w:val="pt-BR"/>
        </w:rPr>
        <w:lastRenderedPageBreak/>
        <w:t>central, e não uma correspondência termo a termo: a Tabela I.2 mostra que a mediana dos países de preço desregulado é cerca de 2,8 vezes a dos países de preço regulado, e o Brasil situa-se acima da mediana do próprio grupo a que pertence, entre ela e o terceiro quartil.</w:t>
      </w:r>
    </w:p>
    <w:p w14:paraId="76337930" w14:textId="77777777" w:rsidR="00D64459" w:rsidRPr="00493E39" w:rsidRDefault="008B2120">
      <w:pPr>
        <w:keepNext/>
        <w:spacing w:before="200" w:after="40" w:line="240" w:lineRule="auto"/>
        <w:rPr>
          <w:rFonts w:cs="Arial"/>
          <w:lang w:val="pt-BR"/>
        </w:rPr>
      </w:pPr>
      <w:r w:rsidRPr="00493E39">
        <w:rPr>
          <w:rFonts w:cs="Arial"/>
          <w:sz w:val="20"/>
          <w:lang w:val="pt-BR"/>
        </w:rPr>
        <w:t>Tabela I.2 – Distribuição do repasse por regra de preço, 65 economias</w:t>
      </w:r>
    </w:p>
    <w:tbl>
      <w:tblPr>
        <w:tblW w:w="0" w:type="auto"/>
        <w:jc w:val="center"/>
        <w:tblLook w:val="04A0" w:firstRow="1" w:lastRow="0" w:firstColumn="1" w:lastColumn="0" w:noHBand="0" w:noVBand="1"/>
      </w:tblPr>
      <w:tblGrid>
        <w:gridCol w:w="2608"/>
        <w:gridCol w:w="794"/>
        <w:gridCol w:w="1417"/>
        <w:gridCol w:w="1417"/>
        <w:gridCol w:w="1417"/>
        <w:gridCol w:w="1417"/>
      </w:tblGrid>
      <w:tr w:rsidR="00D64459" w:rsidRPr="00493E39" w14:paraId="06905592" w14:textId="77777777">
        <w:trPr>
          <w:tblHeader/>
          <w:jc w:val="center"/>
        </w:trPr>
        <w:tc>
          <w:tcPr>
            <w:tcW w:w="2608" w:type="dxa"/>
            <w:tcBorders>
              <w:top w:val="single" w:sz="12" w:space="0" w:color="000000"/>
              <w:bottom w:val="single" w:sz="6" w:space="0" w:color="000000"/>
            </w:tcBorders>
          </w:tcPr>
          <w:p w14:paraId="2FBD28BD" w14:textId="77777777" w:rsidR="00D64459" w:rsidRPr="00493E39" w:rsidRDefault="008B2120">
            <w:pPr>
              <w:spacing w:after="20" w:line="240" w:lineRule="auto"/>
              <w:rPr>
                <w:rFonts w:cs="Arial"/>
              </w:rPr>
            </w:pPr>
            <w:r w:rsidRPr="00493E39">
              <w:rPr>
                <w:rFonts w:cs="Arial"/>
                <w:b/>
                <w:sz w:val="18"/>
              </w:rPr>
              <w:t>Grupo</w:t>
            </w:r>
          </w:p>
        </w:tc>
        <w:tc>
          <w:tcPr>
            <w:tcW w:w="794" w:type="dxa"/>
            <w:tcBorders>
              <w:top w:val="single" w:sz="12" w:space="0" w:color="000000"/>
              <w:bottom w:val="single" w:sz="6" w:space="0" w:color="000000"/>
            </w:tcBorders>
          </w:tcPr>
          <w:p w14:paraId="06D0AFB5" w14:textId="77777777" w:rsidR="00D64459" w:rsidRPr="00493E39" w:rsidRDefault="008B2120">
            <w:pPr>
              <w:spacing w:after="20" w:line="240" w:lineRule="auto"/>
              <w:rPr>
                <w:rFonts w:cs="Arial"/>
              </w:rPr>
            </w:pPr>
            <w:r w:rsidRPr="00493E39">
              <w:rPr>
                <w:rFonts w:cs="Arial"/>
                <w:b/>
                <w:sz w:val="18"/>
              </w:rPr>
              <w:t>n</w:t>
            </w:r>
          </w:p>
        </w:tc>
        <w:tc>
          <w:tcPr>
            <w:tcW w:w="1417" w:type="dxa"/>
            <w:tcBorders>
              <w:top w:val="single" w:sz="12" w:space="0" w:color="000000"/>
              <w:bottom w:val="single" w:sz="6" w:space="0" w:color="000000"/>
            </w:tcBorders>
          </w:tcPr>
          <w:p w14:paraId="0EF16C74" w14:textId="77777777" w:rsidR="00D64459" w:rsidRPr="00493E39" w:rsidRDefault="008B2120">
            <w:pPr>
              <w:spacing w:after="20" w:line="240" w:lineRule="auto"/>
              <w:rPr>
                <w:rFonts w:cs="Arial"/>
              </w:rPr>
            </w:pPr>
            <w:r w:rsidRPr="00493E39">
              <w:rPr>
                <w:rFonts w:cs="Arial"/>
                <w:b/>
                <w:sz w:val="18"/>
              </w:rPr>
              <w:t xml:space="preserve">1º </w:t>
            </w:r>
            <w:proofErr w:type="spellStart"/>
            <w:r w:rsidRPr="00493E39">
              <w:rPr>
                <w:rFonts w:cs="Arial"/>
                <w:b/>
                <w:sz w:val="18"/>
              </w:rPr>
              <w:t>quartil</w:t>
            </w:r>
            <w:proofErr w:type="spellEnd"/>
          </w:p>
        </w:tc>
        <w:tc>
          <w:tcPr>
            <w:tcW w:w="1417" w:type="dxa"/>
            <w:tcBorders>
              <w:top w:val="single" w:sz="12" w:space="0" w:color="000000"/>
              <w:bottom w:val="single" w:sz="6" w:space="0" w:color="000000"/>
            </w:tcBorders>
          </w:tcPr>
          <w:p w14:paraId="5EDA4C5F" w14:textId="77777777" w:rsidR="00D64459" w:rsidRPr="00493E39" w:rsidRDefault="008B2120">
            <w:pPr>
              <w:spacing w:after="20" w:line="240" w:lineRule="auto"/>
              <w:rPr>
                <w:rFonts w:cs="Arial"/>
              </w:rPr>
            </w:pPr>
            <w:r w:rsidRPr="00493E39">
              <w:rPr>
                <w:rFonts w:cs="Arial"/>
                <w:b/>
                <w:sz w:val="18"/>
              </w:rPr>
              <w:t>Mediana</w:t>
            </w:r>
          </w:p>
        </w:tc>
        <w:tc>
          <w:tcPr>
            <w:tcW w:w="1417" w:type="dxa"/>
            <w:tcBorders>
              <w:top w:val="single" w:sz="12" w:space="0" w:color="000000"/>
              <w:bottom w:val="single" w:sz="6" w:space="0" w:color="000000"/>
            </w:tcBorders>
          </w:tcPr>
          <w:p w14:paraId="77B0B51F" w14:textId="77777777" w:rsidR="00D64459" w:rsidRPr="00493E39" w:rsidRDefault="008B2120">
            <w:pPr>
              <w:spacing w:after="20" w:line="240" w:lineRule="auto"/>
              <w:rPr>
                <w:rFonts w:cs="Arial"/>
              </w:rPr>
            </w:pPr>
            <w:r w:rsidRPr="00493E39">
              <w:rPr>
                <w:rFonts w:cs="Arial"/>
                <w:b/>
                <w:sz w:val="18"/>
              </w:rPr>
              <w:t xml:space="preserve">3º </w:t>
            </w:r>
            <w:proofErr w:type="spellStart"/>
            <w:r w:rsidRPr="00493E39">
              <w:rPr>
                <w:rFonts w:cs="Arial"/>
                <w:b/>
                <w:sz w:val="18"/>
              </w:rPr>
              <w:t>quartil</w:t>
            </w:r>
            <w:proofErr w:type="spellEnd"/>
          </w:p>
        </w:tc>
        <w:tc>
          <w:tcPr>
            <w:tcW w:w="1417" w:type="dxa"/>
            <w:tcBorders>
              <w:top w:val="single" w:sz="12" w:space="0" w:color="000000"/>
              <w:bottom w:val="single" w:sz="6" w:space="0" w:color="000000"/>
            </w:tcBorders>
          </w:tcPr>
          <w:p w14:paraId="51215395" w14:textId="77777777" w:rsidR="00D64459" w:rsidRPr="00493E39" w:rsidRDefault="008B2120">
            <w:pPr>
              <w:spacing w:after="20" w:line="240" w:lineRule="auto"/>
              <w:rPr>
                <w:rFonts w:cs="Arial"/>
              </w:rPr>
            </w:pPr>
            <w:proofErr w:type="spellStart"/>
            <w:r w:rsidRPr="00493E39">
              <w:rPr>
                <w:rFonts w:cs="Arial"/>
                <w:b/>
                <w:sz w:val="18"/>
              </w:rPr>
              <w:t>Média</w:t>
            </w:r>
            <w:proofErr w:type="spellEnd"/>
          </w:p>
        </w:tc>
      </w:tr>
      <w:tr w:rsidR="00D64459" w:rsidRPr="00493E39" w14:paraId="68C37F2C" w14:textId="77777777">
        <w:trPr>
          <w:jc w:val="center"/>
        </w:trPr>
        <w:tc>
          <w:tcPr>
            <w:tcW w:w="2608" w:type="dxa"/>
          </w:tcPr>
          <w:p w14:paraId="6A2F7EBB" w14:textId="77777777" w:rsidR="00D64459" w:rsidRPr="00493E39" w:rsidRDefault="008B2120">
            <w:pPr>
              <w:spacing w:after="20" w:line="240" w:lineRule="auto"/>
              <w:rPr>
                <w:rFonts w:cs="Arial"/>
              </w:rPr>
            </w:pPr>
            <w:proofErr w:type="spellStart"/>
            <w:r w:rsidRPr="00493E39">
              <w:rPr>
                <w:rFonts w:cs="Arial"/>
                <w:sz w:val="18"/>
              </w:rPr>
              <w:t>Preço</w:t>
            </w:r>
            <w:proofErr w:type="spellEnd"/>
            <w:r w:rsidRPr="00493E39">
              <w:rPr>
                <w:rFonts w:cs="Arial"/>
                <w:sz w:val="18"/>
              </w:rPr>
              <w:t xml:space="preserve"> </w:t>
            </w:r>
            <w:proofErr w:type="spellStart"/>
            <w:r w:rsidRPr="00493E39">
              <w:rPr>
                <w:rFonts w:cs="Arial"/>
                <w:sz w:val="18"/>
              </w:rPr>
              <w:t>desregulado</w:t>
            </w:r>
            <w:proofErr w:type="spellEnd"/>
          </w:p>
        </w:tc>
        <w:tc>
          <w:tcPr>
            <w:tcW w:w="794" w:type="dxa"/>
          </w:tcPr>
          <w:p w14:paraId="3B1DAAB8" w14:textId="77777777" w:rsidR="00D64459" w:rsidRPr="00493E39" w:rsidRDefault="008B2120">
            <w:pPr>
              <w:spacing w:after="20" w:line="240" w:lineRule="auto"/>
              <w:jc w:val="center"/>
              <w:rPr>
                <w:rFonts w:cs="Arial"/>
              </w:rPr>
            </w:pPr>
            <w:r w:rsidRPr="00493E39">
              <w:rPr>
                <w:rFonts w:cs="Arial"/>
                <w:sz w:val="18"/>
              </w:rPr>
              <w:t>16</w:t>
            </w:r>
          </w:p>
        </w:tc>
        <w:tc>
          <w:tcPr>
            <w:tcW w:w="1417" w:type="dxa"/>
          </w:tcPr>
          <w:p w14:paraId="7C2B2610" w14:textId="77777777" w:rsidR="00D64459" w:rsidRPr="00493E39" w:rsidRDefault="008B2120">
            <w:pPr>
              <w:spacing w:after="20" w:line="240" w:lineRule="auto"/>
              <w:jc w:val="center"/>
              <w:rPr>
                <w:rFonts w:cs="Arial"/>
              </w:rPr>
            </w:pPr>
            <w:r w:rsidRPr="00493E39">
              <w:rPr>
                <w:rFonts w:cs="Arial"/>
                <w:sz w:val="18"/>
              </w:rPr>
              <w:t>0,433</w:t>
            </w:r>
          </w:p>
        </w:tc>
        <w:tc>
          <w:tcPr>
            <w:tcW w:w="1417" w:type="dxa"/>
          </w:tcPr>
          <w:p w14:paraId="1E60301F" w14:textId="77777777" w:rsidR="00D64459" w:rsidRPr="00493E39" w:rsidRDefault="008B2120">
            <w:pPr>
              <w:spacing w:after="20" w:line="240" w:lineRule="auto"/>
              <w:jc w:val="center"/>
              <w:rPr>
                <w:rFonts w:cs="Arial"/>
              </w:rPr>
            </w:pPr>
            <w:r w:rsidRPr="00493E39">
              <w:rPr>
                <w:rFonts w:cs="Arial"/>
                <w:sz w:val="18"/>
              </w:rPr>
              <w:t>0,798</w:t>
            </w:r>
          </w:p>
        </w:tc>
        <w:tc>
          <w:tcPr>
            <w:tcW w:w="1417" w:type="dxa"/>
          </w:tcPr>
          <w:p w14:paraId="6B22D5EC" w14:textId="77777777" w:rsidR="00D64459" w:rsidRPr="00493E39" w:rsidRDefault="008B2120">
            <w:pPr>
              <w:spacing w:after="20" w:line="240" w:lineRule="auto"/>
              <w:jc w:val="center"/>
              <w:rPr>
                <w:rFonts w:cs="Arial"/>
              </w:rPr>
            </w:pPr>
            <w:r w:rsidRPr="00493E39">
              <w:rPr>
                <w:rFonts w:cs="Arial"/>
                <w:sz w:val="18"/>
              </w:rPr>
              <w:t>1,018</w:t>
            </w:r>
          </w:p>
        </w:tc>
        <w:tc>
          <w:tcPr>
            <w:tcW w:w="1417" w:type="dxa"/>
          </w:tcPr>
          <w:p w14:paraId="3275B592" w14:textId="77777777" w:rsidR="00D64459" w:rsidRPr="00493E39" w:rsidRDefault="008B2120">
            <w:pPr>
              <w:spacing w:after="20" w:line="240" w:lineRule="auto"/>
              <w:jc w:val="center"/>
              <w:rPr>
                <w:rFonts w:cs="Arial"/>
              </w:rPr>
            </w:pPr>
            <w:r w:rsidRPr="00493E39">
              <w:rPr>
                <w:rFonts w:cs="Arial"/>
                <w:sz w:val="18"/>
              </w:rPr>
              <w:t>0,732</w:t>
            </w:r>
          </w:p>
        </w:tc>
      </w:tr>
      <w:tr w:rsidR="00D64459" w:rsidRPr="00493E39" w14:paraId="256B3E39" w14:textId="77777777">
        <w:trPr>
          <w:jc w:val="center"/>
        </w:trPr>
        <w:tc>
          <w:tcPr>
            <w:tcW w:w="2608" w:type="dxa"/>
          </w:tcPr>
          <w:p w14:paraId="2EF2B2B9" w14:textId="77777777" w:rsidR="00D64459" w:rsidRPr="00493E39" w:rsidRDefault="008B2120">
            <w:pPr>
              <w:spacing w:after="20" w:line="240" w:lineRule="auto"/>
              <w:rPr>
                <w:rFonts w:cs="Arial"/>
              </w:rPr>
            </w:pPr>
            <w:proofErr w:type="spellStart"/>
            <w:r w:rsidRPr="00493E39">
              <w:rPr>
                <w:rFonts w:cs="Arial"/>
                <w:sz w:val="18"/>
              </w:rPr>
              <w:t>Preço</w:t>
            </w:r>
            <w:proofErr w:type="spellEnd"/>
            <w:r w:rsidRPr="00493E39">
              <w:rPr>
                <w:rFonts w:cs="Arial"/>
                <w:sz w:val="18"/>
              </w:rPr>
              <w:t xml:space="preserve"> </w:t>
            </w:r>
            <w:proofErr w:type="spellStart"/>
            <w:r w:rsidRPr="00493E39">
              <w:rPr>
                <w:rFonts w:cs="Arial"/>
                <w:sz w:val="18"/>
              </w:rPr>
              <w:t>regulado</w:t>
            </w:r>
            <w:proofErr w:type="spellEnd"/>
          </w:p>
        </w:tc>
        <w:tc>
          <w:tcPr>
            <w:tcW w:w="794" w:type="dxa"/>
          </w:tcPr>
          <w:p w14:paraId="2FBF20B9" w14:textId="77777777" w:rsidR="00D64459" w:rsidRPr="00493E39" w:rsidRDefault="008B2120">
            <w:pPr>
              <w:spacing w:after="20" w:line="240" w:lineRule="auto"/>
              <w:jc w:val="center"/>
              <w:rPr>
                <w:rFonts w:cs="Arial"/>
              </w:rPr>
            </w:pPr>
            <w:r w:rsidRPr="00493E39">
              <w:rPr>
                <w:rFonts w:cs="Arial"/>
                <w:sz w:val="18"/>
              </w:rPr>
              <w:t>49</w:t>
            </w:r>
          </w:p>
        </w:tc>
        <w:tc>
          <w:tcPr>
            <w:tcW w:w="1417" w:type="dxa"/>
          </w:tcPr>
          <w:p w14:paraId="525737EA" w14:textId="77777777" w:rsidR="00D64459" w:rsidRPr="00493E39" w:rsidRDefault="008B2120">
            <w:pPr>
              <w:spacing w:after="20" w:line="240" w:lineRule="auto"/>
              <w:jc w:val="center"/>
              <w:rPr>
                <w:rFonts w:cs="Arial"/>
              </w:rPr>
            </w:pPr>
            <w:r w:rsidRPr="00493E39">
              <w:rPr>
                <w:rFonts w:cs="Arial"/>
                <w:sz w:val="18"/>
              </w:rPr>
              <w:t>0,002</w:t>
            </w:r>
          </w:p>
        </w:tc>
        <w:tc>
          <w:tcPr>
            <w:tcW w:w="1417" w:type="dxa"/>
          </w:tcPr>
          <w:p w14:paraId="7708FC9F" w14:textId="77777777" w:rsidR="00D64459" w:rsidRPr="00493E39" w:rsidRDefault="008B2120">
            <w:pPr>
              <w:spacing w:after="20" w:line="240" w:lineRule="auto"/>
              <w:jc w:val="center"/>
              <w:rPr>
                <w:rFonts w:cs="Arial"/>
              </w:rPr>
            </w:pPr>
            <w:r w:rsidRPr="00493E39">
              <w:rPr>
                <w:rFonts w:cs="Arial"/>
                <w:sz w:val="18"/>
              </w:rPr>
              <w:t>0,288</w:t>
            </w:r>
          </w:p>
        </w:tc>
        <w:tc>
          <w:tcPr>
            <w:tcW w:w="1417" w:type="dxa"/>
          </w:tcPr>
          <w:p w14:paraId="2ED06031" w14:textId="77777777" w:rsidR="00D64459" w:rsidRPr="00493E39" w:rsidRDefault="008B2120">
            <w:pPr>
              <w:spacing w:after="20" w:line="240" w:lineRule="auto"/>
              <w:jc w:val="center"/>
              <w:rPr>
                <w:rFonts w:cs="Arial"/>
              </w:rPr>
            </w:pPr>
            <w:r w:rsidRPr="00493E39">
              <w:rPr>
                <w:rFonts w:cs="Arial"/>
                <w:sz w:val="18"/>
              </w:rPr>
              <w:t>0,695</w:t>
            </w:r>
          </w:p>
        </w:tc>
        <w:tc>
          <w:tcPr>
            <w:tcW w:w="1417" w:type="dxa"/>
          </w:tcPr>
          <w:p w14:paraId="0B06F82B" w14:textId="77777777" w:rsidR="00D64459" w:rsidRPr="00493E39" w:rsidRDefault="008B2120">
            <w:pPr>
              <w:spacing w:after="20" w:line="240" w:lineRule="auto"/>
              <w:jc w:val="center"/>
              <w:rPr>
                <w:rFonts w:cs="Arial"/>
              </w:rPr>
            </w:pPr>
            <w:r w:rsidRPr="00493E39">
              <w:rPr>
                <w:rFonts w:cs="Arial"/>
                <w:sz w:val="18"/>
              </w:rPr>
              <w:t>0,392</w:t>
            </w:r>
          </w:p>
        </w:tc>
      </w:tr>
      <w:tr w:rsidR="00D64459" w:rsidRPr="00493E39" w14:paraId="7A4E5981" w14:textId="77777777">
        <w:trPr>
          <w:jc w:val="center"/>
        </w:trPr>
        <w:tc>
          <w:tcPr>
            <w:tcW w:w="2608" w:type="dxa"/>
          </w:tcPr>
          <w:p w14:paraId="1E3ED7D1" w14:textId="77777777" w:rsidR="00D64459" w:rsidRPr="00493E39" w:rsidRDefault="008B2120">
            <w:pPr>
              <w:spacing w:after="20" w:line="240" w:lineRule="auto"/>
              <w:rPr>
                <w:rFonts w:cs="Arial"/>
              </w:rPr>
            </w:pPr>
            <w:proofErr w:type="spellStart"/>
            <w:r w:rsidRPr="00493E39">
              <w:rPr>
                <w:rFonts w:cs="Arial"/>
                <w:sz w:val="18"/>
              </w:rPr>
              <w:t>Todas</w:t>
            </w:r>
            <w:proofErr w:type="spellEnd"/>
            <w:r w:rsidRPr="00493E39">
              <w:rPr>
                <w:rFonts w:cs="Arial"/>
                <w:sz w:val="18"/>
              </w:rPr>
              <w:t xml:space="preserve"> as </w:t>
            </w:r>
            <w:proofErr w:type="spellStart"/>
            <w:r w:rsidRPr="00493E39">
              <w:rPr>
                <w:rFonts w:cs="Arial"/>
                <w:sz w:val="18"/>
              </w:rPr>
              <w:t>economias</w:t>
            </w:r>
            <w:proofErr w:type="spellEnd"/>
          </w:p>
        </w:tc>
        <w:tc>
          <w:tcPr>
            <w:tcW w:w="794" w:type="dxa"/>
          </w:tcPr>
          <w:p w14:paraId="6BEA2EDC" w14:textId="77777777" w:rsidR="00D64459" w:rsidRPr="00493E39" w:rsidRDefault="008B2120">
            <w:pPr>
              <w:spacing w:after="20" w:line="240" w:lineRule="auto"/>
              <w:jc w:val="center"/>
              <w:rPr>
                <w:rFonts w:cs="Arial"/>
              </w:rPr>
            </w:pPr>
            <w:r w:rsidRPr="00493E39">
              <w:rPr>
                <w:rFonts w:cs="Arial"/>
                <w:sz w:val="18"/>
              </w:rPr>
              <w:t>65</w:t>
            </w:r>
          </w:p>
        </w:tc>
        <w:tc>
          <w:tcPr>
            <w:tcW w:w="1417" w:type="dxa"/>
          </w:tcPr>
          <w:p w14:paraId="1214A822" w14:textId="77777777" w:rsidR="00D64459" w:rsidRPr="00493E39" w:rsidRDefault="008B2120">
            <w:pPr>
              <w:spacing w:after="20" w:line="240" w:lineRule="auto"/>
              <w:jc w:val="center"/>
              <w:rPr>
                <w:rFonts w:cs="Arial"/>
              </w:rPr>
            </w:pPr>
            <w:r w:rsidRPr="00493E39">
              <w:rPr>
                <w:rFonts w:cs="Arial"/>
                <w:sz w:val="18"/>
              </w:rPr>
              <w:t>0,076</w:t>
            </w:r>
          </w:p>
        </w:tc>
        <w:tc>
          <w:tcPr>
            <w:tcW w:w="1417" w:type="dxa"/>
          </w:tcPr>
          <w:p w14:paraId="3D82DDB8" w14:textId="77777777" w:rsidR="00D64459" w:rsidRPr="00493E39" w:rsidRDefault="008B2120">
            <w:pPr>
              <w:spacing w:after="20" w:line="240" w:lineRule="auto"/>
              <w:jc w:val="center"/>
              <w:rPr>
                <w:rFonts w:cs="Arial"/>
              </w:rPr>
            </w:pPr>
            <w:r w:rsidRPr="00493E39">
              <w:rPr>
                <w:rFonts w:cs="Arial"/>
                <w:sz w:val="18"/>
              </w:rPr>
              <w:t>0,445</w:t>
            </w:r>
          </w:p>
        </w:tc>
        <w:tc>
          <w:tcPr>
            <w:tcW w:w="1417" w:type="dxa"/>
          </w:tcPr>
          <w:p w14:paraId="6080AC9D" w14:textId="77777777" w:rsidR="00D64459" w:rsidRPr="00493E39" w:rsidRDefault="008B2120">
            <w:pPr>
              <w:spacing w:after="20" w:line="240" w:lineRule="auto"/>
              <w:jc w:val="center"/>
              <w:rPr>
                <w:rFonts w:cs="Arial"/>
              </w:rPr>
            </w:pPr>
            <w:r w:rsidRPr="00493E39">
              <w:rPr>
                <w:rFonts w:cs="Arial"/>
                <w:sz w:val="18"/>
              </w:rPr>
              <w:t>0,864</w:t>
            </w:r>
          </w:p>
        </w:tc>
        <w:tc>
          <w:tcPr>
            <w:tcW w:w="1417" w:type="dxa"/>
          </w:tcPr>
          <w:p w14:paraId="436AFBE5" w14:textId="77777777" w:rsidR="00D64459" w:rsidRPr="00493E39" w:rsidRDefault="008B2120">
            <w:pPr>
              <w:spacing w:after="20" w:line="240" w:lineRule="auto"/>
              <w:jc w:val="center"/>
              <w:rPr>
                <w:rFonts w:cs="Arial"/>
              </w:rPr>
            </w:pPr>
            <w:r w:rsidRPr="00493E39">
              <w:rPr>
                <w:rFonts w:cs="Arial"/>
                <w:sz w:val="18"/>
              </w:rPr>
              <w:t>0,476</w:t>
            </w:r>
          </w:p>
        </w:tc>
      </w:tr>
      <w:tr w:rsidR="00D64459" w:rsidRPr="00493E39" w14:paraId="0564FA67" w14:textId="77777777">
        <w:trPr>
          <w:jc w:val="center"/>
        </w:trPr>
        <w:tc>
          <w:tcPr>
            <w:tcW w:w="2608" w:type="dxa"/>
            <w:tcBorders>
              <w:bottom w:val="single" w:sz="12" w:space="0" w:color="000000"/>
            </w:tcBorders>
          </w:tcPr>
          <w:p w14:paraId="2ACC977C" w14:textId="77777777" w:rsidR="00D64459" w:rsidRPr="00493E39" w:rsidRDefault="008B2120">
            <w:pPr>
              <w:spacing w:after="20" w:line="240" w:lineRule="auto"/>
              <w:rPr>
                <w:rFonts w:cs="Arial"/>
              </w:rPr>
            </w:pPr>
            <w:proofErr w:type="spellStart"/>
            <w:r w:rsidRPr="00493E39">
              <w:rPr>
                <w:rFonts w:cs="Arial"/>
                <w:sz w:val="18"/>
              </w:rPr>
              <w:t>Brasil</w:t>
            </w:r>
            <w:proofErr w:type="spellEnd"/>
          </w:p>
        </w:tc>
        <w:tc>
          <w:tcPr>
            <w:tcW w:w="794" w:type="dxa"/>
            <w:tcBorders>
              <w:bottom w:val="single" w:sz="12" w:space="0" w:color="000000"/>
            </w:tcBorders>
          </w:tcPr>
          <w:p w14:paraId="05DC4000" w14:textId="77777777" w:rsidR="00D64459" w:rsidRPr="00493E39" w:rsidRDefault="008B2120">
            <w:pPr>
              <w:spacing w:after="20" w:line="240" w:lineRule="auto"/>
              <w:jc w:val="center"/>
              <w:rPr>
                <w:rFonts w:cs="Arial"/>
              </w:rPr>
            </w:pPr>
            <w:r w:rsidRPr="00493E39">
              <w:rPr>
                <w:rFonts w:cs="Arial"/>
                <w:sz w:val="18"/>
              </w:rPr>
              <w:t>1</w:t>
            </w:r>
          </w:p>
        </w:tc>
        <w:tc>
          <w:tcPr>
            <w:tcW w:w="1417" w:type="dxa"/>
            <w:tcBorders>
              <w:bottom w:val="single" w:sz="12" w:space="0" w:color="000000"/>
            </w:tcBorders>
          </w:tcPr>
          <w:p w14:paraId="6D8FEC35" w14:textId="77777777" w:rsidR="00D64459" w:rsidRPr="00493E39" w:rsidRDefault="00D64459">
            <w:pPr>
              <w:spacing w:after="20" w:line="240" w:lineRule="auto"/>
              <w:jc w:val="center"/>
              <w:rPr>
                <w:rFonts w:cs="Arial"/>
              </w:rPr>
            </w:pPr>
          </w:p>
        </w:tc>
        <w:tc>
          <w:tcPr>
            <w:tcW w:w="1417" w:type="dxa"/>
            <w:tcBorders>
              <w:bottom w:val="single" w:sz="12" w:space="0" w:color="000000"/>
            </w:tcBorders>
          </w:tcPr>
          <w:p w14:paraId="45658D89" w14:textId="77777777" w:rsidR="00D64459" w:rsidRPr="00493E39" w:rsidRDefault="008B2120">
            <w:pPr>
              <w:spacing w:after="20" w:line="240" w:lineRule="auto"/>
              <w:jc w:val="center"/>
              <w:rPr>
                <w:rFonts w:cs="Arial"/>
              </w:rPr>
            </w:pPr>
            <w:r w:rsidRPr="00493E39">
              <w:rPr>
                <w:rFonts w:cs="Arial"/>
                <w:sz w:val="18"/>
              </w:rPr>
              <w:t>0,868</w:t>
            </w:r>
          </w:p>
        </w:tc>
        <w:tc>
          <w:tcPr>
            <w:tcW w:w="1417" w:type="dxa"/>
            <w:tcBorders>
              <w:bottom w:val="single" w:sz="12" w:space="0" w:color="000000"/>
            </w:tcBorders>
          </w:tcPr>
          <w:p w14:paraId="63F3AA57" w14:textId="77777777" w:rsidR="00D64459" w:rsidRPr="00493E39" w:rsidRDefault="00D64459">
            <w:pPr>
              <w:spacing w:after="20" w:line="240" w:lineRule="auto"/>
              <w:jc w:val="center"/>
              <w:rPr>
                <w:rFonts w:cs="Arial"/>
              </w:rPr>
            </w:pPr>
          </w:p>
        </w:tc>
        <w:tc>
          <w:tcPr>
            <w:tcW w:w="1417" w:type="dxa"/>
            <w:tcBorders>
              <w:bottom w:val="single" w:sz="12" w:space="0" w:color="000000"/>
            </w:tcBorders>
          </w:tcPr>
          <w:p w14:paraId="15DAC930" w14:textId="77777777" w:rsidR="00D64459" w:rsidRPr="00493E39" w:rsidRDefault="00D64459">
            <w:pPr>
              <w:spacing w:after="20" w:line="240" w:lineRule="auto"/>
              <w:jc w:val="center"/>
              <w:rPr>
                <w:rFonts w:cs="Arial"/>
              </w:rPr>
            </w:pPr>
          </w:p>
        </w:tc>
      </w:tr>
    </w:tbl>
    <w:p w14:paraId="0DE6EB3B" w14:textId="77777777" w:rsidR="00D64459" w:rsidRPr="00493E39" w:rsidRDefault="008B2120">
      <w:pPr>
        <w:spacing w:line="240" w:lineRule="auto"/>
        <w:jc w:val="both"/>
        <w:rPr>
          <w:rFonts w:cs="Arial"/>
          <w:lang w:val="pt-BR"/>
        </w:rPr>
      </w:pPr>
      <w:r w:rsidRPr="00493E39">
        <w:rPr>
          <w:rFonts w:cs="Arial"/>
          <w:sz w:val="18"/>
          <w:lang w:val="pt-BR"/>
        </w:rPr>
        <w:t>Nota: o Brasil ocupa a décima sexta posição entre as 65 economias, o que corresponde ao percentil 77 da distribuição. A amostra restringe-se às economias com observação de preço de varejo em ambos os extremos da janela.</w:t>
      </w:r>
    </w:p>
    <w:p w14:paraId="6EDAF78B" w14:textId="77777777" w:rsidR="00D64459" w:rsidRPr="00493E39" w:rsidRDefault="008B2120">
      <w:pPr>
        <w:spacing w:after="240" w:line="240" w:lineRule="auto"/>
        <w:jc w:val="center"/>
        <w:rPr>
          <w:rFonts w:cs="Arial"/>
          <w:lang w:val="pt-BR"/>
        </w:rPr>
      </w:pPr>
      <w:r w:rsidRPr="00493E39">
        <w:rPr>
          <w:rFonts w:cs="Arial"/>
          <w:sz w:val="20"/>
          <w:lang w:val="pt-BR"/>
        </w:rPr>
        <w:t>Fonte: Elaboração própria.</w:t>
      </w:r>
    </w:p>
    <w:p w14:paraId="615789C7" w14:textId="77777777" w:rsidR="00D64459" w:rsidRPr="00493E39" w:rsidRDefault="008B2120">
      <w:pPr>
        <w:ind w:firstLine="709"/>
        <w:jc w:val="both"/>
        <w:rPr>
          <w:rFonts w:cs="Arial"/>
          <w:lang w:val="pt-BR"/>
        </w:rPr>
      </w:pPr>
      <w:r w:rsidRPr="00493E39">
        <w:rPr>
          <w:rFonts w:cs="Arial"/>
          <w:lang w:val="pt-BR"/>
        </w:rPr>
        <w:t>Cabe uma observação final sobre o alcance deste exercício. A base de preços tem início em dezembro de 2015 e a classificação de política, em 2021, de modo que nenhuma das duas alcança o regime brasileiro anterior à paridade de importação. A comparação internacional situa a magnitude estimada para o regime posterior, e não substitui a datação da mudança conduzida no Capítulo 4. Registre-se, ainda, que a mesma base classifica o Brasil como economia de preço regulado no ano de 2023, e apenas nele, ao passo que o classifica como desregulado em 2021, 2022 e 2024. A oscilação coincide com o abandono da política de paridade de importação, anunciado em maio de 2023, e constitui reconhecimento externo de que a regra vigente naquele ano diferia da que a precedeu.</w:t>
      </w:r>
    </w:p>
    <w:p w14:paraId="764D81EA" w14:textId="77777777" w:rsidR="00D64459" w:rsidRPr="00493E39" w:rsidRDefault="008B2120">
      <w:pPr>
        <w:rPr>
          <w:rFonts w:cs="Arial"/>
          <w:lang w:val="pt-BR"/>
        </w:rPr>
      </w:pPr>
      <w:r w:rsidRPr="00493E39">
        <w:rPr>
          <w:rFonts w:cs="Arial"/>
          <w:lang w:val="pt-BR"/>
        </w:rPr>
        <w:br w:type="page"/>
      </w:r>
    </w:p>
    <w:p w14:paraId="167DDA0F" w14:textId="77777777" w:rsidR="00D64459" w:rsidRPr="00493E39" w:rsidRDefault="008B2120">
      <w:pPr>
        <w:pStyle w:val="Heading1"/>
        <w:spacing w:before="280" w:after="280"/>
        <w:jc w:val="center"/>
        <w:rPr>
          <w:rFonts w:ascii="Arial" w:hAnsi="Arial" w:cs="Arial"/>
          <w:lang w:val="pt-BR"/>
        </w:rPr>
      </w:pPr>
      <w:bookmarkStart w:id="45" w:name="_Toc239713594"/>
      <w:r w:rsidRPr="00493E39">
        <w:rPr>
          <w:rFonts w:ascii="Arial" w:hAnsi="Arial" w:cs="Arial"/>
          <w:lang w:val="pt-BR"/>
        </w:rPr>
        <w:lastRenderedPageBreak/>
        <w:t>APÊNDICE J – ESTATÍSTICAS DESCRITIVAS, PESOS E RAIZ UNITÁRIA</w:t>
      </w:r>
      <w:bookmarkEnd w:id="45"/>
    </w:p>
    <w:p w14:paraId="7523223A" w14:textId="77777777" w:rsidR="00D64459" w:rsidRPr="00493E39" w:rsidRDefault="008B2120">
      <w:pPr>
        <w:ind w:firstLine="709"/>
        <w:jc w:val="both"/>
        <w:rPr>
          <w:rFonts w:cs="Arial"/>
          <w:lang w:val="pt-BR"/>
        </w:rPr>
      </w:pPr>
      <w:r w:rsidRPr="00493E39">
        <w:rPr>
          <w:rFonts w:cs="Arial"/>
          <w:lang w:val="pt-BR"/>
        </w:rPr>
        <w:t>Este apêndice reúne três insumos que o corpo do trabalho utiliza e não reportava: as estatísticas descritivas das séries do modelo, os pesos da cesta empregados na decomposição entre primeira e segunda volta da seção 4.5.1, e os testes de raiz unitária. Nenhum deles altera resultado algum; todos são condição para que o leitor possa avaliá-los.</w:t>
      </w:r>
    </w:p>
    <w:p w14:paraId="5FE4EE6C" w14:textId="77777777" w:rsidR="00D64459" w:rsidRPr="00493E39" w:rsidRDefault="008B2120">
      <w:pPr>
        <w:keepNext/>
        <w:spacing w:before="240" w:after="60" w:line="240" w:lineRule="auto"/>
        <w:rPr>
          <w:rFonts w:cs="Arial"/>
          <w:lang w:val="pt-BR"/>
        </w:rPr>
      </w:pPr>
      <w:r w:rsidRPr="00493E39">
        <w:rPr>
          <w:rFonts w:cs="Arial"/>
          <w:sz w:val="20"/>
          <w:lang w:val="pt-BR"/>
        </w:rPr>
        <w:t xml:space="preserve">Tabela J.1 – Estatísticas descritivas das séries do modelo, </w:t>
      </w:r>
      <w:proofErr w:type="spellStart"/>
      <w:r w:rsidRPr="00493E39">
        <w:rPr>
          <w:rFonts w:cs="Arial"/>
          <w:sz w:val="20"/>
          <w:lang w:val="pt-BR"/>
        </w:rPr>
        <w:t>jan</w:t>
      </w:r>
      <w:proofErr w:type="spellEnd"/>
      <w:r w:rsidRPr="00493E39">
        <w:rPr>
          <w:rFonts w:cs="Arial"/>
          <w:sz w:val="20"/>
          <w:lang w:val="pt-BR"/>
        </w:rPr>
        <w:t>/2003 a set/2025</w:t>
      </w:r>
    </w:p>
    <w:tbl>
      <w:tblPr>
        <w:tblW w:w="0" w:type="auto"/>
        <w:jc w:val="center"/>
        <w:tblLook w:val="04A0" w:firstRow="1" w:lastRow="0" w:firstColumn="1" w:lastColumn="0" w:noHBand="0" w:noVBand="1"/>
      </w:tblPr>
      <w:tblGrid>
        <w:gridCol w:w="3000"/>
        <w:gridCol w:w="700"/>
        <w:gridCol w:w="900"/>
        <w:gridCol w:w="900"/>
        <w:gridCol w:w="900"/>
        <w:gridCol w:w="937"/>
        <w:gridCol w:w="900"/>
      </w:tblGrid>
      <w:tr w:rsidR="00D64459" w:rsidRPr="00493E39" w14:paraId="672632F1" w14:textId="77777777">
        <w:trPr>
          <w:tblHeader/>
          <w:jc w:val="center"/>
        </w:trPr>
        <w:tc>
          <w:tcPr>
            <w:tcW w:w="3000" w:type="dxa"/>
            <w:tcBorders>
              <w:top w:val="single" w:sz="12" w:space="0" w:color="000000"/>
              <w:bottom w:val="single" w:sz="6" w:space="0" w:color="000000"/>
            </w:tcBorders>
          </w:tcPr>
          <w:p w14:paraId="6C9BA00A" w14:textId="77777777" w:rsidR="00D64459" w:rsidRPr="00493E39" w:rsidRDefault="008B2120">
            <w:pPr>
              <w:spacing w:after="20" w:line="240" w:lineRule="auto"/>
              <w:rPr>
                <w:rFonts w:cs="Arial"/>
              </w:rPr>
            </w:pPr>
            <w:r w:rsidRPr="00493E39">
              <w:rPr>
                <w:rFonts w:cs="Arial"/>
                <w:b/>
                <w:sz w:val="18"/>
              </w:rPr>
              <w:t>Série</w:t>
            </w:r>
          </w:p>
        </w:tc>
        <w:tc>
          <w:tcPr>
            <w:tcW w:w="700" w:type="dxa"/>
            <w:tcBorders>
              <w:top w:val="single" w:sz="12" w:space="0" w:color="000000"/>
              <w:bottom w:val="single" w:sz="6" w:space="0" w:color="000000"/>
            </w:tcBorders>
          </w:tcPr>
          <w:p w14:paraId="295794AC" w14:textId="77777777" w:rsidR="00D64459" w:rsidRPr="00493E39" w:rsidRDefault="008B2120">
            <w:pPr>
              <w:spacing w:after="20" w:line="240" w:lineRule="auto"/>
              <w:rPr>
                <w:rFonts w:cs="Arial"/>
              </w:rPr>
            </w:pPr>
            <w:r w:rsidRPr="00493E39">
              <w:rPr>
                <w:rFonts w:cs="Arial"/>
                <w:b/>
                <w:sz w:val="18"/>
              </w:rPr>
              <w:t>Obs.</w:t>
            </w:r>
          </w:p>
        </w:tc>
        <w:tc>
          <w:tcPr>
            <w:tcW w:w="900" w:type="dxa"/>
            <w:tcBorders>
              <w:top w:val="single" w:sz="12" w:space="0" w:color="000000"/>
              <w:bottom w:val="single" w:sz="6" w:space="0" w:color="000000"/>
            </w:tcBorders>
          </w:tcPr>
          <w:p w14:paraId="1FEF59D6" w14:textId="77777777" w:rsidR="00D64459" w:rsidRPr="00493E39" w:rsidRDefault="008B2120">
            <w:pPr>
              <w:spacing w:after="20" w:line="240" w:lineRule="auto"/>
              <w:rPr>
                <w:rFonts w:cs="Arial"/>
              </w:rPr>
            </w:pPr>
            <w:proofErr w:type="spellStart"/>
            <w:r w:rsidRPr="00493E39">
              <w:rPr>
                <w:rFonts w:cs="Arial"/>
                <w:b/>
                <w:sz w:val="18"/>
              </w:rPr>
              <w:t>Média</w:t>
            </w:r>
            <w:proofErr w:type="spellEnd"/>
          </w:p>
        </w:tc>
        <w:tc>
          <w:tcPr>
            <w:tcW w:w="900" w:type="dxa"/>
            <w:tcBorders>
              <w:top w:val="single" w:sz="12" w:space="0" w:color="000000"/>
              <w:bottom w:val="single" w:sz="6" w:space="0" w:color="000000"/>
            </w:tcBorders>
          </w:tcPr>
          <w:p w14:paraId="3C5627EE" w14:textId="77777777" w:rsidR="00D64459" w:rsidRPr="00493E39" w:rsidRDefault="008B2120">
            <w:pPr>
              <w:spacing w:after="20" w:line="240" w:lineRule="auto"/>
              <w:rPr>
                <w:rFonts w:cs="Arial"/>
              </w:rPr>
            </w:pPr>
            <w:r w:rsidRPr="00493E39">
              <w:rPr>
                <w:rFonts w:cs="Arial"/>
                <w:b/>
                <w:sz w:val="18"/>
              </w:rPr>
              <w:t>D.P.</w:t>
            </w:r>
          </w:p>
        </w:tc>
        <w:tc>
          <w:tcPr>
            <w:tcW w:w="900" w:type="dxa"/>
            <w:tcBorders>
              <w:top w:val="single" w:sz="12" w:space="0" w:color="000000"/>
              <w:bottom w:val="single" w:sz="6" w:space="0" w:color="000000"/>
            </w:tcBorders>
          </w:tcPr>
          <w:p w14:paraId="5046B059" w14:textId="77777777" w:rsidR="00D64459" w:rsidRPr="00493E39" w:rsidRDefault="008B2120">
            <w:pPr>
              <w:spacing w:after="20" w:line="240" w:lineRule="auto"/>
              <w:rPr>
                <w:rFonts w:cs="Arial"/>
              </w:rPr>
            </w:pPr>
            <w:proofErr w:type="spellStart"/>
            <w:r w:rsidRPr="00493E39">
              <w:rPr>
                <w:rFonts w:cs="Arial"/>
                <w:b/>
                <w:sz w:val="18"/>
              </w:rPr>
              <w:t>Mínimo</w:t>
            </w:r>
            <w:proofErr w:type="spellEnd"/>
          </w:p>
        </w:tc>
        <w:tc>
          <w:tcPr>
            <w:tcW w:w="900" w:type="dxa"/>
            <w:tcBorders>
              <w:top w:val="single" w:sz="12" w:space="0" w:color="000000"/>
              <w:bottom w:val="single" w:sz="6" w:space="0" w:color="000000"/>
            </w:tcBorders>
          </w:tcPr>
          <w:p w14:paraId="42E82CD6" w14:textId="77777777" w:rsidR="00D64459" w:rsidRPr="00493E39" w:rsidRDefault="008B2120">
            <w:pPr>
              <w:spacing w:after="20" w:line="240" w:lineRule="auto"/>
              <w:rPr>
                <w:rFonts w:cs="Arial"/>
              </w:rPr>
            </w:pPr>
            <w:r w:rsidRPr="00493E39">
              <w:rPr>
                <w:rFonts w:cs="Arial"/>
                <w:b/>
                <w:sz w:val="18"/>
              </w:rPr>
              <w:t>Mediana</w:t>
            </w:r>
          </w:p>
        </w:tc>
        <w:tc>
          <w:tcPr>
            <w:tcW w:w="900" w:type="dxa"/>
            <w:tcBorders>
              <w:top w:val="single" w:sz="12" w:space="0" w:color="000000"/>
              <w:bottom w:val="single" w:sz="6" w:space="0" w:color="000000"/>
            </w:tcBorders>
          </w:tcPr>
          <w:p w14:paraId="600CD3CC" w14:textId="77777777" w:rsidR="00D64459" w:rsidRPr="00493E39" w:rsidRDefault="008B2120">
            <w:pPr>
              <w:spacing w:after="20" w:line="240" w:lineRule="auto"/>
              <w:rPr>
                <w:rFonts w:cs="Arial"/>
              </w:rPr>
            </w:pPr>
            <w:r w:rsidRPr="00493E39">
              <w:rPr>
                <w:rFonts w:cs="Arial"/>
                <w:b/>
                <w:sz w:val="18"/>
              </w:rPr>
              <w:t>Máximo</w:t>
            </w:r>
          </w:p>
        </w:tc>
      </w:tr>
      <w:tr w:rsidR="00D64459" w:rsidRPr="00493E39" w14:paraId="13680300" w14:textId="77777777">
        <w:trPr>
          <w:jc w:val="center"/>
        </w:trPr>
        <w:tc>
          <w:tcPr>
            <w:tcW w:w="3000" w:type="dxa"/>
          </w:tcPr>
          <w:p w14:paraId="3F7D2EBA" w14:textId="77777777" w:rsidR="00D64459" w:rsidRPr="00493E39" w:rsidRDefault="008B2120">
            <w:pPr>
              <w:spacing w:after="20" w:line="240" w:lineRule="auto"/>
              <w:rPr>
                <w:rFonts w:cs="Arial"/>
                <w:lang w:val="pt-BR"/>
              </w:rPr>
            </w:pPr>
            <w:r w:rsidRPr="00493E39">
              <w:rPr>
                <w:rFonts w:cs="Arial"/>
                <w:sz w:val="18"/>
                <w:lang w:val="pt-BR"/>
              </w:rPr>
              <w:t>Choque do petróleo (Brent, padronizado)</w:t>
            </w:r>
          </w:p>
        </w:tc>
        <w:tc>
          <w:tcPr>
            <w:tcW w:w="700" w:type="dxa"/>
          </w:tcPr>
          <w:p w14:paraId="407673FB" w14:textId="77777777" w:rsidR="00D64459" w:rsidRPr="00493E39" w:rsidRDefault="008B2120">
            <w:pPr>
              <w:spacing w:after="20" w:line="240" w:lineRule="auto"/>
              <w:rPr>
                <w:rFonts w:cs="Arial"/>
              </w:rPr>
            </w:pPr>
            <w:r w:rsidRPr="00493E39">
              <w:rPr>
                <w:rFonts w:cs="Arial"/>
                <w:sz w:val="18"/>
              </w:rPr>
              <w:t>272</w:t>
            </w:r>
          </w:p>
        </w:tc>
        <w:tc>
          <w:tcPr>
            <w:tcW w:w="900" w:type="dxa"/>
          </w:tcPr>
          <w:p w14:paraId="1B4C38EE" w14:textId="77777777" w:rsidR="00D64459" w:rsidRPr="00493E39" w:rsidRDefault="008B2120">
            <w:pPr>
              <w:spacing w:after="20" w:line="240" w:lineRule="auto"/>
              <w:rPr>
                <w:rFonts w:cs="Arial"/>
              </w:rPr>
            </w:pPr>
            <w:r w:rsidRPr="00493E39">
              <w:rPr>
                <w:rFonts w:cs="Arial"/>
                <w:sz w:val="18"/>
              </w:rPr>
              <w:t>0,028</w:t>
            </w:r>
          </w:p>
        </w:tc>
        <w:tc>
          <w:tcPr>
            <w:tcW w:w="900" w:type="dxa"/>
          </w:tcPr>
          <w:p w14:paraId="5630C6A5" w14:textId="77777777" w:rsidR="00D64459" w:rsidRPr="00493E39" w:rsidRDefault="008B2120">
            <w:pPr>
              <w:spacing w:after="20" w:line="240" w:lineRule="auto"/>
              <w:rPr>
                <w:rFonts w:cs="Arial"/>
              </w:rPr>
            </w:pPr>
            <w:r w:rsidRPr="00493E39">
              <w:rPr>
                <w:rFonts w:cs="Arial"/>
                <w:sz w:val="18"/>
              </w:rPr>
              <w:t>1,000</w:t>
            </w:r>
          </w:p>
        </w:tc>
        <w:tc>
          <w:tcPr>
            <w:tcW w:w="900" w:type="dxa"/>
          </w:tcPr>
          <w:p w14:paraId="28418D05" w14:textId="77777777" w:rsidR="00D64459" w:rsidRPr="00493E39" w:rsidRDefault="008B2120">
            <w:pPr>
              <w:spacing w:after="20" w:line="240" w:lineRule="auto"/>
              <w:rPr>
                <w:rFonts w:cs="Arial"/>
              </w:rPr>
            </w:pPr>
            <w:r w:rsidRPr="00493E39">
              <w:rPr>
                <w:rFonts w:cs="Arial"/>
                <w:sz w:val="18"/>
              </w:rPr>
              <w:t>−5,434</w:t>
            </w:r>
          </w:p>
        </w:tc>
        <w:tc>
          <w:tcPr>
            <w:tcW w:w="900" w:type="dxa"/>
          </w:tcPr>
          <w:p w14:paraId="75CBD3ED" w14:textId="77777777" w:rsidR="00D64459" w:rsidRPr="00493E39" w:rsidRDefault="008B2120">
            <w:pPr>
              <w:spacing w:after="20" w:line="240" w:lineRule="auto"/>
              <w:rPr>
                <w:rFonts w:cs="Arial"/>
              </w:rPr>
            </w:pPr>
            <w:r w:rsidRPr="00493E39">
              <w:rPr>
                <w:rFonts w:cs="Arial"/>
                <w:sz w:val="18"/>
              </w:rPr>
              <w:t>0,132</w:t>
            </w:r>
          </w:p>
        </w:tc>
        <w:tc>
          <w:tcPr>
            <w:tcW w:w="900" w:type="dxa"/>
          </w:tcPr>
          <w:p w14:paraId="278E2682" w14:textId="77777777" w:rsidR="00D64459" w:rsidRPr="00493E39" w:rsidRDefault="008B2120">
            <w:pPr>
              <w:spacing w:after="20" w:line="240" w:lineRule="auto"/>
              <w:rPr>
                <w:rFonts w:cs="Arial"/>
              </w:rPr>
            </w:pPr>
            <w:r w:rsidRPr="00493E39">
              <w:rPr>
                <w:rFonts w:cs="Arial"/>
                <w:sz w:val="18"/>
              </w:rPr>
              <w:t>4,628</w:t>
            </w:r>
          </w:p>
        </w:tc>
      </w:tr>
      <w:tr w:rsidR="00D64459" w:rsidRPr="00493E39" w14:paraId="04B7F8A6" w14:textId="77777777">
        <w:trPr>
          <w:jc w:val="center"/>
        </w:trPr>
        <w:tc>
          <w:tcPr>
            <w:tcW w:w="3000" w:type="dxa"/>
          </w:tcPr>
          <w:p w14:paraId="1847CC34" w14:textId="77777777" w:rsidR="00D64459" w:rsidRPr="00493E39" w:rsidRDefault="008B2120">
            <w:pPr>
              <w:spacing w:after="20" w:line="240" w:lineRule="auto"/>
              <w:rPr>
                <w:rFonts w:cs="Arial"/>
              </w:rPr>
            </w:pPr>
            <w:r w:rsidRPr="00493E39">
              <w:rPr>
                <w:rFonts w:cs="Arial"/>
                <w:sz w:val="18"/>
              </w:rPr>
              <w:t>IPCA Geral</w:t>
            </w:r>
          </w:p>
        </w:tc>
        <w:tc>
          <w:tcPr>
            <w:tcW w:w="700" w:type="dxa"/>
          </w:tcPr>
          <w:p w14:paraId="15719905" w14:textId="77777777" w:rsidR="00D64459" w:rsidRPr="00493E39" w:rsidRDefault="008B2120">
            <w:pPr>
              <w:spacing w:after="20" w:line="240" w:lineRule="auto"/>
              <w:rPr>
                <w:rFonts w:cs="Arial"/>
              </w:rPr>
            </w:pPr>
            <w:r w:rsidRPr="00493E39">
              <w:rPr>
                <w:rFonts w:cs="Arial"/>
                <w:sz w:val="18"/>
              </w:rPr>
              <w:t>272</w:t>
            </w:r>
          </w:p>
        </w:tc>
        <w:tc>
          <w:tcPr>
            <w:tcW w:w="900" w:type="dxa"/>
          </w:tcPr>
          <w:p w14:paraId="42081C26" w14:textId="77777777" w:rsidR="00D64459" w:rsidRPr="00493E39" w:rsidRDefault="008B2120">
            <w:pPr>
              <w:spacing w:after="20" w:line="240" w:lineRule="auto"/>
              <w:rPr>
                <w:rFonts w:cs="Arial"/>
              </w:rPr>
            </w:pPr>
            <w:r w:rsidRPr="00493E39">
              <w:rPr>
                <w:rFonts w:cs="Arial"/>
                <w:sz w:val="18"/>
              </w:rPr>
              <w:t>0,464</w:t>
            </w:r>
          </w:p>
        </w:tc>
        <w:tc>
          <w:tcPr>
            <w:tcW w:w="900" w:type="dxa"/>
          </w:tcPr>
          <w:p w14:paraId="4C2CB4A5" w14:textId="77777777" w:rsidR="00D64459" w:rsidRPr="00493E39" w:rsidRDefault="008B2120">
            <w:pPr>
              <w:spacing w:after="20" w:line="240" w:lineRule="auto"/>
              <w:rPr>
                <w:rFonts w:cs="Arial"/>
              </w:rPr>
            </w:pPr>
            <w:r w:rsidRPr="00493E39">
              <w:rPr>
                <w:rFonts w:cs="Arial"/>
                <w:sz w:val="18"/>
              </w:rPr>
              <w:t>0,334</w:t>
            </w:r>
          </w:p>
        </w:tc>
        <w:tc>
          <w:tcPr>
            <w:tcW w:w="900" w:type="dxa"/>
          </w:tcPr>
          <w:p w14:paraId="6A1B0BC9" w14:textId="77777777" w:rsidR="00D64459" w:rsidRPr="00493E39" w:rsidRDefault="008B2120">
            <w:pPr>
              <w:spacing w:after="20" w:line="240" w:lineRule="auto"/>
              <w:rPr>
                <w:rFonts w:cs="Arial"/>
              </w:rPr>
            </w:pPr>
            <w:r w:rsidRPr="00493E39">
              <w:rPr>
                <w:rFonts w:cs="Arial"/>
                <w:sz w:val="18"/>
              </w:rPr>
              <w:t>−0,682</w:t>
            </w:r>
          </w:p>
        </w:tc>
        <w:tc>
          <w:tcPr>
            <w:tcW w:w="900" w:type="dxa"/>
          </w:tcPr>
          <w:p w14:paraId="2AA002CD" w14:textId="77777777" w:rsidR="00D64459" w:rsidRPr="00493E39" w:rsidRDefault="008B2120">
            <w:pPr>
              <w:spacing w:after="20" w:line="240" w:lineRule="auto"/>
              <w:rPr>
                <w:rFonts w:cs="Arial"/>
              </w:rPr>
            </w:pPr>
            <w:r w:rsidRPr="00493E39">
              <w:rPr>
                <w:rFonts w:cs="Arial"/>
                <w:sz w:val="18"/>
              </w:rPr>
              <w:t>0,439</w:t>
            </w:r>
          </w:p>
        </w:tc>
        <w:tc>
          <w:tcPr>
            <w:tcW w:w="900" w:type="dxa"/>
          </w:tcPr>
          <w:p w14:paraId="579831B6" w14:textId="77777777" w:rsidR="00D64459" w:rsidRPr="00493E39" w:rsidRDefault="008B2120">
            <w:pPr>
              <w:spacing w:after="20" w:line="240" w:lineRule="auto"/>
              <w:rPr>
                <w:rFonts w:cs="Arial"/>
              </w:rPr>
            </w:pPr>
            <w:r w:rsidRPr="00493E39">
              <w:rPr>
                <w:rFonts w:cs="Arial"/>
                <w:sz w:val="18"/>
              </w:rPr>
              <w:t>1,607</w:t>
            </w:r>
          </w:p>
        </w:tc>
      </w:tr>
      <w:tr w:rsidR="00D64459" w:rsidRPr="00493E39" w14:paraId="7DBADB2B" w14:textId="77777777">
        <w:trPr>
          <w:jc w:val="center"/>
        </w:trPr>
        <w:tc>
          <w:tcPr>
            <w:tcW w:w="3000" w:type="dxa"/>
          </w:tcPr>
          <w:p w14:paraId="20CAB081" w14:textId="77777777" w:rsidR="00D64459" w:rsidRPr="00493E39" w:rsidRDefault="008B2120">
            <w:pPr>
              <w:spacing w:after="20" w:line="240" w:lineRule="auto"/>
              <w:rPr>
                <w:rFonts w:cs="Arial"/>
              </w:rPr>
            </w:pPr>
            <w:r w:rsidRPr="00493E39">
              <w:rPr>
                <w:rFonts w:cs="Arial"/>
                <w:sz w:val="18"/>
              </w:rPr>
              <w:t xml:space="preserve">IPCA </w:t>
            </w:r>
            <w:proofErr w:type="spellStart"/>
            <w:r w:rsidRPr="00493E39">
              <w:rPr>
                <w:rFonts w:cs="Arial"/>
                <w:sz w:val="18"/>
              </w:rPr>
              <w:t>Transportes</w:t>
            </w:r>
            <w:proofErr w:type="spellEnd"/>
          </w:p>
        </w:tc>
        <w:tc>
          <w:tcPr>
            <w:tcW w:w="700" w:type="dxa"/>
          </w:tcPr>
          <w:p w14:paraId="1AE2012F" w14:textId="77777777" w:rsidR="00D64459" w:rsidRPr="00493E39" w:rsidRDefault="008B2120">
            <w:pPr>
              <w:spacing w:after="20" w:line="240" w:lineRule="auto"/>
              <w:rPr>
                <w:rFonts w:cs="Arial"/>
              </w:rPr>
            </w:pPr>
            <w:r w:rsidRPr="00493E39">
              <w:rPr>
                <w:rFonts w:cs="Arial"/>
                <w:sz w:val="18"/>
              </w:rPr>
              <w:t>272</w:t>
            </w:r>
          </w:p>
        </w:tc>
        <w:tc>
          <w:tcPr>
            <w:tcW w:w="900" w:type="dxa"/>
          </w:tcPr>
          <w:p w14:paraId="6B542404" w14:textId="77777777" w:rsidR="00D64459" w:rsidRPr="00493E39" w:rsidRDefault="008B2120">
            <w:pPr>
              <w:spacing w:after="20" w:line="240" w:lineRule="auto"/>
              <w:rPr>
                <w:rFonts w:cs="Arial"/>
              </w:rPr>
            </w:pPr>
            <w:r w:rsidRPr="00493E39">
              <w:rPr>
                <w:rFonts w:cs="Arial"/>
                <w:sz w:val="18"/>
              </w:rPr>
              <w:t>0,378</w:t>
            </w:r>
          </w:p>
        </w:tc>
        <w:tc>
          <w:tcPr>
            <w:tcW w:w="900" w:type="dxa"/>
          </w:tcPr>
          <w:p w14:paraId="15F69349" w14:textId="77777777" w:rsidR="00D64459" w:rsidRPr="00493E39" w:rsidRDefault="008B2120">
            <w:pPr>
              <w:spacing w:after="20" w:line="240" w:lineRule="auto"/>
              <w:rPr>
                <w:rFonts w:cs="Arial"/>
              </w:rPr>
            </w:pPr>
            <w:r w:rsidRPr="00493E39">
              <w:rPr>
                <w:rFonts w:cs="Arial"/>
                <w:sz w:val="18"/>
              </w:rPr>
              <w:t>0,895</w:t>
            </w:r>
          </w:p>
        </w:tc>
        <w:tc>
          <w:tcPr>
            <w:tcW w:w="900" w:type="dxa"/>
          </w:tcPr>
          <w:p w14:paraId="2F7D054D" w14:textId="77777777" w:rsidR="00D64459" w:rsidRPr="00493E39" w:rsidRDefault="008B2120">
            <w:pPr>
              <w:spacing w:after="20" w:line="240" w:lineRule="auto"/>
              <w:rPr>
                <w:rFonts w:cs="Arial"/>
              </w:rPr>
            </w:pPr>
            <w:r w:rsidRPr="00493E39">
              <w:rPr>
                <w:rFonts w:cs="Arial"/>
                <w:sz w:val="18"/>
              </w:rPr>
              <w:t>−4,615</w:t>
            </w:r>
          </w:p>
        </w:tc>
        <w:tc>
          <w:tcPr>
            <w:tcW w:w="900" w:type="dxa"/>
          </w:tcPr>
          <w:p w14:paraId="6A413423" w14:textId="77777777" w:rsidR="00D64459" w:rsidRPr="00493E39" w:rsidRDefault="008B2120">
            <w:pPr>
              <w:spacing w:after="20" w:line="240" w:lineRule="auto"/>
              <w:rPr>
                <w:rFonts w:cs="Arial"/>
              </w:rPr>
            </w:pPr>
            <w:r w:rsidRPr="00493E39">
              <w:rPr>
                <w:rFonts w:cs="Arial"/>
                <w:sz w:val="18"/>
              </w:rPr>
              <w:t>0,334</w:t>
            </w:r>
          </w:p>
        </w:tc>
        <w:tc>
          <w:tcPr>
            <w:tcW w:w="900" w:type="dxa"/>
          </w:tcPr>
          <w:p w14:paraId="627A0266" w14:textId="77777777" w:rsidR="00D64459" w:rsidRPr="00493E39" w:rsidRDefault="008B2120">
            <w:pPr>
              <w:spacing w:after="20" w:line="240" w:lineRule="auto"/>
              <w:rPr>
                <w:rFonts w:cs="Arial"/>
              </w:rPr>
            </w:pPr>
            <w:r w:rsidRPr="00493E39">
              <w:rPr>
                <w:rFonts w:cs="Arial"/>
                <w:sz w:val="18"/>
              </w:rPr>
              <w:t>3,739</w:t>
            </w:r>
          </w:p>
        </w:tc>
      </w:tr>
      <w:tr w:rsidR="00D64459" w:rsidRPr="00493E39" w14:paraId="7C4A0365" w14:textId="77777777">
        <w:trPr>
          <w:jc w:val="center"/>
        </w:trPr>
        <w:tc>
          <w:tcPr>
            <w:tcW w:w="3000" w:type="dxa"/>
          </w:tcPr>
          <w:p w14:paraId="0476F1D7" w14:textId="77777777" w:rsidR="00D64459" w:rsidRPr="00493E39" w:rsidRDefault="008B2120">
            <w:pPr>
              <w:spacing w:after="20"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na</w:t>
            </w:r>
            <w:proofErr w:type="spellEnd"/>
            <w:r w:rsidRPr="00493E39">
              <w:rPr>
                <w:rFonts w:cs="Arial"/>
                <w:sz w:val="18"/>
              </w:rPr>
              <w:t xml:space="preserve"> </w:t>
            </w:r>
            <w:proofErr w:type="spellStart"/>
            <w:r w:rsidRPr="00493E39">
              <w:rPr>
                <w:rFonts w:cs="Arial"/>
                <w:sz w:val="18"/>
              </w:rPr>
              <w:t>refinaria</w:t>
            </w:r>
            <w:proofErr w:type="spellEnd"/>
          </w:p>
        </w:tc>
        <w:tc>
          <w:tcPr>
            <w:tcW w:w="700" w:type="dxa"/>
          </w:tcPr>
          <w:p w14:paraId="62288A43" w14:textId="77777777" w:rsidR="00D64459" w:rsidRPr="00493E39" w:rsidRDefault="008B2120">
            <w:pPr>
              <w:spacing w:after="20" w:line="240" w:lineRule="auto"/>
              <w:rPr>
                <w:rFonts w:cs="Arial"/>
              </w:rPr>
            </w:pPr>
            <w:r w:rsidRPr="00493E39">
              <w:rPr>
                <w:rFonts w:cs="Arial"/>
                <w:sz w:val="18"/>
              </w:rPr>
              <w:t>272</w:t>
            </w:r>
          </w:p>
        </w:tc>
        <w:tc>
          <w:tcPr>
            <w:tcW w:w="900" w:type="dxa"/>
          </w:tcPr>
          <w:p w14:paraId="484D1F48" w14:textId="77777777" w:rsidR="00D64459" w:rsidRPr="00493E39" w:rsidRDefault="008B2120">
            <w:pPr>
              <w:spacing w:after="20" w:line="240" w:lineRule="auto"/>
              <w:rPr>
                <w:rFonts w:cs="Arial"/>
              </w:rPr>
            </w:pPr>
            <w:r w:rsidRPr="00493E39">
              <w:rPr>
                <w:rFonts w:cs="Arial"/>
                <w:sz w:val="18"/>
              </w:rPr>
              <w:t>0,450</w:t>
            </w:r>
          </w:p>
        </w:tc>
        <w:tc>
          <w:tcPr>
            <w:tcW w:w="900" w:type="dxa"/>
          </w:tcPr>
          <w:p w14:paraId="51B5D90F" w14:textId="77777777" w:rsidR="00D64459" w:rsidRPr="00493E39" w:rsidRDefault="008B2120">
            <w:pPr>
              <w:spacing w:after="20" w:line="240" w:lineRule="auto"/>
              <w:rPr>
                <w:rFonts w:cs="Arial"/>
              </w:rPr>
            </w:pPr>
            <w:r w:rsidRPr="00493E39">
              <w:rPr>
                <w:rFonts w:cs="Arial"/>
                <w:sz w:val="18"/>
              </w:rPr>
              <w:t>5,075</w:t>
            </w:r>
          </w:p>
        </w:tc>
        <w:tc>
          <w:tcPr>
            <w:tcW w:w="900" w:type="dxa"/>
          </w:tcPr>
          <w:p w14:paraId="4854EE5D" w14:textId="77777777" w:rsidR="00D64459" w:rsidRPr="00493E39" w:rsidRDefault="008B2120">
            <w:pPr>
              <w:spacing w:after="20" w:line="240" w:lineRule="auto"/>
              <w:rPr>
                <w:rFonts w:cs="Arial"/>
              </w:rPr>
            </w:pPr>
            <w:r w:rsidRPr="00493E39">
              <w:rPr>
                <w:rFonts w:cs="Arial"/>
                <w:sz w:val="18"/>
              </w:rPr>
              <w:t>−37,071</w:t>
            </w:r>
          </w:p>
        </w:tc>
        <w:tc>
          <w:tcPr>
            <w:tcW w:w="900" w:type="dxa"/>
          </w:tcPr>
          <w:p w14:paraId="7D493E6C" w14:textId="77777777" w:rsidR="00D64459" w:rsidRPr="00493E39" w:rsidRDefault="008B2120">
            <w:pPr>
              <w:spacing w:after="20" w:line="240" w:lineRule="auto"/>
              <w:rPr>
                <w:rFonts w:cs="Arial"/>
              </w:rPr>
            </w:pPr>
            <w:r w:rsidRPr="00493E39">
              <w:rPr>
                <w:rFonts w:cs="Arial"/>
                <w:sz w:val="18"/>
              </w:rPr>
              <w:t>0,065</w:t>
            </w:r>
          </w:p>
        </w:tc>
        <w:tc>
          <w:tcPr>
            <w:tcW w:w="900" w:type="dxa"/>
          </w:tcPr>
          <w:p w14:paraId="7DECB0DD" w14:textId="77777777" w:rsidR="00D64459" w:rsidRPr="00493E39" w:rsidRDefault="008B2120">
            <w:pPr>
              <w:spacing w:after="20" w:line="240" w:lineRule="auto"/>
              <w:rPr>
                <w:rFonts w:cs="Arial"/>
              </w:rPr>
            </w:pPr>
            <w:r w:rsidRPr="00493E39">
              <w:rPr>
                <w:rFonts w:cs="Arial"/>
                <w:sz w:val="18"/>
              </w:rPr>
              <w:t>26,896</w:t>
            </w:r>
          </w:p>
        </w:tc>
      </w:tr>
      <w:tr w:rsidR="00D64459" w:rsidRPr="00493E39" w14:paraId="75083C3D" w14:textId="77777777">
        <w:trPr>
          <w:jc w:val="center"/>
        </w:trPr>
        <w:tc>
          <w:tcPr>
            <w:tcW w:w="3000" w:type="dxa"/>
          </w:tcPr>
          <w:p w14:paraId="3E71364C" w14:textId="77777777" w:rsidR="00D64459" w:rsidRPr="00493E39" w:rsidRDefault="008B2120">
            <w:pPr>
              <w:spacing w:after="20"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ao</w:t>
            </w:r>
            <w:proofErr w:type="spellEnd"/>
            <w:r w:rsidRPr="00493E39">
              <w:rPr>
                <w:rFonts w:cs="Arial"/>
                <w:sz w:val="18"/>
              </w:rPr>
              <w:t xml:space="preserve"> </w:t>
            </w:r>
            <w:proofErr w:type="spellStart"/>
            <w:r w:rsidRPr="00493E39">
              <w:rPr>
                <w:rFonts w:cs="Arial"/>
                <w:sz w:val="18"/>
              </w:rPr>
              <w:t>consumidor</w:t>
            </w:r>
            <w:proofErr w:type="spellEnd"/>
          </w:p>
        </w:tc>
        <w:tc>
          <w:tcPr>
            <w:tcW w:w="700" w:type="dxa"/>
          </w:tcPr>
          <w:p w14:paraId="183CDE26" w14:textId="77777777" w:rsidR="00D64459" w:rsidRPr="00493E39" w:rsidRDefault="008B2120">
            <w:pPr>
              <w:spacing w:after="20" w:line="240" w:lineRule="auto"/>
              <w:rPr>
                <w:rFonts w:cs="Arial"/>
              </w:rPr>
            </w:pPr>
            <w:r w:rsidRPr="00493E39">
              <w:rPr>
                <w:rFonts w:cs="Arial"/>
                <w:sz w:val="18"/>
              </w:rPr>
              <w:t>272</w:t>
            </w:r>
          </w:p>
        </w:tc>
        <w:tc>
          <w:tcPr>
            <w:tcW w:w="900" w:type="dxa"/>
          </w:tcPr>
          <w:p w14:paraId="722317CA" w14:textId="77777777" w:rsidR="00D64459" w:rsidRPr="00493E39" w:rsidRDefault="008B2120">
            <w:pPr>
              <w:spacing w:after="20" w:line="240" w:lineRule="auto"/>
              <w:rPr>
                <w:rFonts w:cs="Arial"/>
              </w:rPr>
            </w:pPr>
            <w:r w:rsidRPr="00493E39">
              <w:rPr>
                <w:rFonts w:cs="Arial"/>
                <w:sz w:val="18"/>
              </w:rPr>
              <w:t>0,397</w:t>
            </w:r>
          </w:p>
        </w:tc>
        <w:tc>
          <w:tcPr>
            <w:tcW w:w="900" w:type="dxa"/>
          </w:tcPr>
          <w:p w14:paraId="4754A53B" w14:textId="77777777" w:rsidR="00D64459" w:rsidRPr="00493E39" w:rsidRDefault="008B2120">
            <w:pPr>
              <w:spacing w:after="20" w:line="240" w:lineRule="auto"/>
              <w:rPr>
                <w:rFonts w:cs="Arial"/>
              </w:rPr>
            </w:pPr>
            <w:r w:rsidRPr="00493E39">
              <w:rPr>
                <w:rFonts w:cs="Arial"/>
                <w:sz w:val="18"/>
              </w:rPr>
              <w:t>2,524</w:t>
            </w:r>
          </w:p>
        </w:tc>
        <w:tc>
          <w:tcPr>
            <w:tcW w:w="900" w:type="dxa"/>
          </w:tcPr>
          <w:p w14:paraId="1553A439" w14:textId="77777777" w:rsidR="00D64459" w:rsidRPr="00493E39" w:rsidRDefault="008B2120">
            <w:pPr>
              <w:spacing w:after="20" w:line="240" w:lineRule="auto"/>
              <w:rPr>
                <w:rFonts w:cs="Arial"/>
              </w:rPr>
            </w:pPr>
            <w:r w:rsidRPr="00493E39">
              <w:rPr>
                <w:rFonts w:cs="Arial"/>
                <w:sz w:val="18"/>
              </w:rPr>
              <w:t>−16,818</w:t>
            </w:r>
          </w:p>
        </w:tc>
        <w:tc>
          <w:tcPr>
            <w:tcW w:w="900" w:type="dxa"/>
          </w:tcPr>
          <w:p w14:paraId="44CFE5BD" w14:textId="77777777" w:rsidR="00D64459" w:rsidRPr="00493E39" w:rsidRDefault="008B2120">
            <w:pPr>
              <w:spacing w:after="20" w:line="240" w:lineRule="auto"/>
              <w:rPr>
                <w:rFonts w:cs="Arial"/>
              </w:rPr>
            </w:pPr>
            <w:r w:rsidRPr="00493E39">
              <w:rPr>
                <w:rFonts w:cs="Arial"/>
                <w:sz w:val="18"/>
              </w:rPr>
              <w:t>0,200</w:t>
            </w:r>
          </w:p>
        </w:tc>
        <w:tc>
          <w:tcPr>
            <w:tcW w:w="900" w:type="dxa"/>
          </w:tcPr>
          <w:p w14:paraId="76AD64FD" w14:textId="77777777" w:rsidR="00D64459" w:rsidRPr="00493E39" w:rsidRDefault="008B2120">
            <w:pPr>
              <w:spacing w:after="20" w:line="240" w:lineRule="auto"/>
              <w:rPr>
                <w:rFonts w:cs="Arial"/>
              </w:rPr>
            </w:pPr>
            <w:r w:rsidRPr="00493E39">
              <w:rPr>
                <w:rFonts w:cs="Arial"/>
                <w:sz w:val="18"/>
              </w:rPr>
              <w:t>10,670</w:t>
            </w:r>
          </w:p>
        </w:tc>
      </w:tr>
      <w:tr w:rsidR="00D64459" w:rsidRPr="00493E39" w14:paraId="551AA474" w14:textId="77777777">
        <w:trPr>
          <w:jc w:val="center"/>
        </w:trPr>
        <w:tc>
          <w:tcPr>
            <w:tcW w:w="3000" w:type="dxa"/>
          </w:tcPr>
          <w:p w14:paraId="57FBD397" w14:textId="77777777" w:rsidR="00D64459" w:rsidRPr="00493E39" w:rsidRDefault="008B2120">
            <w:pPr>
              <w:spacing w:after="20" w:line="240" w:lineRule="auto"/>
              <w:rPr>
                <w:rFonts w:cs="Arial"/>
              </w:rPr>
            </w:pPr>
            <w:proofErr w:type="spellStart"/>
            <w:r w:rsidRPr="00493E39">
              <w:rPr>
                <w:rFonts w:cs="Arial"/>
                <w:sz w:val="18"/>
              </w:rPr>
              <w:t>Óleo</w:t>
            </w:r>
            <w:proofErr w:type="spellEnd"/>
            <w:r w:rsidRPr="00493E39">
              <w:rPr>
                <w:rFonts w:cs="Arial"/>
                <w:sz w:val="18"/>
              </w:rPr>
              <w:t xml:space="preserve"> diesel</w:t>
            </w:r>
          </w:p>
        </w:tc>
        <w:tc>
          <w:tcPr>
            <w:tcW w:w="700" w:type="dxa"/>
          </w:tcPr>
          <w:p w14:paraId="72F12331" w14:textId="77777777" w:rsidR="00D64459" w:rsidRPr="00493E39" w:rsidRDefault="008B2120">
            <w:pPr>
              <w:spacing w:after="20" w:line="240" w:lineRule="auto"/>
              <w:rPr>
                <w:rFonts w:cs="Arial"/>
              </w:rPr>
            </w:pPr>
            <w:r w:rsidRPr="00493E39">
              <w:rPr>
                <w:rFonts w:cs="Arial"/>
                <w:sz w:val="18"/>
              </w:rPr>
              <w:t>272</w:t>
            </w:r>
          </w:p>
        </w:tc>
        <w:tc>
          <w:tcPr>
            <w:tcW w:w="900" w:type="dxa"/>
          </w:tcPr>
          <w:p w14:paraId="27DFF8C0" w14:textId="77777777" w:rsidR="00D64459" w:rsidRPr="00493E39" w:rsidRDefault="008B2120">
            <w:pPr>
              <w:spacing w:after="20" w:line="240" w:lineRule="auto"/>
              <w:rPr>
                <w:rFonts w:cs="Arial"/>
              </w:rPr>
            </w:pPr>
            <w:r w:rsidRPr="00493E39">
              <w:rPr>
                <w:rFonts w:cs="Arial"/>
                <w:sz w:val="18"/>
              </w:rPr>
              <w:t>0,516</w:t>
            </w:r>
          </w:p>
        </w:tc>
        <w:tc>
          <w:tcPr>
            <w:tcW w:w="900" w:type="dxa"/>
          </w:tcPr>
          <w:p w14:paraId="5656B198" w14:textId="77777777" w:rsidR="00D64459" w:rsidRPr="00493E39" w:rsidRDefault="008B2120">
            <w:pPr>
              <w:spacing w:after="20" w:line="240" w:lineRule="auto"/>
              <w:rPr>
                <w:rFonts w:cs="Arial"/>
              </w:rPr>
            </w:pPr>
            <w:r w:rsidRPr="00493E39">
              <w:rPr>
                <w:rFonts w:cs="Arial"/>
                <w:sz w:val="18"/>
              </w:rPr>
              <w:t>2,284</w:t>
            </w:r>
          </w:p>
        </w:tc>
        <w:tc>
          <w:tcPr>
            <w:tcW w:w="900" w:type="dxa"/>
          </w:tcPr>
          <w:p w14:paraId="56E7F7DF" w14:textId="77777777" w:rsidR="00D64459" w:rsidRPr="00493E39" w:rsidRDefault="008B2120">
            <w:pPr>
              <w:spacing w:after="20" w:line="240" w:lineRule="auto"/>
              <w:rPr>
                <w:rFonts w:cs="Arial"/>
              </w:rPr>
            </w:pPr>
            <w:r w:rsidRPr="00493E39">
              <w:rPr>
                <w:rFonts w:cs="Arial"/>
                <w:sz w:val="18"/>
              </w:rPr>
              <w:t>−6,914</w:t>
            </w:r>
          </w:p>
        </w:tc>
        <w:tc>
          <w:tcPr>
            <w:tcW w:w="900" w:type="dxa"/>
          </w:tcPr>
          <w:p w14:paraId="1C1D162F" w14:textId="77777777" w:rsidR="00D64459" w:rsidRPr="00493E39" w:rsidRDefault="008B2120">
            <w:pPr>
              <w:spacing w:after="20" w:line="240" w:lineRule="auto"/>
              <w:rPr>
                <w:rFonts w:cs="Arial"/>
              </w:rPr>
            </w:pPr>
            <w:r w:rsidRPr="00493E39">
              <w:rPr>
                <w:rFonts w:cs="Arial"/>
                <w:sz w:val="18"/>
              </w:rPr>
              <w:t>0,110</w:t>
            </w:r>
          </w:p>
        </w:tc>
        <w:tc>
          <w:tcPr>
            <w:tcW w:w="900" w:type="dxa"/>
          </w:tcPr>
          <w:p w14:paraId="22E8B955" w14:textId="77777777" w:rsidR="00D64459" w:rsidRPr="00493E39" w:rsidRDefault="008B2120">
            <w:pPr>
              <w:spacing w:after="20" w:line="240" w:lineRule="auto"/>
              <w:rPr>
                <w:rFonts w:cs="Arial"/>
              </w:rPr>
            </w:pPr>
            <w:r w:rsidRPr="00493E39">
              <w:rPr>
                <w:rFonts w:cs="Arial"/>
                <w:sz w:val="18"/>
              </w:rPr>
              <w:t>12,795</w:t>
            </w:r>
          </w:p>
        </w:tc>
      </w:tr>
      <w:tr w:rsidR="00D64459" w:rsidRPr="00493E39" w14:paraId="150007FD" w14:textId="77777777">
        <w:trPr>
          <w:jc w:val="center"/>
        </w:trPr>
        <w:tc>
          <w:tcPr>
            <w:tcW w:w="3000" w:type="dxa"/>
          </w:tcPr>
          <w:p w14:paraId="7A23E747" w14:textId="77777777" w:rsidR="00D64459" w:rsidRPr="00493E39" w:rsidRDefault="008B2120">
            <w:pPr>
              <w:spacing w:after="20" w:line="240" w:lineRule="auto"/>
              <w:rPr>
                <w:rFonts w:cs="Arial"/>
              </w:rPr>
            </w:pPr>
            <w:proofErr w:type="spellStart"/>
            <w:r w:rsidRPr="00493E39">
              <w:rPr>
                <w:rFonts w:cs="Arial"/>
                <w:sz w:val="18"/>
              </w:rPr>
              <w:t>Etanol</w:t>
            </w:r>
            <w:proofErr w:type="spellEnd"/>
          </w:p>
        </w:tc>
        <w:tc>
          <w:tcPr>
            <w:tcW w:w="700" w:type="dxa"/>
          </w:tcPr>
          <w:p w14:paraId="4E6C99A2" w14:textId="77777777" w:rsidR="00D64459" w:rsidRPr="00493E39" w:rsidRDefault="008B2120">
            <w:pPr>
              <w:spacing w:after="20" w:line="240" w:lineRule="auto"/>
              <w:rPr>
                <w:rFonts w:cs="Arial"/>
              </w:rPr>
            </w:pPr>
            <w:r w:rsidRPr="00493E39">
              <w:rPr>
                <w:rFonts w:cs="Arial"/>
                <w:sz w:val="18"/>
              </w:rPr>
              <w:t>272</w:t>
            </w:r>
          </w:p>
        </w:tc>
        <w:tc>
          <w:tcPr>
            <w:tcW w:w="900" w:type="dxa"/>
          </w:tcPr>
          <w:p w14:paraId="374ECC05" w14:textId="77777777" w:rsidR="00D64459" w:rsidRPr="00493E39" w:rsidRDefault="008B2120">
            <w:pPr>
              <w:spacing w:after="20" w:line="240" w:lineRule="auto"/>
              <w:rPr>
                <w:rFonts w:cs="Arial"/>
              </w:rPr>
            </w:pPr>
            <w:r w:rsidRPr="00493E39">
              <w:rPr>
                <w:rFonts w:cs="Arial"/>
                <w:sz w:val="18"/>
              </w:rPr>
              <w:t>0,449</w:t>
            </w:r>
          </w:p>
        </w:tc>
        <w:tc>
          <w:tcPr>
            <w:tcW w:w="900" w:type="dxa"/>
          </w:tcPr>
          <w:p w14:paraId="64F5B26E" w14:textId="77777777" w:rsidR="00D64459" w:rsidRPr="00493E39" w:rsidRDefault="008B2120">
            <w:pPr>
              <w:spacing w:after="20" w:line="240" w:lineRule="auto"/>
              <w:rPr>
                <w:rFonts w:cs="Arial"/>
              </w:rPr>
            </w:pPr>
            <w:r w:rsidRPr="00493E39">
              <w:rPr>
                <w:rFonts w:cs="Arial"/>
                <w:sz w:val="18"/>
              </w:rPr>
              <w:t>4,762</w:t>
            </w:r>
          </w:p>
        </w:tc>
        <w:tc>
          <w:tcPr>
            <w:tcW w:w="900" w:type="dxa"/>
          </w:tcPr>
          <w:p w14:paraId="40CB2544" w14:textId="77777777" w:rsidR="00D64459" w:rsidRPr="00493E39" w:rsidRDefault="008B2120">
            <w:pPr>
              <w:spacing w:after="20" w:line="240" w:lineRule="auto"/>
              <w:rPr>
                <w:rFonts w:cs="Arial"/>
              </w:rPr>
            </w:pPr>
            <w:r w:rsidRPr="00493E39">
              <w:rPr>
                <w:rFonts w:cs="Arial"/>
                <w:sz w:val="18"/>
              </w:rPr>
              <w:t>−14,514</w:t>
            </w:r>
          </w:p>
        </w:tc>
        <w:tc>
          <w:tcPr>
            <w:tcW w:w="900" w:type="dxa"/>
          </w:tcPr>
          <w:p w14:paraId="4C616C7B" w14:textId="77777777" w:rsidR="00D64459" w:rsidRPr="00493E39" w:rsidRDefault="008B2120">
            <w:pPr>
              <w:spacing w:after="20" w:line="240" w:lineRule="auto"/>
              <w:rPr>
                <w:rFonts w:cs="Arial"/>
              </w:rPr>
            </w:pPr>
            <w:r w:rsidRPr="00493E39">
              <w:rPr>
                <w:rFonts w:cs="Arial"/>
                <w:sz w:val="18"/>
              </w:rPr>
              <w:t>0,608</w:t>
            </w:r>
          </w:p>
        </w:tc>
        <w:tc>
          <w:tcPr>
            <w:tcW w:w="900" w:type="dxa"/>
          </w:tcPr>
          <w:p w14:paraId="508B8F29" w14:textId="77777777" w:rsidR="00D64459" w:rsidRPr="00493E39" w:rsidRDefault="008B2120">
            <w:pPr>
              <w:spacing w:after="20" w:line="240" w:lineRule="auto"/>
              <w:rPr>
                <w:rFonts w:cs="Arial"/>
              </w:rPr>
            </w:pPr>
            <w:r w:rsidRPr="00493E39">
              <w:rPr>
                <w:rFonts w:cs="Arial"/>
                <w:sz w:val="18"/>
              </w:rPr>
              <w:t>12,151</w:t>
            </w:r>
          </w:p>
        </w:tc>
      </w:tr>
      <w:tr w:rsidR="00D64459" w:rsidRPr="00493E39" w14:paraId="291B059E" w14:textId="77777777">
        <w:trPr>
          <w:jc w:val="center"/>
        </w:trPr>
        <w:tc>
          <w:tcPr>
            <w:tcW w:w="3000" w:type="dxa"/>
          </w:tcPr>
          <w:p w14:paraId="3D3F448F" w14:textId="77777777" w:rsidR="00D64459" w:rsidRPr="00493E39" w:rsidRDefault="008B2120">
            <w:pPr>
              <w:spacing w:after="20" w:line="240" w:lineRule="auto"/>
              <w:rPr>
                <w:rFonts w:cs="Arial"/>
              </w:rPr>
            </w:pPr>
            <w:proofErr w:type="spellStart"/>
            <w:r w:rsidRPr="00493E39">
              <w:rPr>
                <w:rFonts w:cs="Arial"/>
                <w:sz w:val="18"/>
              </w:rPr>
              <w:t>Câmbio</w:t>
            </w:r>
            <w:proofErr w:type="spellEnd"/>
            <w:r w:rsidRPr="00493E39">
              <w:rPr>
                <w:rFonts w:cs="Arial"/>
                <w:sz w:val="18"/>
              </w:rPr>
              <w:t xml:space="preserve"> (</w:t>
            </w:r>
            <w:proofErr w:type="spellStart"/>
            <w:r w:rsidRPr="00493E39">
              <w:rPr>
                <w:rFonts w:cs="Arial"/>
                <w:sz w:val="18"/>
              </w:rPr>
              <w:t>variação</w:t>
            </w:r>
            <w:proofErr w:type="spellEnd"/>
            <w:r w:rsidRPr="00493E39">
              <w:rPr>
                <w:rFonts w:cs="Arial"/>
                <w:sz w:val="18"/>
              </w:rPr>
              <w:t>)</w:t>
            </w:r>
          </w:p>
        </w:tc>
        <w:tc>
          <w:tcPr>
            <w:tcW w:w="700" w:type="dxa"/>
          </w:tcPr>
          <w:p w14:paraId="3F35FF03" w14:textId="77777777" w:rsidR="00D64459" w:rsidRPr="00493E39" w:rsidRDefault="008B2120">
            <w:pPr>
              <w:spacing w:after="20" w:line="240" w:lineRule="auto"/>
              <w:rPr>
                <w:rFonts w:cs="Arial"/>
              </w:rPr>
            </w:pPr>
            <w:r w:rsidRPr="00493E39">
              <w:rPr>
                <w:rFonts w:cs="Arial"/>
                <w:sz w:val="18"/>
              </w:rPr>
              <w:t>272</w:t>
            </w:r>
          </w:p>
        </w:tc>
        <w:tc>
          <w:tcPr>
            <w:tcW w:w="900" w:type="dxa"/>
          </w:tcPr>
          <w:p w14:paraId="1584E07F" w14:textId="77777777" w:rsidR="00D64459" w:rsidRPr="00493E39" w:rsidRDefault="008B2120">
            <w:pPr>
              <w:spacing w:after="20" w:line="240" w:lineRule="auto"/>
              <w:rPr>
                <w:rFonts w:cs="Arial"/>
              </w:rPr>
            </w:pPr>
            <w:r w:rsidRPr="00493E39">
              <w:rPr>
                <w:rFonts w:cs="Arial"/>
                <w:sz w:val="18"/>
              </w:rPr>
              <w:t>0,164</w:t>
            </w:r>
          </w:p>
        </w:tc>
        <w:tc>
          <w:tcPr>
            <w:tcW w:w="900" w:type="dxa"/>
          </w:tcPr>
          <w:p w14:paraId="25A529C7" w14:textId="77777777" w:rsidR="00D64459" w:rsidRPr="00493E39" w:rsidRDefault="008B2120">
            <w:pPr>
              <w:spacing w:after="20" w:line="240" w:lineRule="auto"/>
              <w:rPr>
                <w:rFonts w:cs="Arial"/>
              </w:rPr>
            </w:pPr>
            <w:r w:rsidRPr="00493E39">
              <w:rPr>
                <w:rFonts w:cs="Arial"/>
                <w:sz w:val="18"/>
              </w:rPr>
              <w:t>3,612</w:t>
            </w:r>
          </w:p>
        </w:tc>
        <w:tc>
          <w:tcPr>
            <w:tcW w:w="900" w:type="dxa"/>
          </w:tcPr>
          <w:p w14:paraId="4C406F44" w14:textId="77777777" w:rsidR="00D64459" w:rsidRPr="00493E39" w:rsidRDefault="008B2120">
            <w:pPr>
              <w:spacing w:after="20" w:line="240" w:lineRule="auto"/>
              <w:rPr>
                <w:rFonts w:cs="Arial"/>
              </w:rPr>
            </w:pPr>
            <w:r w:rsidRPr="00493E39">
              <w:rPr>
                <w:rFonts w:cs="Arial"/>
                <w:sz w:val="18"/>
              </w:rPr>
              <w:t>−10,006</w:t>
            </w:r>
          </w:p>
        </w:tc>
        <w:tc>
          <w:tcPr>
            <w:tcW w:w="900" w:type="dxa"/>
          </w:tcPr>
          <w:p w14:paraId="5EF9517A" w14:textId="77777777" w:rsidR="00D64459" w:rsidRPr="00493E39" w:rsidRDefault="008B2120">
            <w:pPr>
              <w:spacing w:after="20" w:line="240" w:lineRule="auto"/>
              <w:rPr>
                <w:rFonts w:cs="Arial"/>
              </w:rPr>
            </w:pPr>
            <w:r w:rsidRPr="00493E39">
              <w:rPr>
                <w:rFonts w:cs="Arial"/>
                <w:sz w:val="18"/>
              </w:rPr>
              <w:t>−0,198</w:t>
            </w:r>
          </w:p>
        </w:tc>
        <w:tc>
          <w:tcPr>
            <w:tcW w:w="900" w:type="dxa"/>
          </w:tcPr>
          <w:p w14:paraId="1DB7A3FE" w14:textId="77777777" w:rsidR="00D64459" w:rsidRPr="00493E39" w:rsidRDefault="008B2120">
            <w:pPr>
              <w:spacing w:after="20" w:line="240" w:lineRule="auto"/>
              <w:rPr>
                <w:rFonts w:cs="Arial"/>
              </w:rPr>
            </w:pPr>
            <w:r w:rsidRPr="00493E39">
              <w:rPr>
                <w:rFonts w:cs="Arial"/>
                <w:sz w:val="18"/>
              </w:rPr>
              <w:t>18,850</w:t>
            </w:r>
          </w:p>
        </w:tc>
      </w:tr>
      <w:tr w:rsidR="00D64459" w:rsidRPr="00493E39" w14:paraId="44F85F9A" w14:textId="77777777">
        <w:trPr>
          <w:jc w:val="center"/>
        </w:trPr>
        <w:tc>
          <w:tcPr>
            <w:tcW w:w="3000" w:type="dxa"/>
          </w:tcPr>
          <w:p w14:paraId="0CB336AC" w14:textId="77777777" w:rsidR="00D64459" w:rsidRPr="00493E39" w:rsidRDefault="008B2120">
            <w:pPr>
              <w:spacing w:after="20" w:line="240" w:lineRule="auto"/>
              <w:rPr>
                <w:rFonts w:cs="Arial"/>
              </w:rPr>
            </w:pPr>
            <w:proofErr w:type="spellStart"/>
            <w:r w:rsidRPr="00493E39">
              <w:rPr>
                <w:rFonts w:cs="Arial"/>
                <w:sz w:val="18"/>
              </w:rPr>
              <w:t>Atividade</w:t>
            </w:r>
            <w:proofErr w:type="spellEnd"/>
            <w:r w:rsidRPr="00493E39">
              <w:rPr>
                <w:rFonts w:cs="Arial"/>
                <w:sz w:val="18"/>
              </w:rPr>
              <w:t xml:space="preserve"> (</w:t>
            </w:r>
            <w:proofErr w:type="spellStart"/>
            <w:r w:rsidRPr="00493E39">
              <w:rPr>
                <w:rFonts w:cs="Arial"/>
                <w:sz w:val="18"/>
              </w:rPr>
              <w:t>variação</w:t>
            </w:r>
            <w:proofErr w:type="spellEnd"/>
            <w:r w:rsidRPr="00493E39">
              <w:rPr>
                <w:rFonts w:cs="Arial"/>
                <w:sz w:val="18"/>
              </w:rPr>
              <w:t>)</w:t>
            </w:r>
          </w:p>
        </w:tc>
        <w:tc>
          <w:tcPr>
            <w:tcW w:w="700" w:type="dxa"/>
          </w:tcPr>
          <w:p w14:paraId="524527C5" w14:textId="77777777" w:rsidR="00D64459" w:rsidRPr="00493E39" w:rsidRDefault="008B2120">
            <w:pPr>
              <w:spacing w:after="20" w:line="240" w:lineRule="auto"/>
              <w:rPr>
                <w:rFonts w:cs="Arial"/>
              </w:rPr>
            </w:pPr>
            <w:r w:rsidRPr="00493E39">
              <w:rPr>
                <w:rFonts w:cs="Arial"/>
                <w:sz w:val="18"/>
              </w:rPr>
              <w:t>272</w:t>
            </w:r>
          </w:p>
        </w:tc>
        <w:tc>
          <w:tcPr>
            <w:tcW w:w="900" w:type="dxa"/>
          </w:tcPr>
          <w:p w14:paraId="42138EC0" w14:textId="77777777" w:rsidR="00D64459" w:rsidRPr="00493E39" w:rsidRDefault="008B2120">
            <w:pPr>
              <w:spacing w:after="20" w:line="240" w:lineRule="auto"/>
              <w:rPr>
                <w:rFonts w:cs="Arial"/>
              </w:rPr>
            </w:pPr>
            <w:r w:rsidRPr="00493E39">
              <w:rPr>
                <w:rFonts w:cs="Arial"/>
                <w:sz w:val="18"/>
              </w:rPr>
              <w:t>0,159</w:t>
            </w:r>
          </w:p>
        </w:tc>
        <w:tc>
          <w:tcPr>
            <w:tcW w:w="900" w:type="dxa"/>
          </w:tcPr>
          <w:p w14:paraId="035841F5" w14:textId="77777777" w:rsidR="00D64459" w:rsidRPr="00493E39" w:rsidRDefault="008B2120">
            <w:pPr>
              <w:spacing w:after="20" w:line="240" w:lineRule="auto"/>
              <w:rPr>
                <w:rFonts w:cs="Arial"/>
              </w:rPr>
            </w:pPr>
            <w:r w:rsidRPr="00493E39">
              <w:rPr>
                <w:rFonts w:cs="Arial"/>
                <w:sz w:val="18"/>
              </w:rPr>
              <w:t>1,171</w:t>
            </w:r>
          </w:p>
        </w:tc>
        <w:tc>
          <w:tcPr>
            <w:tcW w:w="900" w:type="dxa"/>
          </w:tcPr>
          <w:p w14:paraId="6BE6FE30" w14:textId="77777777" w:rsidR="00D64459" w:rsidRPr="00493E39" w:rsidRDefault="008B2120">
            <w:pPr>
              <w:spacing w:after="20" w:line="240" w:lineRule="auto"/>
              <w:rPr>
                <w:rFonts w:cs="Arial"/>
              </w:rPr>
            </w:pPr>
            <w:r w:rsidRPr="00493E39">
              <w:rPr>
                <w:rFonts w:cs="Arial"/>
                <w:sz w:val="18"/>
              </w:rPr>
              <w:t>−9,489</w:t>
            </w:r>
          </w:p>
        </w:tc>
        <w:tc>
          <w:tcPr>
            <w:tcW w:w="900" w:type="dxa"/>
          </w:tcPr>
          <w:p w14:paraId="17B25B65" w14:textId="77777777" w:rsidR="00D64459" w:rsidRPr="00493E39" w:rsidRDefault="008B2120">
            <w:pPr>
              <w:spacing w:after="20" w:line="240" w:lineRule="auto"/>
              <w:rPr>
                <w:rFonts w:cs="Arial"/>
              </w:rPr>
            </w:pPr>
            <w:r w:rsidRPr="00493E39">
              <w:rPr>
                <w:rFonts w:cs="Arial"/>
                <w:sz w:val="18"/>
              </w:rPr>
              <w:t>0,168</w:t>
            </w:r>
          </w:p>
        </w:tc>
        <w:tc>
          <w:tcPr>
            <w:tcW w:w="900" w:type="dxa"/>
          </w:tcPr>
          <w:p w14:paraId="3068F128" w14:textId="77777777" w:rsidR="00D64459" w:rsidRPr="00493E39" w:rsidRDefault="008B2120">
            <w:pPr>
              <w:spacing w:after="20" w:line="240" w:lineRule="auto"/>
              <w:rPr>
                <w:rFonts w:cs="Arial"/>
              </w:rPr>
            </w:pPr>
            <w:r w:rsidRPr="00493E39">
              <w:rPr>
                <w:rFonts w:cs="Arial"/>
                <w:sz w:val="18"/>
              </w:rPr>
              <w:t>4,344</w:t>
            </w:r>
          </w:p>
        </w:tc>
      </w:tr>
      <w:tr w:rsidR="00D64459" w:rsidRPr="00493E39" w14:paraId="4EE08EBD" w14:textId="77777777">
        <w:trPr>
          <w:jc w:val="center"/>
        </w:trPr>
        <w:tc>
          <w:tcPr>
            <w:tcW w:w="3000" w:type="dxa"/>
          </w:tcPr>
          <w:p w14:paraId="07786925" w14:textId="77777777" w:rsidR="00D64459" w:rsidRPr="00493E39" w:rsidRDefault="008B2120">
            <w:pPr>
              <w:spacing w:after="20" w:line="240" w:lineRule="auto"/>
              <w:rPr>
                <w:rFonts w:cs="Arial"/>
              </w:rPr>
            </w:pPr>
            <w:r w:rsidRPr="00493E39">
              <w:rPr>
                <w:rFonts w:cs="Arial"/>
                <w:sz w:val="18"/>
              </w:rPr>
              <w:t>Meta Selic (</w:t>
            </w:r>
            <w:proofErr w:type="spellStart"/>
            <w:r w:rsidRPr="00493E39">
              <w:rPr>
                <w:rFonts w:cs="Arial"/>
                <w:sz w:val="18"/>
              </w:rPr>
              <w:t>nível</w:t>
            </w:r>
            <w:proofErr w:type="spellEnd"/>
            <w:r w:rsidRPr="00493E39">
              <w:rPr>
                <w:rFonts w:cs="Arial"/>
                <w:sz w:val="18"/>
              </w:rPr>
              <w:t xml:space="preserve"> </w:t>
            </w:r>
            <w:proofErr w:type="spellStart"/>
            <w:r w:rsidRPr="00493E39">
              <w:rPr>
                <w:rFonts w:cs="Arial"/>
                <w:sz w:val="18"/>
              </w:rPr>
              <w:t>transformado</w:t>
            </w:r>
            <w:proofErr w:type="spellEnd"/>
            <w:r w:rsidRPr="00493E39">
              <w:rPr>
                <w:rFonts w:cs="Arial"/>
                <w:sz w:val="18"/>
              </w:rPr>
              <w:t>)</w:t>
            </w:r>
          </w:p>
        </w:tc>
        <w:tc>
          <w:tcPr>
            <w:tcW w:w="700" w:type="dxa"/>
          </w:tcPr>
          <w:p w14:paraId="31666DE2" w14:textId="77777777" w:rsidR="00D64459" w:rsidRPr="00493E39" w:rsidRDefault="008B2120">
            <w:pPr>
              <w:spacing w:after="20" w:line="240" w:lineRule="auto"/>
              <w:rPr>
                <w:rFonts w:cs="Arial"/>
              </w:rPr>
            </w:pPr>
            <w:r w:rsidRPr="00493E39">
              <w:rPr>
                <w:rFonts w:cs="Arial"/>
                <w:sz w:val="18"/>
              </w:rPr>
              <w:t>273</w:t>
            </w:r>
          </w:p>
        </w:tc>
        <w:tc>
          <w:tcPr>
            <w:tcW w:w="900" w:type="dxa"/>
          </w:tcPr>
          <w:p w14:paraId="41924ED8" w14:textId="77777777" w:rsidR="00D64459" w:rsidRPr="00493E39" w:rsidRDefault="008B2120">
            <w:pPr>
              <w:spacing w:after="20" w:line="240" w:lineRule="auto"/>
              <w:rPr>
                <w:rFonts w:cs="Arial"/>
              </w:rPr>
            </w:pPr>
            <w:r w:rsidRPr="00493E39">
              <w:rPr>
                <w:rFonts w:cs="Arial"/>
                <w:sz w:val="18"/>
              </w:rPr>
              <w:t>10,868</w:t>
            </w:r>
          </w:p>
        </w:tc>
        <w:tc>
          <w:tcPr>
            <w:tcW w:w="900" w:type="dxa"/>
          </w:tcPr>
          <w:p w14:paraId="24E782D9" w14:textId="77777777" w:rsidR="00D64459" w:rsidRPr="00493E39" w:rsidRDefault="008B2120">
            <w:pPr>
              <w:spacing w:after="20" w:line="240" w:lineRule="auto"/>
              <w:rPr>
                <w:rFonts w:cs="Arial"/>
              </w:rPr>
            </w:pPr>
            <w:r w:rsidRPr="00493E39">
              <w:rPr>
                <w:rFonts w:cs="Arial"/>
                <w:sz w:val="18"/>
              </w:rPr>
              <w:t>4,151</w:t>
            </w:r>
          </w:p>
        </w:tc>
        <w:tc>
          <w:tcPr>
            <w:tcW w:w="900" w:type="dxa"/>
          </w:tcPr>
          <w:p w14:paraId="60937228" w14:textId="77777777" w:rsidR="00D64459" w:rsidRPr="00493E39" w:rsidRDefault="008B2120">
            <w:pPr>
              <w:spacing w:after="20" w:line="240" w:lineRule="auto"/>
              <w:rPr>
                <w:rFonts w:cs="Arial"/>
              </w:rPr>
            </w:pPr>
            <w:r w:rsidRPr="00493E39">
              <w:rPr>
                <w:rFonts w:cs="Arial"/>
                <w:sz w:val="18"/>
              </w:rPr>
              <w:t>1,980</w:t>
            </w:r>
          </w:p>
        </w:tc>
        <w:tc>
          <w:tcPr>
            <w:tcW w:w="900" w:type="dxa"/>
          </w:tcPr>
          <w:p w14:paraId="138F52A2" w14:textId="77777777" w:rsidR="00D64459" w:rsidRPr="00493E39" w:rsidRDefault="008B2120">
            <w:pPr>
              <w:spacing w:after="20" w:line="240" w:lineRule="auto"/>
              <w:rPr>
                <w:rFonts w:cs="Arial"/>
              </w:rPr>
            </w:pPr>
            <w:r w:rsidRPr="00493E39">
              <w:rPr>
                <w:rFonts w:cs="Arial"/>
                <w:sz w:val="18"/>
              </w:rPr>
              <w:t>10,885</w:t>
            </w:r>
          </w:p>
        </w:tc>
        <w:tc>
          <w:tcPr>
            <w:tcW w:w="900" w:type="dxa"/>
          </w:tcPr>
          <w:p w14:paraId="7C61CC1E" w14:textId="77777777" w:rsidR="00D64459" w:rsidRPr="00493E39" w:rsidRDefault="008B2120">
            <w:pPr>
              <w:spacing w:after="20" w:line="240" w:lineRule="auto"/>
              <w:rPr>
                <w:rFonts w:cs="Arial"/>
              </w:rPr>
            </w:pPr>
            <w:r w:rsidRPr="00493E39">
              <w:rPr>
                <w:rFonts w:cs="Arial"/>
                <w:sz w:val="18"/>
              </w:rPr>
              <w:t>23,507</w:t>
            </w:r>
          </w:p>
        </w:tc>
      </w:tr>
      <w:tr w:rsidR="00D64459" w:rsidRPr="00493E39" w14:paraId="00737CFC" w14:textId="77777777">
        <w:trPr>
          <w:jc w:val="center"/>
        </w:trPr>
        <w:tc>
          <w:tcPr>
            <w:tcW w:w="3000" w:type="dxa"/>
            <w:tcBorders>
              <w:bottom w:val="single" w:sz="12" w:space="0" w:color="000000"/>
            </w:tcBorders>
          </w:tcPr>
          <w:p w14:paraId="17D0BB9C" w14:textId="77777777" w:rsidR="00D64459" w:rsidRPr="00493E39" w:rsidRDefault="008B2120">
            <w:pPr>
              <w:spacing w:after="20" w:line="240" w:lineRule="auto"/>
              <w:rPr>
                <w:rFonts w:cs="Arial"/>
              </w:rPr>
            </w:pPr>
            <w:proofErr w:type="spellStart"/>
            <w:r w:rsidRPr="00493E39">
              <w:rPr>
                <w:rFonts w:cs="Arial"/>
                <w:sz w:val="18"/>
              </w:rPr>
              <w:t>Expectativa</w:t>
            </w:r>
            <w:proofErr w:type="spellEnd"/>
            <w:r w:rsidRPr="00493E39">
              <w:rPr>
                <w:rFonts w:cs="Arial"/>
                <w:sz w:val="18"/>
              </w:rPr>
              <w:t xml:space="preserve"> de </w:t>
            </w:r>
            <w:proofErr w:type="spellStart"/>
            <w:r w:rsidRPr="00493E39">
              <w:rPr>
                <w:rFonts w:cs="Arial"/>
                <w:sz w:val="18"/>
              </w:rPr>
              <w:t>inflação</w:t>
            </w:r>
            <w:proofErr w:type="spellEnd"/>
            <w:r w:rsidRPr="00493E39">
              <w:rPr>
                <w:rFonts w:cs="Arial"/>
                <w:sz w:val="18"/>
              </w:rPr>
              <w:t xml:space="preserve"> (</w:t>
            </w:r>
            <w:proofErr w:type="spellStart"/>
            <w:r w:rsidRPr="00493E39">
              <w:rPr>
                <w:rFonts w:cs="Arial"/>
                <w:sz w:val="18"/>
              </w:rPr>
              <w:t>transformada</w:t>
            </w:r>
            <w:proofErr w:type="spellEnd"/>
            <w:r w:rsidRPr="00493E39">
              <w:rPr>
                <w:rFonts w:cs="Arial"/>
                <w:sz w:val="18"/>
              </w:rPr>
              <w:t>)</w:t>
            </w:r>
          </w:p>
        </w:tc>
        <w:tc>
          <w:tcPr>
            <w:tcW w:w="700" w:type="dxa"/>
            <w:tcBorders>
              <w:bottom w:val="single" w:sz="12" w:space="0" w:color="000000"/>
            </w:tcBorders>
          </w:tcPr>
          <w:p w14:paraId="3DBA0612" w14:textId="77777777" w:rsidR="00D64459" w:rsidRPr="00493E39" w:rsidRDefault="008B2120">
            <w:pPr>
              <w:spacing w:after="20" w:line="240" w:lineRule="auto"/>
              <w:rPr>
                <w:rFonts w:cs="Arial"/>
              </w:rPr>
            </w:pPr>
            <w:r w:rsidRPr="00493E39">
              <w:rPr>
                <w:rFonts w:cs="Arial"/>
                <w:sz w:val="18"/>
              </w:rPr>
              <w:t>273</w:t>
            </w:r>
          </w:p>
        </w:tc>
        <w:tc>
          <w:tcPr>
            <w:tcW w:w="900" w:type="dxa"/>
            <w:tcBorders>
              <w:bottom w:val="single" w:sz="12" w:space="0" w:color="000000"/>
            </w:tcBorders>
          </w:tcPr>
          <w:p w14:paraId="2487B56F" w14:textId="77777777" w:rsidR="00D64459" w:rsidRPr="00493E39" w:rsidRDefault="008B2120">
            <w:pPr>
              <w:spacing w:after="20" w:line="240" w:lineRule="auto"/>
              <w:rPr>
                <w:rFonts w:cs="Arial"/>
              </w:rPr>
            </w:pPr>
            <w:r w:rsidRPr="00493E39">
              <w:rPr>
                <w:rFonts w:cs="Arial"/>
                <w:sz w:val="18"/>
              </w:rPr>
              <w:t>4,893</w:t>
            </w:r>
          </w:p>
        </w:tc>
        <w:tc>
          <w:tcPr>
            <w:tcW w:w="900" w:type="dxa"/>
            <w:tcBorders>
              <w:bottom w:val="single" w:sz="12" w:space="0" w:color="000000"/>
            </w:tcBorders>
          </w:tcPr>
          <w:p w14:paraId="05483573" w14:textId="77777777" w:rsidR="00D64459" w:rsidRPr="00493E39" w:rsidRDefault="008B2120">
            <w:pPr>
              <w:spacing w:after="20" w:line="240" w:lineRule="auto"/>
              <w:rPr>
                <w:rFonts w:cs="Arial"/>
              </w:rPr>
            </w:pPr>
            <w:r w:rsidRPr="00493E39">
              <w:rPr>
                <w:rFonts w:cs="Arial"/>
                <w:sz w:val="18"/>
              </w:rPr>
              <w:t>1,146</w:t>
            </w:r>
          </w:p>
        </w:tc>
        <w:tc>
          <w:tcPr>
            <w:tcW w:w="900" w:type="dxa"/>
            <w:tcBorders>
              <w:bottom w:val="single" w:sz="12" w:space="0" w:color="000000"/>
            </w:tcBorders>
          </w:tcPr>
          <w:p w14:paraId="3E373340" w14:textId="77777777" w:rsidR="00D64459" w:rsidRPr="00493E39" w:rsidRDefault="008B2120">
            <w:pPr>
              <w:spacing w:after="20" w:line="240" w:lineRule="auto"/>
              <w:rPr>
                <w:rFonts w:cs="Arial"/>
              </w:rPr>
            </w:pPr>
            <w:r w:rsidRPr="00493E39">
              <w:rPr>
                <w:rFonts w:cs="Arial"/>
                <w:sz w:val="18"/>
              </w:rPr>
              <w:t>2,469</w:t>
            </w:r>
          </w:p>
        </w:tc>
        <w:tc>
          <w:tcPr>
            <w:tcW w:w="900" w:type="dxa"/>
            <w:tcBorders>
              <w:bottom w:val="single" w:sz="12" w:space="0" w:color="000000"/>
            </w:tcBorders>
          </w:tcPr>
          <w:p w14:paraId="66B5FA1C" w14:textId="77777777" w:rsidR="00D64459" w:rsidRPr="00493E39" w:rsidRDefault="008B2120">
            <w:pPr>
              <w:spacing w:after="20" w:line="240" w:lineRule="auto"/>
              <w:rPr>
                <w:rFonts w:cs="Arial"/>
              </w:rPr>
            </w:pPr>
            <w:r w:rsidRPr="00493E39">
              <w:rPr>
                <w:rFonts w:cs="Arial"/>
                <w:sz w:val="18"/>
              </w:rPr>
              <w:t>4,746</w:t>
            </w:r>
          </w:p>
        </w:tc>
        <w:tc>
          <w:tcPr>
            <w:tcW w:w="900" w:type="dxa"/>
            <w:tcBorders>
              <w:bottom w:val="single" w:sz="12" w:space="0" w:color="000000"/>
            </w:tcBorders>
          </w:tcPr>
          <w:p w14:paraId="6E48F888" w14:textId="77777777" w:rsidR="00D64459" w:rsidRPr="00493E39" w:rsidRDefault="008B2120">
            <w:pPr>
              <w:spacing w:after="20" w:line="240" w:lineRule="auto"/>
              <w:rPr>
                <w:rFonts w:cs="Arial"/>
              </w:rPr>
            </w:pPr>
            <w:r w:rsidRPr="00493E39">
              <w:rPr>
                <w:rFonts w:cs="Arial"/>
                <w:sz w:val="18"/>
              </w:rPr>
              <w:t>11,083</w:t>
            </w:r>
          </w:p>
        </w:tc>
      </w:tr>
    </w:tbl>
    <w:p w14:paraId="698E8186" w14:textId="77777777" w:rsidR="00D64459" w:rsidRPr="00493E39" w:rsidRDefault="008B2120">
      <w:pPr>
        <w:spacing w:before="60" w:after="200" w:line="240" w:lineRule="auto"/>
        <w:jc w:val="both"/>
        <w:rPr>
          <w:rFonts w:cs="Arial"/>
          <w:lang w:val="pt-BR"/>
        </w:rPr>
      </w:pPr>
      <w:r w:rsidRPr="00493E39">
        <w:rPr>
          <w:rFonts w:cs="Arial"/>
          <w:sz w:val="18"/>
          <w:lang w:val="pt-BR"/>
        </w:rPr>
        <w:t>Nota: séries na forma em que entram no modelo. As de preço são variações logarítmicas mensais, em pontos; o choque do petróleo é a variação logarítmica do Brent dividida pelo desvio-padrão da janela de referência, de modo que seu desvio-padrão é unitário por construção; meta Selic e expectativa de inflação estão em nível, na transformação 100·ln(1+r/100).</w:t>
      </w:r>
    </w:p>
    <w:p w14:paraId="1B0BD171"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2F6EA03D" w14:textId="77777777" w:rsidR="00D64459" w:rsidRPr="00493E39" w:rsidRDefault="008B2120">
      <w:pPr>
        <w:keepNext/>
        <w:spacing w:before="240" w:after="60" w:line="240" w:lineRule="auto"/>
        <w:rPr>
          <w:rFonts w:cs="Arial"/>
          <w:lang w:val="pt-BR"/>
        </w:rPr>
      </w:pPr>
      <w:r w:rsidRPr="00493E39">
        <w:rPr>
          <w:rFonts w:cs="Arial"/>
          <w:sz w:val="20"/>
          <w:lang w:val="pt-BR"/>
        </w:rPr>
        <w:t>Tabela J.2 – Pesos dos combustíveis na cesta do IPCA, três cenários</w:t>
      </w:r>
    </w:p>
    <w:tbl>
      <w:tblPr>
        <w:tblW w:w="0" w:type="auto"/>
        <w:jc w:val="center"/>
        <w:tblLook w:val="04A0" w:firstRow="1" w:lastRow="0" w:firstColumn="1" w:lastColumn="0" w:noHBand="0" w:noVBand="1"/>
      </w:tblPr>
      <w:tblGrid>
        <w:gridCol w:w="1800"/>
        <w:gridCol w:w="1500"/>
        <w:gridCol w:w="1500"/>
        <w:gridCol w:w="1500"/>
        <w:gridCol w:w="1500"/>
      </w:tblGrid>
      <w:tr w:rsidR="00D64459" w:rsidRPr="00493E39" w14:paraId="6CB988E9" w14:textId="77777777">
        <w:trPr>
          <w:tblHeader/>
          <w:jc w:val="center"/>
        </w:trPr>
        <w:tc>
          <w:tcPr>
            <w:tcW w:w="1800" w:type="dxa"/>
            <w:tcBorders>
              <w:top w:val="single" w:sz="12" w:space="0" w:color="000000"/>
              <w:bottom w:val="single" w:sz="6" w:space="0" w:color="000000"/>
            </w:tcBorders>
          </w:tcPr>
          <w:p w14:paraId="420602E0" w14:textId="77777777" w:rsidR="00D64459" w:rsidRPr="00493E39" w:rsidRDefault="008B2120">
            <w:pPr>
              <w:spacing w:after="20" w:line="240" w:lineRule="auto"/>
              <w:rPr>
                <w:rFonts w:cs="Arial"/>
              </w:rPr>
            </w:pPr>
            <w:proofErr w:type="spellStart"/>
            <w:r w:rsidRPr="00493E39">
              <w:rPr>
                <w:rFonts w:cs="Arial"/>
                <w:b/>
                <w:sz w:val="18"/>
              </w:rPr>
              <w:t>Cenário</w:t>
            </w:r>
            <w:proofErr w:type="spellEnd"/>
          </w:p>
        </w:tc>
        <w:tc>
          <w:tcPr>
            <w:tcW w:w="1500" w:type="dxa"/>
            <w:tcBorders>
              <w:top w:val="single" w:sz="12" w:space="0" w:color="000000"/>
              <w:bottom w:val="single" w:sz="6" w:space="0" w:color="000000"/>
            </w:tcBorders>
          </w:tcPr>
          <w:p w14:paraId="7BA9267C" w14:textId="77777777" w:rsidR="00D64459" w:rsidRPr="00493E39" w:rsidRDefault="008B2120">
            <w:pPr>
              <w:spacing w:after="20" w:line="240" w:lineRule="auto"/>
              <w:rPr>
                <w:rFonts w:cs="Arial"/>
              </w:rPr>
            </w:pPr>
            <w:proofErr w:type="spellStart"/>
            <w:r w:rsidRPr="00493E39">
              <w:rPr>
                <w:rFonts w:cs="Arial"/>
                <w:b/>
                <w:sz w:val="18"/>
              </w:rPr>
              <w:t>Gasolina</w:t>
            </w:r>
            <w:proofErr w:type="spellEnd"/>
          </w:p>
        </w:tc>
        <w:tc>
          <w:tcPr>
            <w:tcW w:w="1500" w:type="dxa"/>
            <w:tcBorders>
              <w:top w:val="single" w:sz="12" w:space="0" w:color="000000"/>
              <w:bottom w:val="single" w:sz="6" w:space="0" w:color="000000"/>
            </w:tcBorders>
          </w:tcPr>
          <w:p w14:paraId="23365E75" w14:textId="77777777" w:rsidR="00D64459" w:rsidRPr="00493E39" w:rsidRDefault="008B2120">
            <w:pPr>
              <w:spacing w:after="20" w:line="240" w:lineRule="auto"/>
              <w:rPr>
                <w:rFonts w:cs="Arial"/>
              </w:rPr>
            </w:pPr>
            <w:proofErr w:type="spellStart"/>
            <w:r w:rsidRPr="00493E39">
              <w:rPr>
                <w:rFonts w:cs="Arial"/>
                <w:b/>
                <w:sz w:val="18"/>
              </w:rPr>
              <w:t>Etanol</w:t>
            </w:r>
            <w:proofErr w:type="spellEnd"/>
          </w:p>
        </w:tc>
        <w:tc>
          <w:tcPr>
            <w:tcW w:w="1500" w:type="dxa"/>
            <w:tcBorders>
              <w:top w:val="single" w:sz="12" w:space="0" w:color="000000"/>
              <w:bottom w:val="single" w:sz="6" w:space="0" w:color="000000"/>
            </w:tcBorders>
          </w:tcPr>
          <w:p w14:paraId="77D26845" w14:textId="77777777" w:rsidR="00D64459" w:rsidRPr="00493E39" w:rsidRDefault="008B2120">
            <w:pPr>
              <w:spacing w:after="20" w:line="240" w:lineRule="auto"/>
              <w:rPr>
                <w:rFonts w:cs="Arial"/>
              </w:rPr>
            </w:pPr>
            <w:r w:rsidRPr="00493E39">
              <w:rPr>
                <w:rFonts w:cs="Arial"/>
                <w:b/>
                <w:sz w:val="18"/>
              </w:rPr>
              <w:t>Diesel</w:t>
            </w:r>
          </w:p>
        </w:tc>
        <w:tc>
          <w:tcPr>
            <w:tcW w:w="1500" w:type="dxa"/>
            <w:tcBorders>
              <w:top w:val="single" w:sz="12" w:space="0" w:color="000000"/>
              <w:bottom w:val="single" w:sz="6" w:space="0" w:color="000000"/>
            </w:tcBorders>
          </w:tcPr>
          <w:p w14:paraId="5DF720FE" w14:textId="77777777" w:rsidR="00D64459" w:rsidRPr="00493E39" w:rsidRDefault="008B2120">
            <w:pPr>
              <w:spacing w:after="20" w:line="240" w:lineRule="auto"/>
              <w:rPr>
                <w:rFonts w:cs="Arial"/>
              </w:rPr>
            </w:pPr>
            <w:r w:rsidRPr="00493E39">
              <w:rPr>
                <w:rFonts w:cs="Arial"/>
                <w:b/>
                <w:sz w:val="18"/>
              </w:rPr>
              <w:t>Soma</w:t>
            </w:r>
          </w:p>
        </w:tc>
      </w:tr>
      <w:tr w:rsidR="00D64459" w:rsidRPr="00493E39" w14:paraId="432FC158" w14:textId="77777777">
        <w:trPr>
          <w:jc w:val="center"/>
        </w:trPr>
        <w:tc>
          <w:tcPr>
            <w:tcW w:w="1800" w:type="dxa"/>
          </w:tcPr>
          <w:p w14:paraId="24C64E47" w14:textId="77777777" w:rsidR="00D64459" w:rsidRPr="00493E39" w:rsidRDefault="008B2120">
            <w:pPr>
              <w:spacing w:after="20" w:line="240" w:lineRule="auto"/>
              <w:rPr>
                <w:rFonts w:cs="Arial"/>
              </w:rPr>
            </w:pPr>
            <w:proofErr w:type="spellStart"/>
            <w:r w:rsidRPr="00493E39">
              <w:rPr>
                <w:rFonts w:cs="Arial"/>
                <w:sz w:val="18"/>
              </w:rPr>
              <w:t>Baixo</w:t>
            </w:r>
            <w:proofErr w:type="spellEnd"/>
          </w:p>
        </w:tc>
        <w:tc>
          <w:tcPr>
            <w:tcW w:w="1500" w:type="dxa"/>
          </w:tcPr>
          <w:p w14:paraId="66B5C88A" w14:textId="77777777" w:rsidR="00D64459" w:rsidRPr="00493E39" w:rsidRDefault="008B2120">
            <w:pPr>
              <w:spacing w:after="20" w:line="240" w:lineRule="auto"/>
              <w:rPr>
                <w:rFonts w:cs="Arial"/>
              </w:rPr>
            </w:pPr>
            <w:r w:rsidRPr="00493E39">
              <w:rPr>
                <w:rFonts w:cs="Arial"/>
                <w:sz w:val="18"/>
              </w:rPr>
              <w:t>0,0350</w:t>
            </w:r>
          </w:p>
        </w:tc>
        <w:tc>
          <w:tcPr>
            <w:tcW w:w="1500" w:type="dxa"/>
          </w:tcPr>
          <w:p w14:paraId="66DB52A9" w14:textId="77777777" w:rsidR="00D64459" w:rsidRPr="00493E39" w:rsidRDefault="008B2120">
            <w:pPr>
              <w:spacing w:after="20" w:line="240" w:lineRule="auto"/>
              <w:rPr>
                <w:rFonts w:cs="Arial"/>
              </w:rPr>
            </w:pPr>
            <w:r w:rsidRPr="00493E39">
              <w:rPr>
                <w:rFonts w:cs="Arial"/>
                <w:sz w:val="18"/>
              </w:rPr>
              <w:t>0,0040</w:t>
            </w:r>
          </w:p>
        </w:tc>
        <w:tc>
          <w:tcPr>
            <w:tcW w:w="1500" w:type="dxa"/>
          </w:tcPr>
          <w:p w14:paraId="06FF1941" w14:textId="77777777" w:rsidR="00D64459" w:rsidRPr="00493E39" w:rsidRDefault="008B2120">
            <w:pPr>
              <w:spacing w:after="20" w:line="240" w:lineRule="auto"/>
              <w:rPr>
                <w:rFonts w:cs="Arial"/>
              </w:rPr>
            </w:pPr>
            <w:r w:rsidRPr="00493E39">
              <w:rPr>
                <w:rFonts w:cs="Arial"/>
                <w:sz w:val="18"/>
              </w:rPr>
              <w:t>0,0010</w:t>
            </w:r>
          </w:p>
        </w:tc>
        <w:tc>
          <w:tcPr>
            <w:tcW w:w="1500" w:type="dxa"/>
          </w:tcPr>
          <w:p w14:paraId="03788FC2" w14:textId="77777777" w:rsidR="00D64459" w:rsidRPr="00493E39" w:rsidRDefault="008B2120">
            <w:pPr>
              <w:spacing w:after="20" w:line="240" w:lineRule="auto"/>
              <w:rPr>
                <w:rFonts w:cs="Arial"/>
              </w:rPr>
            </w:pPr>
            <w:r w:rsidRPr="00493E39">
              <w:rPr>
                <w:rFonts w:cs="Arial"/>
                <w:sz w:val="18"/>
              </w:rPr>
              <w:t>0,0400</w:t>
            </w:r>
          </w:p>
        </w:tc>
      </w:tr>
      <w:tr w:rsidR="00D64459" w:rsidRPr="00493E39" w14:paraId="619A695F" w14:textId="77777777">
        <w:trPr>
          <w:jc w:val="center"/>
        </w:trPr>
        <w:tc>
          <w:tcPr>
            <w:tcW w:w="1800" w:type="dxa"/>
          </w:tcPr>
          <w:p w14:paraId="1A192BD5" w14:textId="77777777" w:rsidR="00D64459" w:rsidRPr="00493E39" w:rsidRDefault="008B2120">
            <w:pPr>
              <w:spacing w:after="20" w:line="240" w:lineRule="auto"/>
              <w:rPr>
                <w:rFonts w:cs="Arial"/>
              </w:rPr>
            </w:pPr>
            <w:r w:rsidRPr="00493E39">
              <w:rPr>
                <w:rFonts w:cs="Arial"/>
                <w:sz w:val="18"/>
              </w:rPr>
              <w:t>Central</w:t>
            </w:r>
          </w:p>
        </w:tc>
        <w:tc>
          <w:tcPr>
            <w:tcW w:w="1500" w:type="dxa"/>
          </w:tcPr>
          <w:p w14:paraId="52B33C35" w14:textId="77777777" w:rsidR="00D64459" w:rsidRPr="00493E39" w:rsidRDefault="008B2120">
            <w:pPr>
              <w:spacing w:after="20" w:line="240" w:lineRule="auto"/>
              <w:rPr>
                <w:rFonts w:cs="Arial"/>
              </w:rPr>
            </w:pPr>
            <w:r w:rsidRPr="00493E39">
              <w:rPr>
                <w:rFonts w:cs="Arial"/>
                <w:sz w:val="18"/>
              </w:rPr>
              <w:t>0,0460</w:t>
            </w:r>
          </w:p>
        </w:tc>
        <w:tc>
          <w:tcPr>
            <w:tcW w:w="1500" w:type="dxa"/>
          </w:tcPr>
          <w:p w14:paraId="41198F13" w14:textId="77777777" w:rsidR="00D64459" w:rsidRPr="00493E39" w:rsidRDefault="008B2120">
            <w:pPr>
              <w:spacing w:after="20" w:line="240" w:lineRule="auto"/>
              <w:rPr>
                <w:rFonts w:cs="Arial"/>
              </w:rPr>
            </w:pPr>
            <w:r w:rsidRPr="00493E39">
              <w:rPr>
                <w:rFonts w:cs="Arial"/>
                <w:sz w:val="18"/>
              </w:rPr>
              <w:t>0,0070</w:t>
            </w:r>
          </w:p>
        </w:tc>
        <w:tc>
          <w:tcPr>
            <w:tcW w:w="1500" w:type="dxa"/>
          </w:tcPr>
          <w:p w14:paraId="0C92B33B" w14:textId="77777777" w:rsidR="00D64459" w:rsidRPr="00493E39" w:rsidRDefault="008B2120">
            <w:pPr>
              <w:spacing w:after="20" w:line="240" w:lineRule="auto"/>
              <w:rPr>
                <w:rFonts w:cs="Arial"/>
              </w:rPr>
            </w:pPr>
            <w:r w:rsidRPr="00493E39">
              <w:rPr>
                <w:rFonts w:cs="Arial"/>
                <w:sz w:val="18"/>
              </w:rPr>
              <w:t>0,0015</w:t>
            </w:r>
          </w:p>
        </w:tc>
        <w:tc>
          <w:tcPr>
            <w:tcW w:w="1500" w:type="dxa"/>
          </w:tcPr>
          <w:p w14:paraId="72F2A46A" w14:textId="77777777" w:rsidR="00D64459" w:rsidRPr="00493E39" w:rsidRDefault="008B2120">
            <w:pPr>
              <w:spacing w:after="20" w:line="240" w:lineRule="auto"/>
              <w:rPr>
                <w:rFonts w:cs="Arial"/>
              </w:rPr>
            </w:pPr>
            <w:r w:rsidRPr="00493E39">
              <w:rPr>
                <w:rFonts w:cs="Arial"/>
                <w:sz w:val="18"/>
              </w:rPr>
              <w:t>0,0545</w:t>
            </w:r>
          </w:p>
        </w:tc>
      </w:tr>
      <w:tr w:rsidR="00D64459" w:rsidRPr="00493E39" w14:paraId="0B2C7132" w14:textId="77777777">
        <w:trPr>
          <w:jc w:val="center"/>
        </w:trPr>
        <w:tc>
          <w:tcPr>
            <w:tcW w:w="1800" w:type="dxa"/>
            <w:tcBorders>
              <w:bottom w:val="single" w:sz="12" w:space="0" w:color="000000"/>
            </w:tcBorders>
          </w:tcPr>
          <w:p w14:paraId="7BC94CE1" w14:textId="77777777" w:rsidR="00D64459" w:rsidRPr="00493E39" w:rsidRDefault="008B2120">
            <w:pPr>
              <w:spacing w:after="20" w:line="240" w:lineRule="auto"/>
              <w:rPr>
                <w:rFonts w:cs="Arial"/>
              </w:rPr>
            </w:pPr>
            <w:r w:rsidRPr="00493E39">
              <w:rPr>
                <w:rFonts w:cs="Arial"/>
                <w:sz w:val="18"/>
              </w:rPr>
              <w:t>Alto</w:t>
            </w:r>
          </w:p>
        </w:tc>
        <w:tc>
          <w:tcPr>
            <w:tcW w:w="1500" w:type="dxa"/>
            <w:tcBorders>
              <w:bottom w:val="single" w:sz="12" w:space="0" w:color="000000"/>
            </w:tcBorders>
          </w:tcPr>
          <w:p w14:paraId="74975F1A" w14:textId="77777777" w:rsidR="00D64459" w:rsidRPr="00493E39" w:rsidRDefault="008B2120">
            <w:pPr>
              <w:spacing w:after="20" w:line="240" w:lineRule="auto"/>
              <w:rPr>
                <w:rFonts w:cs="Arial"/>
              </w:rPr>
            </w:pPr>
            <w:r w:rsidRPr="00493E39">
              <w:rPr>
                <w:rFonts w:cs="Arial"/>
                <w:sz w:val="18"/>
              </w:rPr>
              <w:t>0,0550</w:t>
            </w:r>
          </w:p>
        </w:tc>
        <w:tc>
          <w:tcPr>
            <w:tcW w:w="1500" w:type="dxa"/>
            <w:tcBorders>
              <w:bottom w:val="single" w:sz="12" w:space="0" w:color="000000"/>
            </w:tcBorders>
          </w:tcPr>
          <w:p w14:paraId="6E2862F3" w14:textId="77777777" w:rsidR="00D64459" w:rsidRPr="00493E39" w:rsidRDefault="008B2120">
            <w:pPr>
              <w:spacing w:after="20" w:line="240" w:lineRule="auto"/>
              <w:rPr>
                <w:rFonts w:cs="Arial"/>
              </w:rPr>
            </w:pPr>
            <w:r w:rsidRPr="00493E39">
              <w:rPr>
                <w:rFonts w:cs="Arial"/>
                <w:sz w:val="18"/>
              </w:rPr>
              <w:t>0,0120</w:t>
            </w:r>
          </w:p>
        </w:tc>
        <w:tc>
          <w:tcPr>
            <w:tcW w:w="1500" w:type="dxa"/>
            <w:tcBorders>
              <w:bottom w:val="single" w:sz="12" w:space="0" w:color="000000"/>
            </w:tcBorders>
          </w:tcPr>
          <w:p w14:paraId="1E6903E2" w14:textId="77777777" w:rsidR="00D64459" w:rsidRPr="00493E39" w:rsidRDefault="008B2120">
            <w:pPr>
              <w:spacing w:after="20" w:line="240" w:lineRule="auto"/>
              <w:rPr>
                <w:rFonts w:cs="Arial"/>
              </w:rPr>
            </w:pPr>
            <w:r w:rsidRPr="00493E39">
              <w:rPr>
                <w:rFonts w:cs="Arial"/>
                <w:sz w:val="18"/>
              </w:rPr>
              <w:t>0,0030</w:t>
            </w:r>
          </w:p>
        </w:tc>
        <w:tc>
          <w:tcPr>
            <w:tcW w:w="1500" w:type="dxa"/>
            <w:tcBorders>
              <w:bottom w:val="single" w:sz="12" w:space="0" w:color="000000"/>
            </w:tcBorders>
          </w:tcPr>
          <w:p w14:paraId="3DC6B577" w14:textId="77777777" w:rsidR="00D64459" w:rsidRPr="00493E39" w:rsidRDefault="008B2120">
            <w:pPr>
              <w:spacing w:after="20" w:line="240" w:lineRule="auto"/>
              <w:rPr>
                <w:rFonts w:cs="Arial"/>
              </w:rPr>
            </w:pPr>
            <w:r w:rsidRPr="00493E39">
              <w:rPr>
                <w:rFonts w:cs="Arial"/>
                <w:sz w:val="18"/>
              </w:rPr>
              <w:t>0,0700</w:t>
            </w:r>
          </w:p>
        </w:tc>
      </w:tr>
    </w:tbl>
    <w:p w14:paraId="42FF5245" w14:textId="77777777" w:rsidR="00D64459" w:rsidRPr="00493E39" w:rsidRDefault="008B2120">
      <w:pPr>
        <w:spacing w:before="60" w:after="200" w:line="240" w:lineRule="auto"/>
        <w:jc w:val="both"/>
        <w:rPr>
          <w:rFonts w:cs="Arial"/>
          <w:lang w:val="pt-BR"/>
        </w:rPr>
      </w:pPr>
      <w:r w:rsidRPr="00493E39">
        <w:rPr>
          <w:rFonts w:cs="Arial"/>
          <w:sz w:val="18"/>
          <w:lang w:val="pt-BR"/>
        </w:rPr>
        <w:t>Nota: pesos aproximados dos subitens na estrutura de ponderação do IPCA, que varia com as Pesquisas de Orçamentos Familiares ao longo da amostra. O cenário central corresponde à ordem de grandeza vigente no período posterior a 2017; os cenários baixo e alto delimitam a faixa reportada na seção 4.5.1. O diesel entra com peso quase nulo porque o consumidor final praticamente não o adquire, de modo que seu efeito sobre o IPCA é quase inteiramente de segunda volta, por frete.</w:t>
      </w:r>
    </w:p>
    <w:p w14:paraId="5804095E"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 a partir das estruturas de ponderação do IBGE.</w:t>
      </w:r>
    </w:p>
    <w:p w14:paraId="2DE82EFF" w14:textId="77777777" w:rsidR="00D64459" w:rsidRPr="00493E39" w:rsidRDefault="008B2120">
      <w:pPr>
        <w:rPr>
          <w:rFonts w:cs="Arial"/>
          <w:lang w:val="pt-BR"/>
        </w:rPr>
      </w:pPr>
      <w:r w:rsidRPr="00493E39">
        <w:rPr>
          <w:rFonts w:cs="Arial"/>
          <w:lang w:val="pt-BR"/>
        </w:rPr>
        <w:br w:type="page"/>
      </w:r>
    </w:p>
    <w:p w14:paraId="3F5FA9EE" w14:textId="77777777" w:rsidR="00D64459" w:rsidRPr="00493E39" w:rsidRDefault="008B2120">
      <w:pPr>
        <w:keepNext/>
        <w:spacing w:before="240" w:after="60" w:line="240" w:lineRule="auto"/>
        <w:rPr>
          <w:rFonts w:cs="Arial"/>
          <w:lang w:val="pt-BR"/>
        </w:rPr>
      </w:pPr>
      <w:r w:rsidRPr="00493E39">
        <w:rPr>
          <w:rFonts w:cs="Arial"/>
          <w:sz w:val="20"/>
          <w:lang w:val="pt-BR"/>
        </w:rPr>
        <w:lastRenderedPageBreak/>
        <w:t>Tabela J.3 – Testes de raiz unitária nas séries do modelo</w:t>
      </w:r>
    </w:p>
    <w:tbl>
      <w:tblPr>
        <w:tblW w:w="0" w:type="auto"/>
        <w:jc w:val="center"/>
        <w:tblLook w:val="04A0" w:firstRow="1" w:lastRow="0" w:firstColumn="1" w:lastColumn="0" w:noHBand="0" w:noVBand="1"/>
      </w:tblPr>
      <w:tblGrid>
        <w:gridCol w:w="2500"/>
        <w:gridCol w:w="617"/>
        <w:gridCol w:w="800"/>
        <w:gridCol w:w="800"/>
        <w:gridCol w:w="557"/>
        <w:gridCol w:w="800"/>
        <w:gridCol w:w="900"/>
        <w:gridCol w:w="900"/>
      </w:tblGrid>
      <w:tr w:rsidR="00D64459" w:rsidRPr="00493E39" w14:paraId="2C595D1E" w14:textId="77777777">
        <w:trPr>
          <w:tblHeader/>
          <w:jc w:val="center"/>
        </w:trPr>
        <w:tc>
          <w:tcPr>
            <w:tcW w:w="2500" w:type="dxa"/>
            <w:tcBorders>
              <w:top w:val="single" w:sz="12" w:space="0" w:color="000000"/>
              <w:bottom w:val="single" w:sz="6" w:space="0" w:color="000000"/>
            </w:tcBorders>
          </w:tcPr>
          <w:p w14:paraId="5406D944" w14:textId="77777777" w:rsidR="00D64459" w:rsidRPr="00493E39" w:rsidRDefault="008B2120">
            <w:pPr>
              <w:spacing w:after="20" w:line="240" w:lineRule="auto"/>
              <w:rPr>
                <w:rFonts w:cs="Arial"/>
              </w:rPr>
            </w:pPr>
            <w:r w:rsidRPr="00493E39">
              <w:rPr>
                <w:rFonts w:cs="Arial"/>
                <w:b/>
                <w:sz w:val="18"/>
              </w:rPr>
              <w:t>Série</w:t>
            </w:r>
          </w:p>
        </w:tc>
        <w:tc>
          <w:tcPr>
            <w:tcW w:w="600" w:type="dxa"/>
            <w:tcBorders>
              <w:top w:val="single" w:sz="12" w:space="0" w:color="000000"/>
              <w:bottom w:val="single" w:sz="6" w:space="0" w:color="000000"/>
            </w:tcBorders>
          </w:tcPr>
          <w:p w14:paraId="25C9DC52" w14:textId="77777777" w:rsidR="00D64459" w:rsidRPr="00493E39" w:rsidRDefault="008B2120">
            <w:pPr>
              <w:spacing w:after="20" w:line="240" w:lineRule="auto"/>
              <w:rPr>
                <w:rFonts w:cs="Arial"/>
              </w:rPr>
            </w:pPr>
            <w:r w:rsidRPr="00493E39">
              <w:rPr>
                <w:rFonts w:cs="Arial"/>
                <w:b/>
                <w:sz w:val="18"/>
              </w:rPr>
              <w:t>Obs.</w:t>
            </w:r>
          </w:p>
        </w:tc>
        <w:tc>
          <w:tcPr>
            <w:tcW w:w="800" w:type="dxa"/>
            <w:tcBorders>
              <w:top w:val="single" w:sz="12" w:space="0" w:color="000000"/>
              <w:bottom w:val="single" w:sz="6" w:space="0" w:color="000000"/>
            </w:tcBorders>
          </w:tcPr>
          <w:p w14:paraId="4C160EBB" w14:textId="77777777" w:rsidR="00D64459" w:rsidRPr="00493E39" w:rsidRDefault="008B2120">
            <w:pPr>
              <w:spacing w:after="20" w:line="240" w:lineRule="auto"/>
              <w:rPr>
                <w:rFonts w:cs="Arial"/>
              </w:rPr>
            </w:pPr>
            <w:r w:rsidRPr="00493E39">
              <w:rPr>
                <w:rFonts w:cs="Arial"/>
                <w:b/>
                <w:sz w:val="18"/>
              </w:rPr>
              <w:t>ADF</w:t>
            </w:r>
          </w:p>
        </w:tc>
        <w:tc>
          <w:tcPr>
            <w:tcW w:w="800" w:type="dxa"/>
            <w:tcBorders>
              <w:top w:val="single" w:sz="12" w:space="0" w:color="000000"/>
              <w:bottom w:val="single" w:sz="6" w:space="0" w:color="000000"/>
            </w:tcBorders>
          </w:tcPr>
          <w:p w14:paraId="053FE6B7" w14:textId="77777777" w:rsidR="00D64459" w:rsidRPr="00493E39" w:rsidRDefault="008B2120">
            <w:pPr>
              <w:spacing w:after="20" w:line="240" w:lineRule="auto"/>
              <w:rPr>
                <w:rFonts w:cs="Arial"/>
              </w:rPr>
            </w:pPr>
            <w:r w:rsidRPr="00493E39">
              <w:rPr>
                <w:rFonts w:cs="Arial"/>
                <w:b/>
                <w:sz w:val="18"/>
              </w:rPr>
              <w:t>p (ADF)</w:t>
            </w:r>
          </w:p>
        </w:tc>
        <w:tc>
          <w:tcPr>
            <w:tcW w:w="500" w:type="dxa"/>
            <w:tcBorders>
              <w:top w:val="single" w:sz="12" w:space="0" w:color="000000"/>
              <w:bottom w:val="single" w:sz="6" w:space="0" w:color="000000"/>
            </w:tcBorders>
          </w:tcPr>
          <w:p w14:paraId="7F82B898" w14:textId="77777777" w:rsidR="00D64459" w:rsidRPr="00493E39" w:rsidRDefault="008B2120">
            <w:pPr>
              <w:spacing w:after="20" w:line="240" w:lineRule="auto"/>
              <w:rPr>
                <w:rFonts w:cs="Arial"/>
              </w:rPr>
            </w:pPr>
            <w:r w:rsidRPr="00493E39">
              <w:rPr>
                <w:rFonts w:cs="Arial"/>
                <w:b/>
                <w:sz w:val="18"/>
              </w:rPr>
              <w:t>Def.</w:t>
            </w:r>
          </w:p>
        </w:tc>
        <w:tc>
          <w:tcPr>
            <w:tcW w:w="800" w:type="dxa"/>
            <w:tcBorders>
              <w:top w:val="single" w:sz="12" w:space="0" w:color="000000"/>
              <w:bottom w:val="single" w:sz="6" w:space="0" w:color="000000"/>
            </w:tcBorders>
          </w:tcPr>
          <w:p w14:paraId="54F08F4F" w14:textId="77777777" w:rsidR="00D64459" w:rsidRPr="00493E39" w:rsidRDefault="008B2120">
            <w:pPr>
              <w:spacing w:after="20" w:line="240" w:lineRule="auto"/>
              <w:rPr>
                <w:rFonts w:cs="Arial"/>
              </w:rPr>
            </w:pPr>
            <w:r w:rsidRPr="00493E39">
              <w:rPr>
                <w:rFonts w:cs="Arial"/>
                <w:b/>
                <w:sz w:val="18"/>
              </w:rPr>
              <w:t>KPSS</w:t>
            </w:r>
          </w:p>
        </w:tc>
        <w:tc>
          <w:tcPr>
            <w:tcW w:w="900" w:type="dxa"/>
            <w:tcBorders>
              <w:top w:val="single" w:sz="12" w:space="0" w:color="000000"/>
              <w:bottom w:val="single" w:sz="6" w:space="0" w:color="000000"/>
            </w:tcBorders>
          </w:tcPr>
          <w:p w14:paraId="2BB6BFB6" w14:textId="77777777" w:rsidR="00D64459" w:rsidRPr="00493E39" w:rsidRDefault="008B2120">
            <w:pPr>
              <w:spacing w:after="20" w:line="240" w:lineRule="auto"/>
              <w:rPr>
                <w:rFonts w:cs="Arial"/>
              </w:rPr>
            </w:pPr>
            <w:r w:rsidRPr="00493E39">
              <w:rPr>
                <w:rFonts w:cs="Arial"/>
                <w:b/>
                <w:sz w:val="18"/>
              </w:rPr>
              <w:t xml:space="preserve">ADF </w:t>
            </w:r>
            <w:proofErr w:type="spellStart"/>
            <w:r w:rsidRPr="00493E39">
              <w:rPr>
                <w:rFonts w:cs="Arial"/>
                <w:b/>
                <w:sz w:val="18"/>
              </w:rPr>
              <w:t>rejeita</w:t>
            </w:r>
            <w:proofErr w:type="spellEnd"/>
          </w:p>
        </w:tc>
        <w:tc>
          <w:tcPr>
            <w:tcW w:w="900" w:type="dxa"/>
            <w:tcBorders>
              <w:top w:val="single" w:sz="12" w:space="0" w:color="000000"/>
              <w:bottom w:val="single" w:sz="6" w:space="0" w:color="000000"/>
            </w:tcBorders>
          </w:tcPr>
          <w:p w14:paraId="1CE5862E" w14:textId="77777777" w:rsidR="00D64459" w:rsidRPr="00493E39" w:rsidRDefault="008B2120">
            <w:pPr>
              <w:spacing w:after="20" w:line="240" w:lineRule="auto"/>
              <w:rPr>
                <w:rFonts w:cs="Arial"/>
              </w:rPr>
            </w:pPr>
            <w:r w:rsidRPr="00493E39">
              <w:rPr>
                <w:rFonts w:cs="Arial"/>
                <w:b/>
                <w:sz w:val="18"/>
              </w:rPr>
              <w:t xml:space="preserve">KPSS </w:t>
            </w:r>
            <w:proofErr w:type="spellStart"/>
            <w:r w:rsidRPr="00493E39">
              <w:rPr>
                <w:rFonts w:cs="Arial"/>
                <w:b/>
                <w:sz w:val="18"/>
              </w:rPr>
              <w:t>rejeita</w:t>
            </w:r>
            <w:proofErr w:type="spellEnd"/>
          </w:p>
        </w:tc>
      </w:tr>
      <w:tr w:rsidR="00D64459" w:rsidRPr="00493E39" w14:paraId="1482F27C" w14:textId="77777777">
        <w:trPr>
          <w:jc w:val="center"/>
        </w:trPr>
        <w:tc>
          <w:tcPr>
            <w:tcW w:w="2500" w:type="dxa"/>
          </w:tcPr>
          <w:p w14:paraId="7B560988" w14:textId="77777777" w:rsidR="00D64459" w:rsidRPr="00493E39" w:rsidRDefault="008B2120">
            <w:pPr>
              <w:spacing w:after="20" w:line="240" w:lineRule="auto"/>
              <w:rPr>
                <w:rFonts w:cs="Arial"/>
                <w:lang w:val="pt-BR"/>
              </w:rPr>
            </w:pPr>
            <w:r w:rsidRPr="00493E39">
              <w:rPr>
                <w:rFonts w:cs="Arial"/>
                <w:sz w:val="18"/>
                <w:lang w:val="pt-BR"/>
              </w:rPr>
              <w:t>Choque do petróleo (Brent, padronizado)</w:t>
            </w:r>
          </w:p>
        </w:tc>
        <w:tc>
          <w:tcPr>
            <w:tcW w:w="600" w:type="dxa"/>
          </w:tcPr>
          <w:p w14:paraId="2EB8AB1B" w14:textId="77777777" w:rsidR="00D64459" w:rsidRPr="00493E39" w:rsidRDefault="008B2120">
            <w:pPr>
              <w:spacing w:after="20" w:line="240" w:lineRule="auto"/>
              <w:rPr>
                <w:rFonts w:cs="Arial"/>
              </w:rPr>
            </w:pPr>
            <w:r w:rsidRPr="00493E39">
              <w:rPr>
                <w:rFonts w:cs="Arial"/>
                <w:sz w:val="18"/>
              </w:rPr>
              <w:t>272</w:t>
            </w:r>
          </w:p>
        </w:tc>
        <w:tc>
          <w:tcPr>
            <w:tcW w:w="800" w:type="dxa"/>
          </w:tcPr>
          <w:p w14:paraId="7D88F8A8" w14:textId="77777777" w:rsidR="00D64459" w:rsidRPr="00493E39" w:rsidRDefault="008B2120">
            <w:pPr>
              <w:spacing w:after="20" w:line="240" w:lineRule="auto"/>
              <w:rPr>
                <w:rFonts w:cs="Arial"/>
              </w:rPr>
            </w:pPr>
            <w:r w:rsidRPr="00493E39">
              <w:rPr>
                <w:rFonts w:cs="Arial"/>
                <w:sz w:val="18"/>
              </w:rPr>
              <w:t>−11,46</w:t>
            </w:r>
          </w:p>
        </w:tc>
        <w:tc>
          <w:tcPr>
            <w:tcW w:w="800" w:type="dxa"/>
          </w:tcPr>
          <w:p w14:paraId="0AB83AAC" w14:textId="77777777" w:rsidR="00D64459" w:rsidRPr="00493E39" w:rsidRDefault="008B2120">
            <w:pPr>
              <w:spacing w:after="20" w:line="240" w:lineRule="auto"/>
              <w:rPr>
                <w:rFonts w:cs="Arial"/>
              </w:rPr>
            </w:pPr>
            <w:r w:rsidRPr="00493E39">
              <w:rPr>
                <w:rFonts w:cs="Arial"/>
                <w:sz w:val="18"/>
              </w:rPr>
              <w:t>0,000</w:t>
            </w:r>
          </w:p>
        </w:tc>
        <w:tc>
          <w:tcPr>
            <w:tcW w:w="500" w:type="dxa"/>
          </w:tcPr>
          <w:p w14:paraId="58AF92DA" w14:textId="77777777" w:rsidR="00D64459" w:rsidRPr="00493E39" w:rsidRDefault="008B2120">
            <w:pPr>
              <w:spacing w:after="20" w:line="240" w:lineRule="auto"/>
              <w:rPr>
                <w:rFonts w:cs="Arial"/>
              </w:rPr>
            </w:pPr>
            <w:r w:rsidRPr="00493E39">
              <w:rPr>
                <w:rFonts w:cs="Arial"/>
                <w:sz w:val="18"/>
              </w:rPr>
              <w:t>1</w:t>
            </w:r>
          </w:p>
        </w:tc>
        <w:tc>
          <w:tcPr>
            <w:tcW w:w="800" w:type="dxa"/>
          </w:tcPr>
          <w:p w14:paraId="62A1A224" w14:textId="77777777" w:rsidR="00D64459" w:rsidRPr="00493E39" w:rsidRDefault="008B2120">
            <w:pPr>
              <w:spacing w:after="20" w:line="240" w:lineRule="auto"/>
              <w:rPr>
                <w:rFonts w:cs="Arial"/>
              </w:rPr>
            </w:pPr>
            <w:r w:rsidRPr="00493E39">
              <w:rPr>
                <w:rFonts w:cs="Arial"/>
                <w:sz w:val="18"/>
              </w:rPr>
              <w:t>0,082</w:t>
            </w:r>
          </w:p>
        </w:tc>
        <w:tc>
          <w:tcPr>
            <w:tcW w:w="900" w:type="dxa"/>
          </w:tcPr>
          <w:p w14:paraId="6DD61CF6" w14:textId="77777777" w:rsidR="00D64459" w:rsidRPr="00493E39" w:rsidRDefault="008B2120">
            <w:pPr>
              <w:spacing w:after="20" w:line="240" w:lineRule="auto"/>
              <w:rPr>
                <w:rFonts w:cs="Arial"/>
              </w:rPr>
            </w:pPr>
            <w:r w:rsidRPr="00493E39">
              <w:rPr>
                <w:rFonts w:cs="Arial"/>
                <w:sz w:val="18"/>
              </w:rPr>
              <w:t>sim</w:t>
            </w:r>
          </w:p>
        </w:tc>
        <w:tc>
          <w:tcPr>
            <w:tcW w:w="900" w:type="dxa"/>
          </w:tcPr>
          <w:p w14:paraId="4A21FA0F"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3154D883" w14:textId="77777777">
        <w:trPr>
          <w:jc w:val="center"/>
        </w:trPr>
        <w:tc>
          <w:tcPr>
            <w:tcW w:w="2500" w:type="dxa"/>
          </w:tcPr>
          <w:p w14:paraId="7E9D3B23" w14:textId="77777777" w:rsidR="00D64459" w:rsidRPr="00493E39" w:rsidRDefault="008B2120">
            <w:pPr>
              <w:spacing w:after="20" w:line="240" w:lineRule="auto"/>
              <w:rPr>
                <w:rFonts w:cs="Arial"/>
              </w:rPr>
            </w:pPr>
            <w:r w:rsidRPr="00493E39">
              <w:rPr>
                <w:rFonts w:cs="Arial"/>
                <w:sz w:val="18"/>
              </w:rPr>
              <w:t>IPCA Geral</w:t>
            </w:r>
          </w:p>
        </w:tc>
        <w:tc>
          <w:tcPr>
            <w:tcW w:w="600" w:type="dxa"/>
          </w:tcPr>
          <w:p w14:paraId="70F2A17A" w14:textId="77777777" w:rsidR="00D64459" w:rsidRPr="00493E39" w:rsidRDefault="008B2120">
            <w:pPr>
              <w:spacing w:after="20" w:line="240" w:lineRule="auto"/>
              <w:rPr>
                <w:rFonts w:cs="Arial"/>
              </w:rPr>
            </w:pPr>
            <w:r w:rsidRPr="00493E39">
              <w:rPr>
                <w:rFonts w:cs="Arial"/>
                <w:sz w:val="18"/>
              </w:rPr>
              <w:t>272</w:t>
            </w:r>
          </w:p>
        </w:tc>
        <w:tc>
          <w:tcPr>
            <w:tcW w:w="800" w:type="dxa"/>
          </w:tcPr>
          <w:p w14:paraId="2729B796" w14:textId="77777777" w:rsidR="00D64459" w:rsidRPr="00493E39" w:rsidRDefault="008B2120">
            <w:pPr>
              <w:spacing w:after="20" w:line="240" w:lineRule="auto"/>
              <w:rPr>
                <w:rFonts w:cs="Arial"/>
              </w:rPr>
            </w:pPr>
            <w:r w:rsidRPr="00493E39">
              <w:rPr>
                <w:rFonts w:cs="Arial"/>
                <w:sz w:val="18"/>
              </w:rPr>
              <w:t>−9,16</w:t>
            </w:r>
          </w:p>
        </w:tc>
        <w:tc>
          <w:tcPr>
            <w:tcW w:w="800" w:type="dxa"/>
          </w:tcPr>
          <w:p w14:paraId="0674CF7C" w14:textId="77777777" w:rsidR="00D64459" w:rsidRPr="00493E39" w:rsidRDefault="008B2120">
            <w:pPr>
              <w:spacing w:after="20" w:line="240" w:lineRule="auto"/>
              <w:rPr>
                <w:rFonts w:cs="Arial"/>
              </w:rPr>
            </w:pPr>
            <w:r w:rsidRPr="00493E39">
              <w:rPr>
                <w:rFonts w:cs="Arial"/>
                <w:sz w:val="18"/>
              </w:rPr>
              <w:t>0,000</w:t>
            </w:r>
          </w:p>
        </w:tc>
        <w:tc>
          <w:tcPr>
            <w:tcW w:w="500" w:type="dxa"/>
          </w:tcPr>
          <w:p w14:paraId="4A48814B" w14:textId="77777777" w:rsidR="00D64459" w:rsidRPr="00493E39" w:rsidRDefault="008B2120">
            <w:pPr>
              <w:spacing w:after="20" w:line="240" w:lineRule="auto"/>
              <w:rPr>
                <w:rFonts w:cs="Arial"/>
              </w:rPr>
            </w:pPr>
            <w:r w:rsidRPr="00493E39">
              <w:rPr>
                <w:rFonts w:cs="Arial"/>
                <w:sz w:val="18"/>
              </w:rPr>
              <w:t>0</w:t>
            </w:r>
          </w:p>
        </w:tc>
        <w:tc>
          <w:tcPr>
            <w:tcW w:w="800" w:type="dxa"/>
          </w:tcPr>
          <w:p w14:paraId="5A94EB64" w14:textId="77777777" w:rsidR="00D64459" w:rsidRPr="00493E39" w:rsidRDefault="008B2120">
            <w:pPr>
              <w:spacing w:after="20" w:line="240" w:lineRule="auto"/>
              <w:rPr>
                <w:rFonts w:cs="Arial"/>
              </w:rPr>
            </w:pPr>
            <w:r w:rsidRPr="00493E39">
              <w:rPr>
                <w:rFonts w:cs="Arial"/>
                <w:sz w:val="18"/>
              </w:rPr>
              <w:t>0,074</w:t>
            </w:r>
          </w:p>
        </w:tc>
        <w:tc>
          <w:tcPr>
            <w:tcW w:w="900" w:type="dxa"/>
          </w:tcPr>
          <w:p w14:paraId="1E1750AB" w14:textId="77777777" w:rsidR="00D64459" w:rsidRPr="00493E39" w:rsidRDefault="008B2120">
            <w:pPr>
              <w:spacing w:after="20" w:line="240" w:lineRule="auto"/>
              <w:rPr>
                <w:rFonts w:cs="Arial"/>
              </w:rPr>
            </w:pPr>
            <w:r w:rsidRPr="00493E39">
              <w:rPr>
                <w:rFonts w:cs="Arial"/>
                <w:sz w:val="18"/>
              </w:rPr>
              <w:t>sim</w:t>
            </w:r>
          </w:p>
        </w:tc>
        <w:tc>
          <w:tcPr>
            <w:tcW w:w="900" w:type="dxa"/>
          </w:tcPr>
          <w:p w14:paraId="7F7E74D4"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59FE5700" w14:textId="77777777">
        <w:trPr>
          <w:jc w:val="center"/>
        </w:trPr>
        <w:tc>
          <w:tcPr>
            <w:tcW w:w="2500" w:type="dxa"/>
          </w:tcPr>
          <w:p w14:paraId="1F02D7DC" w14:textId="77777777" w:rsidR="00D64459" w:rsidRPr="00493E39" w:rsidRDefault="008B2120">
            <w:pPr>
              <w:spacing w:after="20" w:line="240" w:lineRule="auto"/>
              <w:rPr>
                <w:rFonts w:cs="Arial"/>
              </w:rPr>
            </w:pPr>
            <w:r w:rsidRPr="00493E39">
              <w:rPr>
                <w:rFonts w:cs="Arial"/>
                <w:sz w:val="18"/>
              </w:rPr>
              <w:t xml:space="preserve">IPCA </w:t>
            </w:r>
            <w:proofErr w:type="spellStart"/>
            <w:r w:rsidRPr="00493E39">
              <w:rPr>
                <w:rFonts w:cs="Arial"/>
                <w:sz w:val="18"/>
              </w:rPr>
              <w:t>Transportes</w:t>
            </w:r>
            <w:proofErr w:type="spellEnd"/>
          </w:p>
        </w:tc>
        <w:tc>
          <w:tcPr>
            <w:tcW w:w="600" w:type="dxa"/>
          </w:tcPr>
          <w:p w14:paraId="4B1FC439" w14:textId="77777777" w:rsidR="00D64459" w:rsidRPr="00493E39" w:rsidRDefault="008B2120">
            <w:pPr>
              <w:spacing w:after="20" w:line="240" w:lineRule="auto"/>
              <w:rPr>
                <w:rFonts w:cs="Arial"/>
              </w:rPr>
            </w:pPr>
            <w:r w:rsidRPr="00493E39">
              <w:rPr>
                <w:rFonts w:cs="Arial"/>
                <w:sz w:val="18"/>
              </w:rPr>
              <w:t>272</w:t>
            </w:r>
          </w:p>
        </w:tc>
        <w:tc>
          <w:tcPr>
            <w:tcW w:w="800" w:type="dxa"/>
          </w:tcPr>
          <w:p w14:paraId="1CB7AC7B" w14:textId="77777777" w:rsidR="00D64459" w:rsidRPr="00493E39" w:rsidRDefault="008B2120">
            <w:pPr>
              <w:spacing w:after="20" w:line="240" w:lineRule="auto"/>
              <w:rPr>
                <w:rFonts w:cs="Arial"/>
              </w:rPr>
            </w:pPr>
            <w:r w:rsidRPr="00493E39">
              <w:rPr>
                <w:rFonts w:cs="Arial"/>
                <w:sz w:val="18"/>
              </w:rPr>
              <w:t>−10,34</w:t>
            </w:r>
          </w:p>
        </w:tc>
        <w:tc>
          <w:tcPr>
            <w:tcW w:w="800" w:type="dxa"/>
          </w:tcPr>
          <w:p w14:paraId="4D60A221" w14:textId="77777777" w:rsidR="00D64459" w:rsidRPr="00493E39" w:rsidRDefault="008B2120">
            <w:pPr>
              <w:spacing w:after="20" w:line="240" w:lineRule="auto"/>
              <w:rPr>
                <w:rFonts w:cs="Arial"/>
              </w:rPr>
            </w:pPr>
            <w:r w:rsidRPr="00493E39">
              <w:rPr>
                <w:rFonts w:cs="Arial"/>
                <w:sz w:val="18"/>
              </w:rPr>
              <w:t>0,000</w:t>
            </w:r>
          </w:p>
        </w:tc>
        <w:tc>
          <w:tcPr>
            <w:tcW w:w="500" w:type="dxa"/>
          </w:tcPr>
          <w:p w14:paraId="0F38B5B7" w14:textId="77777777" w:rsidR="00D64459" w:rsidRPr="00493E39" w:rsidRDefault="008B2120">
            <w:pPr>
              <w:spacing w:after="20" w:line="240" w:lineRule="auto"/>
              <w:rPr>
                <w:rFonts w:cs="Arial"/>
              </w:rPr>
            </w:pPr>
            <w:r w:rsidRPr="00493E39">
              <w:rPr>
                <w:rFonts w:cs="Arial"/>
                <w:sz w:val="18"/>
              </w:rPr>
              <w:t>0</w:t>
            </w:r>
          </w:p>
        </w:tc>
        <w:tc>
          <w:tcPr>
            <w:tcW w:w="800" w:type="dxa"/>
          </w:tcPr>
          <w:p w14:paraId="0D9FEC46" w14:textId="77777777" w:rsidR="00D64459" w:rsidRPr="00493E39" w:rsidRDefault="008B2120">
            <w:pPr>
              <w:spacing w:after="20" w:line="240" w:lineRule="auto"/>
              <w:rPr>
                <w:rFonts w:cs="Arial"/>
              </w:rPr>
            </w:pPr>
            <w:r w:rsidRPr="00493E39">
              <w:rPr>
                <w:rFonts w:cs="Arial"/>
                <w:sz w:val="18"/>
              </w:rPr>
              <w:t>0,058</w:t>
            </w:r>
          </w:p>
        </w:tc>
        <w:tc>
          <w:tcPr>
            <w:tcW w:w="900" w:type="dxa"/>
          </w:tcPr>
          <w:p w14:paraId="4B37F526" w14:textId="77777777" w:rsidR="00D64459" w:rsidRPr="00493E39" w:rsidRDefault="008B2120">
            <w:pPr>
              <w:spacing w:after="20" w:line="240" w:lineRule="auto"/>
              <w:rPr>
                <w:rFonts w:cs="Arial"/>
              </w:rPr>
            </w:pPr>
            <w:r w:rsidRPr="00493E39">
              <w:rPr>
                <w:rFonts w:cs="Arial"/>
                <w:sz w:val="18"/>
              </w:rPr>
              <w:t>sim</w:t>
            </w:r>
          </w:p>
        </w:tc>
        <w:tc>
          <w:tcPr>
            <w:tcW w:w="900" w:type="dxa"/>
          </w:tcPr>
          <w:p w14:paraId="3CC483BA"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16DB39C9" w14:textId="77777777">
        <w:trPr>
          <w:jc w:val="center"/>
        </w:trPr>
        <w:tc>
          <w:tcPr>
            <w:tcW w:w="2500" w:type="dxa"/>
          </w:tcPr>
          <w:p w14:paraId="0D5C9270" w14:textId="77777777" w:rsidR="00D64459" w:rsidRPr="00493E39" w:rsidRDefault="008B2120">
            <w:pPr>
              <w:spacing w:after="20"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na</w:t>
            </w:r>
            <w:proofErr w:type="spellEnd"/>
            <w:r w:rsidRPr="00493E39">
              <w:rPr>
                <w:rFonts w:cs="Arial"/>
                <w:sz w:val="18"/>
              </w:rPr>
              <w:t xml:space="preserve"> </w:t>
            </w:r>
            <w:proofErr w:type="spellStart"/>
            <w:r w:rsidRPr="00493E39">
              <w:rPr>
                <w:rFonts w:cs="Arial"/>
                <w:sz w:val="18"/>
              </w:rPr>
              <w:t>refinaria</w:t>
            </w:r>
            <w:proofErr w:type="spellEnd"/>
          </w:p>
        </w:tc>
        <w:tc>
          <w:tcPr>
            <w:tcW w:w="600" w:type="dxa"/>
          </w:tcPr>
          <w:p w14:paraId="336A9AB2" w14:textId="77777777" w:rsidR="00D64459" w:rsidRPr="00493E39" w:rsidRDefault="008B2120">
            <w:pPr>
              <w:spacing w:after="20" w:line="240" w:lineRule="auto"/>
              <w:rPr>
                <w:rFonts w:cs="Arial"/>
              </w:rPr>
            </w:pPr>
            <w:r w:rsidRPr="00493E39">
              <w:rPr>
                <w:rFonts w:cs="Arial"/>
                <w:sz w:val="18"/>
              </w:rPr>
              <w:t>272</w:t>
            </w:r>
          </w:p>
        </w:tc>
        <w:tc>
          <w:tcPr>
            <w:tcW w:w="800" w:type="dxa"/>
          </w:tcPr>
          <w:p w14:paraId="1BBD677F" w14:textId="77777777" w:rsidR="00D64459" w:rsidRPr="00493E39" w:rsidRDefault="008B2120">
            <w:pPr>
              <w:spacing w:after="20" w:line="240" w:lineRule="auto"/>
              <w:rPr>
                <w:rFonts w:cs="Arial"/>
              </w:rPr>
            </w:pPr>
            <w:r w:rsidRPr="00493E39">
              <w:rPr>
                <w:rFonts w:cs="Arial"/>
                <w:sz w:val="18"/>
              </w:rPr>
              <w:t>−3,17</w:t>
            </w:r>
          </w:p>
        </w:tc>
        <w:tc>
          <w:tcPr>
            <w:tcW w:w="800" w:type="dxa"/>
          </w:tcPr>
          <w:p w14:paraId="4C383BE4" w14:textId="77777777" w:rsidR="00D64459" w:rsidRPr="00493E39" w:rsidRDefault="008B2120">
            <w:pPr>
              <w:spacing w:after="20" w:line="240" w:lineRule="auto"/>
              <w:rPr>
                <w:rFonts w:cs="Arial"/>
              </w:rPr>
            </w:pPr>
            <w:r w:rsidRPr="00493E39">
              <w:rPr>
                <w:rFonts w:cs="Arial"/>
                <w:sz w:val="18"/>
              </w:rPr>
              <w:t>0,022</w:t>
            </w:r>
          </w:p>
        </w:tc>
        <w:tc>
          <w:tcPr>
            <w:tcW w:w="500" w:type="dxa"/>
          </w:tcPr>
          <w:p w14:paraId="245E81FB" w14:textId="77777777" w:rsidR="00D64459" w:rsidRPr="00493E39" w:rsidRDefault="008B2120">
            <w:pPr>
              <w:spacing w:after="20" w:line="240" w:lineRule="auto"/>
              <w:rPr>
                <w:rFonts w:cs="Arial"/>
              </w:rPr>
            </w:pPr>
            <w:r w:rsidRPr="00493E39">
              <w:rPr>
                <w:rFonts w:cs="Arial"/>
                <w:sz w:val="18"/>
              </w:rPr>
              <w:t>16</w:t>
            </w:r>
          </w:p>
        </w:tc>
        <w:tc>
          <w:tcPr>
            <w:tcW w:w="800" w:type="dxa"/>
          </w:tcPr>
          <w:p w14:paraId="58AD4017" w14:textId="77777777" w:rsidR="00D64459" w:rsidRPr="00493E39" w:rsidRDefault="008B2120">
            <w:pPr>
              <w:spacing w:after="20" w:line="240" w:lineRule="auto"/>
              <w:rPr>
                <w:rFonts w:cs="Arial"/>
              </w:rPr>
            </w:pPr>
            <w:r w:rsidRPr="00493E39">
              <w:rPr>
                <w:rFonts w:cs="Arial"/>
                <w:sz w:val="18"/>
              </w:rPr>
              <w:t>0,041</w:t>
            </w:r>
          </w:p>
        </w:tc>
        <w:tc>
          <w:tcPr>
            <w:tcW w:w="900" w:type="dxa"/>
          </w:tcPr>
          <w:p w14:paraId="09809E41" w14:textId="77777777" w:rsidR="00D64459" w:rsidRPr="00493E39" w:rsidRDefault="008B2120">
            <w:pPr>
              <w:spacing w:after="20" w:line="240" w:lineRule="auto"/>
              <w:rPr>
                <w:rFonts w:cs="Arial"/>
              </w:rPr>
            </w:pPr>
            <w:r w:rsidRPr="00493E39">
              <w:rPr>
                <w:rFonts w:cs="Arial"/>
                <w:sz w:val="18"/>
              </w:rPr>
              <w:t>sim</w:t>
            </w:r>
          </w:p>
        </w:tc>
        <w:tc>
          <w:tcPr>
            <w:tcW w:w="900" w:type="dxa"/>
          </w:tcPr>
          <w:p w14:paraId="2643ECAC"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340D7A0A" w14:textId="77777777">
        <w:trPr>
          <w:jc w:val="center"/>
        </w:trPr>
        <w:tc>
          <w:tcPr>
            <w:tcW w:w="2500" w:type="dxa"/>
          </w:tcPr>
          <w:p w14:paraId="73448971" w14:textId="77777777" w:rsidR="00D64459" w:rsidRPr="00493E39" w:rsidRDefault="008B2120">
            <w:pPr>
              <w:spacing w:after="20"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ao</w:t>
            </w:r>
            <w:proofErr w:type="spellEnd"/>
            <w:r w:rsidRPr="00493E39">
              <w:rPr>
                <w:rFonts w:cs="Arial"/>
                <w:sz w:val="18"/>
              </w:rPr>
              <w:t xml:space="preserve"> </w:t>
            </w:r>
            <w:proofErr w:type="spellStart"/>
            <w:r w:rsidRPr="00493E39">
              <w:rPr>
                <w:rFonts w:cs="Arial"/>
                <w:sz w:val="18"/>
              </w:rPr>
              <w:t>consumidor</w:t>
            </w:r>
            <w:proofErr w:type="spellEnd"/>
          </w:p>
        </w:tc>
        <w:tc>
          <w:tcPr>
            <w:tcW w:w="600" w:type="dxa"/>
          </w:tcPr>
          <w:p w14:paraId="2759A173" w14:textId="77777777" w:rsidR="00D64459" w:rsidRPr="00493E39" w:rsidRDefault="008B2120">
            <w:pPr>
              <w:spacing w:after="20" w:line="240" w:lineRule="auto"/>
              <w:rPr>
                <w:rFonts w:cs="Arial"/>
              </w:rPr>
            </w:pPr>
            <w:r w:rsidRPr="00493E39">
              <w:rPr>
                <w:rFonts w:cs="Arial"/>
                <w:sz w:val="18"/>
              </w:rPr>
              <w:t>272</w:t>
            </w:r>
          </w:p>
        </w:tc>
        <w:tc>
          <w:tcPr>
            <w:tcW w:w="800" w:type="dxa"/>
          </w:tcPr>
          <w:p w14:paraId="349373BF" w14:textId="77777777" w:rsidR="00D64459" w:rsidRPr="00493E39" w:rsidRDefault="008B2120">
            <w:pPr>
              <w:spacing w:after="20" w:line="240" w:lineRule="auto"/>
              <w:rPr>
                <w:rFonts w:cs="Arial"/>
              </w:rPr>
            </w:pPr>
            <w:r w:rsidRPr="00493E39">
              <w:rPr>
                <w:rFonts w:cs="Arial"/>
                <w:sz w:val="18"/>
              </w:rPr>
              <w:t>−9,93</w:t>
            </w:r>
          </w:p>
        </w:tc>
        <w:tc>
          <w:tcPr>
            <w:tcW w:w="800" w:type="dxa"/>
          </w:tcPr>
          <w:p w14:paraId="17CC3E5B" w14:textId="77777777" w:rsidR="00D64459" w:rsidRPr="00493E39" w:rsidRDefault="008B2120">
            <w:pPr>
              <w:spacing w:after="20" w:line="240" w:lineRule="auto"/>
              <w:rPr>
                <w:rFonts w:cs="Arial"/>
              </w:rPr>
            </w:pPr>
            <w:r w:rsidRPr="00493E39">
              <w:rPr>
                <w:rFonts w:cs="Arial"/>
                <w:sz w:val="18"/>
              </w:rPr>
              <w:t>0,000</w:t>
            </w:r>
          </w:p>
        </w:tc>
        <w:tc>
          <w:tcPr>
            <w:tcW w:w="500" w:type="dxa"/>
          </w:tcPr>
          <w:p w14:paraId="1180E5FA" w14:textId="77777777" w:rsidR="00D64459" w:rsidRPr="00493E39" w:rsidRDefault="008B2120">
            <w:pPr>
              <w:spacing w:after="20" w:line="240" w:lineRule="auto"/>
              <w:rPr>
                <w:rFonts w:cs="Arial"/>
              </w:rPr>
            </w:pPr>
            <w:r w:rsidRPr="00493E39">
              <w:rPr>
                <w:rFonts w:cs="Arial"/>
                <w:sz w:val="18"/>
              </w:rPr>
              <w:t>1</w:t>
            </w:r>
          </w:p>
        </w:tc>
        <w:tc>
          <w:tcPr>
            <w:tcW w:w="800" w:type="dxa"/>
          </w:tcPr>
          <w:p w14:paraId="19037526" w14:textId="77777777" w:rsidR="00D64459" w:rsidRPr="00493E39" w:rsidRDefault="008B2120">
            <w:pPr>
              <w:spacing w:after="20" w:line="240" w:lineRule="auto"/>
              <w:rPr>
                <w:rFonts w:cs="Arial"/>
              </w:rPr>
            </w:pPr>
            <w:r w:rsidRPr="00493E39">
              <w:rPr>
                <w:rFonts w:cs="Arial"/>
                <w:sz w:val="18"/>
              </w:rPr>
              <w:t>0,057</w:t>
            </w:r>
          </w:p>
        </w:tc>
        <w:tc>
          <w:tcPr>
            <w:tcW w:w="900" w:type="dxa"/>
          </w:tcPr>
          <w:p w14:paraId="34B1F7AA" w14:textId="77777777" w:rsidR="00D64459" w:rsidRPr="00493E39" w:rsidRDefault="008B2120">
            <w:pPr>
              <w:spacing w:after="20" w:line="240" w:lineRule="auto"/>
              <w:rPr>
                <w:rFonts w:cs="Arial"/>
              </w:rPr>
            </w:pPr>
            <w:r w:rsidRPr="00493E39">
              <w:rPr>
                <w:rFonts w:cs="Arial"/>
                <w:sz w:val="18"/>
              </w:rPr>
              <w:t>sim</w:t>
            </w:r>
          </w:p>
        </w:tc>
        <w:tc>
          <w:tcPr>
            <w:tcW w:w="900" w:type="dxa"/>
          </w:tcPr>
          <w:p w14:paraId="2A770BD3"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29BFA55D" w14:textId="77777777">
        <w:trPr>
          <w:jc w:val="center"/>
        </w:trPr>
        <w:tc>
          <w:tcPr>
            <w:tcW w:w="2500" w:type="dxa"/>
          </w:tcPr>
          <w:p w14:paraId="040FAA0D" w14:textId="77777777" w:rsidR="00D64459" w:rsidRPr="00493E39" w:rsidRDefault="008B2120">
            <w:pPr>
              <w:spacing w:after="20" w:line="240" w:lineRule="auto"/>
              <w:rPr>
                <w:rFonts w:cs="Arial"/>
              </w:rPr>
            </w:pPr>
            <w:proofErr w:type="spellStart"/>
            <w:r w:rsidRPr="00493E39">
              <w:rPr>
                <w:rFonts w:cs="Arial"/>
                <w:sz w:val="18"/>
              </w:rPr>
              <w:t>Óleo</w:t>
            </w:r>
            <w:proofErr w:type="spellEnd"/>
            <w:r w:rsidRPr="00493E39">
              <w:rPr>
                <w:rFonts w:cs="Arial"/>
                <w:sz w:val="18"/>
              </w:rPr>
              <w:t xml:space="preserve"> diesel</w:t>
            </w:r>
          </w:p>
        </w:tc>
        <w:tc>
          <w:tcPr>
            <w:tcW w:w="600" w:type="dxa"/>
          </w:tcPr>
          <w:p w14:paraId="67FB7515" w14:textId="77777777" w:rsidR="00D64459" w:rsidRPr="00493E39" w:rsidRDefault="008B2120">
            <w:pPr>
              <w:spacing w:after="20" w:line="240" w:lineRule="auto"/>
              <w:rPr>
                <w:rFonts w:cs="Arial"/>
              </w:rPr>
            </w:pPr>
            <w:r w:rsidRPr="00493E39">
              <w:rPr>
                <w:rFonts w:cs="Arial"/>
                <w:sz w:val="18"/>
              </w:rPr>
              <w:t>272</w:t>
            </w:r>
          </w:p>
        </w:tc>
        <w:tc>
          <w:tcPr>
            <w:tcW w:w="800" w:type="dxa"/>
          </w:tcPr>
          <w:p w14:paraId="34C7A7F5" w14:textId="77777777" w:rsidR="00D64459" w:rsidRPr="00493E39" w:rsidRDefault="008B2120">
            <w:pPr>
              <w:spacing w:after="20" w:line="240" w:lineRule="auto"/>
              <w:rPr>
                <w:rFonts w:cs="Arial"/>
              </w:rPr>
            </w:pPr>
            <w:r w:rsidRPr="00493E39">
              <w:rPr>
                <w:rFonts w:cs="Arial"/>
                <w:sz w:val="18"/>
              </w:rPr>
              <w:t>−6,79</w:t>
            </w:r>
          </w:p>
        </w:tc>
        <w:tc>
          <w:tcPr>
            <w:tcW w:w="800" w:type="dxa"/>
          </w:tcPr>
          <w:p w14:paraId="6A83291C" w14:textId="77777777" w:rsidR="00D64459" w:rsidRPr="00493E39" w:rsidRDefault="008B2120">
            <w:pPr>
              <w:spacing w:after="20" w:line="240" w:lineRule="auto"/>
              <w:rPr>
                <w:rFonts w:cs="Arial"/>
              </w:rPr>
            </w:pPr>
            <w:r w:rsidRPr="00493E39">
              <w:rPr>
                <w:rFonts w:cs="Arial"/>
                <w:sz w:val="18"/>
              </w:rPr>
              <w:t>0,000</w:t>
            </w:r>
          </w:p>
        </w:tc>
        <w:tc>
          <w:tcPr>
            <w:tcW w:w="500" w:type="dxa"/>
          </w:tcPr>
          <w:p w14:paraId="44CCFF79" w14:textId="77777777" w:rsidR="00D64459" w:rsidRPr="00493E39" w:rsidRDefault="008B2120">
            <w:pPr>
              <w:spacing w:after="20" w:line="240" w:lineRule="auto"/>
              <w:rPr>
                <w:rFonts w:cs="Arial"/>
              </w:rPr>
            </w:pPr>
            <w:r w:rsidRPr="00493E39">
              <w:rPr>
                <w:rFonts w:cs="Arial"/>
                <w:sz w:val="18"/>
              </w:rPr>
              <w:t>3</w:t>
            </w:r>
          </w:p>
        </w:tc>
        <w:tc>
          <w:tcPr>
            <w:tcW w:w="800" w:type="dxa"/>
          </w:tcPr>
          <w:p w14:paraId="077198CE" w14:textId="77777777" w:rsidR="00D64459" w:rsidRPr="00493E39" w:rsidRDefault="008B2120">
            <w:pPr>
              <w:spacing w:after="20" w:line="240" w:lineRule="auto"/>
              <w:rPr>
                <w:rFonts w:cs="Arial"/>
              </w:rPr>
            </w:pPr>
            <w:r w:rsidRPr="00493E39">
              <w:rPr>
                <w:rFonts w:cs="Arial"/>
                <w:sz w:val="18"/>
              </w:rPr>
              <w:t>0,094</w:t>
            </w:r>
          </w:p>
        </w:tc>
        <w:tc>
          <w:tcPr>
            <w:tcW w:w="900" w:type="dxa"/>
          </w:tcPr>
          <w:p w14:paraId="2BFFD421" w14:textId="77777777" w:rsidR="00D64459" w:rsidRPr="00493E39" w:rsidRDefault="008B2120">
            <w:pPr>
              <w:spacing w:after="20" w:line="240" w:lineRule="auto"/>
              <w:rPr>
                <w:rFonts w:cs="Arial"/>
              </w:rPr>
            </w:pPr>
            <w:r w:rsidRPr="00493E39">
              <w:rPr>
                <w:rFonts w:cs="Arial"/>
                <w:sz w:val="18"/>
              </w:rPr>
              <w:t>sim</w:t>
            </w:r>
          </w:p>
        </w:tc>
        <w:tc>
          <w:tcPr>
            <w:tcW w:w="900" w:type="dxa"/>
          </w:tcPr>
          <w:p w14:paraId="1079BFCC"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6BD35D79" w14:textId="77777777">
        <w:trPr>
          <w:jc w:val="center"/>
        </w:trPr>
        <w:tc>
          <w:tcPr>
            <w:tcW w:w="2500" w:type="dxa"/>
          </w:tcPr>
          <w:p w14:paraId="3837B9BA" w14:textId="77777777" w:rsidR="00D64459" w:rsidRPr="00493E39" w:rsidRDefault="008B2120">
            <w:pPr>
              <w:spacing w:after="20" w:line="240" w:lineRule="auto"/>
              <w:rPr>
                <w:rFonts w:cs="Arial"/>
              </w:rPr>
            </w:pPr>
            <w:proofErr w:type="spellStart"/>
            <w:r w:rsidRPr="00493E39">
              <w:rPr>
                <w:rFonts w:cs="Arial"/>
                <w:sz w:val="18"/>
              </w:rPr>
              <w:t>Etanol</w:t>
            </w:r>
            <w:proofErr w:type="spellEnd"/>
          </w:p>
        </w:tc>
        <w:tc>
          <w:tcPr>
            <w:tcW w:w="600" w:type="dxa"/>
          </w:tcPr>
          <w:p w14:paraId="4CDCDF59" w14:textId="77777777" w:rsidR="00D64459" w:rsidRPr="00493E39" w:rsidRDefault="008B2120">
            <w:pPr>
              <w:spacing w:after="20" w:line="240" w:lineRule="auto"/>
              <w:rPr>
                <w:rFonts w:cs="Arial"/>
              </w:rPr>
            </w:pPr>
            <w:r w:rsidRPr="00493E39">
              <w:rPr>
                <w:rFonts w:cs="Arial"/>
                <w:sz w:val="18"/>
              </w:rPr>
              <w:t>272</w:t>
            </w:r>
          </w:p>
        </w:tc>
        <w:tc>
          <w:tcPr>
            <w:tcW w:w="800" w:type="dxa"/>
          </w:tcPr>
          <w:p w14:paraId="50713DCF" w14:textId="77777777" w:rsidR="00D64459" w:rsidRPr="00493E39" w:rsidRDefault="008B2120">
            <w:pPr>
              <w:spacing w:after="20" w:line="240" w:lineRule="auto"/>
              <w:rPr>
                <w:rFonts w:cs="Arial"/>
              </w:rPr>
            </w:pPr>
            <w:r w:rsidRPr="00493E39">
              <w:rPr>
                <w:rFonts w:cs="Arial"/>
                <w:sz w:val="18"/>
              </w:rPr>
              <w:t>−8,25</w:t>
            </w:r>
          </w:p>
        </w:tc>
        <w:tc>
          <w:tcPr>
            <w:tcW w:w="800" w:type="dxa"/>
          </w:tcPr>
          <w:p w14:paraId="235D1E4B" w14:textId="77777777" w:rsidR="00D64459" w:rsidRPr="00493E39" w:rsidRDefault="008B2120">
            <w:pPr>
              <w:spacing w:after="20" w:line="240" w:lineRule="auto"/>
              <w:rPr>
                <w:rFonts w:cs="Arial"/>
              </w:rPr>
            </w:pPr>
            <w:r w:rsidRPr="00493E39">
              <w:rPr>
                <w:rFonts w:cs="Arial"/>
                <w:sz w:val="18"/>
              </w:rPr>
              <w:t>0,000</w:t>
            </w:r>
          </w:p>
        </w:tc>
        <w:tc>
          <w:tcPr>
            <w:tcW w:w="500" w:type="dxa"/>
          </w:tcPr>
          <w:p w14:paraId="465FF2E5" w14:textId="77777777" w:rsidR="00D64459" w:rsidRPr="00493E39" w:rsidRDefault="008B2120">
            <w:pPr>
              <w:spacing w:after="20" w:line="240" w:lineRule="auto"/>
              <w:rPr>
                <w:rFonts w:cs="Arial"/>
              </w:rPr>
            </w:pPr>
            <w:r w:rsidRPr="00493E39">
              <w:rPr>
                <w:rFonts w:cs="Arial"/>
                <w:sz w:val="18"/>
              </w:rPr>
              <w:t>6</w:t>
            </w:r>
          </w:p>
        </w:tc>
        <w:tc>
          <w:tcPr>
            <w:tcW w:w="800" w:type="dxa"/>
          </w:tcPr>
          <w:p w14:paraId="69F61840" w14:textId="77777777" w:rsidR="00D64459" w:rsidRPr="00493E39" w:rsidRDefault="008B2120">
            <w:pPr>
              <w:spacing w:after="20" w:line="240" w:lineRule="auto"/>
              <w:rPr>
                <w:rFonts w:cs="Arial"/>
              </w:rPr>
            </w:pPr>
            <w:r w:rsidRPr="00493E39">
              <w:rPr>
                <w:rFonts w:cs="Arial"/>
                <w:sz w:val="18"/>
              </w:rPr>
              <w:t>0,025</w:t>
            </w:r>
          </w:p>
        </w:tc>
        <w:tc>
          <w:tcPr>
            <w:tcW w:w="900" w:type="dxa"/>
          </w:tcPr>
          <w:p w14:paraId="210D4005" w14:textId="77777777" w:rsidR="00D64459" w:rsidRPr="00493E39" w:rsidRDefault="008B2120">
            <w:pPr>
              <w:spacing w:after="20" w:line="240" w:lineRule="auto"/>
              <w:rPr>
                <w:rFonts w:cs="Arial"/>
              </w:rPr>
            </w:pPr>
            <w:r w:rsidRPr="00493E39">
              <w:rPr>
                <w:rFonts w:cs="Arial"/>
                <w:sz w:val="18"/>
              </w:rPr>
              <w:t>sim</w:t>
            </w:r>
          </w:p>
        </w:tc>
        <w:tc>
          <w:tcPr>
            <w:tcW w:w="900" w:type="dxa"/>
          </w:tcPr>
          <w:p w14:paraId="145DC175"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4772ECF9" w14:textId="77777777">
        <w:trPr>
          <w:jc w:val="center"/>
        </w:trPr>
        <w:tc>
          <w:tcPr>
            <w:tcW w:w="2500" w:type="dxa"/>
          </w:tcPr>
          <w:p w14:paraId="26B5DF19" w14:textId="77777777" w:rsidR="00D64459" w:rsidRPr="00493E39" w:rsidRDefault="008B2120">
            <w:pPr>
              <w:spacing w:after="20" w:line="240" w:lineRule="auto"/>
              <w:rPr>
                <w:rFonts w:cs="Arial"/>
              </w:rPr>
            </w:pPr>
            <w:proofErr w:type="spellStart"/>
            <w:r w:rsidRPr="00493E39">
              <w:rPr>
                <w:rFonts w:cs="Arial"/>
                <w:sz w:val="18"/>
              </w:rPr>
              <w:t>Câmbio</w:t>
            </w:r>
            <w:proofErr w:type="spellEnd"/>
            <w:r w:rsidRPr="00493E39">
              <w:rPr>
                <w:rFonts w:cs="Arial"/>
                <w:sz w:val="18"/>
              </w:rPr>
              <w:t xml:space="preserve"> (</w:t>
            </w:r>
            <w:proofErr w:type="spellStart"/>
            <w:r w:rsidRPr="00493E39">
              <w:rPr>
                <w:rFonts w:cs="Arial"/>
                <w:sz w:val="18"/>
              </w:rPr>
              <w:t>variação</w:t>
            </w:r>
            <w:proofErr w:type="spellEnd"/>
            <w:r w:rsidRPr="00493E39">
              <w:rPr>
                <w:rFonts w:cs="Arial"/>
                <w:sz w:val="18"/>
              </w:rPr>
              <w:t>)</w:t>
            </w:r>
          </w:p>
        </w:tc>
        <w:tc>
          <w:tcPr>
            <w:tcW w:w="600" w:type="dxa"/>
          </w:tcPr>
          <w:p w14:paraId="2A3C8A8A" w14:textId="77777777" w:rsidR="00D64459" w:rsidRPr="00493E39" w:rsidRDefault="008B2120">
            <w:pPr>
              <w:spacing w:after="20" w:line="240" w:lineRule="auto"/>
              <w:rPr>
                <w:rFonts w:cs="Arial"/>
              </w:rPr>
            </w:pPr>
            <w:r w:rsidRPr="00493E39">
              <w:rPr>
                <w:rFonts w:cs="Arial"/>
                <w:sz w:val="18"/>
              </w:rPr>
              <w:t>272</w:t>
            </w:r>
          </w:p>
        </w:tc>
        <w:tc>
          <w:tcPr>
            <w:tcW w:w="800" w:type="dxa"/>
          </w:tcPr>
          <w:p w14:paraId="6F9B9C68" w14:textId="77777777" w:rsidR="00D64459" w:rsidRPr="00493E39" w:rsidRDefault="008B2120">
            <w:pPr>
              <w:spacing w:after="20" w:line="240" w:lineRule="auto"/>
              <w:rPr>
                <w:rFonts w:cs="Arial"/>
              </w:rPr>
            </w:pPr>
            <w:r w:rsidRPr="00493E39">
              <w:rPr>
                <w:rFonts w:cs="Arial"/>
                <w:sz w:val="18"/>
              </w:rPr>
              <w:t>−11,57</w:t>
            </w:r>
          </w:p>
        </w:tc>
        <w:tc>
          <w:tcPr>
            <w:tcW w:w="800" w:type="dxa"/>
          </w:tcPr>
          <w:p w14:paraId="3FCC3E8A" w14:textId="77777777" w:rsidR="00D64459" w:rsidRPr="00493E39" w:rsidRDefault="008B2120">
            <w:pPr>
              <w:spacing w:after="20" w:line="240" w:lineRule="auto"/>
              <w:rPr>
                <w:rFonts w:cs="Arial"/>
              </w:rPr>
            </w:pPr>
            <w:r w:rsidRPr="00493E39">
              <w:rPr>
                <w:rFonts w:cs="Arial"/>
                <w:sz w:val="18"/>
              </w:rPr>
              <w:t>0,000</w:t>
            </w:r>
          </w:p>
        </w:tc>
        <w:tc>
          <w:tcPr>
            <w:tcW w:w="500" w:type="dxa"/>
          </w:tcPr>
          <w:p w14:paraId="1987F83F" w14:textId="77777777" w:rsidR="00D64459" w:rsidRPr="00493E39" w:rsidRDefault="008B2120">
            <w:pPr>
              <w:spacing w:after="20" w:line="240" w:lineRule="auto"/>
              <w:rPr>
                <w:rFonts w:cs="Arial"/>
              </w:rPr>
            </w:pPr>
            <w:r w:rsidRPr="00493E39">
              <w:rPr>
                <w:rFonts w:cs="Arial"/>
                <w:sz w:val="18"/>
              </w:rPr>
              <w:t>0</w:t>
            </w:r>
          </w:p>
        </w:tc>
        <w:tc>
          <w:tcPr>
            <w:tcW w:w="800" w:type="dxa"/>
          </w:tcPr>
          <w:p w14:paraId="104B40A3" w14:textId="77777777" w:rsidR="00D64459" w:rsidRPr="00493E39" w:rsidRDefault="008B2120">
            <w:pPr>
              <w:spacing w:after="20" w:line="240" w:lineRule="auto"/>
              <w:rPr>
                <w:rFonts w:cs="Arial"/>
              </w:rPr>
            </w:pPr>
            <w:r w:rsidRPr="00493E39">
              <w:rPr>
                <w:rFonts w:cs="Arial"/>
                <w:sz w:val="18"/>
              </w:rPr>
              <w:t>0,413</w:t>
            </w:r>
          </w:p>
        </w:tc>
        <w:tc>
          <w:tcPr>
            <w:tcW w:w="900" w:type="dxa"/>
          </w:tcPr>
          <w:p w14:paraId="31FB6616" w14:textId="77777777" w:rsidR="00D64459" w:rsidRPr="00493E39" w:rsidRDefault="008B2120">
            <w:pPr>
              <w:spacing w:after="20" w:line="240" w:lineRule="auto"/>
              <w:rPr>
                <w:rFonts w:cs="Arial"/>
              </w:rPr>
            </w:pPr>
            <w:r w:rsidRPr="00493E39">
              <w:rPr>
                <w:rFonts w:cs="Arial"/>
                <w:sz w:val="18"/>
              </w:rPr>
              <w:t>sim</w:t>
            </w:r>
          </w:p>
        </w:tc>
        <w:tc>
          <w:tcPr>
            <w:tcW w:w="900" w:type="dxa"/>
          </w:tcPr>
          <w:p w14:paraId="14882EAA"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1B214497" w14:textId="77777777">
        <w:trPr>
          <w:jc w:val="center"/>
        </w:trPr>
        <w:tc>
          <w:tcPr>
            <w:tcW w:w="2500" w:type="dxa"/>
          </w:tcPr>
          <w:p w14:paraId="1EF9F5A9" w14:textId="77777777" w:rsidR="00D64459" w:rsidRPr="00493E39" w:rsidRDefault="008B2120">
            <w:pPr>
              <w:spacing w:after="20" w:line="240" w:lineRule="auto"/>
              <w:rPr>
                <w:rFonts w:cs="Arial"/>
              </w:rPr>
            </w:pPr>
            <w:proofErr w:type="spellStart"/>
            <w:r w:rsidRPr="00493E39">
              <w:rPr>
                <w:rFonts w:cs="Arial"/>
                <w:sz w:val="18"/>
              </w:rPr>
              <w:t>Atividade</w:t>
            </w:r>
            <w:proofErr w:type="spellEnd"/>
            <w:r w:rsidRPr="00493E39">
              <w:rPr>
                <w:rFonts w:cs="Arial"/>
                <w:sz w:val="18"/>
              </w:rPr>
              <w:t xml:space="preserve"> (</w:t>
            </w:r>
            <w:proofErr w:type="spellStart"/>
            <w:r w:rsidRPr="00493E39">
              <w:rPr>
                <w:rFonts w:cs="Arial"/>
                <w:sz w:val="18"/>
              </w:rPr>
              <w:t>variação</w:t>
            </w:r>
            <w:proofErr w:type="spellEnd"/>
            <w:r w:rsidRPr="00493E39">
              <w:rPr>
                <w:rFonts w:cs="Arial"/>
                <w:sz w:val="18"/>
              </w:rPr>
              <w:t>)</w:t>
            </w:r>
          </w:p>
        </w:tc>
        <w:tc>
          <w:tcPr>
            <w:tcW w:w="600" w:type="dxa"/>
          </w:tcPr>
          <w:p w14:paraId="765208C4" w14:textId="77777777" w:rsidR="00D64459" w:rsidRPr="00493E39" w:rsidRDefault="008B2120">
            <w:pPr>
              <w:spacing w:after="20" w:line="240" w:lineRule="auto"/>
              <w:rPr>
                <w:rFonts w:cs="Arial"/>
              </w:rPr>
            </w:pPr>
            <w:r w:rsidRPr="00493E39">
              <w:rPr>
                <w:rFonts w:cs="Arial"/>
                <w:sz w:val="18"/>
              </w:rPr>
              <w:t>272</w:t>
            </w:r>
          </w:p>
        </w:tc>
        <w:tc>
          <w:tcPr>
            <w:tcW w:w="800" w:type="dxa"/>
          </w:tcPr>
          <w:p w14:paraId="44274622" w14:textId="77777777" w:rsidR="00D64459" w:rsidRPr="00493E39" w:rsidRDefault="008B2120">
            <w:pPr>
              <w:spacing w:after="20" w:line="240" w:lineRule="auto"/>
              <w:rPr>
                <w:rFonts w:cs="Arial"/>
              </w:rPr>
            </w:pPr>
            <w:r w:rsidRPr="00493E39">
              <w:rPr>
                <w:rFonts w:cs="Arial"/>
                <w:sz w:val="18"/>
              </w:rPr>
              <w:t>−11,50</w:t>
            </w:r>
          </w:p>
        </w:tc>
        <w:tc>
          <w:tcPr>
            <w:tcW w:w="800" w:type="dxa"/>
          </w:tcPr>
          <w:p w14:paraId="31BA54CD" w14:textId="77777777" w:rsidR="00D64459" w:rsidRPr="00493E39" w:rsidRDefault="008B2120">
            <w:pPr>
              <w:spacing w:after="20" w:line="240" w:lineRule="auto"/>
              <w:rPr>
                <w:rFonts w:cs="Arial"/>
              </w:rPr>
            </w:pPr>
            <w:r w:rsidRPr="00493E39">
              <w:rPr>
                <w:rFonts w:cs="Arial"/>
                <w:sz w:val="18"/>
              </w:rPr>
              <w:t>0,000</w:t>
            </w:r>
          </w:p>
        </w:tc>
        <w:tc>
          <w:tcPr>
            <w:tcW w:w="500" w:type="dxa"/>
          </w:tcPr>
          <w:p w14:paraId="54541D21" w14:textId="77777777" w:rsidR="00D64459" w:rsidRPr="00493E39" w:rsidRDefault="008B2120">
            <w:pPr>
              <w:spacing w:after="20" w:line="240" w:lineRule="auto"/>
              <w:rPr>
                <w:rFonts w:cs="Arial"/>
              </w:rPr>
            </w:pPr>
            <w:r w:rsidRPr="00493E39">
              <w:rPr>
                <w:rFonts w:cs="Arial"/>
                <w:sz w:val="18"/>
              </w:rPr>
              <w:t>1</w:t>
            </w:r>
          </w:p>
        </w:tc>
        <w:tc>
          <w:tcPr>
            <w:tcW w:w="800" w:type="dxa"/>
          </w:tcPr>
          <w:p w14:paraId="39EE60F7" w14:textId="77777777" w:rsidR="00D64459" w:rsidRPr="00493E39" w:rsidRDefault="008B2120">
            <w:pPr>
              <w:spacing w:after="20" w:line="240" w:lineRule="auto"/>
              <w:rPr>
                <w:rFonts w:cs="Arial"/>
              </w:rPr>
            </w:pPr>
            <w:r w:rsidRPr="00493E39">
              <w:rPr>
                <w:rFonts w:cs="Arial"/>
                <w:sz w:val="18"/>
              </w:rPr>
              <w:t>0,220</w:t>
            </w:r>
          </w:p>
        </w:tc>
        <w:tc>
          <w:tcPr>
            <w:tcW w:w="900" w:type="dxa"/>
          </w:tcPr>
          <w:p w14:paraId="090AC5BE" w14:textId="77777777" w:rsidR="00D64459" w:rsidRPr="00493E39" w:rsidRDefault="008B2120">
            <w:pPr>
              <w:spacing w:after="20" w:line="240" w:lineRule="auto"/>
              <w:rPr>
                <w:rFonts w:cs="Arial"/>
              </w:rPr>
            </w:pPr>
            <w:r w:rsidRPr="00493E39">
              <w:rPr>
                <w:rFonts w:cs="Arial"/>
                <w:sz w:val="18"/>
              </w:rPr>
              <w:t>sim</w:t>
            </w:r>
          </w:p>
        </w:tc>
        <w:tc>
          <w:tcPr>
            <w:tcW w:w="900" w:type="dxa"/>
          </w:tcPr>
          <w:p w14:paraId="7D50AD9C"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r w:rsidR="00D64459" w:rsidRPr="00493E39" w14:paraId="24D59AA2" w14:textId="77777777">
        <w:trPr>
          <w:jc w:val="center"/>
        </w:trPr>
        <w:tc>
          <w:tcPr>
            <w:tcW w:w="2500" w:type="dxa"/>
          </w:tcPr>
          <w:p w14:paraId="665125B3" w14:textId="77777777" w:rsidR="00D64459" w:rsidRPr="00493E39" w:rsidRDefault="008B2120">
            <w:pPr>
              <w:spacing w:after="20" w:line="240" w:lineRule="auto"/>
              <w:rPr>
                <w:rFonts w:cs="Arial"/>
              </w:rPr>
            </w:pPr>
            <w:r w:rsidRPr="00493E39">
              <w:rPr>
                <w:rFonts w:cs="Arial"/>
                <w:sz w:val="18"/>
              </w:rPr>
              <w:t>Meta Selic (</w:t>
            </w:r>
            <w:proofErr w:type="spellStart"/>
            <w:r w:rsidRPr="00493E39">
              <w:rPr>
                <w:rFonts w:cs="Arial"/>
                <w:sz w:val="18"/>
              </w:rPr>
              <w:t>nível</w:t>
            </w:r>
            <w:proofErr w:type="spellEnd"/>
            <w:r w:rsidRPr="00493E39">
              <w:rPr>
                <w:rFonts w:cs="Arial"/>
                <w:sz w:val="18"/>
              </w:rPr>
              <w:t xml:space="preserve"> </w:t>
            </w:r>
            <w:proofErr w:type="spellStart"/>
            <w:r w:rsidRPr="00493E39">
              <w:rPr>
                <w:rFonts w:cs="Arial"/>
                <w:sz w:val="18"/>
              </w:rPr>
              <w:t>transformado</w:t>
            </w:r>
            <w:proofErr w:type="spellEnd"/>
            <w:r w:rsidRPr="00493E39">
              <w:rPr>
                <w:rFonts w:cs="Arial"/>
                <w:sz w:val="18"/>
              </w:rPr>
              <w:t>)</w:t>
            </w:r>
          </w:p>
        </w:tc>
        <w:tc>
          <w:tcPr>
            <w:tcW w:w="600" w:type="dxa"/>
          </w:tcPr>
          <w:p w14:paraId="522043DB" w14:textId="77777777" w:rsidR="00D64459" w:rsidRPr="00493E39" w:rsidRDefault="008B2120">
            <w:pPr>
              <w:spacing w:after="20" w:line="240" w:lineRule="auto"/>
              <w:rPr>
                <w:rFonts w:cs="Arial"/>
              </w:rPr>
            </w:pPr>
            <w:r w:rsidRPr="00493E39">
              <w:rPr>
                <w:rFonts w:cs="Arial"/>
                <w:sz w:val="18"/>
              </w:rPr>
              <w:t>273</w:t>
            </w:r>
          </w:p>
        </w:tc>
        <w:tc>
          <w:tcPr>
            <w:tcW w:w="800" w:type="dxa"/>
          </w:tcPr>
          <w:p w14:paraId="3AD7FDC1" w14:textId="77777777" w:rsidR="00D64459" w:rsidRPr="00493E39" w:rsidRDefault="008B2120">
            <w:pPr>
              <w:spacing w:after="20" w:line="240" w:lineRule="auto"/>
              <w:rPr>
                <w:rFonts w:cs="Arial"/>
              </w:rPr>
            </w:pPr>
            <w:r w:rsidRPr="00493E39">
              <w:rPr>
                <w:rFonts w:cs="Arial"/>
                <w:sz w:val="18"/>
              </w:rPr>
              <w:t>−2,72</w:t>
            </w:r>
          </w:p>
        </w:tc>
        <w:tc>
          <w:tcPr>
            <w:tcW w:w="800" w:type="dxa"/>
          </w:tcPr>
          <w:p w14:paraId="0B2E9CC0" w14:textId="77777777" w:rsidR="00D64459" w:rsidRPr="00493E39" w:rsidRDefault="008B2120">
            <w:pPr>
              <w:spacing w:after="20" w:line="240" w:lineRule="auto"/>
              <w:rPr>
                <w:rFonts w:cs="Arial"/>
              </w:rPr>
            </w:pPr>
            <w:r w:rsidRPr="00493E39">
              <w:rPr>
                <w:rFonts w:cs="Arial"/>
                <w:sz w:val="18"/>
              </w:rPr>
              <w:t>0,070</w:t>
            </w:r>
          </w:p>
        </w:tc>
        <w:tc>
          <w:tcPr>
            <w:tcW w:w="500" w:type="dxa"/>
          </w:tcPr>
          <w:p w14:paraId="164017BE" w14:textId="77777777" w:rsidR="00D64459" w:rsidRPr="00493E39" w:rsidRDefault="008B2120">
            <w:pPr>
              <w:spacing w:after="20" w:line="240" w:lineRule="auto"/>
              <w:rPr>
                <w:rFonts w:cs="Arial"/>
              </w:rPr>
            </w:pPr>
            <w:r w:rsidRPr="00493E39">
              <w:rPr>
                <w:rFonts w:cs="Arial"/>
                <w:sz w:val="18"/>
              </w:rPr>
              <w:t>6</w:t>
            </w:r>
          </w:p>
        </w:tc>
        <w:tc>
          <w:tcPr>
            <w:tcW w:w="800" w:type="dxa"/>
          </w:tcPr>
          <w:p w14:paraId="33DB8B06" w14:textId="77777777" w:rsidR="00D64459" w:rsidRPr="00493E39" w:rsidRDefault="008B2120">
            <w:pPr>
              <w:spacing w:after="20" w:line="240" w:lineRule="auto"/>
              <w:rPr>
                <w:rFonts w:cs="Arial"/>
              </w:rPr>
            </w:pPr>
            <w:r w:rsidRPr="00493E39">
              <w:rPr>
                <w:rFonts w:cs="Arial"/>
                <w:sz w:val="18"/>
              </w:rPr>
              <w:t>0,946</w:t>
            </w:r>
          </w:p>
        </w:tc>
        <w:tc>
          <w:tcPr>
            <w:tcW w:w="900" w:type="dxa"/>
          </w:tcPr>
          <w:p w14:paraId="08712519"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c>
          <w:tcPr>
            <w:tcW w:w="900" w:type="dxa"/>
          </w:tcPr>
          <w:p w14:paraId="77A8E13B" w14:textId="77777777" w:rsidR="00D64459" w:rsidRPr="00493E39" w:rsidRDefault="008B2120">
            <w:pPr>
              <w:spacing w:after="20" w:line="240" w:lineRule="auto"/>
              <w:rPr>
                <w:rFonts w:cs="Arial"/>
              </w:rPr>
            </w:pPr>
            <w:r w:rsidRPr="00493E39">
              <w:rPr>
                <w:rFonts w:cs="Arial"/>
                <w:sz w:val="18"/>
              </w:rPr>
              <w:t>sim</w:t>
            </w:r>
          </w:p>
        </w:tc>
      </w:tr>
      <w:tr w:rsidR="00D64459" w:rsidRPr="00493E39" w14:paraId="385CBF01" w14:textId="77777777">
        <w:trPr>
          <w:jc w:val="center"/>
        </w:trPr>
        <w:tc>
          <w:tcPr>
            <w:tcW w:w="2500" w:type="dxa"/>
            <w:tcBorders>
              <w:bottom w:val="single" w:sz="12" w:space="0" w:color="000000"/>
            </w:tcBorders>
          </w:tcPr>
          <w:p w14:paraId="3199F89E" w14:textId="77777777" w:rsidR="00D64459" w:rsidRPr="00493E39" w:rsidRDefault="008B2120">
            <w:pPr>
              <w:spacing w:after="20" w:line="240" w:lineRule="auto"/>
              <w:rPr>
                <w:rFonts w:cs="Arial"/>
              </w:rPr>
            </w:pPr>
            <w:proofErr w:type="spellStart"/>
            <w:r w:rsidRPr="00493E39">
              <w:rPr>
                <w:rFonts w:cs="Arial"/>
                <w:sz w:val="18"/>
              </w:rPr>
              <w:t>Expectativa</w:t>
            </w:r>
            <w:proofErr w:type="spellEnd"/>
            <w:r w:rsidRPr="00493E39">
              <w:rPr>
                <w:rFonts w:cs="Arial"/>
                <w:sz w:val="18"/>
              </w:rPr>
              <w:t xml:space="preserve"> de </w:t>
            </w:r>
            <w:proofErr w:type="spellStart"/>
            <w:r w:rsidRPr="00493E39">
              <w:rPr>
                <w:rFonts w:cs="Arial"/>
                <w:sz w:val="18"/>
              </w:rPr>
              <w:t>inflação</w:t>
            </w:r>
            <w:proofErr w:type="spellEnd"/>
            <w:r w:rsidRPr="00493E39">
              <w:rPr>
                <w:rFonts w:cs="Arial"/>
                <w:sz w:val="18"/>
              </w:rPr>
              <w:t xml:space="preserve"> (</w:t>
            </w:r>
            <w:proofErr w:type="spellStart"/>
            <w:r w:rsidRPr="00493E39">
              <w:rPr>
                <w:rFonts w:cs="Arial"/>
                <w:sz w:val="18"/>
              </w:rPr>
              <w:t>transformada</w:t>
            </w:r>
            <w:proofErr w:type="spellEnd"/>
            <w:r w:rsidRPr="00493E39">
              <w:rPr>
                <w:rFonts w:cs="Arial"/>
                <w:sz w:val="18"/>
              </w:rPr>
              <w:t>)</w:t>
            </w:r>
          </w:p>
        </w:tc>
        <w:tc>
          <w:tcPr>
            <w:tcW w:w="600" w:type="dxa"/>
            <w:tcBorders>
              <w:bottom w:val="single" w:sz="12" w:space="0" w:color="000000"/>
            </w:tcBorders>
          </w:tcPr>
          <w:p w14:paraId="7AE38EFA" w14:textId="77777777" w:rsidR="00D64459" w:rsidRPr="00493E39" w:rsidRDefault="008B2120">
            <w:pPr>
              <w:spacing w:after="20" w:line="240" w:lineRule="auto"/>
              <w:rPr>
                <w:rFonts w:cs="Arial"/>
              </w:rPr>
            </w:pPr>
            <w:r w:rsidRPr="00493E39">
              <w:rPr>
                <w:rFonts w:cs="Arial"/>
                <w:sz w:val="18"/>
              </w:rPr>
              <w:t>273</w:t>
            </w:r>
          </w:p>
        </w:tc>
        <w:tc>
          <w:tcPr>
            <w:tcW w:w="800" w:type="dxa"/>
            <w:tcBorders>
              <w:bottom w:val="single" w:sz="12" w:space="0" w:color="000000"/>
            </w:tcBorders>
          </w:tcPr>
          <w:p w14:paraId="06F0F4E6" w14:textId="77777777" w:rsidR="00D64459" w:rsidRPr="00493E39" w:rsidRDefault="008B2120">
            <w:pPr>
              <w:spacing w:after="20" w:line="240" w:lineRule="auto"/>
              <w:rPr>
                <w:rFonts w:cs="Arial"/>
              </w:rPr>
            </w:pPr>
            <w:r w:rsidRPr="00493E39">
              <w:rPr>
                <w:rFonts w:cs="Arial"/>
                <w:sz w:val="18"/>
              </w:rPr>
              <w:t>−5,33</w:t>
            </w:r>
          </w:p>
        </w:tc>
        <w:tc>
          <w:tcPr>
            <w:tcW w:w="800" w:type="dxa"/>
            <w:tcBorders>
              <w:bottom w:val="single" w:sz="12" w:space="0" w:color="000000"/>
            </w:tcBorders>
          </w:tcPr>
          <w:p w14:paraId="64EFDA91" w14:textId="77777777" w:rsidR="00D64459" w:rsidRPr="00493E39" w:rsidRDefault="008B2120">
            <w:pPr>
              <w:spacing w:after="20" w:line="240" w:lineRule="auto"/>
              <w:rPr>
                <w:rFonts w:cs="Arial"/>
              </w:rPr>
            </w:pPr>
            <w:r w:rsidRPr="00493E39">
              <w:rPr>
                <w:rFonts w:cs="Arial"/>
                <w:sz w:val="18"/>
              </w:rPr>
              <w:t>0,000</w:t>
            </w:r>
          </w:p>
        </w:tc>
        <w:tc>
          <w:tcPr>
            <w:tcW w:w="500" w:type="dxa"/>
            <w:tcBorders>
              <w:bottom w:val="single" w:sz="12" w:space="0" w:color="000000"/>
            </w:tcBorders>
          </w:tcPr>
          <w:p w14:paraId="60A0E3A9" w14:textId="77777777" w:rsidR="00D64459" w:rsidRPr="00493E39" w:rsidRDefault="008B2120">
            <w:pPr>
              <w:spacing w:after="20" w:line="240" w:lineRule="auto"/>
              <w:rPr>
                <w:rFonts w:cs="Arial"/>
              </w:rPr>
            </w:pPr>
            <w:r w:rsidRPr="00493E39">
              <w:rPr>
                <w:rFonts w:cs="Arial"/>
                <w:sz w:val="18"/>
              </w:rPr>
              <w:t>1</w:t>
            </w:r>
          </w:p>
        </w:tc>
        <w:tc>
          <w:tcPr>
            <w:tcW w:w="800" w:type="dxa"/>
            <w:tcBorders>
              <w:bottom w:val="single" w:sz="12" w:space="0" w:color="000000"/>
            </w:tcBorders>
          </w:tcPr>
          <w:p w14:paraId="174AB552" w14:textId="77777777" w:rsidR="00D64459" w:rsidRPr="00493E39" w:rsidRDefault="008B2120">
            <w:pPr>
              <w:spacing w:after="20" w:line="240" w:lineRule="auto"/>
              <w:rPr>
                <w:rFonts w:cs="Arial"/>
              </w:rPr>
            </w:pPr>
            <w:r w:rsidRPr="00493E39">
              <w:rPr>
                <w:rFonts w:cs="Arial"/>
                <w:sz w:val="18"/>
              </w:rPr>
              <w:t>0,437</w:t>
            </w:r>
          </w:p>
        </w:tc>
        <w:tc>
          <w:tcPr>
            <w:tcW w:w="900" w:type="dxa"/>
            <w:tcBorders>
              <w:bottom w:val="single" w:sz="12" w:space="0" w:color="000000"/>
            </w:tcBorders>
          </w:tcPr>
          <w:p w14:paraId="281AC5FC" w14:textId="77777777" w:rsidR="00D64459" w:rsidRPr="00493E39" w:rsidRDefault="008B2120">
            <w:pPr>
              <w:spacing w:after="20" w:line="240" w:lineRule="auto"/>
              <w:rPr>
                <w:rFonts w:cs="Arial"/>
              </w:rPr>
            </w:pPr>
            <w:r w:rsidRPr="00493E39">
              <w:rPr>
                <w:rFonts w:cs="Arial"/>
                <w:sz w:val="18"/>
              </w:rPr>
              <w:t>sim</w:t>
            </w:r>
          </w:p>
        </w:tc>
        <w:tc>
          <w:tcPr>
            <w:tcW w:w="900" w:type="dxa"/>
            <w:tcBorders>
              <w:bottom w:val="single" w:sz="12" w:space="0" w:color="000000"/>
            </w:tcBorders>
          </w:tcPr>
          <w:p w14:paraId="262A1B0E" w14:textId="77777777" w:rsidR="00D64459" w:rsidRPr="00493E39" w:rsidRDefault="008B2120">
            <w:pPr>
              <w:spacing w:after="20" w:line="240" w:lineRule="auto"/>
              <w:rPr>
                <w:rFonts w:cs="Arial"/>
              </w:rPr>
            </w:pPr>
            <w:proofErr w:type="spellStart"/>
            <w:r w:rsidRPr="00493E39">
              <w:rPr>
                <w:rFonts w:cs="Arial"/>
                <w:sz w:val="18"/>
              </w:rPr>
              <w:t>não</w:t>
            </w:r>
            <w:proofErr w:type="spellEnd"/>
          </w:p>
        </w:tc>
      </w:tr>
    </w:tbl>
    <w:p w14:paraId="591857D0" w14:textId="77777777" w:rsidR="00D64459" w:rsidRPr="00493E39" w:rsidRDefault="008B2120">
      <w:pPr>
        <w:spacing w:before="60" w:after="200" w:line="240" w:lineRule="auto"/>
        <w:jc w:val="both"/>
        <w:rPr>
          <w:rFonts w:cs="Arial"/>
          <w:lang w:val="pt-BR"/>
        </w:rPr>
      </w:pPr>
      <w:r w:rsidRPr="00493E39">
        <w:rPr>
          <w:rFonts w:cs="Arial"/>
          <w:sz w:val="18"/>
          <w:lang w:val="pt-BR"/>
        </w:rPr>
        <w:t xml:space="preserve">Nota: ADF com constante e defasagens por critério de </w:t>
      </w:r>
      <w:proofErr w:type="spellStart"/>
      <w:r w:rsidRPr="00493E39">
        <w:rPr>
          <w:rFonts w:cs="Arial"/>
          <w:sz w:val="18"/>
          <w:lang w:val="pt-BR"/>
        </w:rPr>
        <w:t>Akaike</w:t>
      </w:r>
      <w:proofErr w:type="spellEnd"/>
      <w:r w:rsidRPr="00493E39">
        <w:rPr>
          <w:rFonts w:cs="Arial"/>
          <w:sz w:val="18"/>
          <w:lang w:val="pt-BR"/>
        </w:rPr>
        <w:t xml:space="preserve">; hipótese nula de raiz unitária. KPSS com constante e largura de banda automática; hipótese nula de </w:t>
      </w:r>
      <w:proofErr w:type="spellStart"/>
      <w:r w:rsidRPr="00493E39">
        <w:rPr>
          <w:rFonts w:cs="Arial"/>
          <w:sz w:val="18"/>
          <w:lang w:val="pt-BR"/>
        </w:rPr>
        <w:t>estacionariedade</w:t>
      </w:r>
      <w:proofErr w:type="spellEnd"/>
      <w:r w:rsidRPr="00493E39">
        <w:rPr>
          <w:rFonts w:cs="Arial"/>
          <w:sz w:val="18"/>
          <w:lang w:val="pt-BR"/>
        </w:rPr>
        <w:t>, valor crítico de 5% igual a 0,463. As colunas finais indicam rejeição a 5%.</w:t>
      </w:r>
    </w:p>
    <w:p w14:paraId="15EDA739"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5934F552" w14:textId="77777777" w:rsidR="00D64459" w:rsidRPr="00493E39" w:rsidRDefault="008B2120">
      <w:pPr>
        <w:ind w:firstLine="709"/>
        <w:jc w:val="both"/>
        <w:rPr>
          <w:rFonts w:cs="Arial"/>
          <w:lang w:val="pt-BR"/>
        </w:rPr>
      </w:pPr>
      <w:r w:rsidRPr="00493E39">
        <w:rPr>
          <w:rFonts w:cs="Arial"/>
          <w:lang w:val="pt-BR"/>
        </w:rPr>
        <w:t xml:space="preserve">Os dois testes concordam em dez das onze séries: o ADF rejeita a raiz unitária e o KPSS não rejeita a </w:t>
      </w:r>
      <w:proofErr w:type="spellStart"/>
      <w:r w:rsidRPr="00493E39">
        <w:rPr>
          <w:rFonts w:cs="Arial"/>
          <w:lang w:val="pt-BR"/>
        </w:rPr>
        <w:t>estacionariedade</w:t>
      </w:r>
      <w:proofErr w:type="spellEnd"/>
      <w:r w:rsidRPr="00493E39">
        <w:rPr>
          <w:rFonts w:cs="Arial"/>
          <w:lang w:val="pt-BR"/>
        </w:rPr>
        <w:t xml:space="preserve">, de modo que as séries, na forma em que entram no modelo, não apresentam problema de ordem de integração. A exceção é a meta Selic, única série que entra em nível: o ADF não rejeita a raiz unitária, com estatística de −2,72 e p de 0,070, e o KPSS rejeita a </w:t>
      </w:r>
      <w:proofErr w:type="spellStart"/>
      <w:r w:rsidRPr="00493E39">
        <w:rPr>
          <w:rFonts w:cs="Arial"/>
          <w:lang w:val="pt-BR"/>
        </w:rPr>
        <w:t>estacionariedade</w:t>
      </w:r>
      <w:proofErr w:type="spellEnd"/>
      <w:r w:rsidRPr="00493E39">
        <w:rPr>
          <w:rFonts w:cs="Arial"/>
          <w:lang w:val="pt-BR"/>
        </w:rPr>
        <w:t xml:space="preserve">, com estatística de 0,946 </w:t>
      </w:r>
      <w:proofErr w:type="gramStart"/>
      <w:r w:rsidRPr="00493E39">
        <w:rPr>
          <w:rFonts w:cs="Arial"/>
          <w:lang w:val="pt-BR"/>
        </w:rPr>
        <w:t>contra valor</w:t>
      </w:r>
      <w:proofErr w:type="gramEnd"/>
      <w:r w:rsidRPr="00493E39">
        <w:rPr>
          <w:rFonts w:cs="Arial"/>
          <w:lang w:val="pt-BR"/>
        </w:rPr>
        <w:t xml:space="preserve"> crítico de 0,463. Os dois testes apontam, portanto, na mesma direção quanto a ela, que é a de persistência elevada.</w:t>
      </w:r>
    </w:p>
    <w:p w14:paraId="5FB42CCB" w14:textId="77777777" w:rsidR="00D64459" w:rsidRPr="00493E39" w:rsidRDefault="008B2120">
      <w:pPr>
        <w:ind w:firstLine="709"/>
        <w:jc w:val="both"/>
        <w:rPr>
          <w:rFonts w:cs="Arial"/>
          <w:lang w:val="pt-BR"/>
        </w:rPr>
      </w:pPr>
      <w:r w:rsidRPr="00493E39">
        <w:rPr>
          <w:rFonts w:cs="Arial"/>
          <w:lang w:val="pt-BR"/>
        </w:rPr>
        <w:t xml:space="preserve">É precisamente esse o caso que motiva o procedimento adotado na seção 3.3. O aumento de defasagem de Montiel </w:t>
      </w:r>
      <w:proofErr w:type="spellStart"/>
      <w:r w:rsidRPr="00493E39">
        <w:rPr>
          <w:rFonts w:cs="Arial"/>
          <w:lang w:val="pt-BR"/>
        </w:rPr>
        <w:t>Olea</w:t>
      </w:r>
      <w:proofErr w:type="spellEnd"/>
      <w:r w:rsidRPr="00493E39">
        <w:rPr>
          <w:rFonts w:cs="Arial"/>
          <w:lang w:val="pt-BR"/>
        </w:rPr>
        <w:t xml:space="preserve"> e </w:t>
      </w:r>
      <w:proofErr w:type="spellStart"/>
      <w:r w:rsidRPr="00493E39">
        <w:rPr>
          <w:rFonts w:cs="Arial"/>
          <w:lang w:val="pt-BR"/>
        </w:rPr>
        <w:t>Plagborg-Møller</w:t>
      </w:r>
      <w:proofErr w:type="spellEnd"/>
      <w:r w:rsidRPr="00493E39">
        <w:rPr>
          <w:rFonts w:cs="Arial"/>
          <w:lang w:val="pt-BR"/>
        </w:rPr>
        <w:t xml:space="preserve"> (2021) assegura validade uniforme da inferência sobre o coeficiente do choque na presença de </w:t>
      </w:r>
      <w:proofErr w:type="spellStart"/>
      <w:r w:rsidRPr="00493E39">
        <w:rPr>
          <w:rFonts w:cs="Arial"/>
          <w:lang w:val="pt-BR"/>
        </w:rPr>
        <w:t>regressores</w:t>
      </w:r>
      <w:proofErr w:type="spellEnd"/>
      <w:r w:rsidRPr="00493E39">
        <w:rPr>
          <w:rFonts w:cs="Arial"/>
          <w:lang w:val="pt-BR"/>
        </w:rPr>
        <w:t xml:space="preserve"> persistentes, e dispensa tomar posição sobre a ordem de integração da meta Selic. A tabela não é, portanto, condição para a validade dos resultados: ela documenta que o único </w:t>
      </w:r>
      <w:proofErr w:type="spellStart"/>
      <w:r w:rsidRPr="00493E39">
        <w:rPr>
          <w:rFonts w:cs="Arial"/>
          <w:lang w:val="pt-BR"/>
        </w:rPr>
        <w:t>regressor</w:t>
      </w:r>
      <w:proofErr w:type="spellEnd"/>
      <w:r w:rsidRPr="00493E39">
        <w:rPr>
          <w:rFonts w:cs="Arial"/>
          <w:lang w:val="pt-BR"/>
        </w:rPr>
        <w:t xml:space="preserve"> que exigiria cuidado é justamente o que o procedimento adotado já cobre.</w:t>
      </w:r>
    </w:p>
    <w:p w14:paraId="1E275811" w14:textId="77777777" w:rsidR="00D64459" w:rsidRPr="00493E39" w:rsidRDefault="008B2120">
      <w:pPr>
        <w:rPr>
          <w:rFonts w:cs="Arial"/>
          <w:lang w:val="pt-BR"/>
        </w:rPr>
      </w:pPr>
      <w:r w:rsidRPr="00493E39">
        <w:rPr>
          <w:rFonts w:cs="Arial"/>
          <w:lang w:val="pt-BR"/>
        </w:rPr>
        <w:br w:type="page"/>
      </w:r>
    </w:p>
    <w:p w14:paraId="666A425D" w14:textId="77777777" w:rsidR="00D64459" w:rsidRPr="00493E39" w:rsidRDefault="008B2120">
      <w:pPr>
        <w:pStyle w:val="Heading1"/>
        <w:spacing w:before="280" w:after="280"/>
        <w:jc w:val="center"/>
        <w:rPr>
          <w:rFonts w:ascii="Arial" w:hAnsi="Arial" w:cs="Arial"/>
          <w:lang w:val="pt-BR"/>
        </w:rPr>
      </w:pPr>
      <w:bookmarkStart w:id="46" w:name="_Toc239713595"/>
      <w:r w:rsidRPr="00493E39">
        <w:rPr>
          <w:rFonts w:ascii="Arial" w:hAnsi="Arial" w:cs="Arial"/>
          <w:lang w:val="pt-BR"/>
        </w:rPr>
        <w:lastRenderedPageBreak/>
        <w:t>APÊNDICE K – VERIFICAÇÕES DE ROBUSTEZ ADICIONAIS</w:t>
      </w:r>
      <w:bookmarkEnd w:id="46"/>
    </w:p>
    <w:p w14:paraId="1580E0D9" w14:textId="77777777" w:rsidR="00D64459" w:rsidRPr="00493E39" w:rsidRDefault="008B2120">
      <w:pPr>
        <w:ind w:firstLine="709"/>
        <w:jc w:val="both"/>
        <w:rPr>
          <w:rFonts w:cs="Arial"/>
          <w:lang w:val="pt-BR"/>
        </w:rPr>
      </w:pPr>
      <w:r w:rsidRPr="00493E39">
        <w:rPr>
          <w:rFonts w:cs="Arial"/>
          <w:lang w:val="pt-BR"/>
        </w:rPr>
        <w:t>A seção 4.7 do corpo do trabalho reúne as verificações de robustez cujo resultado altera a leitura dos coeficientes reportados: o placebo, o tratamento da pandemia, o diagnóstico da gasolina na refinaria, o corte imposto na data do anúncio e o exercício contrafactual. Este apêndice reúne as demais, que confirmam o resultado sem modificá-lo, com exceção da K.6, que qualifica a afirmação de repasse nulo no regime anterior, e cuja permanência no corpo apenas alongaria o capítulo. Cada uma preserva a redação original e é referida do corpo pelo número que recebe aqui.</w:t>
      </w:r>
    </w:p>
    <w:p w14:paraId="0C3EB05D" w14:textId="77777777" w:rsidR="00D64459" w:rsidRPr="00493E39" w:rsidRDefault="008B2120">
      <w:pPr>
        <w:pStyle w:val="Heading3"/>
        <w:spacing w:before="280" w:after="160"/>
        <w:rPr>
          <w:rFonts w:ascii="Arial" w:hAnsi="Arial" w:cs="Arial"/>
          <w:lang w:val="pt-BR"/>
        </w:rPr>
      </w:pPr>
      <w:bookmarkStart w:id="47" w:name="_Toc239713596"/>
      <w:r w:rsidRPr="00493E39">
        <w:rPr>
          <w:rFonts w:ascii="Arial" w:hAnsi="Arial" w:cs="Arial"/>
          <w:lang w:val="pt-BR"/>
        </w:rPr>
        <w:t>K.1 Identificação por choque de oferta externo</w:t>
      </w:r>
      <w:bookmarkEnd w:id="47"/>
    </w:p>
    <w:p w14:paraId="5C0096DB" w14:textId="77777777" w:rsidR="00D64459" w:rsidRPr="00493E39" w:rsidRDefault="008B2120">
      <w:pPr>
        <w:ind w:firstLine="709"/>
        <w:jc w:val="both"/>
        <w:rPr>
          <w:rFonts w:cs="Arial"/>
          <w:lang w:val="pt-BR"/>
        </w:rPr>
      </w:pPr>
      <w:r w:rsidRPr="00493E39">
        <w:rPr>
          <w:rFonts w:cs="Arial"/>
          <w:lang w:val="pt-BR"/>
        </w:rPr>
        <w:t xml:space="preserve">A projeção sobre o choque de </w:t>
      </w:r>
      <w:proofErr w:type="spellStart"/>
      <w:r w:rsidRPr="00493E39">
        <w:rPr>
          <w:rFonts w:cs="Arial"/>
          <w:lang w:val="pt-BR"/>
        </w:rPr>
        <w:t>Känzig</w:t>
      </w:r>
      <w:proofErr w:type="spellEnd"/>
      <w:r w:rsidRPr="00493E39">
        <w:rPr>
          <w:rFonts w:cs="Arial"/>
          <w:lang w:val="pt-BR"/>
        </w:rPr>
        <w:t xml:space="preserve"> (2021) foi conduzida como verificação adicional, e o seu desfecho exige registro cuidadoso. Sobre o instrumento genuinamente externo, que é a surpresa de preço dos futuros em torno de anúncios da Organização dos Países Exportadores de Petróleo e é diferente de zero em apenas 90 dos 270 meses, </w:t>
      </w:r>
      <w:r w:rsidRPr="00493E39">
        <w:rPr>
          <w:rFonts w:cs="Arial"/>
          <w:i/>
          <w:lang w:val="pt-BR"/>
        </w:rPr>
        <w:t>a forma reduzida não é</w:t>
      </w:r>
      <w:r w:rsidRPr="00493E39">
        <w:rPr>
          <w:rFonts w:cs="Arial"/>
          <w:lang w:val="pt-BR"/>
        </w:rPr>
        <w:t xml:space="preserve"> estatisticamente significativa em horizonte algum, com p entre 0,302 e 0,979. A verificação externa, portanto, não confirma o resultado principal; ela é inconclusiva, e a razão mais provável é falta de potência.</w:t>
      </w:r>
    </w:p>
    <w:p w14:paraId="1DA83CCE" w14:textId="77777777" w:rsidR="00D64459" w:rsidRPr="00493E39" w:rsidRDefault="008B2120">
      <w:pPr>
        <w:ind w:firstLine="709"/>
        <w:jc w:val="both"/>
        <w:rPr>
          <w:rFonts w:cs="Arial"/>
          <w:lang w:val="pt-BR"/>
        </w:rPr>
      </w:pPr>
      <w:r w:rsidRPr="00493E39">
        <w:rPr>
          <w:rFonts w:cs="Arial"/>
          <w:lang w:val="pt-BR"/>
        </w:rPr>
        <w:t xml:space="preserve">A outra série do arquivo, o choque estrutural que </w:t>
      </w:r>
      <w:proofErr w:type="spellStart"/>
      <w:r w:rsidRPr="00493E39">
        <w:rPr>
          <w:rFonts w:cs="Arial"/>
          <w:lang w:val="pt-BR"/>
        </w:rPr>
        <w:t>Känzig</w:t>
      </w:r>
      <w:proofErr w:type="spellEnd"/>
      <w:r w:rsidRPr="00493E39">
        <w:rPr>
          <w:rFonts w:cs="Arial"/>
          <w:lang w:val="pt-BR"/>
        </w:rPr>
        <w:t xml:space="preserve"> recupera em modelo próprio, produz coeficientes de 0,082 no primeiro mês e 0,133 no terceiro para o IPCA Geral, ambos significativos, com estatística F entre 114 e 276. Esse resultado não pode, contudo, ser lido como confirmação externa. Aquela série é recuperada de um modelo que inclui entre suas variáveis o próprio preço do petróleo, de modo que a força aparente do primeiro estágio é em boa medida mecânica, e o conjunto de Anderson-Rubin calculado sobre o mesmo instrumento herda essa circularidade. Com o instrumento externo bruto, cuja F fica entre 2,9 e 6,8, os conjuntos de Anderson-Rubin são 80% mais amplos e não excluem o zero.</w:t>
      </w:r>
    </w:p>
    <w:p w14:paraId="5A317E3B" w14:textId="77777777" w:rsidR="00D64459" w:rsidRPr="00493E39" w:rsidRDefault="008B2120">
      <w:pPr>
        <w:ind w:firstLine="709"/>
        <w:jc w:val="both"/>
        <w:rPr>
          <w:rFonts w:cs="Arial"/>
          <w:lang w:val="pt-BR"/>
        </w:rPr>
      </w:pPr>
      <w:r w:rsidRPr="00493E39">
        <w:rPr>
          <w:rFonts w:cs="Arial"/>
          <w:lang w:val="pt-BR"/>
        </w:rPr>
        <w:t xml:space="preserve">O exercício é, portanto, projeção sobre o choque estimado por </w:t>
      </w:r>
      <w:proofErr w:type="spellStart"/>
      <w:r w:rsidRPr="00493E39">
        <w:rPr>
          <w:rFonts w:cs="Arial"/>
          <w:lang w:val="pt-BR"/>
        </w:rPr>
        <w:t>Känzig</w:t>
      </w:r>
      <w:proofErr w:type="spellEnd"/>
      <w:r w:rsidRPr="00493E39">
        <w:rPr>
          <w:rFonts w:cs="Arial"/>
          <w:lang w:val="pt-BR"/>
        </w:rPr>
        <w:t xml:space="preserve">, e não desenho de instrumento externo em sentido estrito. Ele é reportado por completude e como registro de uma limitação, e não como sustentação do resultado principal, que não depende de instrumento algum: a especificação do Capítulo 3 é estimada por </w:t>
      </w:r>
      <w:r w:rsidRPr="00493E39">
        <w:rPr>
          <w:rFonts w:cs="Arial"/>
          <w:lang w:val="pt-BR"/>
        </w:rPr>
        <w:lastRenderedPageBreak/>
        <w:t xml:space="preserve">mínimos quadrados ordinários, com o choque entrando como </w:t>
      </w:r>
      <w:proofErr w:type="spellStart"/>
      <w:r w:rsidRPr="00493E39">
        <w:rPr>
          <w:rFonts w:cs="Arial"/>
          <w:lang w:val="pt-BR"/>
        </w:rPr>
        <w:t>regressor</w:t>
      </w:r>
      <w:proofErr w:type="spellEnd"/>
      <w:r w:rsidRPr="00493E39">
        <w:rPr>
          <w:rFonts w:cs="Arial"/>
          <w:lang w:val="pt-BR"/>
        </w:rPr>
        <w:t xml:space="preserve"> e a identificação repousando sobre a comparação entre regimes separados por uma mudança de regra datável. A seção 3.4 demonstra que essa estratégia exige hipótese mais fraca que a </w:t>
      </w:r>
      <w:proofErr w:type="spellStart"/>
      <w:r w:rsidRPr="00493E39">
        <w:rPr>
          <w:rFonts w:cs="Arial"/>
          <w:lang w:val="pt-BR"/>
        </w:rPr>
        <w:t>exogeneidade</w:t>
      </w:r>
      <w:proofErr w:type="spellEnd"/>
      <w:r w:rsidRPr="00493E39">
        <w:rPr>
          <w:rFonts w:cs="Arial"/>
          <w:lang w:val="pt-BR"/>
        </w:rPr>
        <w:t xml:space="preserve"> do choque, porque o viés que porventura contamine cada coeficiente cancela-se na diferença entre eles desde que seja comum aos dois períodos.</w:t>
      </w:r>
    </w:p>
    <w:p w14:paraId="37C47DA4" w14:textId="77777777" w:rsidR="00D64459" w:rsidRPr="00493E39" w:rsidRDefault="008B2120">
      <w:pPr>
        <w:ind w:firstLine="709"/>
        <w:jc w:val="both"/>
        <w:rPr>
          <w:rFonts w:cs="Arial"/>
          <w:lang w:val="pt-BR"/>
        </w:rPr>
      </w:pPr>
      <w:r w:rsidRPr="00493E39">
        <w:rPr>
          <w:rFonts w:cs="Arial"/>
          <w:lang w:val="pt-BR"/>
        </w:rPr>
        <w:t xml:space="preserve">Verificação análoga foi conduzida com instrumentos construídos a partir da margem de refino internacional, obtida subtraindo-se o preço do Brent das cotações da gasolina e do diesel na Costa do Golfo dos Estados Unidos e </w:t>
      </w:r>
      <w:proofErr w:type="spellStart"/>
      <w:r w:rsidRPr="00493E39">
        <w:rPr>
          <w:rFonts w:cs="Arial"/>
          <w:lang w:val="pt-BR"/>
        </w:rPr>
        <w:t>ortogonalizada</w:t>
      </w:r>
      <w:proofErr w:type="spellEnd"/>
      <w:r w:rsidRPr="00493E39">
        <w:rPr>
          <w:rFonts w:cs="Arial"/>
          <w:lang w:val="pt-BR"/>
        </w:rPr>
        <w:t xml:space="preserve"> em relação ao choque de petróleo por construção. A motivação é que interrupções de refino, tipicamente causadas por eventos climáticos, movem a margem sem mover o preço do óleo cru, e alcançariam a economia brasileira apenas por meio da regra de paridade. O exercício reproduz o padrão de regime previsto pela hipótese do trabalho: a margem da gasolina apresenta estatística F de primeiro estágio de 5,4 no regime posterior contra 1,5 no anterior, e move o IPCA Transportes de forma significativa apenas naquele. Nenhum dos dois instrumentos, contudo, alcança o limiar convencional de 10, e a margem do diesel não apresenta primeiro estágio em regime algum. O Apêndice G reporta as estatísticas. A conclusão coincide com a do parágrafo anterior: nesta amostra não se dispõe de instrumento externo com potência suficiente para inferência por dois estágios, e a identificação repousa sobre a comparação entre regimes.</w:t>
      </w:r>
    </w:p>
    <w:p w14:paraId="0814DF1D" w14:textId="77777777" w:rsidR="00D64459" w:rsidRPr="00493E39" w:rsidRDefault="008B2120">
      <w:pPr>
        <w:ind w:firstLine="709"/>
        <w:jc w:val="both"/>
        <w:rPr>
          <w:rFonts w:cs="Arial"/>
          <w:lang w:val="pt-BR"/>
        </w:rPr>
      </w:pPr>
      <w:r w:rsidRPr="00493E39">
        <w:rPr>
          <w:rFonts w:cs="Arial"/>
          <w:lang w:val="pt-BR"/>
        </w:rPr>
        <w:t xml:space="preserve">Convém registrar que a dificuldade encontrada aqui não é peculiaridade deste trabalho, e sim consequência do desenho amostral. Cardoso e </w:t>
      </w:r>
      <w:proofErr w:type="spellStart"/>
      <w:r w:rsidRPr="00493E39">
        <w:rPr>
          <w:rFonts w:cs="Arial"/>
          <w:lang w:val="pt-BR"/>
        </w:rPr>
        <w:t>Severnini</w:t>
      </w:r>
      <w:proofErr w:type="spellEnd"/>
      <w:r w:rsidRPr="00493E39">
        <w:rPr>
          <w:rFonts w:cs="Arial"/>
          <w:lang w:val="pt-BR"/>
        </w:rPr>
        <w:t xml:space="preserve"> (2023) instrumentam o preço da gasolina ao consumidor com o preço de produtor da Petrobras por estado, que incorpora os tributos federais, e com a qualidade da cana medida pelo açúcar total recuperável em três regiões produtoras, que desloca a oferta de etanol e, por substituição, a demanda por gasolina. Mesmo com um painel de 555 municípios entre 2005 e 2016, mais de setenta mil observações e efeitos fixos de município, de mês do ano e de estado por ano, a estatística F de primeiro estágio para o preço da gasolina é de cerca de 18 na amostra completa e fica abaixo de 10 nos subperíodos de 2005 a 2009 e de 2010 a 2016. As estatísticas F elevadas daquele trabalho, entre 84 e </w:t>
      </w:r>
      <w:r w:rsidRPr="00493E39">
        <w:rPr>
          <w:rFonts w:cs="Arial"/>
          <w:lang w:val="pt-BR"/>
        </w:rPr>
        <w:lastRenderedPageBreak/>
        <w:t>422 na tabela de interações, referem-se a outra variável endógena, o volume de gasolina vendido, nas equações de internações. Se nem a variação transversal de um painel municipal assegura instrumento forte para o preço, uma série agregada nacional de frequência mensal dificilmente o fará. Registre-se ainda que a pergunta daquele trabalho é de elasticidade da demanda e de externalidades de saúde, e não de inflação. A implicação para a agenda futura é que a via instrumental exige mudança da unidade de observação, e mesmo assim não garante instrumento forte.</w:t>
      </w:r>
    </w:p>
    <w:p w14:paraId="23C0098B" w14:textId="77777777" w:rsidR="00D64459" w:rsidRPr="00493E39" w:rsidRDefault="008B2120">
      <w:pPr>
        <w:pStyle w:val="Heading3"/>
        <w:spacing w:before="280" w:after="160"/>
        <w:rPr>
          <w:rFonts w:ascii="Arial" w:hAnsi="Arial" w:cs="Arial"/>
          <w:lang w:val="pt-BR"/>
        </w:rPr>
      </w:pPr>
      <w:bookmarkStart w:id="48" w:name="_Toc239713597"/>
      <w:r w:rsidRPr="00493E39">
        <w:rPr>
          <w:rFonts w:ascii="Arial" w:hAnsi="Arial" w:cs="Arial"/>
          <w:lang w:val="pt-BR"/>
        </w:rPr>
        <w:t>K.2 Defasagens e correção para choques subsequentes</w:t>
      </w:r>
      <w:bookmarkEnd w:id="48"/>
    </w:p>
    <w:p w14:paraId="193AE135" w14:textId="77777777" w:rsidR="00D64459" w:rsidRPr="00493E39" w:rsidRDefault="008B2120">
      <w:pPr>
        <w:ind w:firstLine="709"/>
        <w:jc w:val="both"/>
        <w:rPr>
          <w:rFonts w:cs="Arial"/>
          <w:lang w:val="pt-BR"/>
        </w:rPr>
      </w:pPr>
      <w:r w:rsidRPr="00493E39">
        <w:rPr>
          <w:rFonts w:cs="Arial"/>
          <w:lang w:val="pt-BR"/>
        </w:rPr>
        <w:t xml:space="preserve">Quanto às defasagens, os critérios de informação indicam uma pelo bayesiano e duas pelo de </w:t>
      </w:r>
      <w:proofErr w:type="spellStart"/>
      <w:r w:rsidRPr="00493E39">
        <w:rPr>
          <w:rFonts w:cs="Arial"/>
          <w:lang w:val="pt-BR"/>
        </w:rPr>
        <w:t>Akaike</w:t>
      </w:r>
      <w:proofErr w:type="spellEnd"/>
      <w:r w:rsidRPr="00493E39">
        <w:rPr>
          <w:rFonts w:cs="Arial"/>
          <w:lang w:val="pt-BR"/>
        </w:rPr>
        <w:t xml:space="preserve">, e adotam-se três seguindo o aumento de defasagem de Montiel </w:t>
      </w:r>
      <w:proofErr w:type="spellStart"/>
      <w:r w:rsidRPr="00493E39">
        <w:rPr>
          <w:rFonts w:cs="Arial"/>
          <w:lang w:val="pt-BR"/>
        </w:rPr>
        <w:t>Olea</w:t>
      </w:r>
      <w:proofErr w:type="spellEnd"/>
      <w:r w:rsidRPr="00493E39">
        <w:rPr>
          <w:rFonts w:cs="Arial"/>
          <w:lang w:val="pt-BR"/>
        </w:rPr>
        <w:t xml:space="preserve"> e </w:t>
      </w:r>
      <w:proofErr w:type="spellStart"/>
      <w:r w:rsidRPr="00493E39">
        <w:rPr>
          <w:rFonts w:cs="Arial"/>
          <w:lang w:val="pt-BR"/>
        </w:rPr>
        <w:t>Plagborg-Møller</w:t>
      </w:r>
      <w:proofErr w:type="spellEnd"/>
      <w:r w:rsidRPr="00493E39">
        <w:rPr>
          <w:rFonts w:cs="Arial"/>
          <w:lang w:val="pt-BR"/>
        </w:rPr>
        <w:t xml:space="preserve"> (2021). No impacto o resultado é invariante: o coeficiente do regime posterior para o IPCA Geral vai de 0,161 a 0,184 conforme a ordem, e o teste de igualdade rejeita a menos de 1% em todas. Em h = 3 a estabilidade não se mantém, com p-valores entre 0,079 e 0,236, o que reforça que a conclusão se apoia no impacto contemporâneo. Por fim, a correção de </w:t>
      </w:r>
      <w:proofErr w:type="spellStart"/>
      <w:r w:rsidRPr="00493E39">
        <w:rPr>
          <w:rFonts w:cs="Arial"/>
          <w:lang w:val="pt-BR"/>
        </w:rPr>
        <w:t>Teulings</w:t>
      </w:r>
      <w:proofErr w:type="spellEnd"/>
      <w:r w:rsidRPr="00493E39">
        <w:rPr>
          <w:rFonts w:cs="Arial"/>
          <w:lang w:val="pt-BR"/>
        </w:rPr>
        <w:t xml:space="preserve"> e </w:t>
      </w:r>
      <w:proofErr w:type="spellStart"/>
      <w:r w:rsidRPr="00493E39">
        <w:rPr>
          <w:rFonts w:cs="Arial"/>
          <w:lang w:val="pt-BR"/>
        </w:rPr>
        <w:t>Zubanov</w:t>
      </w:r>
      <w:proofErr w:type="spellEnd"/>
      <w:r w:rsidRPr="00493E39">
        <w:rPr>
          <w:rFonts w:cs="Arial"/>
          <w:lang w:val="pt-BR"/>
        </w:rPr>
        <w:t xml:space="preserve"> (2014), que inclui os choques subsequentes como controles, eleva de 35 para 47 o número de horizontes em que a igualdade entre regimes é rejeitada a 10%, e reduz o p-valor do IPCA Geral em três meses de 0,160 para 0,047. A correção reforça as conclusões.</w:t>
      </w:r>
    </w:p>
    <w:p w14:paraId="02DE5B37" w14:textId="77777777" w:rsidR="00D64459" w:rsidRPr="00493E39" w:rsidRDefault="008B2120">
      <w:pPr>
        <w:pStyle w:val="Heading3"/>
        <w:spacing w:before="280" w:after="160"/>
        <w:rPr>
          <w:rFonts w:ascii="Arial" w:hAnsi="Arial" w:cs="Arial"/>
          <w:lang w:val="pt-BR"/>
        </w:rPr>
      </w:pPr>
      <w:bookmarkStart w:id="49" w:name="_Toc239713598"/>
      <w:r w:rsidRPr="00493E39">
        <w:rPr>
          <w:rFonts w:ascii="Arial" w:hAnsi="Arial" w:cs="Arial"/>
          <w:lang w:val="pt-BR"/>
        </w:rPr>
        <w:t>K.3 Composição dos choques nos dois regimes</w:t>
      </w:r>
      <w:bookmarkEnd w:id="49"/>
    </w:p>
    <w:p w14:paraId="275DFFDC" w14:textId="77777777" w:rsidR="00D64459" w:rsidRPr="00493E39" w:rsidRDefault="008B2120">
      <w:pPr>
        <w:ind w:firstLine="709"/>
        <w:jc w:val="both"/>
        <w:rPr>
          <w:rFonts w:cs="Arial"/>
          <w:lang w:val="pt-BR"/>
        </w:rPr>
      </w:pPr>
      <w:r w:rsidRPr="00493E39">
        <w:rPr>
          <w:rFonts w:cs="Arial"/>
          <w:lang w:val="pt-BR"/>
        </w:rPr>
        <w:t>Esta subseção cumpre função dupla. Ela examina a explicação alternativa mais imediata para o contraste entre regimes, que é de composição da amostra, e ao fazê-lo submete a teste a hipótese de identificação enunciada na seção 3.4, segundo a qual o viés de endogeneidade cancela-se na diferença entre regimes quando o processo gerador do choque não se altera na data de corte. Os dois exercícios coincidem, porque a estabilidade daquele processo é justamente o que a explicação alternativa nega.</w:t>
      </w:r>
    </w:p>
    <w:p w14:paraId="5C2D5B36" w14:textId="77777777" w:rsidR="00D64459" w:rsidRPr="00493E39" w:rsidRDefault="008B2120">
      <w:pPr>
        <w:ind w:firstLine="709"/>
        <w:jc w:val="both"/>
        <w:rPr>
          <w:rFonts w:cs="Arial"/>
          <w:lang w:val="pt-BR"/>
        </w:rPr>
      </w:pPr>
      <w:r w:rsidRPr="00493E39">
        <w:rPr>
          <w:rFonts w:cs="Arial"/>
          <w:lang w:val="pt-BR"/>
        </w:rPr>
        <w:t xml:space="preserve">A hipótese alternativa é a seguinte. Se o repasse for assimétrico entre altas e quedas do preço internacional, hipótese que Hamilton (2003) documenta para a relação entre petróleo e atividade, e se o regime posterior tiver concentrado choques de alta, a </w:t>
      </w:r>
      <w:r w:rsidRPr="00493E39">
        <w:rPr>
          <w:rFonts w:cs="Arial"/>
          <w:lang w:val="pt-BR"/>
        </w:rPr>
        <w:lastRenderedPageBreak/>
        <w:t>diferença estimada refletiria a natureza dos choques e não a mudança da regra de preços.</w:t>
      </w:r>
    </w:p>
    <w:p w14:paraId="5311119D" w14:textId="77777777" w:rsidR="00D64459" w:rsidRPr="00493E39" w:rsidRDefault="008B2120">
      <w:pPr>
        <w:ind w:firstLine="709"/>
        <w:jc w:val="both"/>
        <w:rPr>
          <w:rFonts w:cs="Arial"/>
          <w:lang w:val="pt-BR"/>
        </w:rPr>
      </w:pPr>
      <w:r w:rsidRPr="00493E39">
        <w:rPr>
          <w:rFonts w:cs="Arial"/>
          <w:lang w:val="pt-BR"/>
        </w:rPr>
        <w:t>A Figura 14 afasta a hipótese. O painel da esquerda mostra o choque mês a mês e não há aglomeração de valores positivos após o corte: os dois regimes alternam altas e quedas com regularidade semelhante. O painel da direita quantifica: meses de alta representam 59,8% do regime anterior e 54,4% do posterior. A composição não apenas deixa de explicar o resultado, como opera contra ele, pois o regime em que o repasse é maior é justamente o que contém proporcionalmente menos choques de alta. Cabe, porém, ser preciso quanto ao alcance desta verificação. Contar meses de alta afasta a parte da hipótese que diz respeito à composição da amostra, e não a que diz respeito à resposta ser assimétrica, que é uma afirmação sobre coeficientes e exige teste próprio. O Apêndice K.4 o conduz, estimando coeficientes distintos para altas e para quedas dentro de cada regime, e é ali que a hipótese de Hamilton (2003) é efetivamente enfrentada.</w:t>
      </w:r>
    </w:p>
    <w:p w14:paraId="50DD9C8F" w14:textId="77777777" w:rsidR="00D64459" w:rsidRPr="00493E39" w:rsidRDefault="008B2120">
      <w:pPr>
        <w:ind w:firstLine="709"/>
        <w:jc w:val="both"/>
        <w:rPr>
          <w:rFonts w:cs="Arial"/>
          <w:lang w:val="pt-BR"/>
        </w:rPr>
      </w:pPr>
      <w:r w:rsidRPr="00493E39">
        <w:rPr>
          <w:rFonts w:cs="Arial"/>
          <w:lang w:val="pt-BR"/>
        </w:rPr>
        <w:t>Cabe registrar uma diferença que a figura não exibe e que tem consequência distinta. A magnitude média dos choques é maior no regime posterior, de 0,723 desvio-padrão nas altas contra 0,570 no anterior, e de 0,817 contra 0,765 nas quedas. Isso não infla os coeficientes, porque a projeção local mede resposta por unidade de choque e não por choque, mas contribui para que as estimativas do regime posterior sejam mais precisas, ao ampliar a variação que as identifica. Do conjunto resulta que a hipótese de identificação enunciada na seção 3.4 sobrevive ao teste: o processo gerador do choque não se altera de forma que comprometa a comparabilidade dos coeficientes entre os dois períodos.</w:t>
      </w:r>
    </w:p>
    <w:p w14:paraId="60CC02B3"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14 – Composição dos choques do petróleo nos dois regimes</w:t>
      </w:r>
    </w:p>
    <w:p w14:paraId="0D906452" w14:textId="77777777" w:rsidR="00D64459" w:rsidRPr="00493E39" w:rsidRDefault="008B2120">
      <w:pPr>
        <w:keepNext/>
        <w:spacing w:after="40"/>
        <w:jc w:val="center"/>
        <w:rPr>
          <w:rFonts w:cs="Arial"/>
        </w:rPr>
      </w:pPr>
      <w:r w:rsidRPr="00493E39">
        <w:rPr>
          <w:rFonts w:cs="Arial"/>
          <w:noProof/>
        </w:rPr>
        <w:drawing>
          <wp:inline distT="0" distB="0" distL="0" distR="0" wp14:anchorId="5B9FED14" wp14:editId="2156ED76">
            <wp:extent cx="5580000" cy="1971473"/>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osicao_choques.png"/>
                    <pic:cNvPicPr/>
                  </pic:nvPicPr>
                  <pic:blipFill>
                    <a:blip r:embed="rId25"/>
                    <a:stretch>
                      <a:fillRect/>
                    </a:stretch>
                  </pic:blipFill>
                  <pic:spPr>
                    <a:xfrm>
                      <a:off x="0" y="0"/>
                      <a:ext cx="5580000" cy="1971473"/>
                    </a:xfrm>
                    <a:prstGeom prst="rect">
                      <a:avLst/>
                    </a:prstGeom>
                  </pic:spPr>
                </pic:pic>
              </a:graphicData>
            </a:graphic>
          </wp:inline>
        </w:drawing>
      </w:r>
    </w:p>
    <w:p w14:paraId="776568B7" w14:textId="77777777" w:rsidR="00D64459" w:rsidRPr="00493E39" w:rsidRDefault="008B2120">
      <w:pPr>
        <w:spacing w:line="240" w:lineRule="auto"/>
        <w:jc w:val="both"/>
        <w:rPr>
          <w:rFonts w:cs="Arial"/>
          <w:lang w:val="pt-BR"/>
        </w:rPr>
      </w:pPr>
      <w:r w:rsidRPr="00493E39">
        <w:rPr>
          <w:rFonts w:cs="Arial"/>
          <w:sz w:val="18"/>
          <w:lang w:val="pt-BR"/>
        </w:rPr>
        <w:t>Nota: à esquerda, o choque padronizado mês a mês, com a cor indicando o regime e a linha pontilhada marcando março de 2017. À direita, a participação de meses de alta e de queda em cada regime. A contagem é a dos meses com choque observado, 169 no regime anterior e 103 no posterior; a amostra de estimação da Tabela 2 é menor no regime anterior porque as três defasagens do modelo consomem as observações iniciais.</w:t>
      </w:r>
    </w:p>
    <w:p w14:paraId="086F26E6"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2B34071E" w14:textId="77777777" w:rsidR="00D64459" w:rsidRPr="00493E39" w:rsidRDefault="008B2120">
      <w:pPr>
        <w:pStyle w:val="Heading3"/>
        <w:spacing w:before="280" w:after="160"/>
        <w:rPr>
          <w:rFonts w:ascii="Arial" w:hAnsi="Arial" w:cs="Arial"/>
          <w:lang w:val="pt-BR"/>
        </w:rPr>
      </w:pPr>
      <w:bookmarkStart w:id="50" w:name="_Toc239713599"/>
      <w:r w:rsidRPr="00493E39">
        <w:rPr>
          <w:rFonts w:ascii="Arial" w:hAnsi="Arial" w:cs="Arial"/>
          <w:lang w:val="pt-BR"/>
        </w:rPr>
        <w:t>K.4 Assimetria entre altas e quedas</w:t>
      </w:r>
      <w:bookmarkEnd w:id="50"/>
    </w:p>
    <w:p w14:paraId="0601E145" w14:textId="77777777" w:rsidR="00D64459" w:rsidRPr="00493E39" w:rsidRDefault="008B2120">
      <w:pPr>
        <w:ind w:firstLine="709"/>
        <w:jc w:val="both"/>
        <w:rPr>
          <w:rFonts w:cs="Arial"/>
          <w:lang w:val="pt-BR"/>
        </w:rPr>
      </w:pPr>
      <w:r w:rsidRPr="00493E39">
        <w:rPr>
          <w:rFonts w:cs="Arial"/>
          <w:lang w:val="pt-BR"/>
        </w:rPr>
        <w:t xml:space="preserve">A seção anterior afastou a hipótese de composição contando meses de alta. Essa contagem é necessária, mas não é o teste da hipótese que Hamilton (2003) </w:t>
      </w:r>
      <w:proofErr w:type="gramStart"/>
      <w:r w:rsidRPr="00493E39">
        <w:rPr>
          <w:rFonts w:cs="Arial"/>
          <w:lang w:val="pt-BR"/>
        </w:rPr>
        <w:t>levanta</w:t>
      </w:r>
      <w:proofErr w:type="gramEnd"/>
      <w:r w:rsidRPr="00493E39">
        <w:rPr>
          <w:rFonts w:cs="Arial"/>
          <w:lang w:val="pt-BR"/>
        </w:rPr>
        <w:t xml:space="preserve">. Aquela hipótese não é sobre quantos choques de cada sinal ocorreram, e sim sobre a resposta a eles diferir conforme o sinal. Se o repasse for assimétrico e a proporção de altas mudar entre os regimes, o contraste documentado neste capítulo poderia refletir a natureza dos choques e não a mudança da regra. O teste correto, portanto, é permitir que o coeficiente difira entre altas e quedas dentro de cada regime, e é o que </w:t>
      </w:r>
      <w:proofErr w:type="spellStart"/>
      <w:r w:rsidRPr="00493E39">
        <w:rPr>
          <w:rFonts w:cs="Arial"/>
          <w:lang w:val="pt-BR"/>
        </w:rPr>
        <w:t>esta</w:t>
      </w:r>
      <w:proofErr w:type="spellEnd"/>
      <w:r w:rsidRPr="00493E39">
        <w:rPr>
          <w:rFonts w:cs="Arial"/>
          <w:lang w:val="pt-BR"/>
        </w:rPr>
        <w:t xml:space="preserve"> subseção faz, interagindo o choque com o sinal na mesma especificação do Capítulo 3.</w:t>
      </w:r>
    </w:p>
    <w:p w14:paraId="112BBF9A" w14:textId="77777777" w:rsidR="00D64459" w:rsidRPr="00493E39" w:rsidRDefault="008B2120">
      <w:pPr>
        <w:ind w:firstLine="709"/>
        <w:jc w:val="both"/>
        <w:rPr>
          <w:rFonts w:cs="Arial"/>
          <w:lang w:val="pt-BR"/>
        </w:rPr>
      </w:pPr>
      <w:r w:rsidRPr="00493E39">
        <w:rPr>
          <w:rFonts w:cs="Arial"/>
          <w:lang w:val="pt-BR"/>
        </w:rPr>
        <w:t>Para o desfecho que sustenta a conclusão do trabalho, a hipótese não se confirma, e é isso que importa em primeiro lugar. No regime posterior, o IPCA Geral responde 0,141 a altas e 0,207 a quedas no mês do choque, com p de 0,686 para a hipótese de simetria, e 0,370 contra 0,335 no mês seguinte, com p de 0,888. O teste conjunto dos horizontes de zero a seis não rejeita simetria, com p de 0,481. O índice cheio responde igualmente a altas e a quedas sob a regra de paridade, de modo que o contraste entre regimes documentado na seção 4.3 não pode ser atribuído a resposta assimétrica combinada com composição da amostra. A explicação alternativa fica afastada pelo teste que de fato a endereça, e não apenas pela contagem.</w:t>
      </w:r>
    </w:p>
    <w:p w14:paraId="56623EE0" w14:textId="77777777" w:rsidR="00D64459" w:rsidRPr="00493E39" w:rsidRDefault="008B2120">
      <w:pPr>
        <w:ind w:firstLine="709"/>
        <w:jc w:val="both"/>
        <w:rPr>
          <w:rFonts w:cs="Arial"/>
          <w:lang w:val="pt-BR"/>
        </w:rPr>
      </w:pPr>
      <w:r w:rsidRPr="00493E39">
        <w:rPr>
          <w:rFonts w:cs="Arial"/>
          <w:lang w:val="pt-BR"/>
        </w:rPr>
        <w:lastRenderedPageBreak/>
        <w:t>Os preços de combustíveis, porém, contam outra história, e ela é um resultado próprio deste trabalho. Sob a regra de paridade a resposta é fortemente assimétrica: o diesel sobe 4,118 pontos diante de uma alta e apenas 0,623 diante de uma queda de mesma magnitude no mês do choque, com p de 0,002, e 7,289 contra 2,039 no mês seguinte, com p de 0,004. Na gasolina na refinaria o teste conjunto também rejeita simetria, com p de 0,018, mas sem sentido único: a resposta estimada a quedas supera a resposta a altas no mês do choque, 5,383 contra 4,335, e a relação se inverte no mês seguinte, 8,932 contra 7,619. No regime anterior nenhuma das seis séries apresenta assimetria detectável, e o teste conjunto não rejeita em série alguma.</w:t>
      </w:r>
    </w:p>
    <w:p w14:paraId="1212FF9A" w14:textId="77777777" w:rsidR="00D64459" w:rsidRPr="00493E39" w:rsidRDefault="008B2120">
      <w:pPr>
        <w:ind w:firstLine="709"/>
        <w:jc w:val="both"/>
        <w:rPr>
          <w:rFonts w:cs="Arial"/>
          <w:lang w:val="pt-BR"/>
        </w:rPr>
      </w:pPr>
      <w:r w:rsidRPr="00493E39">
        <w:rPr>
          <w:rFonts w:cs="Arial"/>
          <w:lang w:val="pt-BR"/>
        </w:rPr>
        <w:t xml:space="preserve">Registre-se, antes de interpretar, que esse achado é sensível ao tratamento da pandemia, e em direção adversa a ele. Devolvendo à amostra os dez meses de 2020, a assimetria do diesel no impacto atenua-se de 4,118 contra 0,623 para 2,117 contra 0,266 sob o índice de rigor, e o p do teste de simetria passa de 0,002 para 0,038 e, sem controle algum de pandemia, para 0,188. A assimetria sobrevive à construção adotada e à intermediária, e não à mais permissiva, de modo que o resultado desta subseção deve ser lido como indicativo e não como estabelecido. É o padrão que a literatura de preços de combustíveis designa por foguetes e penas, e o achado é que ele aparece </w:t>
      </w:r>
      <w:r w:rsidRPr="00493E39">
        <w:rPr>
          <w:rFonts w:cs="Arial"/>
          <w:i/>
          <w:lang w:val="pt-BR"/>
        </w:rPr>
        <w:t>com</w:t>
      </w:r>
      <w:r w:rsidRPr="00493E39">
        <w:rPr>
          <w:rFonts w:cs="Arial"/>
          <w:lang w:val="pt-BR"/>
        </w:rPr>
        <w:t xml:space="preserve"> a regra mecânica, e não sem ela. A leitura mais direta é que a paridade de importação define uma referência, e não um preço: ela obriga o preço doméstico a acompanhar a cotação externa quando esta sobe, sob pena de prejuízo na importação, mas não obriga simetricamente a devolvê-la quando esta cai, momento em que a margem de refino e de distribuição absorve parte do movimento. Regra e discricionariedade, portanto, não são excludentes; a regra desloca a discricionariedade da decisão de reajustar para a decisão de não reajustar.</w:t>
      </w:r>
    </w:p>
    <w:p w14:paraId="7DE483D1" w14:textId="77777777" w:rsidR="00D64459" w:rsidRPr="00493E39" w:rsidRDefault="008B2120">
      <w:pPr>
        <w:ind w:firstLine="709"/>
        <w:jc w:val="both"/>
        <w:rPr>
          <w:rFonts w:cs="Arial"/>
          <w:lang w:val="pt-BR"/>
        </w:rPr>
      </w:pPr>
      <w:r w:rsidRPr="00493E39">
        <w:rPr>
          <w:rFonts w:cs="Arial"/>
          <w:lang w:val="pt-BR"/>
        </w:rPr>
        <w:t xml:space="preserve">Duas consequências decorrem. A primeira é que o coeficiente único reportado na Tabela 2 para o regime posterior deve ser lido, nos preços de combustível, como média entre respostas distintas a altas e a quedas, ainda que não no índice cheio. A segunda é que o exercício contrafactual da seção 4.7.5, que aplica coeficientes simétricos a choques de ambos os sinais, subestima a contribuição dos choques de alta e superestima a das quedas, o que reforça a recomendação de lê-lo como ordem de </w:t>
      </w:r>
      <w:r w:rsidRPr="00493E39">
        <w:rPr>
          <w:rFonts w:cs="Arial"/>
          <w:lang w:val="pt-BR"/>
        </w:rPr>
        <w:lastRenderedPageBreak/>
        <w:t>grandeza. A assimetria no índice cheio, que seria a que importaria para a política monetária, não é detectável nesta amostra.</w:t>
      </w:r>
    </w:p>
    <w:p w14:paraId="42A1F711" w14:textId="77777777" w:rsidR="00D64459" w:rsidRPr="00493E39" w:rsidRDefault="008B2120">
      <w:pPr>
        <w:pStyle w:val="Heading3"/>
        <w:spacing w:before="280" w:after="160"/>
        <w:rPr>
          <w:rFonts w:ascii="Arial" w:hAnsi="Arial" w:cs="Arial"/>
          <w:lang w:val="pt-BR"/>
        </w:rPr>
      </w:pPr>
      <w:r w:rsidRPr="00493E39">
        <w:rPr>
          <w:rFonts w:ascii="Arial" w:hAnsi="Arial" w:cs="Arial"/>
          <w:lang w:val="pt-BR"/>
        </w:rPr>
        <w:t>K.5 Quatro verificações de especificação</w:t>
      </w:r>
    </w:p>
    <w:p w14:paraId="5A9010AE" w14:textId="77777777" w:rsidR="00D64459" w:rsidRPr="00493E39" w:rsidRDefault="008B2120">
      <w:pPr>
        <w:ind w:firstLine="709"/>
        <w:jc w:val="both"/>
        <w:rPr>
          <w:rFonts w:cs="Arial"/>
          <w:lang w:val="pt-BR"/>
        </w:rPr>
      </w:pPr>
      <w:r w:rsidRPr="00493E39">
        <w:rPr>
          <w:rFonts w:cs="Arial"/>
          <w:lang w:val="pt-BR"/>
        </w:rPr>
        <w:t>As verificações anteriores tratam do tratamento da amostra e da datação. Esta subseção reúne quatro que incidem sobre a especificação, e todas nasceram de objeções que o desenho, tal como enunciado no Capítulo 3, não antecipava. Nenhuma altera a conclusão qualitativa; três delas indicam que a estimativa reportada é conservadora, e a quarta delimita um horizonte em que ela não é robusta.</w:t>
      </w:r>
    </w:p>
    <w:p w14:paraId="63DCC451" w14:textId="77777777" w:rsidR="00D64459" w:rsidRPr="00493E39" w:rsidRDefault="008B2120">
      <w:pPr>
        <w:ind w:firstLine="709"/>
        <w:jc w:val="both"/>
        <w:rPr>
          <w:rFonts w:cs="Arial"/>
          <w:lang w:val="pt-BR"/>
        </w:rPr>
      </w:pPr>
      <w:r w:rsidRPr="00493E39">
        <w:rPr>
          <w:rFonts w:cs="Arial"/>
          <w:lang w:val="pt-BR"/>
        </w:rPr>
        <w:t>A primeira acrescenta um controle global. O vetor de controles do Capítulo 3 é inteiramente doméstico, ao passo que o tratamento é um preço internacional e o regime posterior contém 2021 e 2022, quando petróleo, alimentos, fretes e bens comercializáveis globais subiram juntos. A objeção é que a diferença entre regimes poderia refletir um fator inflacionário global comum, e não a mudança da regra. Reestimou-se com dois controles globais defasados, alternadamente: o índice de preços ao consumidor dos Estados Unidos, já presente na base, e o índice de preços de commodities não energéticas do Fundo Monetário Internacional, que exclui combustível por construção e é, portanto, o teste conceitualmente limpo. O contraste sobrevive aos dois. Com o índice não energético, o repasse ao IPCA Geral no impacto passa de 0,005 para 0,170, contra 0,005 e 0,176 na especificação adotada, e os dezoito coeficientes do regime posterior permanecem significativos nos horizontes de zero a três meses sob ambos os controles. O resultado, aliás, opera a favor do trabalho: sob o controle não energético os coeficientes do regime anterior aproximam-se ainda mais de zero, com a gasolina ao consumidor em três meses passando de 0,118 para −0,136 e o IPCA Transportes de 0,115 para 0,006, de modo que o contraste fica mais nítido, e não menos. A data de quebra também resiste: o supremo da estatística permanece em março de 2017 nos dois conjuntos multivariados, com o mesmo intervalo compatível.</w:t>
      </w:r>
    </w:p>
    <w:p w14:paraId="276440DA" w14:textId="77777777" w:rsidR="00D64459" w:rsidRPr="00493E39" w:rsidRDefault="008B2120">
      <w:pPr>
        <w:ind w:firstLine="709"/>
        <w:jc w:val="both"/>
        <w:rPr>
          <w:rFonts w:cs="Arial"/>
          <w:lang w:val="pt-BR"/>
        </w:rPr>
      </w:pPr>
      <w:r w:rsidRPr="00493E39">
        <w:rPr>
          <w:rFonts w:cs="Arial"/>
          <w:lang w:val="pt-BR"/>
        </w:rPr>
        <w:t>A segunda registra os episódios tributários. O regime posterior contém intervenções de primeira ordem sobre os preços que servem de dependente e de mediador: a elevação de PIS/</w:t>
      </w:r>
      <w:proofErr w:type="spellStart"/>
      <w:r w:rsidRPr="00493E39">
        <w:rPr>
          <w:rFonts w:cs="Arial"/>
          <w:lang w:val="pt-BR"/>
        </w:rPr>
        <w:t>Cofins</w:t>
      </w:r>
      <w:proofErr w:type="spellEnd"/>
      <w:r w:rsidRPr="00493E39">
        <w:rPr>
          <w:rFonts w:cs="Arial"/>
          <w:lang w:val="pt-BR"/>
        </w:rPr>
        <w:t xml:space="preserve"> em julho de 2017, a subvenção ao óleo diesel </w:t>
      </w:r>
      <w:r w:rsidRPr="00493E39">
        <w:rPr>
          <w:rFonts w:cs="Arial"/>
          <w:lang w:val="pt-BR"/>
        </w:rPr>
        <w:lastRenderedPageBreak/>
        <w:t>instituída após a paralisação de maio de 2018 e vigente até dezembro daquele ano, as desonerações federal e estadual de 2022 e a reoneração parcial de março de 2023. Todas rompem temporariamente o vínculo entre cotação externa e preço final, e todas se concentram no regime posterior, o que as torna contaminação assimétrica entre os períodos, precisamente o que a hipótese de identificação da seção 3.4 exige que não ocorra. Reestimou-se com indicadoras para esses meses. O efeito é o previsto e favorável: o repasse ao IPCA Geral no impacto sobe de 0,176 para 0,185, o do IPCA Transportes de 0,675 para 0,726 e o da gasolina ao consumidor de 2,031 para 2,212, ao passo que o do óleo diesel recua de 2,308 para 2,058, o que é coerente com a subvenção de 2018 e as desonerações de 2022 terem incidido sobre aquele combustível de forma concentrada. Os coeficientes do regime anterior praticamente não se movem e o teste de igualdade entre regimes rejeita nos dois desenhos. As intervenções tributárias, portanto, atenuam o repasse observado, e a estimativa da Tabela 2 é conservadora por não as registrar.</w:t>
      </w:r>
    </w:p>
    <w:p w14:paraId="4C18B47A" w14:textId="77777777" w:rsidR="00D64459" w:rsidRPr="00493E39" w:rsidRDefault="008B2120">
      <w:pPr>
        <w:ind w:firstLine="709"/>
        <w:jc w:val="both"/>
        <w:rPr>
          <w:rFonts w:cs="Arial"/>
          <w:lang w:val="pt-BR"/>
        </w:rPr>
      </w:pPr>
      <w:r w:rsidRPr="00493E39">
        <w:rPr>
          <w:rFonts w:cs="Arial"/>
          <w:lang w:val="pt-BR"/>
        </w:rPr>
        <w:t xml:space="preserve">A terceira procura uma segunda quebra. A especificação impõe uma única mudança de regime, ao passo que a cronologia institucional reconstruída no Capítulo 2 tem pelo menos três fases: alinhamento parcial até cerca de 2010, contenção deliberada entre 2011 e 2014 e paridade a partir de 2016. Se o repasse na primeira fase não fosse nulo, o zero estimado para o regime anterior seria </w:t>
      </w:r>
      <w:proofErr w:type="gramStart"/>
      <w:r w:rsidRPr="00493E39">
        <w:rPr>
          <w:rFonts w:cs="Arial"/>
          <w:lang w:val="pt-BR"/>
        </w:rPr>
        <w:t>média</w:t>
      </w:r>
      <w:proofErr w:type="gramEnd"/>
      <w:r w:rsidRPr="00493E39">
        <w:rPr>
          <w:rFonts w:cs="Arial"/>
          <w:lang w:val="pt-BR"/>
        </w:rPr>
        <w:t xml:space="preserve"> de um período com repasse e outro sem, e o contraste reportado estaria subestimado. Aplicou-se o procedimento sequencial usual, buscando uma segunda quebra dentro de cada segmento, com comprimento mínimo de trinta e seis meses. Não há segunda quebra a encontrar, e o valor crítico vem do mesmo procedimento da seção 3.6, e não de comparação informal: </w:t>
      </w:r>
      <w:proofErr w:type="spellStart"/>
      <w:r w:rsidRPr="00493E39">
        <w:rPr>
          <w:rFonts w:cs="Arial"/>
          <w:lang w:val="pt-BR"/>
        </w:rPr>
        <w:t>bootstrap</w:t>
      </w:r>
      <w:proofErr w:type="spellEnd"/>
      <w:r w:rsidRPr="00493E39">
        <w:rPr>
          <w:rFonts w:cs="Arial"/>
          <w:lang w:val="pt-BR"/>
        </w:rPr>
        <w:t xml:space="preserve"> selvagem em blocos com </w:t>
      </w:r>
      <w:proofErr w:type="spellStart"/>
      <w:r w:rsidRPr="00493E39">
        <w:rPr>
          <w:rFonts w:cs="Arial"/>
          <w:lang w:val="pt-BR"/>
        </w:rPr>
        <w:t>regressores</w:t>
      </w:r>
      <w:proofErr w:type="spellEnd"/>
      <w:r w:rsidRPr="00493E39">
        <w:rPr>
          <w:rFonts w:cs="Arial"/>
          <w:lang w:val="pt-BR"/>
        </w:rPr>
        <w:t xml:space="preserve"> fixos, em que cada uma das 299 réplicas refaz a busca inteira sob a hipótese nula de dois regimes e a estatística é avaliada no </w:t>
      </w:r>
      <w:proofErr w:type="spellStart"/>
      <w:r w:rsidRPr="00493E39">
        <w:rPr>
          <w:rFonts w:cs="Arial"/>
          <w:lang w:val="pt-BR"/>
        </w:rPr>
        <w:t>argmax</w:t>
      </w:r>
      <w:proofErr w:type="spellEnd"/>
      <w:r w:rsidRPr="00493E39">
        <w:rPr>
          <w:rFonts w:cs="Arial"/>
          <w:lang w:val="pt-BR"/>
        </w:rPr>
        <w:t xml:space="preserve"> daquela réplica, de modo que o crítico é o </w:t>
      </w:r>
      <w:proofErr w:type="spellStart"/>
      <w:r w:rsidRPr="00493E39">
        <w:rPr>
          <w:rFonts w:cs="Arial"/>
          <w:lang w:val="pt-BR"/>
        </w:rPr>
        <w:t>quantil</w:t>
      </w:r>
      <w:proofErr w:type="spellEnd"/>
      <w:r w:rsidRPr="00493E39">
        <w:rPr>
          <w:rFonts w:cs="Arial"/>
          <w:lang w:val="pt-BR"/>
        </w:rPr>
        <w:t xml:space="preserve"> da distribuição do máximo e já incorpora a correção para inferência após seleção. No segmento anterior a soma das estatísticas das quatro séries principais atinge 19,90, em maio de 2006, </w:t>
      </w:r>
      <w:proofErr w:type="gramStart"/>
      <w:r w:rsidRPr="00493E39">
        <w:rPr>
          <w:rFonts w:cs="Arial"/>
          <w:lang w:val="pt-BR"/>
        </w:rPr>
        <w:t>contra valor</w:t>
      </w:r>
      <w:proofErr w:type="gramEnd"/>
      <w:r w:rsidRPr="00493E39">
        <w:rPr>
          <w:rFonts w:cs="Arial"/>
          <w:lang w:val="pt-BR"/>
        </w:rPr>
        <w:t xml:space="preserve"> crítico de 21,61 a 5%, com p de 0,107; no segmento posterior, 17,04 em dezembro de 2021, contra crítico de 34,23, com p de 0,615. Nenhum dos dois rejeita, ainda que o do segmento anterior fique próximo do limiar de </w:t>
      </w:r>
      <w:r w:rsidRPr="00493E39">
        <w:rPr>
          <w:rFonts w:cs="Arial"/>
          <w:lang w:val="pt-BR"/>
        </w:rPr>
        <w:lastRenderedPageBreak/>
        <w:t>10%, e convém registrar que os máximos sequer recaem em 2011 ou 2014, que é onde a cronologia institucional situaria uma segunda mudança. A referência de magnitude é a quebra principal, que pelo mesmo procedimento alcança 58,1 contra crítico de 42,9. O período de contenção não constitui, portanto, um regime distinto de repasse: o regime anterior não se divide em subperíodos com repasse diferente.</w:t>
      </w:r>
    </w:p>
    <w:p w14:paraId="6AD07885" w14:textId="77777777" w:rsidR="00D64459" w:rsidRPr="00493E39" w:rsidRDefault="008B2120">
      <w:pPr>
        <w:ind w:firstLine="709"/>
        <w:jc w:val="both"/>
        <w:rPr>
          <w:rFonts w:cs="Arial"/>
          <w:lang w:val="pt-BR"/>
        </w:rPr>
      </w:pPr>
      <w:r w:rsidRPr="00493E39">
        <w:rPr>
          <w:rFonts w:cs="Arial"/>
          <w:lang w:val="pt-BR"/>
        </w:rPr>
        <w:t>A quarta mede o choque em reais. Sob a paridade de importação, o preço doméstico acompanha o Brent multiplicado pelo câmbio, ao passo que o choque do trabalho é a variação do Brent em dólares e o câmbio entra apenas defasado, com coeficiente comum aos dois regimes. Reestimou-se com o choque construído sobre o Brent em reais, padronizado da mesma forma. O contraste entre regimes sobrevive nos horizontes de impacto e de um mês, com p de 0,006 e 0,004, e deixa de rejeitar em três meses, com p de 0,391 contra 0,160 na especificação adotada. É a verificação menos favorável das quatro, e delimita um horizonte: a afirmação de mudança de regime apoia-se no impacto e no mês seguinte, o que já era a leitura sustentada pela seção 4.4 e pela lista de limitações. Cabe registrar, quanto à hipótese de identificação, que a correlação entre o choque do Brent em dólares e a variação cambial é semelhante nos dois períodos, de −0,368 no regime anterior e −0,314 no posterior, de modo que o canal cambial não se alterou de forma que comprometa a comparabilidade entre eles.</w:t>
      </w:r>
    </w:p>
    <w:p w14:paraId="5CC91001" w14:textId="77777777" w:rsidR="00D64459" w:rsidRPr="00493E39" w:rsidRDefault="008B2120">
      <w:pPr>
        <w:pStyle w:val="Heading3"/>
        <w:spacing w:before="280" w:after="160"/>
        <w:rPr>
          <w:rFonts w:ascii="Arial" w:hAnsi="Arial" w:cs="Arial"/>
          <w:lang w:val="pt-BR"/>
        </w:rPr>
      </w:pPr>
      <w:r w:rsidRPr="00493E39">
        <w:rPr>
          <w:rFonts w:ascii="Arial" w:hAnsi="Arial" w:cs="Arial"/>
          <w:lang w:val="pt-BR"/>
        </w:rPr>
        <w:t>K.6 Dinâmica específica a cada regime</w:t>
      </w:r>
    </w:p>
    <w:p w14:paraId="2877E0D7" w14:textId="77777777" w:rsidR="00D64459" w:rsidRPr="00493E39" w:rsidRDefault="008B2120">
      <w:pPr>
        <w:ind w:firstLine="709"/>
        <w:jc w:val="both"/>
        <w:rPr>
          <w:rFonts w:cs="Arial"/>
          <w:lang w:val="pt-BR"/>
        </w:rPr>
      </w:pPr>
      <w:r w:rsidRPr="00493E39">
        <w:rPr>
          <w:rFonts w:cs="Arial"/>
          <w:lang w:val="pt-BR"/>
        </w:rPr>
        <w:t xml:space="preserve">A especificação do Capítulo 3 permite que apenas o coeficiente do choque e o intercepto difiram entre regimes, mantendo comuns as defasagens, os controles, a sazonalidade e as indicadoras de pandemia. A restrição foi testada estimando a versão em que todos os </w:t>
      </w:r>
      <w:proofErr w:type="spellStart"/>
      <w:r w:rsidRPr="00493E39">
        <w:rPr>
          <w:rFonts w:cs="Arial"/>
          <w:lang w:val="pt-BR"/>
        </w:rPr>
        <w:t>regressores</w:t>
      </w:r>
      <w:proofErr w:type="spellEnd"/>
      <w:r w:rsidRPr="00493E39">
        <w:rPr>
          <w:rFonts w:cs="Arial"/>
          <w:lang w:val="pt-BR"/>
        </w:rPr>
        <w:t xml:space="preserve"> interagem com o regime, equivalente a estimar cada período separadamente numa única regressão com covariância HAC conjunta, com 72 parâmetros em vez de 43. A hipótese de dinâmica comum é rejeitada a 5% em 56 das 78 equações, seis séries em treze horizontes, e em cinco das seis no horizonte de impacto. Liberada a dinâmica, a mudança de regime persiste: no impacto, o teste de igualdade rejeita a menos de 1% em cinco das seis séries, exceto o etanol, e o coeficiente posterior é de 6,0 a 10,6 vezes o anterior nos três combustíveis em que ele rejeita. O que deixa de valer é o zero anterior nos combustíveis: nos horizontes de </w:t>
      </w:r>
      <w:r w:rsidRPr="00493E39">
        <w:rPr>
          <w:rFonts w:cs="Arial"/>
          <w:lang w:val="pt-BR"/>
        </w:rPr>
        <w:lastRenderedPageBreak/>
        <w:t>impacto, de um e de três meses, seis dos dezoito coeficientes do regime anterior tornam-se significativos a 10%, todos de preços de combustíveis, entre eles a gasolina na refinaria no impacto, com 0,431 contra 4,575 no regime posterior, e a gasolina ao consumidor, com 0,351 contra 2,115. O índice cheio permanece sem resposta antes da paridade, com 0,004 e p de 0,857, contra 0,203 depois. A versão interagida não substitui a principal, porque estima quase o dobro de parâmetros com 103 observações no regime posterior; ela indica que, nos combustíveis, a leitura defensável é a de repasse pequeno que se tornou grande, e não a de repasse nulo que se tornou positivo.</w:t>
      </w:r>
    </w:p>
    <w:p w14:paraId="369B6C62" w14:textId="77777777" w:rsidR="00D64459" w:rsidRPr="00493E39" w:rsidRDefault="008B2120">
      <w:pPr>
        <w:pStyle w:val="Heading3"/>
        <w:spacing w:before="280" w:after="160"/>
        <w:rPr>
          <w:rFonts w:ascii="Arial" w:hAnsi="Arial" w:cs="Arial"/>
          <w:lang w:val="pt-BR"/>
        </w:rPr>
      </w:pPr>
      <w:bookmarkStart w:id="51" w:name="_Toc239713600"/>
      <w:r w:rsidRPr="00493E39">
        <w:rPr>
          <w:rFonts w:ascii="Arial" w:hAnsi="Arial" w:cs="Arial"/>
          <w:lang w:val="pt-BR"/>
        </w:rPr>
        <w:t>K.7 Vetor autorregressivo com identificação recursiva</w:t>
      </w:r>
      <w:bookmarkEnd w:id="51"/>
    </w:p>
    <w:p w14:paraId="0399C90B" w14:textId="77777777" w:rsidR="00D64459" w:rsidRPr="00493E39" w:rsidRDefault="008B2120">
      <w:pPr>
        <w:ind w:firstLine="709"/>
        <w:jc w:val="both"/>
        <w:rPr>
          <w:rFonts w:cs="Arial"/>
          <w:lang w:val="pt-BR"/>
        </w:rPr>
      </w:pPr>
      <w:r w:rsidRPr="00493E39">
        <w:rPr>
          <w:rFonts w:cs="Arial"/>
          <w:lang w:val="pt-BR"/>
        </w:rPr>
        <w:t>Como verificação de método, estimou-se um vetor autorregressivo em cada regime, com as mesmas variáveis do modelo principal, ordenadas como choque do petróleo, câmbio, atividade, preço de interesse, Selic e expectativa de inflação, as mesmas três defasagens e identificação recursiva com o petróleo em primeiro. A resposta é a acumulada a um choque de um desvio-padrão, com banda de 90% por bootstrap selvagem de resíduos com pesos de Rademacher e 400 réplicas. O padrão do Capítulo 4 se reproduz. No IPCA Geral, a resposta no mês do choque é de 0,000 no regime anterior e de 0,094 no posterior, com banda de 0,061 a 0,110; em três meses, de 0,028 e de 0,335, com banda de 0,156 a 0,418 no posterior. A banda do regime anterior inclui o zero em todos os horizontes, e a do posterior o exclui em todos. Nos preços de combustíveis o contraste se repete: no impacto, a gasolina na refinaria passa de 0,271 para 4,756, e a gasolina ao consumidor, de 0,253 para 1,137.</w:t>
      </w:r>
    </w:p>
    <w:p w14:paraId="3DC24B84" w14:textId="77777777" w:rsidR="00D64459" w:rsidRPr="00493E39" w:rsidRDefault="008B2120">
      <w:pPr>
        <w:ind w:firstLine="709"/>
        <w:jc w:val="both"/>
        <w:rPr>
          <w:rFonts w:cs="Arial"/>
          <w:lang w:val="pt-BR"/>
        </w:rPr>
      </w:pPr>
      <w:r w:rsidRPr="00493E39">
        <w:rPr>
          <w:rFonts w:cs="Arial"/>
          <w:lang w:val="pt-BR"/>
        </w:rPr>
        <w:t xml:space="preserve">Duas diferenças em relação à especificação principal limitam a comparação de magnitudes. O vetor autorregressivo não inclui as indicadoras de sazonalidade nem as de pandemia, e o choque de identificação recursiva tem o tamanho do desvio-padrão do resíduo da equação do petróleo em cada regime, de 0,789 no anterior e de 1,136 no posterior. Por unidade de choque, a resposta do IPCA Geral no regime posterior é de 0,083 no impacto e de 0,295 em três meses, contra 0,036 em três meses no anterior, de modo que o contraste não decorre do tamanho do choque. No impacto, a resposta é menor que a da projeção local, 0,094 contra 0,176, e mais persistente, chegando a 0,380 em seis meses, o que reflete a dinâmica imposta pelas defasagens do sistema. O </w:t>
      </w:r>
      <w:r w:rsidRPr="00493E39">
        <w:rPr>
          <w:rFonts w:cs="Arial"/>
          <w:lang w:val="pt-BR"/>
        </w:rPr>
        <w:lastRenderedPageBreak/>
        <w:t>exercício confirma o padrão entre regimes, e não a magnitude, que permanece a da projeção local.</w:t>
      </w:r>
    </w:p>
    <w:p w14:paraId="5AAC7C1A" w14:textId="77777777" w:rsidR="00D64459" w:rsidRPr="00493E39" w:rsidRDefault="008B2120">
      <w:pPr>
        <w:rPr>
          <w:rFonts w:cs="Arial"/>
          <w:lang w:val="pt-BR"/>
        </w:rPr>
      </w:pPr>
      <w:r w:rsidRPr="00493E39">
        <w:rPr>
          <w:rFonts w:cs="Arial"/>
          <w:lang w:val="pt-BR"/>
        </w:rPr>
        <w:br w:type="page"/>
      </w:r>
    </w:p>
    <w:p w14:paraId="2621DFF7" w14:textId="77777777" w:rsidR="00D64459" w:rsidRPr="00493E39" w:rsidRDefault="008B2120">
      <w:pPr>
        <w:pStyle w:val="Heading1"/>
        <w:spacing w:before="280" w:after="280"/>
        <w:jc w:val="center"/>
        <w:rPr>
          <w:rFonts w:ascii="Arial" w:hAnsi="Arial" w:cs="Arial"/>
          <w:lang w:val="pt-BR"/>
        </w:rPr>
      </w:pPr>
      <w:bookmarkStart w:id="52" w:name="_Toc239713601"/>
      <w:r w:rsidRPr="00493E39">
        <w:rPr>
          <w:rFonts w:ascii="Arial" w:hAnsi="Arial" w:cs="Arial"/>
          <w:lang w:val="pt-BR"/>
        </w:rPr>
        <w:lastRenderedPageBreak/>
        <w:t>APÊNDICE L – TABELAS E FIGURAS COMPLEMENTARES</w:t>
      </w:r>
      <w:bookmarkEnd w:id="52"/>
    </w:p>
    <w:p w14:paraId="7C99DD7E" w14:textId="77777777" w:rsidR="00D64459" w:rsidRPr="00493E39" w:rsidRDefault="008B2120">
      <w:pPr>
        <w:ind w:firstLine="709"/>
        <w:jc w:val="both"/>
        <w:rPr>
          <w:rFonts w:cs="Arial"/>
          <w:lang w:val="pt-BR"/>
        </w:rPr>
      </w:pPr>
      <w:r w:rsidRPr="00493E39">
        <w:rPr>
          <w:rFonts w:cs="Arial"/>
          <w:lang w:val="pt-BR"/>
        </w:rPr>
        <w:t xml:space="preserve">As tabelas e figuras reunidas aqui são citadas no corpo do trabalho e mantêm a numeração da ordem de primeira citação, de modo que as listas </w:t>
      </w:r>
      <w:proofErr w:type="spellStart"/>
      <w:r w:rsidRPr="00493E39">
        <w:rPr>
          <w:rFonts w:cs="Arial"/>
          <w:lang w:val="pt-BR"/>
        </w:rPr>
        <w:t>pré</w:t>
      </w:r>
      <w:proofErr w:type="spellEnd"/>
      <w:r w:rsidRPr="00493E39">
        <w:rPr>
          <w:rFonts w:cs="Arial"/>
          <w:lang w:val="pt-BR"/>
        </w:rPr>
        <w:t>-textuais permanecem válidas e apenas a página muda. Foram alojadas no apêndice por economia de espaço: cada uma detalha um resultado cujos números o corpo já reporta no texto.</w:t>
      </w:r>
    </w:p>
    <w:p w14:paraId="35D33804" w14:textId="77777777" w:rsidR="00D64459" w:rsidRPr="00493E39" w:rsidRDefault="008B2120">
      <w:pPr>
        <w:keepNext/>
        <w:spacing w:before="200" w:after="40" w:line="240" w:lineRule="auto"/>
        <w:rPr>
          <w:rFonts w:cs="Arial"/>
          <w:lang w:val="pt-BR"/>
        </w:rPr>
      </w:pPr>
      <w:r w:rsidRPr="00493E39">
        <w:rPr>
          <w:rFonts w:cs="Arial"/>
          <w:sz w:val="20"/>
          <w:lang w:val="pt-BR"/>
        </w:rPr>
        <w:t>Tabela 1 – Resposta acumulada a um choque de um desvio-padrão no preço do petróleo, amostra completa</w:t>
      </w:r>
    </w:p>
    <w:tbl>
      <w:tblPr>
        <w:tblW w:w="0" w:type="auto"/>
        <w:jc w:val="center"/>
        <w:tblLook w:val="04A0" w:firstRow="1" w:lastRow="0" w:firstColumn="1" w:lastColumn="0" w:noHBand="0" w:noVBand="1"/>
      </w:tblPr>
      <w:tblGrid>
        <w:gridCol w:w="2721"/>
        <w:gridCol w:w="1134"/>
        <w:gridCol w:w="1134"/>
        <w:gridCol w:w="1134"/>
        <w:gridCol w:w="1134"/>
        <w:gridCol w:w="1134"/>
      </w:tblGrid>
      <w:tr w:rsidR="00D64459" w:rsidRPr="00493E39" w14:paraId="69C650EF" w14:textId="77777777">
        <w:trPr>
          <w:cantSplit/>
          <w:tblHeader/>
          <w:jc w:val="center"/>
        </w:trPr>
        <w:tc>
          <w:tcPr>
            <w:tcW w:w="2721" w:type="dxa"/>
            <w:tcBorders>
              <w:top w:val="single" w:sz="12" w:space="0" w:color="000000"/>
              <w:left w:val="nil"/>
              <w:bottom w:val="single" w:sz="6" w:space="0" w:color="000000"/>
              <w:right w:val="nil"/>
            </w:tcBorders>
          </w:tcPr>
          <w:p w14:paraId="0318B412" w14:textId="77777777" w:rsidR="00D64459" w:rsidRPr="00493E39" w:rsidRDefault="008B2120">
            <w:pPr>
              <w:spacing w:after="20" w:line="240" w:lineRule="auto"/>
              <w:rPr>
                <w:rFonts w:cs="Arial"/>
              </w:rPr>
            </w:pPr>
            <w:proofErr w:type="spellStart"/>
            <w:r w:rsidRPr="00493E39">
              <w:rPr>
                <w:rFonts w:cs="Arial"/>
                <w:b/>
                <w:sz w:val="18"/>
              </w:rPr>
              <w:t>Variável</w:t>
            </w:r>
            <w:proofErr w:type="spellEnd"/>
          </w:p>
        </w:tc>
        <w:tc>
          <w:tcPr>
            <w:tcW w:w="1134" w:type="dxa"/>
            <w:tcBorders>
              <w:top w:val="single" w:sz="12" w:space="0" w:color="000000"/>
              <w:left w:val="nil"/>
              <w:bottom w:val="single" w:sz="6" w:space="0" w:color="000000"/>
              <w:right w:val="nil"/>
            </w:tcBorders>
          </w:tcPr>
          <w:p w14:paraId="65C0B602" w14:textId="77777777" w:rsidR="00D64459" w:rsidRPr="00493E39" w:rsidRDefault="008B2120">
            <w:pPr>
              <w:spacing w:after="20" w:line="240" w:lineRule="auto"/>
              <w:jc w:val="center"/>
              <w:rPr>
                <w:rFonts w:cs="Arial"/>
              </w:rPr>
            </w:pPr>
            <w:r w:rsidRPr="00493E39">
              <w:rPr>
                <w:rFonts w:cs="Arial"/>
                <w:b/>
                <w:sz w:val="18"/>
              </w:rPr>
              <w:t>h = 0</w:t>
            </w:r>
          </w:p>
        </w:tc>
        <w:tc>
          <w:tcPr>
            <w:tcW w:w="1134" w:type="dxa"/>
            <w:tcBorders>
              <w:top w:val="single" w:sz="12" w:space="0" w:color="000000"/>
              <w:left w:val="nil"/>
              <w:bottom w:val="single" w:sz="6" w:space="0" w:color="000000"/>
              <w:right w:val="nil"/>
            </w:tcBorders>
          </w:tcPr>
          <w:p w14:paraId="2D134FA9" w14:textId="77777777" w:rsidR="00D64459" w:rsidRPr="00493E39" w:rsidRDefault="008B2120">
            <w:pPr>
              <w:spacing w:after="20" w:line="240" w:lineRule="auto"/>
              <w:jc w:val="center"/>
              <w:rPr>
                <w:rFonts w:cs="Arial"/>
              </w:rPr>
            </w:pPr>
            <w:r w:rsidRPr="00493E39">
              <w:rPr>
                <w:rFonts w:cs="Arial"/>
                <w:b/>
                <w:sz w:val="18"/>
              </w:rPr>
              <w:t>h = 1</w:t>
            </w:r>
          </w:p>
        </w:tc>
        <w:tc>
          <w:tcPr>
            <w:tcW w:w="1134" w:type="dxa"/>
            <w:tcBorders>
              <w:top w:val="single" w:sz="12" w:space="0" w:color="000000"/>
              <w:left w:val="nil"/>
              <w:bottom w:val="single" w:sz="6" w:space="0" w:color="000000"/>
              <w:right w:val="nil"/>
            </w:tcBorders>
          </w:tcPr>
          <w:p w14:paraId="58E3C436" w14:textId="77777777" w:rsidR="00D64459" w:rsidRPr="00493E39" w:rsidRDefault="008B2120">
            <w:pPr>
              <w:spacing w:after="20" w:line="240" w:lineRule="auto"/>
              <w:jc w:val="center"/>
              <w:rPr>
                <w:rFonts w:cs="Arial"/>
              </w:rPr>
            </w:pPr>
            <w:r w:rsidRPr="00493E39">
              <w:rPr>
                <w:rFonts w:cs="Arial"/>
                <w:b/>
                <w:sz w:val="18"/>
              </w:rPr>
              <w:t>h = 3</w:t>
            </w:r>
          </w:p>
        </w:tc>
        <w:tc>
          <w:tcPr>
            <w:tcW w:w="1134" w:type="dxa"/>
            <w:tcBorders>
              <w:top w:val="single" w:sz="12" w:space="0" w:color="000000"/>
              <w:left w:val="nil"/>
              <w:bottom w:val="single" w:sz="6" w:space="0" w:color="000000"/>
              <w:right w:val="nil"/>
            </w:tcBorders>
          </w:tcPr>
          <w:p w14:paraId="34EB1FD6" w14:textId="77777777" w:rsidR="00D64459" w:rsidRPr="00493E39" w:rsidRDefault="008B2120">
            <w:pPr>
              <w:spacing w:after="20" w:line="240" w:lineRule="auto"/>
              <w:jc w:val="center"/>
              <w:rPr>
                <w:rFonts w:cs="Arial"/>
              </w:rPr>
            </w:pPr>
            <w:r w:rsidRPr="00493E39">
              <w:rPr>
                <w:rFonts w:cs="Arial"/>
                <w:b/>
                <w:sz w:val="18"/>
              </w:rPr>
              <w:t>h = 6</w:t>
            </w:r>
          </w:p>
        </w:tc>
        <w:tc>
          <w:tcPr>
            <w:tcW w:w="1134" w:type="dxa"/>
            <w:tcBorders>
              <w:top w:val="single" w:sz="12" w:space="0" w:color="000000"/>
              <w:left w:val="nil"/>
              <w:bottom w:val="single" w:sz="6" w:space="0" w:color="000000"/>
              <w:right w:val="nil"/>
            </w:tcBorders>
          </w:tcPr>
          <w:p w14:paraId="3B3134E0" w14:textId="77777777" w:rsidR="00D64459" w:rsidRPr="00493E39" w:rsidRDefault="008B2120">
            <w:pPr>
              <w:spacing w:after="20" w:line="240" w:lineRule="auto"/>
              <w:jc w:val="center"/>
              <w:rPr>
                <w:rFonts w:cs="Arial"/>
              </w:rPr>
            </w:pPr>
            <w:r w:rsidRPr="00493E39">
              <w:rPr>
                <w:rFonts w:cs="Arial"/>
                <w:b/>
                <w:sz w:val="18"/>
              </w:rPr>
              <w:t>h = 12</w:t>
            </w:r>
          </w:p>
        </w:tc>
      </w:tr>
      <w:tr w:rsidR="00D64459" w:rsidRPr="00493E39" w14:paraId="3F1C02EE" w14:textId="77777777">
        <w:trPr>
          <w:cantSplit/>
          <w:jc w:val="center"/>
        </w:trPr>
        <w:tc>
          <w:tcPr>
            <w:tcW w:w="2721" w:type="dxa"/>
            <w:tcBorders>
              <w:top w:val="nil"/>
              <w:left w:val="nil"/>
              <w:bottom w:val="nil"/>
              <w:right w:val="nil"/>
            </w:tcBorders>
          </w:tcPr>
          <w:p w14:paraId="781BDFAD" w14:textId="77777777" w:rsidR="00D64459" w:rsidRPr="00493E39" w:rsidRDefault="008B2120">
            <w:pPr>
              <w:spacing w:line="240" w:lineRule="auto"/>
              <w:rPr>
                <w:rFonts w:cs="Arial"/>
              </w:rPr>
            </w:pPr>
            <w:r w:rsidRPr="00493E39">
              <w:rPr>
                <w:rFonts w:cs="Arial"/>
                <w:sz w:val="18"/>
              </w:rPr>
              <w:t>IPCA Geral</w:t>
            </w:r>
          </w:p>
        </w:tc>
        <w:tc>
          <w:tcPr>
            <w:tcW w:w="1134" w:type="dxa"/>
            <w:tcBorders>
              <w:top w:val="nil"/>
              <w:left w:val="nil"/>
              <w:bottom w:val="nil"/>
              <w:right w:val="nil"/>
            </w:tcBorders>
          </w:tcPr>
          <w:p w14:paraId="6060DD8B" w14:textId="77777777" w:rsidR="00D64459" w:rsidRPr="00493E39" w:rsidRDefault="008B2120">
            <w:pPr>
              <w:spacing w:line="240" w:lineRule="auto"/>
              <w:jc w:val="center"/>
              <w:rPr>
                <w:rFonts w:cs="Arial"/>
              </w:rPr>
            </w:pPr>
            <w:r w:rsidRPr="00493E39">
              <w:rPr>
                <w:rFonts w:cs="Arial"/>
                <w:sz w:val="18"/>
              </w:rPr>
              <w:t>0,057**</w:t>
            </w:r>
          </w:p>
        </w:tc>
        <w:tc>
          <w:tcPr>
            <w:tcW w:w="1134" w:type="dxa"/>
            <w:tcBorders>
              <w:top w:val="nil"/>
              <w:left w:val="nil"/>
              <w:bottom w:val="nil"/>
              <w:right w:val="nil"/>
            </w:tcBorders>
          </w:tcPr>
          <w:p w14:paraId="7F1FF456" w14:textId="77777777" w:rsidR="00D64459" w:rsidRPr="00493E39" w:rsidRDefault="008B2120">
            <w:pPr>
              <w:spacing w:line="240" w:lineRule="auto"/>
              <w:jc w:val="center"/>
              <w:rPr>
                <w:rFonts w:cs="Arial"/>
              </w:rPr>
            </w:pPr>
            <w:r w:rsidRPr="00493E39">
              <w:rPr>
                <w:rFonts w:cs="Arial"/>
                <w:sz w:val="18"/>
              </w:rPr>
              <w:t>0,129***</w:t>
            </w:r>
          </w:p>
        </w:tc>
        <w:tc>
          <w:tcPr>
            <w:tcW w:w="1134" w:type="dxa"/>
            <w:tcBorders>
              <w:top w:val="nil"/>
              <w:left w:val="nil"/>
              <w:bottom w:val="nil"/>
              <w:right w:val="nil"/>
            </w:tcBorders>
          </w:tcPr>
          <w:p w14:paraId="07ED7517" w14:textId="77777777" w:rsidR="00D64459" w:rsidRPr="00493E39" w:rsidRDefault="008B2120">
            <w:pPr>
              <w:spacing w:line="240" w:lineRule="auto"/>
              <w:jc w:val="center"/>
              <w:rPr>
                <w:rFonts w:cs="Arial"/>
              </w:rPr>
            </w:pPr>
            <w:r w:rsidRPr="00493E39">
              <w:rPr>
                <w:rFonts w:cs="Arial"/>
                <w:sz w:val="18"/>
              </w:rPr>
              <w:t>0,172**</w:t>
            </w:r>
          </w:p>
        </w:tc>
        <w:tc>
          <w:tcPr>
            <w:tcW w:w="1134" w:type="dxa"/>
            <w:tcBorders>
              <w:top w:val="nil"/>
              <w:left w:val="nil"/>
              <w:bottom w:val="nil"/>
              <w:right w:val="nil"/>
            </w:tcBorders>
          </w:tcPr>
          <w:p w14:paraId="3BB1B1EC" w14:textId="77777777" w:rsidR="00D64459" w:rsidRPr="00493E39" w:rsidRDefault="008B2120">
            <w:pPr>
              <w:spacing w:line="240" w:lineRule="auto"/>
              <w:jc w:val="center"/>
              <w:rPr>
                <w:rFonts w:cs="Arial"/>
              </w:rPr>
            </w:pPr>
            <w:r w:rsidRPr="00493E39">
              <w:rPr>
                <w:rFonts w:cs="Arial"/>
                <w:sz w:val="18"/>
              </w:rPr>
              <w:t>0,122</w:t>
            </w:r>
          </w:p>
        </w:tc>
        <w:tc>
          <w:tcPr>
            <w:tcW w:w="1134" w:type="dxa"/>
            <w:tcBorders>
              <w:top w:val="nil"/>
              <w:left w:val="nil"/>
              <w:bottom w:val="nil"/>
              <w:right w:val="nil"/>
            </w:tcBorders>
          </w:tcPr>
          <w:p w14:paraId="2B0377EA" w14:textId="77777777" w:rsidR="00D64459" w:rsidRPr="00493E39" w:rsidRDefault="008B2120">
            <w:pPr>
              <w:spacing w:line="240" w:lineRule="auto"/>
              <w:jc w:val="center"/>
              <w:rPr>
                <w:rFonts w:cs="Arial"/>
              </w:rPr>
            </w:pPr>
            <w:r w:rsidRPr="00493E39">
              <w:rPr>
                <w:rFonts w:cs="Arial"/>
                <w:sz w:val="18"/>
              </w:rPr>
              <w:t>0,107</w:t>
            </w:r>
          </w:p>
        </w:tc>
      </w:tr>
      <w:tr w:rsidR="00D64459" w:rsidRPr="00493E39" w14:paraId="302AE2EF" w14:textId="77777777">
        <w:trPr>
          <w:cantSplit/>
          <w:jc w:val="center"/>
        </w:trPr>
        <w:tc>
          <w:tcPr>
            <w:tcW w:w="2721" w:type="dxa"/>
            <w:tcBorders>
              <w:top w:val="nil"/>
              <w:left w:val="nil"/>
              <w:bottom w:val="nil"/>
              <w:right w:val="nil"/>
            </w:tcBorders>
          </w:tcPr>
          <w:p w14:paraId="30A943C5" w14:textId="77777777" w:rsidR="00D64459" w:rsidRPr="00493E39" w:rsidRDefault="00D64459">
            <w:pPr>
              <w:spacing w:line="240" w:lineRule="auto"/>
              <w:rPr>
                <w:rFonts w:cs="Arial"/>
              </w:rPr>
            </w:pPr>
          </w:p>
        </w:tc>
        <w:tc>
          <w:tcPr>
            <w:tcW w:w="1134" w:type="dxa"/>
            <w:tcBorders>
              <w:top w:val="nil"/>
              <w:left w:val="nil"/>
              <w:bottom w:val="nil"/>
              <w:right w:val="nil"/>
            </w:tcBorders>
          </w:tcPr>
          <w:p w14:paraId="6899B834" w14:textId="77777777" w:rsidR="00D64459" w:rsidRPr="00493E39" w:rsidRDefault="008B2120">
            <w:pPr>
              <w:spacing w:line="240" w:lineRule="auto"/>
              <w:jc w:val="center"/>
              <w:rPr>
                <w:rFonts w:cs="Arial"/>
              </w:rPr>
            </w:pPr>
            <w:r w:rsidRPr="00493E39">
              <w:rPr>
                <w:rFonts w:cs="Arial"/>
                <w:sz w:val="18"/>
              </w:rPr>
              <w:t>(0,025)</w:t>
            </w:r>
          </w:p>
        </w:tc>
        <w:tc>
          <w:tcPr>
            <w:tcW w:w="1134" w:type="dxa"/>
            <w:tcBorders>
              <w:top w:val="nil"/>
              <w:left w:val="nil"/>
              <w:bottom w:val="nil"/>
              <w:right w:val="nil"/>
            </w:tcBorders>
          </w:tcPr>
          <w:p w14:paraId="6C3C8259" w14:textId="77777777" w:rsidR="00D64459" w:rsidRPr="00493E39" w:rsidRDefault="008B2120">
            <w:pPr>
              <w:spacing w:line="240" w:lineRule="auto"/>
              <w:jc w:val="center"/>
              <w:rPr>
                <w:rFonts w:cs="Arial"/>
              </w:rPr>
            </w:pPr>
            <w:r w:rsidRPr="00493E39">
              <w:rPr>
                <w:rFonts w:cs="Arial"/>
                <w:sz w:val="18"/>
              </w:rPr>
              <w:t>(0,044)</w:t>
            </w:r>
          </w:p>
        </w:tc>
        <w:tc>
          <w:tcPr>
            <w:tcW w:w="1134" w:type="dxa"/>
            <w:tcBorders>
              <w:top w:val="nil"/>
              <w:left w:val="nil"/>
              <w:bottom w:val="nil"/>
              <w:right w:val="nil"/>
            </w:tcBorders>
          </w:tcPr>
          <w:p w14:paraId="686179E7" w14:textId="77777777" w:rsidR="00D64459" w:rsidRPr="00493E39" w:rsidRDefault="008B2120">
            <w:pPr>
              <w:spacing w:line="240" w:lineRule="auto"/>
              <w:jc w:val="center"/>
              <w:rPr>
                <w:rFonts w:cs="Arial"/>
              </w:rPr>
            </w:pPr>
            <w:r w:rsidRPr="00493E39">
              <w:rPr>
                <w:rFonts w:cs="Arial"/>
                <w:sz w:val="18"/>
              </w:rPr>
              <w:t>(0,069)</w:t>
            </w:r>
          </w:p>
        </w:tc>
        <w:tc>
          <w:tcPr>
            <w:tcW w:w="1134" w:type="dxa"/>
            <w:tcBorders>
              <w:top w:val="nil"/>
              <w:left w:val="nil"/>
              <w:bottom w:val="nil"/>
              <w:right w:val="nil"/>
            </w:tcBorders>
          </w:tcPr>
          <w:p w14:paraId="7E8E9092" w14:textId="77777777" w:rsidR="00D64459" w:rsidRPr="00493E39" w:rsidRDefault="008B2120">
            <w:pPr>
              <w:spacing w:line="240" w:lineRule="auto"/>
              <w:jc w:val="center"/>
              <w:rPr>
                <w:rFonts w:cs="Arial"/>
              </w:rPr>
            </w:pPr>
            <w:r w:rsidRPr="00493E39">
              <w:rPr>
                <w:rFonts w:cs="Arial"/>
                <w:sz w:val="18"/>
              </w:rPr>
              <w:t>(0,090)</w:t>
            </w:r>
          </w:p>
        </w:tc>
        <w:tc>
          <w:tcPr>
            <w:tcW w:w="1134" w:type="dxa"/>
            <w:tcBorders>
              <w:top w:val="nil"/>
              <w:left w:val="nil"/>
              <w:bottom w:val="nil"/>
              <w:right w:val="nil"/>
            </w:tcBorders>
          </w:tcPr>
          <w:p w14:paraId="3E4D2255" w14:textId="77777777" w:rsidR="00D64459" w:rsidRPr="00493E39" w:rsidRDefault="008B2120">
            <w:pPr>
              <w:spacing w:line="240" w:lineRule="auto"/>
              <w:jc w:val="center"/>
              <w:rPr>
                <w:rFonts w:cs="Arial"/>
              </w:rPr>
            </w:pPr>
            <w:r w:rsidRPr="00493E39">
              <w:rPr>
                <w:rFonts w:cs="Arial"/>
                <w:sz w:val="18"/>
              </w:rPr>
              <w:t>(0,117)</w:t>
            </w:r>
          </w:p>
        </w:tc>
      </w:tr>
      <w:tr w:rsidR="00D64459" w:rsidRPr="00493E39" w14:paraId="751B4204" w14:textId="77777777">
        <w:trPr>
          <w:cantSplit/>
          <w:jc w:val="center"/>
        </w:trPr>
        <w:tc>
          <w:tcPr>
            <w:tcW w:w="2721" w:type="dxa"/>
            <w:tcBorders>
              <w:top w:val="nil"/>
              <w:left w:val="nil"/>
              <w:bottom w:val="nil"/>
              <w:right w:val="nil"/>
            </w:tcBorders>
          </w:tcPr>
          <w:p w14:paraId="7850AC4F" w14:textId="77777777" w:rsidR="00D64459" w:rsidRPr="00493E39" w:rsidRDefault="008B2120">
            <w:pPr>
              <w:spacing w:line="240" w:lineRule="auto"/>
              <w:rPr>
                <w:rFonts w:cs="Arial"/>
              </w:rPr>
            </w:pPr>
            <w:r w:rsidRPr="00493E39">
              <w:rPr>
                <w:rFonts w:cs="Arial"/>
                <w:sz w:val="18"/>
              </w:rPr>
              <w:t xml:space="preserve">IPCA </w:t>
            </w:r>
            <w:proofErr w:type="spellStart"/>
            <w:r w:rsidRPr="00493E39">
              <w:rPr>
                <w:rFonts w:cs="Arial"/>
                <w:sz w:val="18"/>
              </w:rPr>
              <w:t>Transportes</w:t>
            </w:r>
            <w:proofErr w:type="spellEnd"/>
          </w:p>
        </w:tc>
        <w:tc>
          <w:tcPr>
            <w:tcW w:w="1134" w:type="dxa"/>
            <w:tcBorders>
              <w:top w:val="nil"/>
              <w:left w:val="nil"/>
              <w:bottom w:val="nil"/>
              <w:right w:val="nil"/>
            </w:tcBorders>
          </w:tcPr>
          <w:p w14:paraId="49EF4976" w14:textId="77777777" w:rsidR="00D64459" w:rsidRPr="00493E39" w:rsidRDefault="008B2120">
            <w:pPr>
              <w:spacing w:line="240" w:lineRule="auto"/>
              <w:jc w:val="center"/>
              <w:rPr>
                <w:rFonts w:cs="Arial"/>
              </w:rPr>
            </w:pPr>
            <w:r w:rsidRPr="00493E39">
              <w:rPr>
                <w:rFonts w:cs="Arial"/>
                <w:sz w:val="18"/>
              </w:rPr>
              <w:t>0,249***</w:t>
            </w:r>
          </w:p>
        </w:tc>
        <w:tc>
          <w:tcPr>
            <w:tcW w:w="1134" w:type="dxa"/>
            <w:tcBorders>
              <w:top w:val="nil"/>
              <w:left w:val="nil"/>
              <w:bottom w:val="nil"/>
              <w:right w:val="nil"/>
            </w:tcBorders>
          </w:tcPr>
          <w:p w14:paraId="7BE209F5" w14:textId="77777777" w:rsidR="00D64459" w:rsidRPr="00493E39" w:rsidRDefault="008B2120">
            <w:pPr>
              <w:spacing w:line="240" w:lineRule="auto"/>
              <w:jc w:val="center"/>
              <w:rPr>
                <w:rFonts w:cs="Arial"/>
              </w:rPr>
            </w:pPr>
            <w:r w:rsidRPr="00493E39">
              <w:rPr>
                <w:rFonts w:cs="Arial"/>
                <w:sz w:val="18"/>
              </w:rPr>
              <w:t>0,461***</w:t>
            </w:r>
          </w:p>
        </w:tc>
        <w:tc>
          <w:tcPr>
            <w:tcW w:w="1134" w:type="dxa"/>
            <w:tcBorders>
              <w:top w:val="nil"/>
              <w:left w:val="nil"/>
              <w:bottom w:val="nil"/>
              <w:right w:val="nil"/>
            </w:tcBorders>
          </w:tcPr>
          <w:p w14:paraId="29A4F0E5" w14:textId="77777777" w:rsidR="00D64459" w:rsidRPr="00493E39" w:rsidRDefault="008B2120">
            <w:pPr>
              <w:spacing w:line="240" w:lineRule="auto"/>
              <w:jc w:val="center"/>
              <w:rPr>
                <w:rFonts w:cs="Arial"/>
              </w:rPr>
            </w:pPr>
            <w:r w:rsidRPr="00493E39">
              <w:rPr>
                <w:rFonts w:cs="Arial"/>
                <w:sz w:val="18"/>
              </w:rPr>
              <w:t>0,449**</w:t>
            </w:r>
          </w:p>
        </w:tc>
        <w:tc>
          <w:tcPr>
            <w:tcW w:w="1134" w:type="dxa"/>
            <w:tcBorders>
              <w:top w:val="nil"/>
              <w:left w:val="nil"/>
              <w:bottom w:val="nil"/>
              <w:right w:val="nil"/>
            </w:tcBorders>
          </w:tcPr>
          <w:p w14:paraId="37BA4274" w14:textId="77777777" w:rsidR="00D64459" w:rsidRPr="00493E39" w:rsidRDefault="008B2120">
            <w:pPr>
              <w:spacing w:line="240" w:lineRule="auto"/>
              <w:jc w:val="center"/>
              <w:rPr>
                <w:rFonts w:cs="Arial"/>
              </w:rPr>
            </w:pPr>
            <w:r w:rsidRPr="00493E39">
              <w:rPr>
                <w:rFonts w:cs="Arial"/>
                <w:sz w:val="18"/>
              </w:rPr>
              <w:t>0,401*</w:t>
            </w:r>
          </w:p>
        </w:tc>
        <w:tc>
          <w:tcPr>
            <w:tcW w:w="1134" w:type="dxa"/>
            <w:tcBorders>
              <w:top w:val="nil"/>
              <w:left w:val="nil"/>
              <w:bottom w:val="nil"/>
              <w:right w:val="nil"/>
            </w:tcBorders>
          </w:tcPr>
          <w:p w14:paraId="7F943DFE" w14:textId="77777777" w:rsidR="00D64459" w:rsidRPr="00493E39" w:rsidRDefault="008B2120">
            <w:pPr>
              <w:spacing w:line="240" w:lineRule="auto"/>
              <w:jc w:val="center"/>
              <w:rPr>
                <w:rFonts w:cs="Arial"/>
              </w:rPr>
            </w:pPr>
            <w:r w:rsidRPr="00493E39">
              <w:rPr>
                <w:rFonts w:cs="Arial"/>
                <w:sz w:val="18"/>
              </w:rPr>
              <w:t>0,342</w:t>
            </w:r>
          </w:p>
        </w:tc>
      </w:tr>
      <w:tr w:rsidR="00D64459" w:rsidRPr="00493E39" w14:paraId="53644E73" w14:textId="77777777">
        <w:trPr>
          <w:cantSplit/>
          <w:jc w:val="center"/>
        </w:trPr>
        <w:tc>
          <w:tcPr>
            <w:tcW w:w="2721" w:type="dxa"/>
            <w:tcBorders>
              <w:top w:val="nil"/>
              <w:left w:val="nil"/>
              <w:bottom w:val="nil"/>
              <w:right w:val="nil"/>
            </w:tcBorders>
          </w:tcPr>
          <w:p w14:paraId="31C08053" w14:textId="77777777" w:rsidR="00D64459" w:rsidRPr="00493E39" w:rsidRDefault="00D64459">
            <w:pPr>
              <w:spacing w:line="240" w:lineRule="auto"/>
              <w:rPr>
                <w:rFonts w:cs="Arial"/>
              </w:rPr>
            </w:pPr>
          </w:p>
        </w:tc>
        <w:tc>
          <w:tcPr>
            <w:tcW w:w="1134" w:type="dxa"/>
            <w:tcBorders>
              <w:top w:val="nil"/>
              <w:left w:val="nil"/>
              <w:bottom w:val="nil"/>
              <w:right w:val="nil"/>
            </w:tcBorders>
          </w:tcPr>
          <w:p w14:paraId="4107C725" w14:textId="77777777" w:rsidR="00D64459" w:rsidRPr="00493E39" w:rsidRDefault="008B2120">
            <w:pPr>
              <w:spacing w:line="240" w:lineRule="auto"/>
              <w:jc w:val="center"/>
              <w:rPr>
                <w:rFonts w:cs="Arial"/>
              </w:rPr>
            </w:pPr>
            <w:r w:rsidRPr="00493E39">
              <w:rPr>
                <w:rFonts w:cs="Arial"/>
                <w:sz w:val="18"/>
              </w:rPr>
              <w:t>(0,073)</w:t>
            </w:r>
          </w:p>
        </w:tc>
        <w:tc>
          <w:tcPr>
            <w:tcW w:w="1134" w:type="dxa"/>
            <w:tcBorders>
              <w:top w:val="nil"/>
              <w:left w:val="nil"/>
              <w:bottom w:val="nil"/>
              <w:right w:val="nil"/>
            </w:tcBorders>
          </w:tcPr>
          <w:p w14:paraId="626FABDC" w14:textId="77777777" w:rsidR="00D64459" w:rsidRPr="00493E39" w:rsidRDefault="008B2120">
            <w:pPr>
              <w:spacing w:line="240" w:lineRule="auto"/>
              <w:jc w:val="center"/>
              <w:rPr>
                <w:rFonts w:cs="Arial"/>
              </w:rPr>
            </w:pPr>
            <w:r w:rsidRPr="00493E39">
              <w:rPr>
                <w:rFonts w:cs="Arial"/>
                <w:sz w:val="18"/>
              </w:rPr>
              <w:t>(0,145)</w:t>
            </w:r>
          </w:p>
        </w:tc>
        <w:tc>
          <w:tcPr>
            <w:tcW w:w="1134" w:type="dxa"/>
            <w:tcBorders>
              <w:top w:val="nil"/>
              <w:left w:val="nil"/>
              <w:bottom w:val="nil"/>
              <w:right w:val="nil"/>
            </w:tcBorders>
          </w:tcPr>
          <w:p w14:paraId="7120F375" w14:textId="77777777" w:rsidR="00D64459" w:rsidRPr="00493E39" w:rsidRDefault="008B2120">
            <w:pPr>
              <w:spacing w:line="240" w:lineRule="auto"/>
              <w:jc w:val="center"/>
              <w:rPr>
                <w:rFonts w:cs="Arial"/>
              </w:rPr>
            </w:pPr>
            <w:r w:rsidRPr="00493E39">
              <w:rPr>
                <w:rFonts w:cs="Arial"/>
                <w:sz w:val="18"/>
              </w:rPr>
              <w:t>(0,183)</w:t>
            </w:r>
          </w:p>
        </w:tc>
        <w:tc>
          <w:tcPr>
            <w:tcW w:w="1134" w:type="dxa"/>
            <w:tcBorders>
              <w:top w:val="nil"/>
              <w:left w:val="nil"/>
              <w:bottom w:val="nil"/>
              <w:right w:val="nil"/>
            </w:tcBorders>
          </w:tcPr>
          <w:p w14:paraId="1828B5DC" w14:textId="77777777" w:rsidR="00D64459" w:rsidRPr="00493E39" w:rsidRDefault="008B2120">
            <w:pPr>
              <w:spacing w:line="240" w:lineRule="auto"/>
              <w:jc w:val="center"/>
              <w:rPr>
                <w:rFonts w:cs="Arial"/>
              </w:rPr>
            </w:pPr>
            <w:r w:rsidRPr="00493E39">
              <w:rPr>
                <w:rFonts w:cs="Arial"/>
                <w:sz w:val="18"/>
              </w:rPr>
              <w:t>(0,223)</w:t>
            </w:r>
          </w:p>
        </w:tc>
        <w:tc>
          <w:tcPr>
            <w:tcW w:w="1134" w:type="dxa"/>
            <w:tcBorders>
              <w:top w:val="nil"/>
              <w:left w:val="nil"/>
              <w:bottom w:val="nil"/>
              <w:right w:val="nil"/>
            </w:tcBorders>
          </w:tcPr>
          <w:p w14:paraId="6CD57131" w14:textId="77777777" w:rsidR="00D64459" w:rsidRPr="00493E39" w:rsidRDefault="008B2120">
            <w:pPr>
              <w:spacing w:line="240" w:lineRule="auto"/>
              <w:jc w:val="center"/>
              <w:rPr>
                <w:rFonts w:cs="Arial"/>
              </w:rPr>
            </w:pPr>
            <w:r w:rsidRPr="00493E39">
              <w:rPr>
                <w:rFonts w:cs="Arial"/>
                <w:sz w:val="18"/>
              </w:rPr>
              <w:t>(0,281)</w:t>
            </w:r>
          </w:p>
        </w:tc>
      </w:tr>
      <w:tr w:rsidR="00D64459" w:rsidRPr="00493E39" w14:paraId="0A92F3F2" w14:textId="77777777">
        <w:trPr>
          <w:cantSplit/>
          <w:jc w:val="center"/>
        </w:trPr>
        <w:tc>
          <w:tcPr>
            <w:tcW w:w="2721" w:type="dxa"/>
            <w:tcBorders>
              <w:top w:val="nil"/>
              <w:left w:val="nil"/>
              <w:bottom w:val="nil"/>
              <w:right w:val="nil"/>
            </w:tcBorders>
          </w:tcPr>
          <w:p w14:paraId="4A22701D"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ao</w:t>
            </w:r>
            <w:proofErr w:type="spellEnd"/>
            <w:r w:rsidRPr="00493E39">
              <w:rPr>
                <w:rFonts w:cs="Arial"/>
                <w:sz w:val="18"/>
              </w:rPr>
              <w:t xml:space="preserve"> </w:t>
            </w:r>
            <w:proofErr w:type="spellStart"/>
            <w:r w:rsidRPr="00493E39">
              <w:rPr>
                <w:rFonts w:cs="Arial"/>
                <w:sz w:val="18"/>
              </w:rPr>
              <w:t>consumidor</w:t>
            </w:r>
            <w:proofErr w:type="spellEnd"/>
          </w:p>
        </w:tc>
        <w:tc>
          <w:tcPr>
            <w:tcW w:w="1134" w:type="dxa"/>
            <w:tcBorders>
              <w:top w:val="nil"/>
              <w:left w:val="nil"/>
              <w:bottom w:val="nil"/>
              <w:right w:val="nil"/>
            </w:tcBorders>
          </w:tcPr>
          <w:p w14:paraId="2633D650" w14:textId="77777777" w:rsidR="00D64459" w:rsidRPr="00493E39" w:rsidRDefault="008B2120">
            <w:pPr>
              <w:spacing w:line="240" w:lineRule="auto"/>
              <w:jc w:val="center"/>
              <w:rPr>
                <w:rFonts w:cs="Arial"/>
              </w:rPr>
            </w:pPr>
            <w:r w:rsidRPr="00493E39">
              <w:rPr>
                <w:rFonts w:cs="Arial"/>
                <w:sz w:val="18"/>
              </w:rPr>
              <w:t>0,786***</w:t>
            </w:r>
          </w:p>
        </w:tc>
        <w:tc>
          <w:tcPr>
            <w:tcW w:w="1134" w:type="dxa"/>
            <w:tcBorders>
              <w:top w:val="nil"/>
              <w:left w:val="nil"/>
              <w:bottom w:val="nil"/>
              <w:right w:val="nil"/>
            </w:tcBorders>
          </w:tcPr>
          <w:p w14:paraId="2DB1835F" w14:textId="77777777" w:rsidR="00D64459" w:rsidRPr="00493E39" w:rsidRDefault="008B2120">
            <w:pPr>
              <w:spacing w:line="240" w:lineRule="auto"/>
              <w:jc w:val="center"/>
              <w:rPr>
                <w:rFonts w:cs="Arial"/>
              </w:rPr>
            </w:pPr>
            <w:r w:rsidRPr="00493E39">
              <w:rPr>
                <w:rFonts w:cs="Arial"/>
                <w:sz w:val="18"/>
              </w:rPr>
              <w:t>1,331***</w:t>
            </w:r>
          </w:p>
        </w:tc>
        <w:tc>
          <w:tcPr>
            <w:tcW w:w="1134" w:type="dxa"/>
            <w:tcBorders>
              <w:top w:val="nil"/>
              <w:left w:val="nil"/>
              <w:bottom w:val="nil"/>
              <w:right w:val="nil"/>
            </w:tcBorders>
          </w:tcPr>
          <w:p w14:paraId="0E0991DB" w14:textId="77777777" w:rsidR="00D64459" w:rsidRPr="00493E39" w:rsidRDefault="008B2120">
            <w:pPr>
              <w:spacing w:line="240" w:lineRule="auto"/>
              <w:jc w:val="center"/>
              <w:rPr>
                <w:rFonts w:cs="Arial"/>
              </w:rPr>
            </w:pPr>
            <w:r w:rsidRPr="00493E39">
              <w:rPr>
                <w:rFonts w:cs="Arial"/>
                <w:sz w:val="18"/>
              </w:rPr>
              <w:t>0,952**</w:t>
            </w:r>
          </w:p>
        </w:tc>
        <w:tc>
          <w:tcPr>
            <w:tcW w:w="1134" w:type="dxa"/>
            <w:tcBorders>
              <w:top w:val="nil"/>
              <w:left w:val="nil"/>
              <w:bottom w:val="nil"/>
              <w:right w:val="nil"/>
            </w:tcBorders>
          </w:tcPr>
          <w:p w14:paraId="202D36D5" w14:textId="77777777" w:rsidR="00D64459" w:rsidRPr="00493E39" w:rsidRDefault="008B2120">
            <w:pPr>
              <w:spacing w:line="240" w:lineRule="auto"/>
              <w:jc w:val="center"/>
              <w:rPr>
                <w:rFonts w:cs="Arial"/>
              </w:rPr>
            </w:pPr>
            <w:r w:rsidRPr="00493E39">
              <w:rPr>
                <w:rFonts w:cs="Arial"/>
                <w:sz w:val="18"/>
              </w:rPr>
              <w:t>0,470</w:t>
            </w:r>
          </w:p>
        </w:tc>
        <w:tc>
          <w:tcPr>
            <w:tcW w:w="1134" w:type="dxa"/>
            <w:tcBorders>
              <w:top w:val="nil"/>
              <w:left w:val="nil"/>
              <w:bottom w:val="nil"/>
              <w:right w:val="nil"/>
            </w:tcBorders>
          </w:tcPr>
          <w:p w14:paraId="019D4CAB" w14:textId="77777777" w:rsidR="00D64459" w:rsidRPr="00493E39" w:rsidRDefault="008B2120">
            <w:pPr>
              <w:spacing w:line="240" w:lineRule="auto"/>
              <w:jc w:val="center"/>
              <w:rPr>
                <w:rFonts w:cs="Arial"/>
              </w:rPr>
            </w:pPr>
            <w:r w:rsidRPr="00493E39">
              <w:rPr>
                <w:rFonts w:cs="Arial"/>
                <w:sz w:val="18"/>
              </w:rPr>
              <w:t>−0,069</w:t>
            </w:r>
          </w:p>
        </w:tc>
      </w:tr>
      <w:tr w:rsidR="00D64459" w:rsidRPr="00493E39" w14:paraId="4B9CC352" w14:textId="77777777">
        <w:trPr>
          <w:cantSplit/>
          <w:jc w:val="center"/>
        </w:trPr>
        <w:tc>
          <w:tcPr>
            <w:tcW w:w="2721" w:type="dxa"/>
            <w:tcBorders>
              <w:top w:val="nil"/>
              <w:left w:val="nil"/>
              <w:bottom w:val="nil"/>
              <w:right w:val="nil"/>
            </w:tcBorders>
          </w:tcPr>
          <w:p w14:paraId="42A54AC1" w14:textId="77777777" w:rsidR="00D64459" w:rsidRPr="00493E39" w:rsidRDefault="00D64459">
            <w:pPr>
              <w:spacing w:line="240" w:lineRule="auto"/>
              <w:rPr>
                <w:rFonts w:cs="Arial"/>
              </w:rPr>
            </w:pPr>
          </w:p>
        </w:tc>
        <w:tc>
          <w:tcPr>
            <w:tcW w:w="1134" w:type="dxa"/>
            <w:tcBorders>
              <w:top w:val="nil"/>
              <w:left w:val="nil"/>
              <w:bottom w:val="nil"/>
              <w:right w:val="nil"/>
            </w:tcBorders>
          </w:tcPr>
          <w:p w14:paraId="5A31AA29" w14:textId="77777777" w:rsidR="00D64459" w:rsidRPr="00493E39" w:rsidRDefault="008B2120">
            <w:pPr>
              <w:spacing w:line="240" w:lineRule="auto"/>
              <w:jc w:val="center"/>
              <w:rPr>
                <w:rFonts w:cs="Arial"/>
              </w:rPr>
            </w:pPr>
            <w:r w:rsidRPr="00493E39">
              <w:rPr>
                <w:rFonts w:cs="Arial"/>
                <w:sz w:val="18"/>
              </w:rPr>
              <w:t>(0,201)</w:t>
            </w:r>
          </w:p>
        </w:tc>
        <w:tc>
          <w:tcPr>
            <w:tcW w:w="1134" w:type="dxa"/>
            <w:tcBorders>
              <w:top w:val="nil"/>
              <w:left w:val="nil"/>
              <w:bottom w:val="nil"/>
              <w:right w:val="nil"/>
            </w:tcBorders>
          </w:tcPr>
          <w:p w14:paraId="3E59D989" w14:textId="77777777" w:rsidR="00D64459" w:rsidRPr="00493E39" w:rsidRDefault="008B2120">
            <w:pPr>
              <w:spacing w:line="240" w:lineRule="auto"/>
              <w:jc w:val="center"/>
              <w:rPr>
                <w:rFonts w:cs="Arial"/>
              </w:rPr>
            </w:pPr>
            <w:r w:rsidRPr="00493E39">
              <w:rPr>
                <w:rFonts w:cs="Arial"/>
                <w:sz w:val="18"/>
              </w:rPr>
              <w:t>(0,389)</w:t>
            </w:r>
          </w:p>
        </w:tc>
        <w:tc>
          <w:tcPr>
            <w:tcW w:w="1134" w:type="dxa"/>
            <w:tcBorders>
              <w:top w:val="nil"/>
              <w:left w:val="nil"/>
              <w:bottom w:val="nil"/>
              <w:right w:val="nil"/>
            </w:tcBorders>
          </w:tcPr>
          <w:p w14:paraId="17FB332A" w14:textId="77777777" w:rsidR="00D64459" w:rsidRPr="00493E39" w:rsidRDefault="008B2120">
            <w:pPr>
              <w:spacing w:line="240" w:lineRule="auto"/>
              <w:jc w:val="center"/>
              <w:rPr>
                <w:rFonts w:cs="Arial"/>
              </w:rPr>
            </w:pPr>
            <w:r w:rsidRPr="00493E39">
              <w:rPr>
                <w:rFonts w:cs="Arial"/>
                <w:sz w:val="18"/>
              </w:rPr>
              <w:t>(0,474)</w:t>
            </w:r>
          </w:p>
        </w:tc>
        <w:tc>
          <w:tcPr>
            <w:tcW w:w="1134" w:type="dxa"/>
            <w:tcBorders>
              <w:top w:val="nil"/>
              <w:left w:val="nil"/>
              <w:bottom w:val="nil"/>
              <w:right w:val="nil"/>
            </w:tcBorders>
          </w:tcPr>
          <w:p w14:paraId="1AE6964C" w14:textId="77777777" w:rsidR="00D64459" w:rsidRPr="00493E39" w:rsidRDefault="008B2120">
            <w:pPr>
              <w:spacing w:line="240" w:lineRule="auto"/>
              <w:jc w:val="center"/>
              <w:rPr>
                <w:rFonts w:cs="Arial"/>
              </w:rPr>
            </w:pPr>
            <w:r w:rsidRPr="00493E39">
              <w:rPr>
                <w:rFonts w:cs="Arial"/>
                <w:sz w:val="18"/>
              </w:rPr>
              <w:t>(0,574)</w:t>
            </w:r>
          </w:p>
        </w:tc>
        <w:tc>
          <w:tcPr>
            <w:tcW w:w="1134" w:type="dxa"/>
            <w:tcBorders>
              <w:top w:val="nil"/>
              <w:left w:val="nil"/>
              <w:bottom w:val="nil"/>
              <w:right w:val="nil"/>
            </w:tcBorders>
          </w:tcPr>
          <w:p w14:paraId="1B209264" w14:textId="77777777" w:rsidR="00D64459" w:rsidRPr="00493E39" w:rsidRDefault="008B2120">
            <w:pPr>
              <w:spacing w:line="240" w:lineRule="auto"/>
              <w:jc w:val="center"/>
              <w:rPr>
                <w:rFonts w:cs="Arial"/>
              </w:rPr>
            </w:pPr>
            <w:r w:rsidRPr="00493E39">
              <w:rPr>
                <w:rFonts w:cs="Arial"/>
                <w:sz w:val="18"/>
              </w:rPr>
              <w:t>(0,804)</w:t>
            </w:r>
          </w:p>
        </w:tc>
      </w:tr>
      <w:tr w:rsidR="00D64459" w:rsidRPr="00493E39" w14:paraId="0CE8C68B" w14:textId="77777777">
        <w:trPr>
          <w:cantSplit/>
          <w:jc w:val="center"/>
        </w:trPr>
        <w:tc>
          <w:tcPr>
            <w:tcW w:w="2721" w:type="dxa"/>
            <w:tcBorders>
              <w:top w:val="nil"/>
              <w:left w:val="nil"/>
              <w:bottom w:val="nil"/>
              <w:right w:val="nil"/>
            </w:tcBorders>
          </w:tcPr>
          <w:p w14:paraId="57FDF515" w14:textId="77777777" w:rsidR="00D64459" w:rsidRPr="00493E39" w:rsidRDefault="008B2120">
            <w:pPr>
              <w:spacing w:line="240" w:lineRule="auto"/>
              <w:rPr>
                <w:rFonts w:cs="Arial"/>
              </w:rPr>
            </w:pPr>
            <w:r w:rsidRPr="00493E39">
              <w:rPr>
                <w:rFonts w:cs="Arial"/>
                <w:sz w:val="18"/>
              </w:rPr>
              <w:t>Diesel</w:t>
            </w:r>
          </w:p>
        </w:tc>
        <w:tc>
          <w:tcPr>
            <w:tcW w:w="1134" w:type="dxa"/>
            <w:tcBorders>
              <w:top w:val="nil"/>
              <w:left w:val="nil"/>
              <w:bottom w:val="nil"/>
              <w:right w:val="nil"/>
            </w:tcBorders>
          </w:tcPr>
          <w:p w14:paraId="44B00DBB" w14:textId="77777777" w:rsidR="00D64459" w:rsidRPr="00493E39" w:rsidRDefault="008B2120">
            <w:pPr>
              <w:spacing w:line="240" w:lineRule="auto"/>
              <w:jc w:val="center"/>
              <w:rPr>
                <w:rFonts w:cs="Arial"/>
              </w:rPr>
            </w:pPr>
            <w:r w:rsidRPr="00493E39">
              <w:rPr>
                <w:rFonts w:cs="Arial"/>
                <w:sz w:val="18"/>
              </w:rPr>
              <w:t>0,845***</w:t>
            </w:r>
          </w:p>
        </w:tc>
        <w:tc>
          <w:tcPr>
            <w:tcW w:w="1134" w:type="dxa"/>
            <w:tcBorders>
              <w:top w:val="nil"/>
              <w:left w:val="nil"/>
              <w:bottom w:val="nil"/>
              <w:right w:val="nil"/>
            </w:tcBorders>
          </w:tcPr>
          <w:p w14:paraId="310B9660" w14:textId="77777777" w:rsidR="00D64459" w:rsidRPr="00493E39" w:rsidRDefault="008B2120">
            <w:pPr>
              <w:spacing w:line="240" w:lineRule="auto"/>
              <w:jc w:val="center"/>
              <w:rPr>
                <w:rFonts w:cs="Arial"/>
              </w:rPr>
            </w:pPr>
            <w:r w:rsidRPr="00493E39">
              <w:rPr>
                <w:rFonts w:cs="Arial"/>
                <w:sz w:val="18"/>
              </w:rPr>
              <w:t>1,468***</w:t>
            </w:r>
          </w:p>
        </w:tc>
        <w:tc>
          <w:tcPr>
            <w:tcW w:w="1134" w:type="dxa"/>
            <w:tcBorders>
              <w:top w:val="nil"/>
              <w:left w:val="nil"/>
              <w:bottom w:val="nil"/>
              <w:right w:val="nil"/>
            </w:tcBorders>
          </w:tcPr>
          <w:p w14:paraId="2494B9BE" w14:textId="77777777" w:rsidR="00D64459" w:rsidRPr="00493E39" w:rsidRDefault="008B2120">
            <w:pPr>
              <w:spacing w:line="240" w:lineRule="auto"/>
              <w:jc w:val="center"/>
              <w:rPr>
                <w:rFonts w:cs="Arial"/>
              </w:rPr>
            </w:pPr>
            <w:r w:rsidRPr="00493E39">
              <w:rPr>
                <w:rFonts w:cs="Arial"/>
                <w:sz w:val="18"/>
              </w:rPr>
              <w:t>1,418***</w:t>
            </w:r>
          </w:p>
        </w:tc>
        <w:tc>
          <w:tcPr>
            <w:tcW w:w="1134" w:type="dxa"/>
            <w:tcBorders>
              <w:top w:val="nil"/>
              <w:left w:val="nil"/>
              <w:bottom w:val="nil"/>
              <w:right w:val="nil"/>
            </w:tcBorders>
          </w:tcPr>
          <w:p w14:paraId="78A671D5" w14:textId="77777777" w:rsidR="00D64459" w:rsidRPr="00493E39" w:rsidRDefault="008B2120">
            <w:pPr>
              <w:spacing w:line="240" w:lineRule="auto"/>
              <w:jc w:val="center"/>
              <w:rPr>
                <w:rFonts w:cs="Arial"/>
              </w:rPr>
            </w:pPr>
            <w:r w:rsidRPr="00493E39">
              <w:rPr>
                <w:rFonts w:cs="Arial"/>
                <w:sz w:val="18"/>
              </w:rPr>
              <w:t>1,857**</w:t>
            </w:r>
          </w:p>
        </w:tc>
        <w:tc>
          <w:tcPr>
            <w:tcW w:w="1134" w:type="dxa"/>
            <w:tcBorders>
              <w:top w:val="nil"/>
              <w:left w:val="nil"/>
              <w:bottom w:val="nil"/>
              <w:right w:val="nil"/>
            </w:tcBorders>
          </w:tcPr>
          <w:p w14:paraId="2469E0FB" w14:textId="77777777" w:rsidR="00D64459" w:rsidRPr="00493E39" w:rsidRDefault="008B2120">
            <w:pPr>
              <w:spacing w:line="240" w:lineRule="auto"/>
              <w:jc w:val="center"/>
              <w:rPr>
                <w:rFonts w:cs="Arial"/>
              </w:rPr>
            </w:pPr>
            <w:r w:rsidRPr="00493E39">
              <w:rPr>
                <w:rFonts w:cs="Arial"/>
                <w:sz w:val="18"/>
              </w:rPr>
              <w:t>1,662**</w:t>
            </w:r>
          </w:p>
        </w:tc>
      </w:tr>
      <w:tr w:rsidR="00D64459" w:rsidRPr="00493E39" w14:paraId="3AEC0FD1" w14:textId="77777777">
        <w:trPr>
          <w:cantSplit/>
          <w:jc w:val="center"/>
        </w:trPr>
        <w:tc>
          <w:tcPr>
            <w:tcW w:w="2721" w:type="dxa"/>
            <w:tcBorders>
              <w:top w:val="nil"/>
              <w:left w:val="nil"/>
              <w:bottom w:val="nil"/>
              <w:right w:val="nil"/>
            </w:tcBorders>
          </w:tcPr>
          <w:p w14:paraId="59156F4D" w14:textId="77777777" w:rsidR="00D64459" w:rsidRPr="00493E39" w:rsidRDefault="00D64459">
            <w:pPr>
              <w:spacing w:line="240" w:lineRule="auto"/>
              <w:rPr>
                <w:rFonts w:cs="Arial"/>
              </w:rPr>
            </w:pPr>
          </w:p>
        </w:tc>
        <w:tc>
          <w:tcPr>
            <w:tcW w:w="1134" w:type="dxa"/>
            <w:tcBorders>
              <w:top w:val="nil"/>
              <w:left w:val="nil"/>
              <w:bottom w:val="nil"/>
              <w:right w:val="nil"/>
            </w:tcBorders>
          </w:tcPr>
          <w:p w14:paraId="265BCEA4" w14:textId="77777777" w:rsidR="00D64459" w:rsidRPr="00493E39" w:rsidRDefault="008B2120">
            <w:pPr>
              <w:spacing w:line="240" w:lineRule="auto"/>
              <w:jc w:val="center"/>
              <w:rPr>
                <w:rFonts w:cs="Arial"/>
              </w:rPr>
            </w:pPr>
            <w:r w:rsidRPr="00493E39">
              <w:rPr>
                <w:rFonts w:cs="Arial"/>
                <w:sz w:val="18"/>
              </w:rPr>
              <w:t>(0,180)</w:t>
            </w:r>
          </w:p>
        </w:tc>
        <w:tc>
          <w:tcPr>
            <w:tcW w:w="1134" w:type="dxa"/>
            <w:tcBorders>
              <w:top w:val="nil"/>
              <w:left w:val="nil"/>
              <w:bottom w:val="nil"/>
              <w:right w:val="nil"/>
            </w:tcBorders>
          </w:tcPr>
          <w:p w14:paraId="2B13321C" w14:textId="77777777" w:rsidR="00D64459" w:rsidRPr="00493E39" w:rsidRDefault="008B2120">
            <w:pPr>
              <w:spacing w:line="240" w:lineRule="auto"/>
              <w:jc w:val="center"/>
              <w:rPr>
                <w:rFonts w:cs="Arial"/>
              </w:rPr>
            </w:pPr>
            <w:r w:rsidRPr="00493E39">
              <w:rPr>
                <w:rFonts w:cs="Arial"/>
                <w:sz w:val="18"/>
              </w:rPr>
              <w:t>(0,348)</w:t>
            </w:r>
          </w:p>
        </w:tc>
        <w:tc>
          <w:tcPr>
            <w:tcW w:w="1134" w:type="dxa"/>
            <w:tcBorders>
              <w:top w:val="nil"/>
              <w:left w:val="nil"/>
              <w:bottom w:val="nil"/>
              <w:right w:val="nil"/>
            </w:tcBorders>
          </w:tcPr>
          <w:p w14:paraId="1A762F6B" w14:textId="77777777" w:rsidR="00D64459" w:rsidRPr="00493E39" w:rsidRDefault="008B2120">
            <w:pPr>
              <w:spacing w:line="240" w:lineRule="auto"/>
              <w:jc w:val="center"/>
              <w:rPr>
                <w:rFonts w:cs="Arial"/>
              </w:rPr>
            </w:pPr>
            <w:r w:rsidRPr="00493E39">
              <w:rPr>
                <w:rFonts w:cs="Arial"/>
                <w:sz w:val="18"/>
              </w:rPr>
              <w:t>(0,504)</w:t>
            </w:r>
          </w:p>
        </w:tc>
        <w:tc>
          <w:tcPr>
            <w:tcW w:w="1134" w:type="dxa"/>
            <w:tcBorders>
              <w:top w:val="nil"/>
              <w:left w:val="nil"/>
              <w:bottom w:val="nil"/>
              <w:right w:val="nil"/>
            </w:tcBorders>
          </w:tcPr>
          <w:p w14:paraId="4305EE24" w14:textId="77777777" w:rsidR="00D64459" w:rsidRPr="00493E39" w:rsidRDefault="008B2120">
            <w:pPr>
              <w:spacing w:line="240" w:lineRule="auto"/>
              <w:jc w:val="center"/>
              <w:rPr>
                <w:rFonts w:cs="Arial"/>
              </w:rPr>
            </w:pPr>
            <w:r w:rsidRPr="00493E39">
              <w:rPr>
                <w:rFonts w:cs="Arial"/>
                <w:sz w:val="18"/>
              </w:rPr>
              <w:t>(0,748)</w:t>
            </w:r>
          </w:p>
        </w:tc>
        <w:tc>
          <w:tcPr>
            <w:tcW w:w="1134" w:type="dxa"/>
            <w:tcBorders>
              <w:top w:val="nil"/>
              <w:left w:val="nil"/>
              <w:bottom w:val="nil"/>
              <w:right w:val="nil"/>
            </w:tcBorders>
          </w:tcPr>
          <w:p w14:paraId="558DC5DA" w14:textId="77777777" w:rsidR="00D64459" w:rsidRPr="00493E39" w:rsidRDefault="008B2120">
            <w:pPr>
              <w:spacing w:line="240" w:lineRule="auto"/>
              <w:jc w:val="center"/>
              <w:rPr>
                <w:rFonts w:cs="Arial"/>
              </w:rPr>
            </w:pPr>
            <w:r w:rsidRPr="00493E39">
              <w:rPr>
                <w:rFonts w:cs="Arial"/>
                <w:sz w:val="18"/>
              </w:rPr>
              <w:t>(0,695)</w:t>
            </w:r>
          </w:p>
        </w:tc>
      </w:tr>
      <w:tr w:rsidR="00D64459" w:rsidRPr="00493E39" w14:paraId="2985B287" w14:textId="77777777">
        <w:trPr>
          <w:cantSplit/>
          <w:jc w:val="center"/>
        </w:trPr>
        <w:tc>
          <w:tcPr>
            <w:tcW w:w="2721" w:type="dxa"/>
            <w:tcBorders>
              <w:top w:val="nil"/>
              <w:left w:val="nil"/>
              <w:bottom w:val="nil"/>
              <w:right w:val="nil"/>
            </w:tcBorders>
          </w:tcPr>
          <w:p w14:paraId="0D2793AE"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na</w:t>
            </w:r>
            <w:proofErr w:type="spellEnd"/>
            <w:r w:rsidRPr="00493E39">
              <w:rPr>
                <w:rFonts w:cs="Arial"/>
                <w:sz w:val="18"/>
              </w:rPr>
              <w:t xml:space="preserve"> </w:t>
            </w:r>
            <w:proofErr w:type="spellStart"/>
            <w:r w:rsidRPr="00493E39">
              <w:rPr>
                <w:rFonts w:cs="Arial"/>
                <w:sz w:val="18"/>
              </w:rPr>
              <w:t>refinaria</w:t>
            </w:r>
            <w:proofErr w:type="spellEnd"/>
          </w:p>
        </w:tc>
        <w:tc>
          <w:tcPr>
            <w:tcW w:w="1134" w:type="dxa"/>
            <w:tcBorders>
              <w:top w:val="nil"/>
              <w:left w:val="nil"/>
              <w:bottom w:val="nil"/>
              <w:right w:val="nil"/>
            </w:tcBorders>
          </w:tcPr>
          <w:p w14:paraId="42592A04" w14:textId="77777777" w:rsidR="00D64459" w:rsidRPr="00493E39" w:rsidRDefault="008B2120">
            <w:pPr>
              <w:spacing w:line="240" w:lineRule="auto"/>
              <w:jc w:val="center"/>
              <w:rPr>
                <w:rFonts w:cs="Arial"/>
              </w:rPr>
            </w:pPr>
            <w:r w:rsidRPr="00493E39">
              <w:rPr>
                <w:rFonts w:cs="Arial"/>
                <w:sz w:val="18"/>
              </w:rPr>
              <w:t>1,586***</w:t>
            </w:r>
          </w:p>
        </w:tc>
        <w:tc>
          <w:tcPr>
            <w:tcW w:w="1134" w:type="dxa"/>
            <w:tcBorders>
              <w:top w:val="nil"/>
              <w:left w:val="nil"/>
              <w:bottom w:val="nil"/>
              <w:right w:val="nil"/>
            </w:tcBorders>
          </w:tcPr>
          <w:p w14:paraId="71ADB0F2" w14:textId="77777777" w:rsidR="00D64459" w:rsidRPr="00493E39" w:rsidRDefault="008B2120">
            <w:pPr>
              <w:spacing w:line="240" w:lineRule="auto"/>
              <w:jc w:val="center"/>
              <w:rPr>
                <w:rFonts w:cs="Arial"/>
              </w:rPr>
            </w:pPr>
            <w:r w:rsidRPr="00493E39">
              <w:rPr>
                <w:rFonts w:cs="Arial"/>
                <w:sz w:val="18"/>
              </w:rPr>
              <w:t>2,350***</w:t>
            </w:r>
          </w:p>
        </w:tc>
        <w:tc>
          <w:tcPr>
            <w:tcW w:w="1134" w:type="dxa"/>
            <w:tcBorders>
              <w:top w:val="nil"/>
              <w:left w:val="nil"/>
              <w:bottom w:val="nil"/>
              <w:right w:val="nil"/>
            </w:tcBorders>
          </w:tcPr>
          <w:p w14:paraId="2F6A176C" w14:textId="77777777" w:rsidR="00D64459" w:rsidRPr="00493E39" w:rsidRDefault="008B2120">
            <w:pPr>
              <w:spacing w:line="240" w:lineRule="auto"/>
              <w:jc w:val="center"/>
              <w:rPr>
                <w:rFonts w:cs="Arial"/>
              </w:rPr>
            </w:pPr>
            <w:r w:rsidRPr="00493E39">
              <w:rPr>
                <w:rFonts w:cs="Arial"/>
                <w:sz w:val="18"/>
              </w:rPr>
              <w:t>1,503**</w:t>
            </w:r>
          </w:p>
        </w:tc>
        <w:tc>
          <w:tcPr>
            <w:tcW w:w="1134" w:type="dxa"/>
            <w:tcBorders>
              <w:top w:val="nil"/>
              <w:left w:val="nil"/>
              <w:bottom w:val="nil"/>
              <w:right w:val="nil"/>
            </w:tcBorders>
          </w:tcPr>
          <w:p w14:paraId="1411461B" w14:textId="77777777" w:rsidR="00D64459" w:rsidRPr="00493E39" w:rsidRDefault="008B2120">
            <w:pPr>
              <w:spacing w:line="240" w:lineRule="auto"/>
              <w:jc w:val="center"/>
              <w:rPr>
                <w:rFonts w:cs="Arial"/>
              </w:rPr>
            </w:pPr>
            <w:r w:rsidRPr="00493E39">
              <w:rPr>
                <w:rFonts w:cs="Arial"/>
                <w:sz w:val="18"/>
              </w:rPr>
              <w:t>1,558*</w:t>
            </w:r>
          </w:p>
        </w:tc>
        <w:tc>
          <w:tcPr>
            <w:tcW w:w="1134" w:type="dxa"/>
            <w:tcBorders>
              <w:top w:val="nil"/>
              <w:left w:val="nil"/>
              <w:bottom w:val="nil"/>
              <w:right w:val="nil"/>
            </w:tcBorders>
          </w:tcPr>
          <w:p w14:paraId="75BB324D" w14:textId="77777777" w:rsidR="00D64459" w:rsidRPr="00493E39" w:rsidRDefault="008B2120">
            <w:pPr>
              <w:spacing w:line="240" w:lineRule="auto"/>
              <w:jc w:val="center"/>
              <w:rPr>
                <w:rFonts w:cs="Arial"/>
              </w:rPr>
            </w:pPr>
            <w:r w:rsidRPr="00493E39">
              <w:rPr>
                <w:rFonts w:cs="Arial"/>
                <w:sz w:val="18"/>
              </w:rPr>
              <w:t>1,373</w:t>
            </w:r>
          </w:p>
        </w:tc>
      </w:tr>
      <w:tr w:rsidR="00D64459" w:rsidRPr="00493E39" w14:paraId="5B0A0C25" w14:textId="77777777">
        <w:trPr>
          <w:cantSplit/>
          <w:jc w:val="center"/>
        </w:trPr>
        <w:tc>
          <w:tcPr>
            <w:tcW w:w="2721" w:type="dxa"/>
            <w:tcBorders>
              <w:top w:val="nil"/>
              <w:left w:val="nil"/>
              <w:bottom w:val="nil"/>
              <w:right w:val="nil"/>
            </w:tcBorders>
          </w:tcPr>
          <w:p w14:paraId="091EB6F1" w14:textId="77777777" w:rsidR="00D64459" w:rsidRPr="00493E39" w:rsidRDefault="00D64459">
            <w:pPr>
              <w:spacing w:line="240" w:lineRule="auto"/>
              <w:rPr>
                <w:rFonts w:cs="Arial"/>
              </w:rPr>
            </w:pPr>
          </w:p>
        </w:tc>
        <w:tc>
          <w:tcPr>
            <w:tcW w:w="1134" w:type="dxa"/>
            <w:tcBorders>
              <w:top w:val="nil"/>
              <w:left w:val="nil"/>
              <w:bottom w:val="nil"/>
              <w:right w:val="nil"/>
            </w:tcBorders>
          </w:tcPr>
          <w:p w14:paraId="7A5D037B" w14:textId="77777777" w:rsidR="00D64459" w:rsidRPr="00493E39" w:rsidRDefault="008B2120">
            <w:pPr>
              <w:spacing w:line="240" w:lineRule="auto"/>
              <w:jc w:val="center"/>
              <w:rPr>
                <w:rFonts w:cs="Arial"/>
              </w:rPr>
            </w:pPr>
            <w:r w:rsidRPr="00493E39">
              <w:rPr>
                <w:rFonts w:cs="Arial"/>
                <w:sz w:val="18"/>
              </w:rPr>
              <w:t>(0,360)</w:t>
            </w:r>
          </w:p>
        </w:tc>
        <w:tc>
          <w:tcPr>
            <w:tcW w:w="1134" w:type="dxa"/>
            <w:tcBorders>
              <w:top w:val="nil"/>
              <w:left w:val="nil"/>
              <w:bottom w:val="nil"/>
              <w:right w:val="nil"/>
            </w:tcBorders>
          </w:tcPr>
          <w:p w14:paraId="5D5B6DE8" w14:textId="77777777" w:rsidR="00D64459" w:rsidRPr="00493E39" w:rsidRDefault="008B2120">
            <w:pPr>
              <w:spacing w:line="240" w:lineRule="auto"/>
              <w:jc w:val="center"/>
              <w:rPr>
                <w:rFonts w:cs="Arial"/>
              </w:rPr>
            </w:pPr>
            <w:r w:rsidRPr="00493E39">
              <w:rPr>
                <w:rFonts w:cs="Arial"/>
                <w:sz w:val="18"/>
              </w:rPr>
              <w:t>(0,580)</w:t>
            </w:r>
          </w:p>
        </w:tc>
        <w:tc>
          <w:tcPr>
            <w:tcW w:w="1134" w:type="dxa"/>
            <w:tcBorders>
              <w:top w:val="nil"/>
              <w:left w:val="nil"/>
              <w:bottom w:val="nil"/>
              <w:right w:val="nil"/>
            </w:tcBorders>
          </w:tcPr>
          <w:p w14:paraId="17945099" w14:textId="77777777" w:rsidR="00D64459" w:rsidRPr="00493E39" w:rsidRDefault="008B2120">
            <w:pPr>
              <w:spacing w:line="240" w:lineRule="auto"/>
              <w:jc w:val="center"/>
              <w:rPr>
                <w:rFonts w:cs="Arial"/>
              </w:rPr>
            </w:pPr>
            <w:r w:rsidRPr="00493E39">
              <w:rPr>
                <w:rFonts w:cs="Arial"/>
                <w:sz w:val="18"/>
              </w:rPr>
              <w:t>(0,710)</w:t>
            </w:r>
          </w:p>
        </w:tc>
        <w:tc>
          <w:tcPr>
            <w:tcW w:w="1134" w:type="dxa"/>
            <w:tcBorders>
              <w:top w:val="nil"/>
              <w:left w:val="nil"/>
              <w:bottom w:val="nil"/>
              <w:right w:val="nil"/>
            </w:tcBorders>
          </w:tcPr>
          <w:p w14:paraId="2FE4C5F7" w14:textId="77777777" w:rsidR="00D64459" w:rsidRPr="00493E39" w:rsidRDefault="008B2120">
            <w:pPr>
              <w:spacing w:line="240" w:lineRule="auto"/>
              <w:jc w:val="center"/>
              <w:rPr>
                <w:rFonts w:cs="Arial"/>
              </w:rPr>
            </w:pPr>
            <w:r w:rsidRPr="00493E39">
              <w:rPr>
                <w:rFonts w:cs="Arial"/>
                <w:sz w:val="18"/>
              </w:rPr>
              <w:t>(0,803)</w:t>
            </w:r>
          </w:p>
        </w:tc>
        <w:tc>
          <w:tcPr>
            <w:tcW w:w="1134" w:type="dxa"/>
            <w:tcBorders>
              <w:top w:val="nil"/>
              <w:left w:val="nil"/>
              <w:bottom w:val="nil"/>
              <w:right w:val="nil"/>
            </w:tcBorders>
          </w:tcPr>
          <w:p w14:paraId="768B5A09" w14:textId="77777777" w:rsidR="00D64459" w:rsidRPr="00493E39" w:rsidRDefault="008B2120">
            <w:pPr>
              <w:spacing w:line="240" w:lineRule="auto"/>
              <w:jc w:val="center"/>
              <w:rPr>
                <w:rFonts w:cs="Arial"/>
              </w:rPr>
            </w:pPr>
            <w:r w:rsidRPr="00493E39">
              <w:rPr>
                <w:rFonts w:cs="Arial"/>
                <w:sz w:val="18"/>
              </w:rPr>
              <w:t>(1,062)</w:t>
            </w:r>
          </w:p>
        </w:tc>
      </w:tr>
      <w:tr w:rsidR="00D64459" w:rsidRPr="00493E39" w14:paraId="2C5A89A4" w14:textId="77777777">
        <w:trPr>
          <w:cantSplit/>
          <w:jc w:val="center"/>
        </w:trPr>
        <w:tc>
          <w:tcPr>
            <w:tcW w:w="2721" w:type="dxa"/>
            <w:tcBorders>
              <w:top w:val="nil"/>
              <w:left w:val="nil"/>
              <w:bottom w:val="nil"/>
              <w:right w:val="nil"/>
            </w:tcBorders>
          </w:tcPr>
          <w:p w14:paraId="2B80D177" w14:textId="77777777" w:rsidR="00D64459" w:rsidRPr="00493E39" w:rsidRDefault="008B2120">
            <w:pPr>
              <w:spacing w:line="240" w:lineRule="auto"/>
              <w:rPr>
                <w:rFonts w:cs="Arial"/>
              </w:rPr>
            </w:pPr>
            <w:proofErr w:type="spellStart"/>
            <w:r w:rsidRPr="00493E39">
              <w:rPr>
                <w:rFonts w:cs="Arial"/>
                <w:sz w:val="18"/>
              </w:rPr>
              <w:t>Etanol</w:t>
            </w:r>
            <w:proofErr w:type="spellEnd"/>
          </w:p>
        </w:tc>
        <w:tc>
          <w:tcPr>
            <w:tcW w:w="1134" w:type="dxa"/>
            <w:tcBorders>
              <w:top w:val="nil"/>
              <w:left w:val="nil"/>
              <w:bottom w:val="nil"/>
              <w:right w:val="nil"/>
            </w:tcBorders>
          </w:tcPr>
          <w:p w14:paraId="07F09CE6" w14:textId="77777777" w:rsidR="00D64459" w:rsidRPr="00493E39" w:rsidRDefault="008B2120">
            <w:pPr>
              <w:spacing w:line="240" w:lineRule="auto"/>
              <w:jc w:val="center"/>
              <w:rPr>
                <w:rFonts w:cs="Arial"/>
              </w:rPr>
            </w:pPr>
            <w:r w:rsidRPr="00493E39">
              <w:rPr>
                <w:rFonts w:cs="Arial"/>
                <w:sz w:val="18"/>
              </w:rPr>
              <w:t>0,710**</w:t>
            </w:r>
          </w:p>
        </w:tc>
        <w:tc>
          <w:tcPr>
            <w:tcW w:w="1134" w:type="dxa"/>
            <w:tcBorders>
              <w:top w:val="nil"/>
              <w:left w:val="nil"/>
              <w:bottom w:val="nil"/>
              <w:right w:val="nil"/>
            </w:tcBorders>
          </w:tcPr>
          <w:p w14:paraId="34BFCECA" w14:textId="77777777" w:rsidR="00D64459" w:rsidRPr="00493E39" w:rsidRDefault="008B2120">
            <w:pPr>
              <w:spacing w:line="240" w:lineRule="auto"/>
              <w:jc w:val="center"/>
              <w:rPr>
                <w:rFonts w:cs="Arial"/>
              </w:rPr>
            </w:pPr>
            <w:r w:rsidRPr="00493E39">
              <w:rPr>
                <w:rFonts w:cs="Arial"/>
                <w:sz w:val="18"/>
              </w:rPr>
              <w:t>1,726***</w:t>
            </w:r>
          </w:p>
        </w:tc>
        <w:tc>
          <w:tcPr>
            <w:tcW w:w="1134" w:type="dxa"/>
            <w:tcBorders>
              <w:top w:val="nil"/>
              <w:left w:val="nil"/>
              <w:bottom w:val="nil"/>
              <w:right w:val="nil"/>
            </w:tcBorders>
          </w:tcPr>
          <w:p w14:paraId="3D6CEDCE" w14:textId="77777777" w:rsidR="00D64459" w:rsidRPr="00493E39" w:rsidRDefault="008B2120">
            <w:pPr>
              <w:spacing w:line="240" w:lineRule="auto"/>
              <w:jc w:val="center"/>
              <w:rPr>
                <w:rFonts w:cs="Arial"/>
              </w:rPr>
            </w:pPr>
            <w:r w:rsidRPr="00493E39">
              <w:rPr>
                <w:rFonts w:cs="Arial"/>
                <w:sz w:val="18"/>
              </w:rPr>
              <w:t>1,486*</w:t>
            </w:r>
          </w:p>
        </w:tc>
        <w:tc>
          <w:tcPr>
            <w:tcW w:w="1134" w:type="dxa"/>
            <w:tcBorders>
              <w:top w:val="nil"/>
              <w:left w:val="nil"/>
              <w:bottom w:val="nil"/>
              <w:right w:val="nil"/>
            </w:tcBorders>
          </w:tcPr>
          <w:p w14:paraId="16EBCA2F" w14:textId="77777777" w:rsidR="00D64459" w:rsidRPr="00493E39" w:rsidRDefault="008B2120">
            <w:pPr>
              <w:spacing w:line="240" w:lineRule="auto"/>
              <w:jc w:val="center"/>
              <w:rPr>
                <w:rFonts w:cs="Arial"/>
              </w:rPr>
            </w:pPr>
            <w:r w:rsidRPr="00493E39">
              <w:rPr>
                <w:rFonts w:cs="Arial"/>
                <w:sz w:val="18"/>
              </w:rPr>
              <w:t>1,690</w:t>
            </w:r>
          </w:p>
        </w:tc>
        <w:tc>
          <w:tcPr>
            <w:tcW w:w="1134" w:type="dxa"/>
            <w:tcBorders>
              <w:top w:val="nil"/>
              <w:left w:val="nil"/>
              <w:bottom w:val="nil"/>
              <w:right w:val="nil"/>
            </w:tcBorders>
          </w:tcPr>
          <w:p w14:paraId="6EB83873" w14:textId="77777777" w:rsidR="00D64459" w:rsidRPr="00493E39" w:rsidRDefault="008B2120">
            <w:pPr>
              <w:spacing w:line="240" w:lineRule="auto"/>
              <w:jc w:val="center"/>
              <w:rPr>
                <w:rFonts w:cs="Arial"/>
              </w:rPr>
            </w:pPr>
            <w:r w:rsidRPr="00493E39">
              <w:rPr>
                <w:rFonts w:cs="Arial"/>
                <w:sz w:val="18"/>
              </w:rPr>
              <w:t>0,790</w:t>
            </w:r>
          </w:p>
        </w:tc>
      </w:tr>
      <w:tr w:rsidR="00D64459" w:rsidRPr="00493E39" w14:paraId="262A4EC4" w14:textId="77777777">
        <w:trPr>
          <w:cantSplit/>
          <w:jc w:val="center"/>
        </w:trPr>
        <w:tc>
          <w:tcPr>
            <w:tcW w:w="2721" w:type="dxa"/>
            <w:tcBorders>
              <w:top w:val="nil"/>
              <w:left w:val="nil"/>
              <w:bottom w:val="single" w:sz="12" w:space="0" w:color="000000"/>
              <w:right w:val="nil"/>
            </w:tcBorders>
          </w:tcPr>
          <w:p w14:paraId="285F27C7" w14:textId="77777777" w:rsidR="00D64459" w:rsidRPr="00493E39" w:rsidRDefault="00D64459">
            <w:pPr>
              <w:spacing w:line="240" w:lineRule="auto"/>
              <w:rPr>
                <w:rFonts w:cs="Arial"/>
              </w:rPr>
            </w:pPr>
          </w:p>
        </w:tc>
        <w:tc>
          <w:tcPr>
            <w:tcW w:w="1134" w:type="dxa"/>
            <w:tcBorders>
              <w:top w:val="nil"/>
              <w:left w:val="nil"/>
              <w:bottom w:val="single" w:sz="12" w:space="0" w:color="000000"/>
              <w:right w:val="nil"/>
            </w:tcBorders>
          </w:tcPr>
          <w:p w14:paraId="6585D6E8" w14:textId="77777777" w:rsidR="00D64459" w:rsidRPr="00493E39" w:rsidRDefault="008B2120">
            <w:pPr>
              <w:spacing w:line="240" w:lineRule="auto"/>
              <w:jc w:val="center"/>
              <w:rPr>
                <w:rFonts w:cs="Arial"/>
              </w:rPr>
            </w:pPr>
            <w:r w:rsidRPr="00493E39">
              <w:rPr>
                <w:rFonts w:cs="Arial"/>
                <w:sz w:val="18"/>
              </w:rPr>
              <w:t>(0,356)</w:t>
            </w:r>
          </w:p>
        </w:tc>
        <w:tc>
          <w:tcPr>
            <w:tcW w:w="1134" w:type="dxa"/>
            <w:tcBorders>
              <w:top w:val="nil"/>
              <w:left w:val="nil"/>
              <w:bottom w:val="single" w:sz="12" w:space="0" w:color="000000"/>
              <w:right w:val="nil"/>
            </w:tcBorders>
          </w:tcPr>
          <w:p w14:paraId="5A926569" w14:textId="77777777" w:rsidR="00D64459" w:rsidRPr="00493E39" w:rsidRDefault="008B2120">
            <w:pPr>
              <w:spacing w:line="240" w:lineRule="auto"/>
              <w:jc w:val="center"/>
              <w:rPr>
                <w:rFonts w:cs="Arial"/>
              </w:rPr>
            </w:pPr>
            <w:r w:rsidRPr="00493E39">
              <w:rPr>
                <w:rFonts w:cs="Arial"/>
                <w:sz w:val="18"/>
              </w:rPr>
              <w:t>(0,626)</w:t>
            </w:r>
          </w:p>
        </w:tc>
        <w:tc>
          <w:tcPr>
            <w:tcW w:w="1134" w:type="dxa"/>
            <w:tcBorders>
              <w:top w:val="nil"/>
              <w:left w:val="nil"/>
              <w:bottom w:val="single" w:sz="12" w:space="0" w:color="000000"/>
              <w:right w:val="nil"/>
            </w:tcBorders>
          </w:tcPr>
          <w:p w14:paraId="3D4952E6" w14:textId="77777777" w:rsidR="00D64459" w:rsidRPr="00493E39" w:rsidRDefault="008B2120">
            <w:pPr>
              <w:spacing w:line="240" w:lineRule="auto"/>
              <w:jc w:val="center"/>
              <w:rPr>
                <w:rFonts w:cs="Arial"/>
              </w:rPr>
            </w:pPr>
            <w:r w:rsidRPr="00493E39">
              <w:rPr>
                <w:rFonts w:cs="Arial"/>
                <w:sz w:val="18"/>
              </w:rPr>
              <w:t>(0,821)</w:t>
            </w:r>
          </w:p>
        </w:tc>
        <w:tc>
          <w:tcPr>
            <w:tcW w:w="1134" w:type="dxa"/>
            <w:tcBorders>
              <w:top w:val="nil"/>
              <w:left w:val="nil"/>
              <w:bottom w:val="single" w:sz="12" w:space="0" w:color="000000"/>
              <w:right w:val="nil"/>
            </w:tcBorders>
          </w:tcPr>
          <w:p w14:paraId="40FE0EA8" w14:textId="77777777" w:rsidR="00D64459" w:rsidRPr="00493E39" w:rsidRDefault="008B2120">
            <w:pPr>
              <w:spacing w:line="240" w:lineRule="auto"/>
              <w:jc w:val="center"/>
              <w:rPr>
                <w:rFonts w:cs="Arial"/>
              </w:rPr>
            </w:pPr>
            <w:r w:rsidRPr="00493E39">
              <w:rPr>
                <w:rFonts w:cs="Arial"/>
                <w:sz w:val="18"/>
              </w:rPr>
              <w:t>(1,057)</w:t>
            </w:r>
          </w:p>
        </w:tc>
        <w:tc>
          <w:tcPr>
            <w:tcW w:w="1134" w:type="dxa"/>
            <w:tcBorders>
              <w:top w:val="nil"/>
              <w:left w:val="nil"/>
              <w:bottom w:val="single" w:sz="12" w:space="0" w:color="000000"/>
              <w:right w:val="nil"/>
            </w:tcBorders>
          </w:tcPr>
          <w:p w14:paraId="6D851959" w14:textId="77777777" w:rsidR="00D64459" w:rsidRPr="00493E39" w:rsidRDefault="008B2120">
            <w:pPr>
              <w:spacing w:line="240" w:lineRule="auto"/>
              <w:jc w:val="center"/>
              <w:rPr>
                <w:rFonts w:cs="Arial"/>
              </w:rPr>
            </w:pPr>
            <w:r w:rsidRPr="00493E39">
              <w:rPr>
                <w:rFonts w:cs="Arial"/>
                <w:sz w:val="18"/>
              </w:rPr>
              <w:t>(1,162)</w:t>
            </w:r>
          </w:p>
        </w:tc>
      </w:tr>
    </w:tbl>
    <w:p w14:paraId="401C6A2E" w14:textId="77777777" w:rsidR="00D64459" w:rsidRPr="00493E39" w:rsidRDefault="008B2120">
      <w:pPr>
        <w:spacing w:before="40" w:line="240" w:lineRule="auto"/>
        <w:jc w:val="both"/>
        <w:rPr>
          <w:rFonts w:cs="Arial"/>
          <w:lang w:val="pt-BR"/>
        </w:rPr>
      </w:pPr>
      <w:r w:rsidRPr="00493E39">
        <w:rPr>
          <w:rFonts w:cs="Arial"/>
          <w:sz w:val="18"/>
          <w:lang w:val="pt-BR"/>
        </w:rPr>
        <w:t>Nota: coeficientes em pontos percentuais, resposta acumulada do nível de preços; erros-padrão de Newey-West entre parênteses. Das 78 respostas estimadas, 51 são significativas a 10% pelo critério pontual e 34 pelo critério uniforme. *** p &lt; 0,01; ** p &lt; 0,05; * p &lt; 0,10.</w:t>
      </w:r>
    </w:p>
    <w:p w14:paraId="1D222A4C"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42BD794E" w14:textId="77777777" w:rsidR="00D64459" w:rsidRPr="00493E39" w:rsidRDefault="008B2120">
      <w:pPr>
        <w:keepNext/>
        <w:spacing w:before="200" w:after="40" w:line="240" w:lineRule="auto"/>
        <w:rPr>
          <w:rFonts w:cs="Arial"/>
          <w:lang w:val="pt-BR"/>
        </w:rPr>
      </w:pPr>
      <w:r w:rsidRPr="00493E39">
        <w:rPr>
          <w:rFonts w:cs="Arial"/>
          <w:sz w:val="20"/>
          <w:lang w:val="pt-BR"/>
        </w:rPr>
        <w:t>Tabela 3 – Decomposição da resposta acumulada em três meses, por mês de ocorrência, regime posterior</w:t>
      </w:r>
    </w:p>
    <w:tbl>
      <w:tblPr>
        <w:tblW w:w="0" w:type="auto"/>
        <w:jc w:val="center"/>
        <w:tblLook w:val="04A0" w:firstRow="1" w:lastRow="0" w:firstColumn="1" w:lastColumn="0" w:noHBand="0" w:noVBand="1"/>
      </w:tblPr>
      <w:tblGrid>
        <w:gridCol w:w="2494"/>
        <w:gridCol w:w="1247"/>
        <w:gridCol w:w="964"/>
        <w:gridCol w:w="964"/>
        <w:gridCol w:w="964"/>
        <w:gridCol w:w="982"/>
        <w:gridCol w:w="1361"/>
      </w:tblGrid>
      <w:tr w:rsidR="00D64459" w:rsidRPr="00493E39" w14:paraId="01609B3D" w14:textId="77777777">
        <w:trPr>
          <w:cantSplit/>
          <w:tblHeader/>
          <w:jc w:val="center"/>
        </w:trPr>
        <w:tc>
          <w:tcPr>
            <w:tcW w:w="2494" w:type="dxa"/>
            <w:tcBorders>
              <w:top w:val="single" w:sz="12" w:space="0" w:color="000000"/>
              <w:left w:val="nil"/>
              <w:bottom w:val="single" w:sz="6" w:space="0" w:color="000000"/>
              <w:right w:val="nil"/>
            </w:tcBorders>
          </w:tcPr>
          <w:p w14:paraId="79E37B0D" w14:textId="77777777" w:rsidR="00D64459" w:rsidRPr="00493E39" w:rsidRDefault="008B2120">
            <w:pPr>
              <w:spacing w:after="20" w:line="240" w:lineRule="auto"/>
              <w:rPr>
                <w:rFonts w:cs="Arial"/>
              </w:rPr>
            </w:pPr>
            <w:proofErr w:type="spellStart"/>
            <w:r w:rsidRPr="00493E39">
              <w:rPr>
                <w:rFonts w:cs="Arial"/>
                <w:b/>
                <w:sz w:val="18"/>
              </w:rPr>
              <w:t>Variável</w:t>
            </w:r>
            <w:proofErr w:type="spellEnd"/>
          </w:p>
        </w:tc>
        <w:tc>
          <w:tcPr>
            <w:tcW w:w="1247" w:type="dxa"/>
            <w:tcBorders>
              <w:top w:val="single" w:sz="12" w:space="0" w:color="000000"/>
              <w:left w:val="nil"/>
              <w:bottom w:val="single" w:sz="6" w:space="0" w:color="000000"/>
              <w:right w:val="nil"/>
            </w:tcBorders>
          </w:tcPr>
          <w:p w14:paraId="26F49A22" w14:textId="77777777" w:rsidR="00D64459" w:rsidRPr="00493E39" w:rsidRDefault="008B2120">
            <w:pPr>
              <w:spacing w:after="20" w:line="240" w:lineRule="auto"/>
              <w:jc w:val="center"/>
              <w:rPr>
                <w:rFonts w:cs="Arial"/>
              </w:rPr>
            </w:pPr>
            <w:proofErr w:type="spellStart"/>
            <w:r w:rsidRPr="00493E39">
              <w:rPr>
                <w:rFonts w:cs="Arial"/>
                <w:b/>
                <w:sz w:val="18"/>
              </w:rPr>
              <w:t>Acumulado</w:t>
            </w:r>
            <w:proofErr w:type="spellEnd"/>
          </w:p>
        </w:tc>
        <w:tc>
          <w:tcPr>
            <w:tcW w:w="964" w:type="dxa"/>
            <w:tcBorders>
              <w:top w:val="single" w:sz="12" w:space="0" w:color="000000"/>
              <w:left w:val="nil"/>
              <w:bottom w:val="single" w:sz="6" w:space="0" w:color="000000"/>
              <w:right w:val="nil"/>
            </w:tcBorders>
          </w:tcPr>
          <w:p w14:paraId="10C9E04C" w14:textId="77777777" w:rsidR="00D64459" w:rsidRPr="00493E39" w:rsidRDefault="008B2120">
            <w:pPr>
              <w:spacing w:after="20" w:line="240" w:lineRule="auto"/>
              <w:jc w:val="center"/>
              <w:rPr>
                <w:rFonts w:cs="Arial"/>
              </w:rPr>
            </w:pPr>
            <w:proofErr w:type="spellStart"/>
            <w:r w:rsidRPr="00493E39">
              <w:rPr>
                <w:rFonts w:cs="Arial"/>
                <w:b/>
                <w:sz w:val="18"/>
              </w:rPr>
              <w:t>Mês</w:t>
            </w:r>
            <w:proofErr w:type="spellEnd"/>
            <w:r w:rsidRPr="00493E39">
              <w:rPr>
                <w:rFonts w:cs="Arial"/>
                <w:b/>
                <w:sz w:val="18"/>
              </w:rPr>
              <w:t xml:space="preserve"> 0</w:t>
            </w:r>
          </w:p>
        </w:tc>
        <w:tc>
          <w:tcPr>
            <w:tcW w:w="964" w:type="dxa"/>
            <w:tcBorders>
              <w:top w:val="single" w:sz="12" w:space="0" w:color="000000"/>
              <w:left w:val="nil"/>
              <w:bottom w:val="single" w:sz="6" w:space="0" w:color="000000"/>
              <w:right w:val="nil"/>
            </w:tcBorders>
          </w:tcPr>
          <w:p w14:paraId="2BAE8433" w14:textId="77777777" w:rsidR="00D64459" w:rsidRPr="00493E39" w:rsidRDefault="008B2120">
            <w:pPr>
              <w:spacing w:after="20" w:line="240" w:lineRule="auto"/>
              <w:jc w:val="center"/>
              <w:rPr>
                <w:rFonts w:cs="Arial"/>
              </w:rPr>
            </w:pPr>
            <w:proofErr w:type="spellStart"/>
            <w:r w:rsidRPr="00493E39">
              <w:rPr>
                <w:rFonts w:cs="Arial"/>
                <w:b/>
                <w:sz w:val="18"/>
              </w:rPr>
              <w:t>Mês</w:t>
            </w:r>
            <w:proofErr w:type="spellEnd"/>
            <w:r w:rsidRPr="00493E39">
              <w:rPr>
                <w:rFonts w:cs="Arial"/>
                <w:b/>
                <w:sz w:val="18"/>
              </w:rPr>
              <w:t xml:space="preserve"> 1</w:t>
            </w:r>
          </w:p>
        </w:tc>
        <w:tc>
          <w:tcPr>
            <w:tcW w:w="964" w:type="dxa"/>
            <w:tcBorders>
              <w:top w:val="single" w:sz="12" w:space="0" w:color="000000"/>
              <w:left w:val="nil"/>
              <w:bottom w:val="single" w:sz="6" w:space="0" w:color="000000"/>
              <w:right w:val="nil"/>
            </w:tcBorders>
          </w:tcPr>
          <w:p w14:paraId="61126208" w14:textId="77777777" w:rsidR="00D64459" w:rsidRPr="00493E39" w:rsidRDefault="008B2120">
            <w:pPr>
              <w:spacing w:after="20" w:line="240" w:lineRule="auto"/>
              <w:jc w:val="center"/>
              <w:rPr>
                <w:rFonts w:cs="Arial"/>
              </w:rPr>
            </w:pPr>
            <w:proofErr w:type="spellStart"/>
            <w:r w:rsidRPr="00493E39">
              <w:rPr>
                <w:rFonts w:cs="Arial"/>
                <w:b/>
                <w:sz w:val="18"/>
              </w:rPr>
              <w:t>Mês</w:t>
            </w:r>
            <w:proofErr w:type="spellEnd"/>
            <w:r w:rsidRPr="00493E39">
              <w:rPr>
                <w:rFonts w:cs="Arial"/>
                <w:b/>
                <w:sz w:val="18"/>
              </w:rPr>
              <w:t xml:space="preserve"> 2</w:t>
            </w:r>
          </w:p>
        </w:tc>
        <w:tc>
          <w:tcPr>
            <w:tcW w:w="964" w:type="dxa"/>
            <w:tcBorders>
              <w:top w:val="single" w:sz="12" w:space="0" w:color="000000"/>
              <w:left w:val="nil"/>
              <w:bottom w:val="single" w:sz="6" w:space="0" w:color="000000"/>
              <w:right w:val="nil"/>
            </w:tcBorders>
          </w:tcPr>
          <w:p w14:paraId="1947AE04" w14:textId="77777777" w:rsidR="00D64459" w:rsidRPr="00493E39" w:rsidRDefault="008B2120">
            <w:pPr>
              <w:spacing w:after="20" w:line="240" w:lineRule="auto"/>
              <w:jc w:val="center"/>
              <w:rPr>
                <w:rFonts w:cs="Arial"/>
              </w:rPr>
            </w:pPr>
            <w:proofErr w:type="spellStart"/>
            <w:r w:rsidRPr="00493E39">
              <w:rPr>
                <w:rFonts w:cs="Arial"/>
                <w:b/>
                <w:sz w:val="18"/>
              </w:rPr>
              <w:t>Mês</w:t>
            </w:r>
            <w:proofErr w:type="spellEnd"/>
            <w:r w:rsidRPr="00493E39">
              <w:rPr>
                <w:rFonts w:cs="Arial"/>
                <w:b/>
                <w:sz w:val="18"/>
              </w:rPr>
              <w:t xml:space="preserve"> 3</w:t>
            </w:r>
          </w:p>
        </w:tc>
        <w:tc>
          <w:tcPr>
            <w:tcW w:w="1361" w:type="dxa"/>
            <w:tcBorders>
              <w:top w:val="single" w:sz="12" w:space="0" w:color="000000"/>
              <w:left w:val="nil"/>
              <w:bottom w:val="single" w:sz="6" w:space="0" w:color="000000"/>
              <w:right w:val="nil"/>
            </w:tcBorders>
          </w:tcPr>
          <w:p w14:paraId="6DEB9283" w14:textId="77777777" w:rsidR="00D64459" w:rsidRPr="00493E39" w:rsidRDefault="008B2120">
            <w:pPr>
              <w:spacing w:after="20" w:line="240" w:lineRule="auto"/>
              <w:jc w:val="center"/>
              <w:rPr>
                <w:rFonts w:cs="Arial"/>
              </w:rPr>
            </w:pPr>
            <w:r w:rsidRPr="00493E39">
              <w:rPr>
                <w:rFonts w:cs="Arial"/>
                <w:b/>
                <w:sz w:val="18"/>
              </w:rPr>
              <w:t>Meses 0 e 1</w:t>
            </w:r>
          </w:p>
        </w:tc>
      </w:tr>
      <w:tr w:rsidR="00D64459" w:rsidRPr="00493E39" w14:paraId="053F4BA6" w14:textId="77777777">
        <w:trPr>
          <w:cantSplit/>
          <w:jc w:val="center"/>
        </w:trPr>
        <w:tc>
          <w:tcPr>
            <w:tcW w:w="2494" w:type="dxa"/>
            <w:tcBorders>
              <w:top w:val="nil"/>
              <w:left w:val="nil"/>
              <w:bottom w:val="nil"/>
              <w:right w:val="nil"/>
            </w:tcBorders>
          </w:tcPr>
          <w:p w14:paraId="72301925" w14:textId="77777777" w:rsidR="00D64459" w:rsidRPr="00493E39" w:rsidRDefault="008B2120">
            <w:pPr>
              <w:spacing w:line="240" w:lineRule="auto"/>
              <w:rPr>
                <w:rFonts w:cs="Arial"/>
              </w:rPr>
            </w:pPr>
            <w:r w:rsidRPr="00493E39">
              <w:rPr>
                <w:rFonts w:cs="Arial"/>
                <w:sz w:val="18"/>
              </w:rPr>
              <w:t>IPCA Geral</w:t>
            </w:r>
          </w:p>
        </w:tc>
        <w:tc>
          <w:tcPr>
            <w:tcW w:w="1247" w:type="dxa"/>
            <w:tcBorders>
              <w:top w:val="nil"/>
              <w:left w:val="nil"/>
              <w:bottom w:val="nil"/>
              <w:right w:val="nil"/>
            </w:tcBorders>
          </w:tcPr>
          <w:p w14:paraId="3A41A42B" w14:textId="77777777" w:rsidR="00D64459" w:rsidRPr="00493E39" w:rsidRDefault="008B2120">
            <w:pPr>
              <w:spacing w:line="240" w:lineRule="auto"/>
              <w:jc w:val="center"/>
              <w:rPr>
                <w:rFonts w:cs="Arial"/>
              </w:rPr>
            </w:pPr>
            <w:r w:rsidRPr="00493E39">
              <w:rPr>
                <w:rFonts w:cs="Arial"/>
                <w:sz w:val="18"/>
              </w:rPr>
              <w:t>0,314**</w:t>
            </w:r>
          </w:p>
        </w:tc>
        <w:tc>
          <w:tcPr>
            <w:tcW w:w="964" w:type="dxa"/>
            <w:tcBorders>
              <w:top w:val="nil"/>
              <w:left w:val="nil"/>
              <w:bottom w:val="nil"/>
              <w:right w:val="nil"/>
            </w:tcBorders>
          </w:tcPr>
          <w:p w14:paraId="0343D114" w14:textId="77777777" w:rsidR="00D64459" w:rsidRPr="00493E39" w:rsidRDefault="008B2120">
            <w:pPr>
              <w:spacing w:line="240" w:lineRule="auto"/>
              <w:jc w:val="center"/>
              <w:rPr>
                <w:rFonts w:cs="Arial"/>
              </w:rPr>
            </w:pPr>
            <w:r w:rsidRPr="00493E39">
              <w:rPr>
                <w:rFonts w:cs="Arial"/>
                <w:sz w:val="18"/>
              </w:rPr>
              <w:t>0,127***</w:t>
            </w:r>
          </w:p>
        </w:tc>
        <w:tc>
          <w:tcPr>
            <w:tcW w:w="964" w:type="dxa"/>
            <w:tcBorders>
              <w:top w:val="nil"/>
              <w:left w:val="nil"/>
              <w:bottom w:val="nil"/>
              <w:right w:val="nil"/>
            </w:tcBorders>
          </w:tcPr>
          <w:p w14:paraId="5BB89C5E" w14:textId="77777777" w:rsidR="00D64459" w:rsidRPr="00493E39" w:rsidRDefault="008B2120">
            <w:pPr>
              <w:spacing w:line="240" w:lineRule="auto"/>
              <w:jc w:val="center"/>
              <w:rPr>
                <w:rFonts w:cs="Arial"/>
              </w:rPr>
            </w:pPr>
            <w:r w:rsidRPr="00493E39">
              <w:rPr>
                <w:rFonts w:cs="Arial"/>
                <w:sz w:val="18"/>
              </w:rPr>
              <w:t>0,182***</w:t>
            </w:r>
          </w:p>
        </w:tc>
        <w:tc>
          <w:tcPr>
            <w:tcW w:w="964" w:type="dxa"/>
            <w:tcBorders>
              <w:top w:val="nil"/>
              <w:left w:val="nil"/>
              <w:bottom w:val="nil"/>
              <w:right w:val="nil"/>
            </w:tcBorders>
          </w:tcPr>
          <w:p w14:paraId="5453B384" w14:textId="77777777" w:rsidR="00D64459" w:rsidRPr="00493E39" w:rsidRDefault="008B2120">
            <w:pPr>
              <w:spacing w:line="240" w:lineRule="auto"/>
              <w:jc w:val="center"/>
              <w:rPr>
                <w:rFonts w:cs="Arial"/>
              </w:rPr>
            </w:pPr>
            <w:r w:rsidRPr="00493E39">
              <w:rPr>
                <w:rFonts w:cs="Arial"/>
                <w:sz w:val="18"/>
              </w:rPr>
              <w:t>0,020</w:t>
            </w:r>
          </w:p>
        </w:tc>
        <w:tc>
          <w:tcPr>
            <w:tcW w:w="964" w:type="dxa"/>
            <w:tcBorders>
              <w:top w:val="nil"/>
              <w:left w:val="nil"/>
              <w:bottom w:val="nil"/>
              <w:right w:val="nil"/>
            </w:tcBorders>
          </w:tcPr>
          <w:p w14:paraId="2A1AB8FA" w14:textId="77777777" w:rsidR="00D64459" w:rsidRPr="00493E39" w:rsidRDefault="008B2120">
            <w:pPr>
              <w:spacing w:line="240" w:lineRule="auto"/>
              <w:jc w:val="center"/>
              <w:rPr>
                <w:rFonts w:cs="Arial"/>
              </w:rPr>
            </w:pPr>
            <w:r w:rsidRPr="00493E39">
              <w:rPr>
                <w:rFonts w:cs="Arial"/>
                <w:sz w:val="18"/>
              </w:rPr>
              <w:t>−0,016</w:t>
            </w:r>
          </w:p>
        </w:tc>
        <w:tc>
          <w:tcPr>
            <w:tcW w:w="1361" w:type="dxa"/>
            <w:tcBorders>
              <w:top w:val="nil"/>
              <w:left w:val="nil"/>
              <w:bottom w:val="nil"/>
              <w:right w:val="nil"/>
            </w:tcBorders>
          </w:tcPr>
          <w:p w14:paraId="5E37297B" w14:textId="77777777" w:rsidR="00D64459" w:rsidRPr="00493E39" w:rsidRDefault="008B2120">
            <w:pPr>
              <w:spacing w:line="240" w:lineRule="auto"/>
              <w:jc w:val="center"/>
              <w:rPr>
                <w:rFonts w:cs="Arial"/>
              </w:rPr>
            </w:pPr>
            <w:r w:rsidRPr="00493E39">
              <w:rPr>
                <w:rFonts w:cs="Arial"/>
                <w:sz w:val="18"/>
              </w:rPr>
              <w:t>99%</w:t>
            </w:r>
          </w:p>
        </w:tc>
      </w:tr>
      <w:tr w:rsidR="00D64459" w:rsidRPr="00493E39" w14:paraId="58A6506C" w14:textId="77777777">
        <w:trPr>
          <w:cantSplit/>
          <w:jc w:val="center"/>
        </w:trPr>
        <w:tc>
          <w:tcPr>
            <w:tcW w:w="2494" w:type="dxa"/>
            <w:tcBorders>
              <w:top w:val="nil"/>
              <w:left w:val="nil"/>
              <w:bottom w:val="nil"/>
              <w:right w:val="nil"/>
            </w:tcBorders>
          </w:tcPr>
          <w:p w14:paraId="6845CB5C" w14:textId="77777777" w:rsidR="00D64459" w:rsidRPr="00493E39" w:rsidRDefault="008B2120">
            <w:pPr>
              <w:spacing w:line="240" w:lineRule="auto"/>
              <w:rPr>
                <w:rFonts w:cs="Arial"/>
              </w:rPr>
            </w:pPr>
            <w:r w:rsidRPr="00493E39">
              <w:rPr>
                <w:rFonts w:cs="Arial"/>
                <w:sz w:val="18"/>
              </w:rPr>
              <w:t xml:space="preserve">IPCA </w:t>
            </w:r>
            <w:proofErr w:type="spellStart"/>
            <w:r w:rsidRPr="00493E39">
              <w:rPr>
                <w:rFonts w:cs="Arial"/>
                <w:sz w:val="18"/>
              </w:rPr>
              <w:t>Transportes</w:t>
            </w:r>
            <w:proofErr w:type="spellEnd"/>
          </w:p>
        </w:tc>
        <w:tc>
          <w:tcPr>
            <w:tcW w:w="1247" w:type="dxa"/>
            <w:tcBorders>
              <w:top w:val="nil"/>
              <w:left w:val="nil"/>
              <w:bottom w:val="nil"/>
              <w:right w:val="nil"/>
            </w:tcBorders>
          </w:tcPr>
          <w:p w14:paraId="58978121" w14:textId="77777777" w:rsidR="00D64459" w:rsidRPr="00493E39" w:rsidRDefault="008B2120">
            <w:pPr>
              <w:spacing w:line="240" w:lineRule="auto"/>
              <w:jc w:val="center"/>
              <w:rPr>
                <w:rFonts w:cs="Arial"/>
              </w:rPr>
            </w:pPr>
            <w:r w:rsidRPr="00493E39">
              <w:rPr>
                <w:rFonts w:cs="Arial"/>
                <w:sz w:val="18"/>
              </w:rPr>
              <w:t>1,194***</w:t>
            </w:r>
          </w:p>
        </w:tc>
        <w:tc>
          <w:tcPr>
            <w:tcW w:w="964" w:type="dxa"/>
            <w:tcBorders>
              <w:top w:val="nil"/>
              <w:left w:val="nil"/>
              <w:bottom w:val="nil"/>
              <w:right w:val="nil"/>
            </w:tcBorders>
          </w:tcPr>
          <w:p w14:paraId="4741C0BB" w14:textId="77777777" w:rsidR="00D64459" w:rsidRPr="00493E39" w:rsidRDefault="008B2120">
            <w:pPr>
              <w:spacing w:line="240" w:lineRule="auto"/>
              <w:jc w:val="center"/>
              <w:rPr>
                <w:rFonts w:cs="Arial"/>
              </w:rPr>
            </w:pPr>
            <w:r w:rsidRPr="00493E39">
              <w:rPr>
                <w:rFonts w:cs="Arial"/>
                <w:sz w:val="18"/>
              </w:rPr>
              <w:t>0,586***</w:t>
            </w:r>
          </w:p>
        </w:tc>
        <w:tc>
          <w:tcPr>
            <w:tcW w:w="964" w:type="dxa"/>
            <w:tcBorders>
              <w:top w:val="nil"/>
              <w:left w:val="nil"/>
              <w:bottom w:val="nil"/>
              <w:right w:val="nil"/>
            </w:tcBorders>
          </w:tcPr>
          <w:p w14:paraId="408B956F" w14:textId="77777777" w:rsidR="00D64459" w:rsidRPr="00493E39" w:rsidRDefault="008B2120">
            <w:pPr>
              <w:spacing w:line="240" w:lineRule="auto"/>
              <w:jc w:val="center"/>
              <w:rPr>
                <w:rFonts w:cs="Arial"/>
              </w:rPr>
            </w:pPr>
            <w:r w:rsidRPr="00493E39">
              <w:rPr>
                <w:rFonts w:cs="Arial"/>
                <w:sz w:val="18"/>
              </w:rPr>
              <w:t>0,672***</w:t>
            </w:r>
          </w:p>
        </w:tc>
        <w:tc>
          <w:tcPr>
            <w:tcW w:w="964" w:type="dxa"/>
            <w:tcBorders>
              <w:top w:val="nil"/>
              <w:left w:val="nil"/>
              <w:bottom w:val="nil"/>
              <w:right w:val="nil"/>
            </w:tcBorders>
          </w:tcPr>
          <w:p w14:paraId="45F09273" w14:textId="77777777" w:rsidR="00D64459" w:rsidRPr="00493E39" w:rsidRDefault="008B2120">
            <w:pPr>
              <w:spacing w:line="240" w:lineRule="auto"/>
              <w:jc w:val="center"/>
              <w:rPr>
                <w:rFonts w:cs="Arial"/>
              </w:rPr>
            </w:pPr>
            <w:r w:rsidRPr="00493E39">
              <w:rPr>
                <w:rFonts w:cs="Arial"/>
                <w:sz w:val="18"/>
              </w:rPr>
              <w:t>0,062</w:t>
            </w:r>
          </w:p>
        </w:tc>
        <w:tc>
          <w:tcPr>
            <w:tcW w:w="964" w:type="dxa"/>
            <w:tcBorders>
              <w:top w:val="nil"/>
              <w:left w:val="nil"/>
              <w:bottom w:val="nil"/>
              <w:right w:val="nil"/>
            </w:tcBorders>
          </w:tcPr>
          <w:p w14:paraId="392F186D" w14:textId="77777777" w:rsidR="00D64459" w:rsidRPr="00493E39" w:rsidRDefault="008B2120">
            <w:pPr>
              <w:spacing w:line="240" w:lineRule="auto"/>
              <w:jc w:val="center"/>
              <w:rPr>
                <w:rFonts w:cs="Arial"/>
              </w:rPr>
            </w:pPr>
            <w:r w:rsidRPr="00493E39">
              <w:rPr>
                <w:rFonts w:cs="Arial"/>
                <w:sz w:val="18"/>
              </w:rPr>
              <w:t>−0,125</w:t>
            </w:r>
          </w:p>
        </w:tc>
        <w:tc>
          <w:tcPr>
            <w:tcW w:w="1361" w:type="dxa"/>
            <w:tcBorders>
              <w:top w:val="nil"/>
              <w:left w:val="nil"/>
              <w:bottom w:val="nil"/>
              <w:right w:val="nil"/>
            </w:tcBorders>
          </w:tcPr>
          <w:p w14:paraId="5EC8CE7C" w14:textId="77777777" w:rsidR="00D64459" w:rsidRPr="00493E39" w:rsidRDefault="008B2120">
            <w:pPr>
              <w:spacing w:line="240" w:lineRule="auto"/>
              <w:jc w:val="center"/>
              <w:rPr>
                <w:rFonts w:cs="Arial"/>
              </w:rPr>
            </w:pPr>
            <w:r w:rsidRPr="00493E39">
              <w:rPr>
                <w:rFonts w:cs="Arial"/>
                <w:sz w:val="18"/>
              </w:rPr>
              <w:t>105%</w:t>
            </w:r>
          </w:p>
        </w:tc>
      </w:tr>
      <w:tr w:rsidR="00D64459" w:rsidRPr="00493E39" w14:paraId="58EF1EF5" w14:textId="77777777">
        <w:trPr>
          <w:cantSplit/>
          <w:jc w:val="center"/>
        </w:trPr>
        <w:tc>
          <w:tcPr>
            <w:tcW w:w="2494" w:type="dxa"/>
            <w:tcBorders>
              <w:top w:val="nil"/>
              <w:left w:val="nil"/>
              <w:bottom w:val="nil"/>
              <w:right w:val="nil"/>
            </w:tcBorders>
          </w:tcPr>
          <w:p w14:paraId="7F683638"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ao</w:t>
            </w:r>
            <w:proofErr w:type="spellEnd"/>
            <w:r w:rsidRPr="00493E39">
              <w:rPr>
                <w:rFonts w:cs="Arial"/>
                <w:sz w:val="18"/>
              </w:rPr>
              <w:t xml:space="preserve"> </w:t>
            </w:r>
            <w:proofErr w:type="spellStart"/>
            <w:r w:rsidRPr="00493E39">
              <w:rPr>
                <w:rFonts w:cs="Arial"/>
                <w:sz w:val="18"/>
              </w:rPr>
              <w:t>consumidor</w:t>
            </w:r>
            <w:proofErr w:type="spellEnd"/>
          </w:p>
        </w:tc>
        <w:tc>
          <w:tcPr>
            <w:tcW w:w="1247" w:type="dxa"/>
            <w:tcBorders>
              <w:top w:val="nil"/>
              <w:left w:val="nil"/>
              <w:bottom w:val="nil"/>
              <w:right w:val="nil"/>
            </w:tcBorders>
          </w:tcPr>
          <w:p w14:paraId="5BF4ED44" w14:textId="77777777" w:rsidR="00D64459" w:rsidRPr="00493E39" w:rsidRDefault="008B2120">
            <w:pPr>
              <w:spacing w:line="240" w:lineRule="auto"/>
              <w:jc w:val="center"/>
              <w:rPr>
                <w:rFonts w:cs="Arial"/>
              </w:rPr>
            </w:pPr>
            <w:r w:rsidRPr="00493E39">
              <w:rPr>
                <w:rFonts w:cs="Arial"/>
                <w:sz w:val="18"/>
              </w:rPr>
              <w:t>2,732**</w:t>
            </w:r>
          </w:p>
        </w:tc>
        <w:tc>
          <w:tcPr>
            <w:tcW w:w="964" w:type="dxa"/>
            <w:tcBorders>
              <w:top w:val="nil"/>
              <w:left w:val="nil"/>
              <w:bottom w:val="nil"/>
              <w:right w:val="nil"/>
            </w:tcBorders>
          </w:tcPr>
          <w:p w14:paraId="5E3F2B55" w14:textId="77777777" w:rsidR="00D64459" w:rsidRPr="00493E39" w:rsidRDefault="008B2120">
            <w:pPr>
              <w:spacing w:line="240" w:lineRule="auto"/>
              <w:jc w:val="center"/>
              <w:rPr>
                <w:rFonts w:cs="Arial"/>
              </w:rPr>
            </w:pPr>
            <w:r w:rsidRPr="00493E39">
              <w:rPr>
                <w:rFonts w:cs="Arial"/>
                <w:sz w:val="18"/>
              </w:rPr>
              <w:t>1,765***</w:t>
            </w:r>
          </w:p>
        </w:tc>
        <w:tc>
          <w:tcPr>
            <w:tcW w:w="964" w:type="dxa"/>
            <w:tcBorders>
              <w:top w:val="nil"/>
              <w:left w:val="nil"/>
              <w:bottom w:val="nil"/>
              <w:right w:val="nil"/>
            </w:tcBorders>
          </w:tcPr>
          <w:p w14:paraId="386E4FB8" w14:textId="77777777" w:rsidR="00D64459" w:rsidRPr="00493E39" w:rsidRDefault="008B2120">
            <w:pPr>
              <w:spacing w:line="240" w:lineRule="auto"/>
              <w:jc w:val="center"/>
              <w:rPr>
                <w:rFonts w:cs="Arial"/>
              </w:rPr>
            </w:pPr>
            <w:r w:rsidRPr="00493E39">
              <w:rPr>
                <w:rFonts w:cs="Arial"/>
                <w:sz w:val="18"/>
              </w:rPr>
              <w:t>1,872***</w:t>
            </w:r>
          </w:p>
        </w:tc>
        <w:tc>
          <w:tcPr>
            <w:tcW w:w="964" w:type="dxa"/>
            <w:tcBorders>
              <w:top w:val="nil"/>
              <w:left w:val="nil"/>
              <w:bottom w:val="nil"/>
              <w:right w:val="nil"/>
            </w:tcBorders>
          </w:tcPr>
          <w:p w14:paraId="7AF518A3" w14:textId="77777777" w:rsidR="00D64459" w:rsidRPr="00493E39" w:rsidRDefault="008B2120">
            <w:pPr>
              <w:spacing w:line="240" w:lineRule="auto"/>
              <w:jc w:val="center"/>
              <w:rPr>
                <w:rFonts w:cs="Arial"/>
              </w:rPr>
            </w:pPr>
            <w:r w:rsidRPr="00493E39">
              <w:rPr>
                <w:rFonts w:cs="Arial"/>
                <w:sz w:val="18"/>
              </w:rPr>
              <w:t>−0,203</w:t>
            </w:r>
          </w:p>
        </w:tc>
        <w:tc>
          <w:tcPr>
            <w:tcW w:w="964" w:type="dxa"/>
            <w:tcBorders>
              <w:top w:val="nil"/>
              <w:left w:val="nil"/>
              <w:bottom w:val="nil"/>
              <w:right w:val="nil"/>
            </w:tcBorders>
          </w:tcPr>
          <w:p w14:paraId="27BF1A68" w14:textId="77777777" w:rsidR="00D64459" w:rsidRPr="00493E39" w:rsidRDefault="008B2120">
            <w:pPr>
              <w:spacing w:line="240" w:lineRule="auto"/>
              <w:jc w:val="center"/>
              <w:rPr>
                <w:rFonts w:cs="Arial"/>
              </w:rPr>
            </w:pPr>
            <w:r w:rsidRPr="00493E39">
              <w:rPr>
                <w:rFonts w:cs="Arial"/>
                <w:sz w:val="18"/>
              </w:rPr>
              <w:t>−0,702*</w:t>
            </w:r>
          </w:p>
        </w:tc>
        <w:tc>
          <w:tcPr>
            <w:tcW w:w="1361" w:type="dxa"/>
            <w:tcBorders>
              <w:top w:val="nil"/>
              <w:left w:val="nil"/>
              <w:bottom w:val="nil"/>
              <w:right w:val="nil"/>
            </w:tcBorders>
          </w:tcPr>
          <w:p w14:paraId="6964BE8D" w14:textId="77777777" w:rsidR="00D64459" w:rsidRPr="00493E39" w:rsidRDefault="008B2120">
            <w:pPr>
              <w:spacing w:line="240" w:lineRule="auto"/>
              <w:jc w:val="center"/>
              <w:rPr>
                <w:rFonts w:cs="Arial"/>
              </w:rPr>
            </w:pPr>
            <w:r w:rsidRPr="00493E39">
              <w:rPr>
                <w:rFonts w:cs="Arial"/>
                <w:sz w:val="18"/>
              </w:rPr>
              <w:t>133%</w:t>
            </w:r>
          </w:p>
        </w:tc>
      </w:tr>
      <w:tr w:rsidR="00D64459" w:rsidRPr="00493E39" w14:paraId="4C9A18D2" w14:textId="77777777">
        <w:trPr>
          <w:cantSplit/>
          <w:jc w:val="center"/>
        </w:trPr>
        <w:tc>
          <w:tcPr>
            <w:tcW w:w="2494" w:type="dxa"/>
            <w:tcBorders>
              <w:top w:val="nil"/>
              <w:left w:val="nil"/>
              <w:bottom w:val="nil"/>
              <w:right w:val="nil"/>
            </w:tcBorders>
          </w:tcPr>
          <w:p w14:paraId="688380E2" w14:textId="77777777" w:rsidR="00D64459" w:rsidRPr="00493E39" w:rsidRDefault="008B2120">
            <w:pPr>
              <w:spacing w:line="240" w:lineRule="auto"/>
              <w:rPr>
                <w:rFonts w:cs="Arial"/>
              </w:rPr>
            </w:pPr>
            <w:r w:rsidRPr="00493E39">
              <w:rPr>
                <w:rFonts w:cs="Arial"/>
                <w:sz w:val="18"/>
              </w:rPr>
              <w:t>Diesel</w:t>
            </w:r>
          </w:p>
        </w:tc>
        <w:tc>
          <w:tcPr>
            <w:tcW w:w="1247" w:type="dxa"/>
            <w:tcBorders>
              <w:top w:val="nil"/>
              <w:left w:val="nil"/>
              <w:bottom w:val="nil"/>
              <w:right w:val="nil"/>
            </w:tcBorders>
          </w:tcPr>
          <w:p w14:paraId="17F43CD0" w14:textId="77777777" w:rsidR="00D64459" w:rsidRPr="00493E39" w:rsidRDefault="008B2120">
            <w:pPr>
              <w:spacing w:line="240" w:lineRule="auto"/>
              <w:jc w:val="center"/>
              <w:rPr>
                <w:rFonts w:cs="Arial"/>
              </w:rPr>
            </w:pPr>
            <w:r w:rsidRPr="00493E39">
              <w:rPr>
                <w:rFonts w:cs="Arial"/>
                <w:sz w:val="18"/>
              </w:rPr>
              <w:t>4,318***</w:t>
            </w:r>
          </w:p>
        </w:tc>
        <w:tc>
          <w:tcPr>
            <w:tcW w:w="964" w:type="dxa"/>
            <w:tcBorders>
              <w:top w:val="nil"/>
              <w:left w:val="nil"/>
              <w:bottom w:val="nil"/>
              <w:right w:val="nil"/>
            </w:tcBorders>
          </w:tcPr>
          <w:p w14:paraId="0FCDC1D2" w14:textId="77777777" w:rsidR="00D64459" w:rsidRPr="00493E39" w:rsidRDefault="008B2120">
            <w:pPr>
              <w:spacing w:line="240" w:lineRule="auto"/>
              <w:jc w:val="center"/>
              <w:rPr>
                <w:rFonts w:cs="Arial"/>
              </w:rPr>
            </w:pPr>
            <w:r w:rsidRPr="00493E39">
              <w:rPr>
                <w:rFonts w:cs="Arial"/>
                <w:sz w:val="18"/>
              </w:rPr>
              <w:t>1,991***</w:t>
            </w:r>
          </w:p>
        </w:tc>
        <w:tc>
          <w:tcPr>
            <w:tcW w:w="964" w:type="dxa"/>
            <w:tcBorders>
              <w:top w:val="nil"/>
              <w:left w:val="nil"/>
              <w:bottom w:val="nil"/>
              <w:right w:val="nil"/>
            </w:tcBorders>
          </w:tcPr>
          <w:p w14:paraId="639148FD" w14:textId="77777777" w:rsidR="00D64459" w:rsidRPr="00493E39" w:rsidRDefault="008B2120">
            <w:pPr>
              <w:spacing w:line="240" w:lineRule="auto"/>
              <w:jc w:val="center"/>
              <w:rPr>
                <w:rFonts w:cs="Arial"/>
              </w:rPr>
            </w:pPr>
            <w:r w:rsidRPr="00493E39">
              <w:rPr>
                <w:rFonts w:cs="Arial"/>
                <w:sz w:val="18"/>
              </w:rPr>
              <w:t>2,006***</w:t>
            </w:r>
          </w:p>
        </w:tc>
        <w:tc>
          <w:tcPr>
            <w:tcW w:w="964" w:type="dxa"/>
            <w:tcBorders>
              <w:top w:val="nil"/>
              <w:left w:val="nil"/>
              <w:bottom w:val="nil"/>
              <w:right w:val="nil"/>
            </w:tcBorders>
          </w:tcPr>
          <w:p w14:paraId="57A9F87C" w14:textId="77777777" w:rsidR="00D64459" w:rsidRPr="00493E39" w:rsidRDefault="008B2120">
            <w:pPr>
              <w:spacing w:line="240" w:lineRule="auto"/>
              <w:jc w:val="center"/>
              <w:rPr>
                <w:rFonts w:cs="Arial"/>
              </w:rPr>
            </w:pPr>
            <w:r w:rsidRPr="00493E39">
              <w:rPr>
                <w:rFonts w:cs="Arial"/>
                <w:sz w:val="18"/>
              </w:rPr>
              <w:t>0,794*</w:t>
            </w:r>
          </w:p>
        </w:tc>
        <w:tc>
          <w:tcPr>
            <w:tcW w:w="964" w:type="dxa"/>
            <w:tcBorders>
              <w:top w:val="nil"/>
              <w:left w:val="nil"/>
              <w:bottom w:val="nil"/>
              <w:right w:val="nil"/>
            </w:tcBorders>
          </w:tcPr>
          <w:p w14:paraId="2EAEA070" w14:textId="77777777" w:rsidR="00D64459" w:rsidRPr="00493E39" w:rsidRDefault="008B2120">
            <w:pPr>
              <w:spacing w:line="240" w:lineRule="auto"/>
              <w:jc w:val="center"/>
              <w:rPr>
                <w:rFonts w:cs="Arial"/>
              </w:rPr>
            </w:pPr>
            <w:r w:rsidRPr="00493E39">
              <w:rPr>
                <w:rFonts w:cs="Arial"/>
                <w:sz w:val="18"/>
              </w:rPr>
              <w:t>−0,473</w:t>
            </w:r>
          </w:p>
        </w:tc>
        <w:tc>
          <w:tcPr>
            <w:tcW w:w="1361" w:type="dxa"/>
            <w:tcBorders>
              <w:top w:val="nil"/>
              <w:left w:val="nil"/>
              <w:bottom w:val="nil"/>
              <w:right w:val="nil"/>
            </w:tcBorders>
          </w:tcPr>
          <w:p w14:paraId="7C4DB809" w14:textId="77777777" w:rsidR="00D64459" w:rsidRPr="00493E39" w:rsidRDefault="008B2120">
            <w:pPr>
              <w:spacing w:line="240" w:lineRule="auto"/>
              <w:jc w:val="center"/>
              <w:rPr>
                <w:rFonts w:cs="Arial"/>
              </w:rPr>
            </w:pPr>
            <w:r w:rsidRPr="00493E39">
              <w:rPr>
                <w:rFonts w:cs="Arial"/>
                <w:sz w:val="18"/>
              </w:rPr>
              <w:t>93%</w:t>
            </w:r>
          </w:p>
        </w:tc>
      </w:tr>
      <w:tr w:rsidR="00D64459" w:rsidRPr="00493E39" w14:paraId="43D569EC" w14:textId="77777777">
        <w:trPr>
          <w:cantSplit/>
          <w:jc w:val="center"/>
        </w:trPr>
        <w:tc>
          <w:tcPr>
            <w:tcW w:w="2494" w:type="dxa"/>
            <w:tcBorders>
              <w:top w:val="nil"/>
              <w:left w:val="nil"/>
              <w:bottom w:val="nil"/>
              <w:right w:val="nil"/>
            </w:tcBorders>
          </w:tcPr>
          <w:p w14:paraId="4EB70B54"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w:t>
            </w:r>
            <w:proofErr w:type="spellStart"/>
            <w:r w:rsidRPr="00493E39">
              <w:rPr>
                <w:rFonts w:cs="Arial"/>
                <w:sz w:val="18"/>
              </w:rPr>
              <w:t>na</w:t>
            </w:r>
            <w:proofErr w:type="spellEnd"/>
            <w:r w:rsidRPr="00493E39">
              <w:rPr>
                <w:rFonts w:cs="Arial"/>
                <w:sz w:val="18"/>
              </w:rPr>
              <w:t xml:space="preserve"> </w:t>
            </w:r>
            <w:proofErr w:type="spellStart"/>
            <w:r w:rsidRPr="00493E39">
              <w:rPr>
                <w:rFonts w:cs="Arial"/>
                <w:sz w:val="18"/>
              </w:rPr>
              <w:t>refinaria</w:t>
            </w:r>
            <w:proofErr w:type="spellEnd"/>
          </w:p>
        </w:tc>
        <w:tc>
          <w:tcPr>
            <w:tcW w:w="1247" w:type="dxa"/>
            <w:tcBorders>
              <w:top w:val="nil"/>
              <w:left w:val="nil"/>
              <w:bottom w:val="nil"/>
              <w:right w:val="nil"/>
            </w:tcBorders>
          </w:tcPr>
          <w:p w14:paraId="5F3A6397" w14:textId="77777777" w:rsidR="00D64459" w:rsidRPr="00493E39" w:rsidRDefault="008B2120">
            <w:pPr>
              <w:spacing w:line="240" w:lineRule="auto"/>
              <w:jc w:val="center"/>
              <w:rPr>
                <w:rFonts w:cs="Arial"/>
              </w:rPr>
            </w:pPr>
            <w:r w:rsidRPr="00493E39">
              <w:rPr>
                <w:rFonts w:cs="Arial"/>
                <w:sz w:val="18"/>
              </w:rPr>
              <w:t>4,489***</w:t>
            </w:r>
          </w:p>
        </w:tc>
        <w:tc>
          <w:tcPr>
            <w:tcW w:w="964" w:type="dxa"/>
            <w:tcBorders>
              <w:top w:val="nil"/>
              <w:left w:val="nil"/>
              <w:bottom w:val="nil"/>
              <w:right w:val="nil"/>
            </w:tcBorders>
          </w:tcPr>
          <w:p w14:paraId="5E0B7C08" w14:textId="77777777" w:rsidR="00D64459" w:rsidRPr="00493E39" w:rsidRDefault="008B2120">
            <w:pPr>
              <w:spacing w:line="240" w:lineRule="auto"/>
              <w:jc w:val="center"/>
              <w:rPr>
                <w:rFonts w:cs="Arial"/>
              </w:rPr>
            </w:pPr>
            <w:r w:rsidRPr="00493E39">
              <w:rPr>
                <w:rFonts w:cs="Arial"/>
                <w:sz w:val="18"/>
              </w:rPr>
              <w:t>5,051***</w:t>
            </w:r>
          </w:p>
        </w:tc>
        <w:tc>
          <w:tcPr>
            <w:tcW w:w="964" w:type="dxa"/>
            <w:tcBorders>
              <w:top w:val="nil"/>
              <w:left w:val="nil"/>
              <w:bottom w:val="nil"/>
              <w:right w:val="nil"/>
            </w:tcBorders>
          </w:tcPr>
          <w:p w14:paraId="79A2397C" w14:textId="77777777" w:rsidR="00D64459" w:rsidRPr="00493E39" w:rsidRDefault="008B2120">
            <w:pPr>
              <w:spacing w:line="240" w:lineRule="auto"/>
              <w:jc w:val="center"/>
              <w:rPr>
                <w:rFonts w:cs="Arial"/>
              </w:rPr>
            </w:pPr>
            <w:r w:rsidRPr="00493E39">
              <w:rPr>
                <w:rFonts w:cs="Arial"/>
                <w:sz w:val="18"/>
              </w:rPr>
              <w:t>3,278***</w:t>
            </w:r>
          </w:p>
        </w:tc>
        <w:tc>
          <w:tcPr>
            <w:tcW w:w="964" w:type="dxa"/>
            <w:tcBorders>
              <w:top w:val="nil"/>
              <w:left w:val="nil"/>
              <w:bottom w:val="nil"/>
              <w:right w:val="nil"/>
            </w:tcBorders>
          </w:tcPr>
          <w:p w14:paraId="5F84508B" w14:textId="77777777" w:rsidR="00D64459" w:rsidRPr="00493E39" w:rsidRDefault="008B2120">
            <w:pPr>
              <w:spacing w:line="240" w:lineRule="auto"/>
              <w:jc w:val="center"/>
              <w:rPr>
                <w:rFonts w:cs="Arial"/>
              </w:rPr>
            </w:pPr>
            <w:r w:rsidRPr="00493E39">
              <w:rPr>
                <w:rFonts w:cs="Arial"/>
                <w:sz w:val="18"/>
              </w:rPr>
              <w:t>−1,094</w:t>
            </w:r>
          </w:p>
        </w:tc>
        <w:tc>
          <w:tcPr>
            <w:tcW w:w="964" w:type="dxa"/>
            <w:tcBorders>
              <w:top w:val="nil"/>
              <w:left w:val="nil"/>
              <w:bottom w:val="nil"/>
              <w:right w:val="nil"/>
            </w:tcBorders>
          </w:tcPr>
          <w:p w14:paraId="7212C021" w14:textId="77777777" w:rsidR="00D64459" w:rsidRPr="00493E39" w:rsidRDefault="008B2120">
            <w:pPr>
              <w:spacing w:line="240" w:lineRule="auto"/>
              <w:jc w:val="center"/>
              <w:rPr>
                <w:rFonts w:cs="Arial"/>
              </w:rPr>
            </w:pPr>
            <w:r w:rsidRPr="00493E39">
              <w:rPr>
                <w:rFonts w:cs="Arial"/>
                <w:sz w:val="18"/>
              </w:rPr>
              <w:t>−2,746***</w:t>
            </w:r>
          </w:p>
        </w:tc>
        <w:tc>
          <w:tcPr>
            <w:tcW w:w="1361" w:type="dxa"/>
            <w:tcBorders>
              <w:top w:val="nil"/>
              <w:left w:val="nil"/>
              <w:bottom w:val="nil"/>
              <w:right w:val="nil"/>
            </w:tcBorders>
          </w:tcPr>
          <w:p w14:paraId="5461B7CF" w14:textId="77777777" w:rsidR="00D64459" w:rsidRPr="00493E39" w:rsidRDefault="008B2120">
            <w:pPr>
              <w:spacing w:line="240" w:lineRule="auto"/>
              <w:jc w:val="center"/>
              <w:rPr>
                <w:rFonts w:cs="Arial"/>
              </w:rPr>
            </w:pPr>
            <w:r w:rsidRPr="00493E39">
              <w:rPr>
                <w:rFonts w:cs="Arial"/>
                <w:sz w:val="18"/>
              </w:rPr>
              <w:t>186%</w:t>
            </w:r>
          </w:p>
        </w:tc>
      </w:tr>
      <w:tr w:rsidR="00D64459" w:rsidRPr="00493E39" w14:paraId="14052481" w14:textId="77777777">
        <w:trPr>
          <w:cantSplit/>
          <w:jc w:val="center"/>
        </w:trPr>
        <w:tc>
          <w:tcPr>
            <w:tcW w:w="2494" w:type="dxa"/>
            <w:tcBorders>
              <w:top w:val="nil"/>
              <w:left w:val="nil"/>
              <w:bottom w:val="single" w:sz="12" w:space="0" w:color="000000"/>
              <w:right w:val="nil"/>
            </w:tcBorders>
          </w:tcPr>
          <w:p w14:paraId="6D4D67E3" w14:textId="77777777" w:rsidR="00D64459" w:rsidRPr="00493E39" w:rsidRDefault="008B2120">
            <w:pPr>
              <w:spacing w:line="240" w:lineRule="auto"/>
              <w:rPr>
                <w:rFonts w:cs="Arial"/>
              </w:rPr>
            </w:pPr>
            <w:proofErr w:type="spellStart"/>
            <w:r w:rsidRPr="00493E39">
              <w:rPr>
                <w:rFonts w:cs="Arial"/>
                <w:sz w:val="18"/>
              </w:rPr>
              <w:t>Etanol</w:t>
            </w:r>
            <w:proofErr w:type="spellEnd"/>
          </w:p>
        </w:tc>
        <w:tc>
          <w:tcPr>
            <w:tcW w:w="1247" w:type="dxa"/>
            <w:tcBorders>
              <w:top w:val="nil"/>
              <w:left w:val="nil"/>
              <w:bottom w:val="single" w:sz="12" w:space="0" w:color="000000"/>
              <w:right w:val="nil"/>
            </w:tcBorders>
          </w:tcPr>
          <w:p w14:paraId="4D97518C" w14:textId="77777777" w:rsidR="00D64459" w:rsidRPr="00493E39" w:rsidRDefault="008B2120">
            <w:pPr>
              <w:spacing w:line="240" w:lineRule="auto"/>
              <w:jc w:val="center"/>
              <w:rPr>
                <w:rFonts w:cs="Arial"/>
              </w:rPr>
            </w:pPr>
            <w:r w:rsidRPr="00493E39">
              <w:rPr>
                <w:rFonts w:cs="Arial"/>
                <w:sz w:val="18"/>
              </w:rPr>
              <w:t>2,715**</w:t>
            </w:r>
          </w:p>
        </w:tc>
        <w:tc>
          <w:tcPr>
            <w:tcW w:w="964" w:type="dxa"/>
            <w:tcBorders>
              <w:top w:val="nil"/>
              <w:left w:val="nil"/>
              <w:bottom w:val="single" w:sz="12" w:space="0" w:color="000000"/>
              <w:right w:val="nil"/>
            </w:tcBorders>
          </w:tcPr>
          <w:p w14:paraId="412038DB" w14:textId="77777777" w:rsidR="00D64459" w:rsidRPr="00493E39" w:rsidRDefault="008B2120">
            <w:pPr>
              <w:spacing w:line="240" w:lineRule="auto"/>
              <w:jc w:val="center"/>
              <w:rPr>
                <w:rFonts w:cs="Arial"/>
              </w:rPr>
            </w:pPr>
            <w:r w:rsidRPr="00493E39">
              <w:rPr>
                <w:rFonts w:cs="Arial"/>
                <w:sz w:val="18"/>
              </w:rPr>
              <w:t>1,174*</w:t>
            </w:r>
          </w:p>
        </w:tc>
        <w:tc>
          <w:tcPr>
            <w:tcW w:w="964" w:type="dxa"/>
            <w:tcBorders>
              <w:top w:val="nil"/>
              <w:left w:val="nil"/>
              <w:bottom w:val="single" w:sz="12" w:space="0" w:color="000000"/>
              <w:right w:val="nil"/>
            </w:tcBorders>
          </w:tcPr>
          <w:p w14:paraId="0C3210F7" w14:textId="77777777" w:rsidR="00D64459" w:rsidRPr="00493E39" w:rsidRDefault="008B2120">
            <w:pPr>
              <w:spacing w:line="240" w:lineRule="auto"/>
              <w:jc w:val="center"/>
              <w:rPr>
                <w:rFonts w:cs="Arial"/>
              </w:rPr>
            </w:pPr>
            <w:r w:rsidRPr="00493E39">
              <w:rPr>
                <w:rFonts w:cs="Arial"/>
                <w:sz w:val="18"/>
              </w:rPr>
              <w:t>2,099***</w:t>
            </w:r>
          </w:p>
        </w:tc>
        <w:tc>
          <w:tcPr>
            <w:tcW w:w="964" w:type="dxa"/>
            <w:tcBorders>
              <w:top w:val="nil"/>
              <w:left w:val="nil"/>
              <w:bottom w:val="single" w:sz="12" w:space="0" w:color="000000"/>
              <w:right w:val="nil"/>
            </w:tcBorders>
          </w:tcPr>
          <w:p w14:paraId="77C17A51" w14:textId="77777777" w:rsidR="00D64459" w:rsidRPr="00493E39" w:rsidRDefault="008B2120">
            <w:pPr>
              <w:spacing w:line="240" w:lineRule="auto"/>
              <w:jc w:val="center"/>
              <w:rPr>
                <w:rFonts w:cs="Arial"/>
              </w:rPr>
            </w:pPr>
            <w:r w:rsidRPr="00493E39">
              <w:rPr>
                <w:rFonts w:cs="Arial"/>
                <w:sz w:val="18"/>
              </w:rPr>
              <w:t>−0,087</w:t>
            </w:r>
          </w:p>
        </w:tc>
        <w:tc>
          <w:tcPr>
            <w:tcW w:w="964" w:type="dxa"/>
            <w:tcBorders>
              <w:top w:val="nil"/>
              <w:left w:val="nil"/>
              <w:bottom w:val="single" w:sz="12" w:space="0" w:color="000000"/>
              <w:right w:val="nil"/>
            </w:tcBorders>
          </w:tcPr>
          <w:p w14:paraId="547E642B" w14:textId="77777777" w:rsidR="00D64459" w:rsidRPr="00493E39" w:rsidRDefault="008B2120">
            <w:pPr>
              <w:spacing w:line="240" w:lineRule="auto"/>
              <w:jc w:val="center"/>
              <w:rPr>
                <w:rFonts w:cs="Arial"/>
              </w:rPr>
            </w:pPr>
            <w:r w:rsidRPr="00493E39">
              <w:rPr>
                <w:rFonts w:cs="Arial"/>
                <w:sz w:val="18"/>
              </w:rPr>
              <w:t>−0,471</w:t>
            </w:r>
          </w:p>
        </w:tc>
        <w:tc>
          <w:tcPr>
            <w:tcW w:w="1361" w:type="dxa"/>
            <w:tcBorders>
              <w:top w:val="nil"/>
              <w:left w:val="nil"/>
              <w:bottom w:val="single" w:sz="12" w:space="0" w:color="000000"/>
              <w:right w:val="nil"/>
            </w:tcBorders>
          </w:tcPr>
          <w:p w14:paraId="0FD5B172" w14:textId="77777777" w:rsidR="00D64459" w:rsidRPr="00493E39" w:rsidRDefault="008B2120">
            <w:pPr>
              <w:spacing w:line="240" w:lineRule="auto"/>
              <w:jc w:val="center"/>
              <w:rPr>
                <w:rFonts w:cs="Arial"/>
              </w:rPr>
            </w:pPr>
            <w:r w:rsidRPr="00493E39">
              <w:rPr>
                <w:rFonts w:cs="Arial"/>
                <w:sz w:val="18"/>
              </w:rPr>
              <w:t>121%</w:t>
            </w:r>
          </w:p>
        </w:tc>
      </w:tr>
    </w:tbl>
    <w:p w14:paraId="24562449" w14:textId="77777777" w:rsidR="00D64459" w:rsidRPr="00493E39" w:rsidRDefault="008B2120">
      <w:pPr>
        <w:spacing w:before="40" w:line="240" w:lineRule="auto"/>
        <w:jc w:val="both"/>
        <w:rPr>
          <w:rFonts w:cs="Arial"/>
          <w:lang w:val="pt-BR"/>
        </w:rPr>
      </w:pPr>
      <w:r w:rsidRPr="00493E39">
        <w:rPr>
          <w:rFonts w:cs="Arial"/>
          <w:sz w:val="18"/>
          <w:lang w:val="pt-BR"/>
        </w:rPr>
        <w:t xml:space="preserve">Nota: regime posterior a março de 2017. Conjunto de </w:t>
      </w:r>
      <w:proofErr w:type="spellStart"/>
      <w:r w:rsidRPr="00493E39">
        <w:rPr>
          <w:rFonts w:cs="Arial"/>
          <w:sz w:val="18"/>
          <w:lang w:val="pt-BR"/>
        </w:rPr>
        <w:t>regressores</w:t>
      </w:r>
      <w:proofErr w:type="spellEnd"/>
      <w:r w:rsidRPr="00493E39">
        <w:rPr>
          <w:rFonts w:cs="Arial"/>
          <w:sz w:val="18"/>
          <w:lang w:val="pt-BR"/>
        </w:rPr>
        <w:t xml:space="preserve"> e amostra fixos no horizonte de três meses, de modo que as contribuições mensais somam exatamente o acumulado, com desvio de 8,9 × 10</w:t>
      </w:r>
      <w:r w:rsidRPr="00493E39">
        <w:rPr>
          <w:rFonts w:ascii="Cambria Math" w:hAnsi="Cambria Math" w:cs="Cambria Math"/>
          <w:sz w:val="18"/>
          <w:lang w:val="pt-BR"/>
        </w:rPr>
        <w:t>⁻</w:t>
      </w:r>
      <w:r w:rsidRPr="00493E39">
        <w:rPr>
          <w:rFonts w:cs="Arial"/>
          <w:sz w:val="18"/>
          <w:lang w:val="pt-BR"/>
        </w:rPr>
        <w:t>¹⁶. Os acumulados coincidem com os da Tabela 2. No regime anterior nenhuma das seis séries apresenta contribuição mensal significativa, e o acumulado do IPCA Geral é de 0,101, não distinguível de zero. *** p &lt; 0,01; ** p &lt; 0,05; * p &lt; 0,10.</w:t>
      </w:r>
    </w:p>
    <w:p w14:paraId="17BAB992"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517FAC4D" w14:textId="77777777" w:rsidR="00D64459" w:rsidRPr="00493E39" w:rsidRDefault="008B2120">
      <w:pPr>
        <w:keepNext/>
        <w:spacing w:before="200" w:after="40" w:line="240" w:lineRule="auto"/>
        <w:rPr>
          <w:rFonts w:cs="Arial"/>
          <w:lang w:val="pt-BR"/>
        </w:rPr>
      </w:pPr>
      <w:r w:rsidRPr="00493E39">
        <w:rPr>
          <w:rFonts w:cs="Arial"/>
          <w:sz w:val="20"/>
          <w:lang w:val="pt-BR"/>
        </w:rPr>
        <w:t>Tabela 4 – Decomposição da resposta do IPCA Geral segundo o canal dos combustíveis</w:t>
      </w:r>
    </w:p>
    <w:tbl>
      <w:tblPr>
        <w:tblW w:w="0" w:type="auto"/>
        <w:jc w:val="center"/>
        <w:tblLook w:val="04A0" w:firstRow="1" w:lastRow="0" w:firstColumn="1" w:lastColumn="0" w:noHBand="0" w:noVBand="1"/>
      </w:tblPr>
      <w:tblGrid>
        <w:gridCol w:w="2721"/>
        <w:gridCol w:w="567"/>
        <w:gridCol w:w="1474"/>
        <w:gridCol w:w="1701"/>
        <w:gridCol w:w="907"/>
        <w:gridCol w:w="1134"/>
      </w:tblGrid>
      <w:tr w:rsidR="00D64459" w:rsidRPr="00493E39" w14:paraId="2BFEF502" w14:textId="77777777">
        <w:trPr>
          <w:cantSplit/>
          <w:tblHeader/>
          <w:jc w:val="center"/>
        </w:trPr>
        <w:tc>
          <w:tcPr>
            <w:tcW w:w="2721" w:type="dxa"/>
            <w:tcBorders>
              <w:top w:val="single" w:sz="12" w:space="0" w:color="000000"/>
              <w:left w:val="nil"/>
              <w:bottom w:val="single" w:sz="6" w:space="0" w:color="000000"/>
              <w:right w:val="nil"/>
            </w:tcBorders>
          </w:tcPr>
          <w:p w14:paraId="2A01E835" w14:textId="77777777" w:rsidR="00D64459" w:rsidRPr="00493E39" w:rsidRDefault="008B2120">
            <w:pPr>
              <w:spacing w:after="20" w:line="240" w:lineRule="auto"/>
              <w:rPr>
                <w:rFonts w:cs="Arial"/>
              </w:rPr>
            </w:pPr>
            <w:r w:rsidRPr="00493E39">
              <w:rPr>
                <w:rFonts w:cs="Arial"/>
                <w:b/>
                <w:sz w:val="18"/>
              </w:rPr>
              <w:t>Regime</w:t>
            </w:r>
          </w:p>
        </w:tc>
        <w:tc>
          <w:tcPr>
            <w:tcW w:w="567" w:type="dxa"/>
            <w:tcBorders>
              <w:top w:val="single" w:sz="12" w:space="0" w:color="000000"/>
              <w:left w:val="nil"/>
              <w:bottom w:val="single" w:sz="6" w:space="0" w:color="000000"/>
              <w:right w:val="nil"/>
            </w:tcBorders>
          </w:tcPr>
          <w:p w14:paraId="2635F1C0" w14:textId="77777777" w:rsidR="00D64459" w:rsidRPr="00493E39" w:rsidRDefault="008B2120">
            <w:pPr>
              <w:spacing w:after="20" w:line="240" w:lineRule="auto"/>
              <w:jc w:val="center"/>
              <w:rPr>
                <w:rFonts w:cs="Arial"/>
              </w:rPr>
            </w:pPr>
            <w:r w:rsidRPr="00493E39">
              <w:rPr>
                <w:rFonts w:cs="Arial"/>
                <w:b/>
                <w:sz w:val="18"/>
              </w:rPr>
              <w:t>h</w:t>
            </w:r>
          </w:p>
        </w:tc>
        <w:tc>
          <w:tcPr>
            <w:tcW w:w="1474" w:type="dxa"/>
            <w:tcBorders>
              <w:top w:val="single" w:sz="12" w:space="0" w:color="000000"/>
              <w:left w:val="nil"/>
              <w:bottom w:val="single" w:sz="6" w:space="0" w:color="000000"/>
              <w:right w:val="nil"/>
            </w:tcBorders>
          </w:tcPr>
          <w:p w14:paraId="7E882AF0" w14:textId="77777777" w:rsidR="00D64459" w:rsidRPr="00493E39" w:rsidRDefault="008B2120">
            <w:pPr>
              <w:spacing w:after="20" w:line="240" w:lineRule="auto"/>
              <w:jc w:val="center"/>
              <w:rPr>
                <w:rFonts w:cs="Arial"/>
              </w:rPr>
            </w:pPr>
            <w:proofErr w:type="spellStart"/>
            <w:r w:rsidRPr="00493E39">
              <w:rPr>
                <w:rFonts w:cs="Arial"/>
                <w:b/>
                <w:sz w:val="18"/>
              </w:rPr>
              <w:t>Efeito</w:t>
            </w:r>
            <w:proofErr w:type="spellEnd"/>
            <w:r w:rsidRPr="00493E39">
              <w:rPr>
                <w:rFonts w:cs="Arial"/>
                <w:b/>
                <w:sz w:val="18"/>
              </w:rPr>
              <w:t xml:space="preserve"> total</w:t>
            </w:r>
          </w:p>
        </w:tc>
        <w:tc>
          <w:tcPr>
            <w:tcW w:w="1701" w:type="dxa"/>
            <w:tcBorders>
              <w:top w:val="single" w:sz="12" w:space="0" w:color="000000"/>
              <w:left w:val="nil"/>
              <w:bottom w:val="single" w:sz="6" w:space="0" w:color="000000"/>
              <w:right w:val="nil"/>
            </w:tcBorders>
          </w:tcPr>
          <w:p w14:paraId="48E4315F" w14:textId="77777777" w:rsidR="00D64459" w:rsidRPr="00493E39" w:rsidRDefault="008B2120">
            <w:pPr>
              <w:spacing w:after="20" w:line="240" w:lineRule="auto"/>
              <w:jc w:val="center"/>
              <w:rPr>
                <w:rFonts w:cs="Arial"/>
              </w:rPr>
            </w:pPr>
            <w:r w:rsidRPr="00493E39">
              <w:rPr>
                <w:rFonts w:cs="Arial"/>
                <w:b/>
                <w:sz w:val="18"/>
              </w:rPr>
              <w:t xml:space="preserve">Via </w:t>
            </w:r>
            <w:proofErr w:type="spellStart"/>
            <w:r w:rsidRPr="00493E39">
              <w:rPr>
                <w:rFonts w:cs="Arial"/>
                <w:b/>
                <w:sz w:val="18"/>
              </w:rPr>
              <w:t>combustíveis</w:t>
            </w:r>
            <w:proofErr w:type="spellEnd"/>
          </w:p>
        </w:tc>
        <w:tc>
          <w:tcPr>
            <w:tcW w:w="907" w:type="dxa"/>
            <w:tcBorders>
              <w:top w:val="single" w:sz="12" w:space="0" w:color="000000"/>
              <w:left w:val="nil"/>
              <w:bottom w:val="single" w:sz="6" w:space="0" w:color="000000"/>
              <w:right w:val="nil"/>
            </w:tcBorders>
          </w:tcPr>
          <w:p w14:paraId="7546F0D6" w14:textId="77777777" w:rsidR="00D64459" w:rsidRPr="00493E39" w:rsidRDefault="008B2120">
            <w:pPr>
              <w:spacing w:after="20" w:line="240" w:lineRule="auto"/>
              <w:jc w:val="center"/>
              <w:rPr>
                <w:rFonts w:cs="Arial"/>
              </w:rPr>
            </w:pPr>
            <w:r w:rsidRPr="00493E39">
              <w:rPr>
                <w:rFonts w:cs="Arial"/>
                <w:b/>
                <w:sz w:val="18"/>
              </w:rPr>
              <w:t>p</w:t>
            </w:r>
          </w:p>
        </w:tc>
        <w:tc>
          <w:tcPr>
            <w:tcW w:w="1134" w:type="dxa"/>
            <w:tcBorders>
              <w:top w:val="single" w:sz="12" w:space="0" w:color="000000"/>
              <w:left w:val="nil"/>
              <w:bottom w:val="single" w:sz="6" w:space="0" w:color="000000"/>
              <w:right w:val="nil"/>
            </w:tcBorders>
          </w:tcPr>
          <w:p w14:paraId="3D922E17" w14:textId="77777777" w:rsidR="00D64459" w:rsidRPr="00493E39" w:rsidRDefault="008B2120">
            <w:pPr>
              <w:spacing w:after="20" w:line="240" w:lineRule="auto"/>
              <w:jc w:val="center"/>
              <w:rPr>
                <w:rFonts w:cs="Arial"/>
              </w:rPr>
            </w:pPr>
            <w:proofErr w:type="spellStart"/>
            <w:r w:rsidRPr="00493E39">
              <w:rPr>
                <w:rFonts w:cs="Arial"/>
                <w:b/>
                <w:sz w:val="18"/>
              </w:rPr>
              <w:t>Parcela</w:t>
            </w:r>
            <w:proofErr w:type="spellEnd"/>
          </w:p>
        </w:tc>
      </w:tr>
      <w:tr w:rsidR="00D64459" w:rsidRPr="00493E39" w14:paraId="31AF0E9D" w14:textId="77777777">
        <w:trPr>
          <w:cantSplit/>
          <w:jc w:val="center"/>
        </w:trPr>
        <w:tc>
          <w:tcPr>
            <w:tcW w:w="2721" w:type="dxa"/>
            <w:tcBorders>
              <w:top w:val="nil"/>
              <w:left w:val="nil"/>
              <w:bottom w:val="nil"/>
              <w:right w:val="nil"/>
            </w:tcBorders>
          </w:tcPr>
          <w:p w14:paraId="6F0A2098" w14:textId="77777777" w:rsidR="00D64459" w:rsidRPr="00493E39" w:rsidRDefault="008B2120">
            <w:pPr>
              <w:spacing w:line="240" w:lineRule="auto"/>
              <w:rPr>
                <w:rFonts w:cs="Arial"/>
              </w:rPr>
            </w:pPr>
            <w:r w:rsidRPr="00493E39">
              <w:rPr>
                <w:rFonts w:cs="Arial"/>
                <w:sz w:val="18"/>
              </w:rPr>
              <w:t>Anterior a mar/2017</w:t>
            </w:r>
          </w:p>
        </w:tc>
        <w:tc>
          <w:tcPr>
            <w:tcW w:w="567" w:type="dxa"/>
            <w:tcBorders>
              <w:top w:val="nil"/>
              <w:left w:val="nil"/>
              <w:bottom w:val="nil"/>
              <w:right w:val="nil"/>
            </w:tcBorders>
          </w:tcPr>
          <w:p w14:paraId="7291635F" w14:textId="77777777" w:rsidR="00D64459" w:rsidRPr="00493E39" w:rsidRDefault="008B2120">
            <w:pPr>
              <w:spacing w:line="240" w:lineRule="auto"/>
              <w:jc w:val="center"/>
              <w:rPr>
                <w:rFonts w:cs="Arial"/>
              </w:rPr>
            </w:pPr>
            <w:r w:rsidRPr="00493E39">
              <w:rPr>
                <w:rFonts w:cs="Arial"/>
                <w:sz w:val="18"/>
              </w:rPr>
              <w:t>0</w:t>
            </w:r>
          </w:p>
        </w:tc>
        <w:tc>
          <w:tcPr>
            <w:tcW w:w="1474" w:type="dxa"/>
            <w:tcBorders>
              <w:top w:val="nil"/>
              <w:left w:val="nil"/>
              <w:bottom w:val="nil"/>
              <w:right w:val="nil"/>
            </w:tcBorders>
          </w:tcPr>
          <w:p w14:paraId="4E9E32F7" w14:textId="77777777" w:rsidR="00D64459" w:rsidRPr="00493E39" w:rsidRDefault="008B2120">
            <w:pPr>
              <w:spacing w:line="240" w:lineRule="auto"/>
              <w:jc w:val="center"/>
              <w:rPr>
                <w:rFonts w:cs="Arial"/>
              </w:rPr>
            </w:pPr>
            <w:r w:rsidRPr="00493E39">
              <w:rPr>
                <w:rFonts w:cs="Arial"/>
                <w:sz w:val="18"/>
              </w:rPr>
              <w:t>0,005</w:t>
            </w:r>
          </w:p>
        </w:tc>
        <w:tc>
          <w:tcPr>
            <w:tcW w:w="1701" w:type="dxa"/>
            <w:tcBorders>
              <w:top w:val="nil"/>
              <w:left w:val="nil"/>
              <w:bottom w:val="nil"/>
              <w:right w:val="nil"/>
            </w:tcBorders>
          </w:tcPr>
          <w:p w14:paraId="26160686" w14:textId="77777777" w:rsidR="00D64459" w:rsidRPr="00493E39" w:rsidRDefault="008B2120">
            <w:pPr>
              <w:spacing w:line="240" w:lineRule="auto"/>
              <w:jc w:val="center"/>
              <w:rPr>
                <w:rFonts w:cs="Arial"/>
              </w:rPr>
            </w:pPr>
            <w:r w:rsidRPr="00493E39">
              <w:rPr>
                <w:rFonts w:cs="Arial"/>
                <w:sz w:val="18"/>
              </w:rPr>
              <w:t>0,008</w:t>
            </w:r>
          </w:p>
        </w:tc>
        <w:tc>
          <w:tcPr>
            <w:tcW w:w="907" w:type="dxa"/>
            <w:tcBorders>
              <w:top w:val="nil"/>
              <w:left w:val="nil"/>
              <w:bottom w:val="nil"/>
              <w:right w:val="nil"/>
            </w:tcBorders>
          </w:tcPr>
          <w:p w14:paraId="3604FF86" w14:textId="77777777" w:rsidR="00D64459" w:rsidRPr="00493E39" w:rsidRDefault="008B2120">
            <w:pPr>
              <w:spacing w:line="240" w:lineRule="auto"/>
              <w:jc w:val="center"/>
              <w:rPr>
                <w:rFonts w:cs="Arial"/>
              </w:rPr>
            </w:pPr>
            <w:r w:rsidRPr="00493E39">
              <w:rPr>
                <w:rFonts w:cs="Arial"/>
                <w:sz w:val="18"/>
              </w:rPr>
              <w:t>0,001</w:t>
            </w:r>
          </w:p>
        </w:tc>
        <w:tc>
          <w:tcPr>
            <w:tcW w:w="1134" w:type="dxa"/>
            <w:tcBorders>
              <w:top w:val="nil"/>
              <w:left w:val="nil"/>
              <w:bottom w:val="nil"/>
              <w:right w:val="nil"/>
            </w:tcBorders>
          </w:tcPr>
          <w:p w14:paraId="78CB7E09" w14:textId="77777777" w:rsidR="00D64459" w:rsidRPr="00493E39" w:rsidRDefault="008B2120">
            <w:pPr>
              <w:spacing w:line="240" w:lineRule="auto"/>
              <w:jc w:val="center"/>
              <w:rPr>
                <w:rFonts w:cs="Arial"/>
              </w:rPr>
            </w:pPr>
            <w:proofErr w:type="spellStart"/>
            <w:r w:rsidRPr="00493E39">
              <w:rPr>
                <w:rFonts w:cs="Arial"/>
                <w:sz w:val="18"/>
              </w:rPr>
              <w:t>n.a.</w:t>
            </w:r>
            <w:proofErr w:type="spellEnd"/>
          </w:p>
        </w:tc>
      </w:tr>
      <w:tr w:rsidR="00D64459" w:rsidRPr="00493E39" w14:paraId="12E69DF2" w14:textId="77777777">
        <w:trPr>
          <w:cantSplit/>
          <w:jc w:val="center"/>
        </w:trPr>
        <w:tc>
          <w:tcPr>
            <w:tcW w:w="2721" w:type="dxa"/>
            <w:tcBorders>
              <w:top w:val="nil"/>
              <w:left w:val="nil"/>
              <w:bottom w:val="nil"/>
              <w:right w:val="nil"/>
            </w:tcBorders>
          </w:tcPr>
          <w:p w14:paraId="23D073E1" w14:textId="77777777" w:rsidR="00D64459" w:rsidRPr="00493E39" w:rsidRDefault="00D64459">
            <w:pPr>
              <w:spacing w:line="240" w:lineRule="auto"/>
              <w:rPr>
                <w:rFonts w:cs="Arial"/>
              </w:rPr>
            </w:pPr>
          </w:p>
        </w:tc>
        <w:tc>
          <w:tcPr>
            <w:tcW w:w="567" w:type="dxa"/>
            <w:tcBorders>
              <w:top w:val="nil"/>
              <w:left w:val="nil"/>
              <w:bottom w:val="nil"/>
              <w:right w:val="nil"/>
            </w:tcBorders>
          </w:tcPr>
          <w:p w14:paraId="0EFA4639" w14:textId="77777777" w:rsidR="00D64459" w:rsidRPr="00493E39" w:rsidRDefault="008B2120">
            <w:pPr>
              <w:spacing w:line="240" w:lineRule="auto"/>
              <w:jc w:val="center"/>
              <w:rPr>
                <w:rFonts w:cs="Arial"/>
              </w:rPr>
            </w:pPr>
            <w:r w:rsidRPr="00493E39">
              <w:rPr>
                <w:rFonts w:cs="Arial"/>
                <w:sz w:val="18"/>
              </w:rPr>
              <w:t>3</w:t>
            </w:r>
          </w:p>
        </w:tc>
        <w:tc>
          <w:tcPr>
            <w:tcW w:w="1474" w:type="dxa"/>
            <w:tcBorders>
              <w:top w:val="nil"/>
              <w:left w:val="nil"/>
              <w:bottom w:val="nil"/>
              <w:right w:val="nil"/>
            </w:tcBorders>
          </w:tcPr>
          <w:p w14:paraId="3264B720" w14:textId="77777777" w:rsidR="00D64459" w:rsidRPr="00493E39" w:rsidRDefault="008B2120">
            <w:pPr>
              <w:spacing w:line="240" w:lineRule="auto"/>
              <w:jc w:val="center"/>
              <w:rPr>
                <w:rFonts w:cs="Arial"/>
              </w:rPr>
            </w:pPr>
            <w:r w:rsidRPr="00493E39">
              <w:rPr>
                <w:rFonts w:cs="Arial"/>
                <w:sz w:val="18"/>
              </w:rPr>
              <w:t>0,101</w:t>
            </w:r>
          </w:p>
        </w:tc>
        <w:tc>
          <w:tcPr>
            <w:tcW w:w="1701" w:type="dxa"/>
            <w:tcBorders>
              <w:top w:val="nil"/>
              <w:left w:val="nil"/>
              <w:bottom w:val="nil"/>
              <w:right w:val="nil"/>
            </w:tcBorders>
          </w:tcPr>
          <w:p w14:paraId="5CD205DD" w14:textId="77777777" w:rsidR="00D64459" w:rsidRPr="00493E39" w:rsidRDefault="008B2120">
            <w:pPr>
              <w:spacing w:line="240" w:lineRule="auto"/>
              <w:jc w:val="center"/>
              <w:rPr>
                <w:rFonts w:cs="Arial"/>
              </w:rPr>
            </w:pPr>
            <w:r w:rsidRPr="00493E39">
              <w:rPr>
                <w:rFonts w:cs="Arial"/>
                <w:sz w:val="18"/>
              </w:rPr>
              <w:t>0,003</w:t>
            </w:r>
          </w:p>
        </w:tc>
        <w:tc>
          <w:tcPr>
            <w:tcW w:w="907" w:type="dxa"/>
            <w:tcBorders>
              <w:top w:val="nil"/>
              <w:left w:val="nil"/>
              <w:bottom w:val="nil"/>
              <w:right w:val="nil"/>
            </w:tcBorders>
          </w:tcPr>
          <w:p w14:paraId="0037D4D1" w14:textId="77777777" w:rsidR="00D64459" w:rsidRPr="00493E39" w:rsidRDefault="008B2120">
            <w:pPr>
              <w:spacing w:line="240" w:lineRule="auto"/>
              <w:jc w:val="center"/>
              <w:rPr>
                <w:rFonts w:cs="Arial"/>
              </w:rPr>
            </w:pPr>
            <w:r w:rsidRPr="00493E39">
              <w:rPr>
                <w:rFonts w:cs="Arial"/>
                <w:sz w:val="18"/>
              </w:rPr>
              <w:t>0,671</w:t>
            </w:r>
          </w:p>
        </w:tc>
        <w:tc>
          <w:tcPr>
            <w:tcW w:w="1134" w:type="dxa"/>
            <w:tcBorders>
              <w:top w:val="nil"/>
              <w:left w:val="nil"/>
              <w:bottom w:val="nil"/>
              <w:right w:val="nil"/>
            </w:tcBorders>
          </w:tcPr>
          <w:p w14:paraId="78EC0E1E" w14:textId="77777777" w:rsidR="00D64459" w:rsidRPr="00493E39" w:rsidRDefault="008B2120">
            <w:pPr>
              <w:spacing w:line="240" w:lineRule="auto"/>
              <w:jc w:val="center"/>
              <w:rPr>
                <w:rFonts w:cs="Arial"/>
              </w:rPr>
            </w:pPr>
            <w:r w:rsidRPr="00493E39">
              <w:rPr>
                <w:rFonts w:cs="Arial"/>
                <w:sz w:val="18"/>
              </w:rPr>
              <w:t>3%</w:t>
            </w:r>
          </w:p>
        </w:tc>
      </w:tr>
      <w:tr w:rsidR="00D64459" w:rsidRPr="00493E39" w14:paraId="2D0E1139" w14:textId="77777777">
        <w:trPr>
          <w:cantSplit/>
          <w:jc w:val="center"/>
        </w:trPr>
        <w:tc>
          <w:tcPr>
            <w:tcW w:w="2721" w:type="dxa"/>
            <w:tcBorders>
              <w:top w:val="nil"/>
              <w:left w:val="nil"/>
              <w:bottom w:val="nil"/>
              <w:right w:val="nil"/>
            </w:tcBorders>
          </w:tcPr>
          <w:p w14:paraId="34461752" w14:textId="77777777" w:rsidR="00D64459" w:rsidRPr="00493E39" w:rsidRDefault="008B2120">
            <w:pPr>
              <w:spacing w:line="240" w:lineRule="auto"/>
              <w:rPr>
                <w:rFonts w:cs="Arial"/>
              </w:rPr>
            </w:pPr>
            <w:r w:rsidRPr="00493E39">
              <w:rPr>
                <w:rFonts w:cs="Arial"/>
                <w:sz w:val="18"/>
              </w:rPr>
              <w:t xml:space="preserve">Posterior </w:t>
            </w:r>
            <w:proofErr w:type="gramStart"/>
            <w:r w:rsidRPr="00493E39">
              <w:rPr>
                <w:rFonts w:cs="Arial"/>
                <w:sz w:val="18"/>
              </w:rPr>
              <w:t>a mar</w:t>
            </w:r>
            <w:proofErr w:type="gramEnd"/>
            <w:r w:rsidRPr="00493E39">
              <w:rPr>
                <w:rFonts w:cs="Arial"/>
                <w:sz w:val="18"/>
              </w:rPr>
              <w:t>/2017</w:t>
            </w:r>
          </w:p>
        </w:tc>
        <w:tc>
          <w:tcPr>
            <w:tcW w:w="567" w:type="dxa"/>
            <w:tcBorders>
              <w:top w:val="nil"/>
              <w:left w:val="nil"/>
              <w:bottom w:val="nil"/>
              <w:right w:val="nil"/>
            </w:tcBorders>
          </w:tcPr>
          <w:p w14:paraId="7FF9666C" w14:textId="77777777" w:rsidR="00D64459" w:rsidRPr="00493E39" w:rsidRDefault="008B2120">
            <w:pPr>
              <w:spacing w:line="240" w:lineRule="auto"/>
              <w:jc w:val="center"/>
              <w:rPr>
                <w:rFonts w:cs="Arial"/>
              </w:rPr>
            </w:pPr>
            <w:r w:rsidRPr="00493E39">
              <w:rPr>
                <w:rFonts w:cs="Arial"/>
                <w:sz w:val="18"/>
              </w:rPr>
              <w:t>0</w:t>
            </w:r>
          </w:p>
        </w:tc>
        <w:tc>
          <w:tcPr>
            <w:tcW w:w="1474" w:type="dxa"/>
            <w:tcBorders>
              <w:top w:val="nil"/>
              <w:left w:val="nil"/>
              <w:bottom w:val="nil"/>
              <w:right w:val="nil"/>
            </w:tcBorders>
          </w:tcPr>
          <w:p w14:paraId="1DDB41EF" w14:textId="77777777" w:rsidR="00D64459" w:rsidRPr="00493E39" w:rsidRDefault="008B2120">
            <w:pPr>
              <w:spacing w:line="240" w:lineRule="auto"/>
              <w:jc w:val="center"/>
              <w:rPr>
                <w:rFonts w:cs="Arial"/>
              </w:rPr>
            </w:pPr>
            <w:r w:rsidRPr="00493E39">
              <w:rPr>
                <w:rFonts w:cs="Arial"/>
                <w:sz w:val="18"/>
              </w:rPr>
              <w:t>0,176</w:t>
            </w:r>
          </w:p>
        </w:tc>
        <w:tc>
          <w:tcPr>
            <w:tcW w:w="1701" w:type="dxa"/>
            <w:tcBorders>
              <w:top w:val="nil"/>
              <w:left w:val="nil"/>
              <w:bottom w:val="nil"/>
              <w:right w:val="nil"/>
            </w:tcBorders>
          </w:tcPr>
          <w:p w14:paraId="7F7D3BAC" w14:textId="77777777" w:rsidR="00D64459" w:rsidRPr="00493E39" w:rsidRDefault="008B2120">
            <w:pPr>
              <w:spacing w:line="240" w:lineRule="auto"/>
              <w:jc w:val="center"/>
              <w:rPr>
                <w:rFonts w:cs="Arial"/>
              </w:rPr>
            </w:pPr>
            <w:r w:rsidRPr="00493E39">
              <w:rPr>
                <w:rFonts w:cs="Arial"/>
                <w:sz w:val="18"/>
              </w:rPr>
              <w:t>0,082</w:t>
            </w:r>
          </w:p>
        </w:tc>
        <w:tc>
          <w:tcPr>
            <w:tcW w:w="907" w:type="dxa"/>
            <w:tcBorders>
              <w:top w:val="nil"/>
              <w:left w:val="nil"/>
              <w:bottom w:val="nil"/>
              <w:right w:val="nil"/>
            </w:tcBorders>
          </w:tcPr>
          <w:p w14:paraId="02672B20" w14:textId="77777777" w:rsidR="00D64459" w:rsidRPr="00493E39" w:rsidRDefault="008B2120">
            <w:pPr>
              <w:spacing w:line="240" w:lineRule="auto"/>
              <w:jc w:val="center"/>
              <w:rPr>
                <w:rFonts w:cs="Arial"/>
              </w:rPr>
            </w:pPr>
            <w:r w:rsidRPr="00493E39">
              <w:rPr>
                <w:rFonts w:cs="Arial"/>
                <w:sz w:val="18"/>
              </w:rPr>
              <w:t>0,007</w:t>
            </w:r>
          </w:p>
        </w:tc>
        <w:tc>
          <w:tcPr>
            <w:tcW w:w="1134" w:type="dxa"/>
            <w:tcBorders>
              <w:top w:val="nil"/>
              <w:left w:val="nil"/>
              <w:bottom w:val="nil"/>
              <w:right w:val="nil"/>
            </w:tcBorders>
          </w:tcPr>
          <w:p w14:paraId="4AEE24FE" w14:textId="77777777" w:rsidR="00D64459" w:rsidRPr="00493E39" w:rsidRDefault="008B2120">
            <w:pPr>
              <w:spacing w:line="240" w:lineRule="auto"/>
              <w:jc w:val="center"/>
              <w:rPr>
                <w:rFonts w:cs="Arial"/>
              </w:rPr>
            </w:pPr>
            <w:r w:rsidRPr="00493E39">
              <w:rPr>
                <w:rFonts w:cs="Arial"/>
                <w:sz w:val="18"/>
              </w:rPr>
              <w:t>47%</w:t>
            </w:r>
          </w:p>
        </w:tc>
      </w:tr>
      <w:tr w:rsidR="00D64459" w:rsidRPr="00493E39" w14:paraId="5DC7117C" w14:textId="77777777">
        <w:trPr>
          <w:cantSplit/>
          <w:jc w:val="center"/>
        </w:trPr>
        <w:tc>
          <w:tcPr>
            <w:tcW w:w="2721" w:type="dxa"/>
            <w:tcBorders>
              <w:top w:val="nil"/>
              <w:left w:val="nil"/>
              <w:bottom w:val="single" w:sz="12" w:space="0" w:color="000000"/>
              <w:right w:val="nil"/>
            </w:tcBorders>
          </w:tcPr>
          <w:p w14:paraId="0FB7863C" w14:textId="77777777" w:rsidR="00D64459" w:rsidRPr="00493E39" w:rsidRDefault="00D64459">
            <w:pPr>
              <w:spacing w:line="240" w:lineRule="auto"/>
              <w:rPr>
                <w:rFonts w:cs="Arial"/>
              </w:rPr>
            </w:pPr>
          </w:p>
        </w:tc>
        <w:tc>
          <w:tcPr>
            <w:tcW w:w="567" w:type="dxa"/>
            <w:tcBorders>
              <w:top w:val="nil"/>
              <w:left w:val="nil"/>
              <w:bottom w:val="single" w:sz="12" w:space="0" w:color="000000"/>
              <w:right w:val="nil"/>
            </w:tcBorders>
          </w:tcPr>
          <w:p w14:paraId="0EA56D10" w14:textId="77777777" w:rsidR="00D64459" w:rsidRPr="00493E39" w:rsidRDefault="008B2120">
            <w:pPr>
              <w:spacing w:line="240" w:lineRule="auto"/>
              <w:jc w:val="center"/>
              <w:rPr>
                <w:rFonts w:cs="Arial"/>
              </w:rPr>
            </w:pPr>
            <w:r w:rsidRPr="00493E39">
              <w:rPr>
                <w:rFonts w:cs="Arial"/>
                <w:sz w:val="18"/>
              </w:rPr>
              <w:t>3</w:t>
            </w:r>
          </w:p>
        </w:tc>
        <w:tc>
          <w:tcPr>
            <w:tcW w:w="1474" w:type="dxa"/>
            <w:tcBorders>
              <w:top w:val="nil"/>
              <w:left w:val="nil"/>
              <w:bottom w:val="single" w:sz="12" w:space="0" w:color="000000"/>
              <w:right w:val="nil"/>
            </w:tcBorders>
          </w:tcPr>
          <w:p w14:paraId="7B55BA4D" w14:textId="77777777" w:rsidR="00D64459" w:rsidRPr="00493E39" w:rsidRDefault="008B2120">
            <w:pPr>
              <w:spacing w:line="240" w:lineRule="auto"/>
              <w:jc w:val="center"/>
              <w:rPr>
                <w:rFonts w:cs="Arial"/>
              </w:rPr>
            </w:pPr>
            <w:r w:rsidRPr="00493E39">
              <w:rPr>
                <w:rFonts w:cs="Arial"/>
                <w:sz w:val="18"/>
              </w:rPr>
              <w:t>0,314</w:t>
            </w:r>
          </w:p>
        </w:tc>
        <w:tc>
          <w:tcPr>
            <w:tcW w:w="1701" w:type="dxa"/>
            <w:tcBorders>
              <w:top w:val="nil"/>
              <w:left w:val="nil"/>
              <w:bottom w:val="single" w:sz="12" w:space="0" w:color="000000"/>
              <w:right w:val="nil"/>
            </w:tcBorders>
          </w:tcPr>
          <w:p w14:paraId="22D924B8" w14:textId="77777777" w:rsidR="00D64459" w:rsidRPr="00493E39" w:rsidRDefault="008B2120">
            <w:pPr>
              <w:spacing w:line="240" w:lineRule="auto"/>
              <w:jc w:val="center"/>
              <w:rPr>
                <w:rFonts w:cs="Arial"/>
              </w:rPr>
            </w:pPr>
            <w:r w:rsidRPr="00493E39">
              <w:rPr>
                <w:rFonts w:cs="Arial"/>
                <w:sz w:val="18"/>
              </w:rPr>
              <w:t>0,249</w:t>
            </w:r>
          </w:p>
        </w:tc>
        <w:tc>
          <w:tcPr>
            <w:tcW w:w="907" w:type="dxa"/>
            <w:tcBorders>
              <w:top w:val="nil"/>
              <w:left w:val="nil"/>
              <w:bottom w:val="single" w:sz="12" w:space="0" w:color="000000"/>
              <w:right w:val="nil"/>
            </w:tcBorders>
          </w:tcPr>
          <w:p w14:paraId="7F626D59" w14:textId="77777777" w:rsidR="00D64459" w:rsidRPr="00493E39" w:rsidRDefault="008B2120">
            <w:pPr>
              <w:spacing w:line="240" w:lineRule="auto"/>
              <w:jc w:val="center"/>
              <w:rPr>
                <w:rFonts w:cs="Arial"/>
              </w:rPr>
            </w:pPr>
            <w:r w:rsidRPr="00493E39">
              <w:rPr>
                <w:rFonts w:cs="Arial"/>
                <w:sz w:val="18"/>
              </w:rPr>
              <w:t>0,000</w:t>
            </w:r>
          </w:p>
        </w:tc>
        <w:tc>
          <w:tcPr>
            <w:tcW w:w="1134" w:type="dxa"/>
            <w:tcBorders>
              <w:top w:val="nil"/>
              <w:left w:val="nil"/>
              <w:bottom w:val="single" w:sz="12" w:space="0" w:color="000000"/>
              <w:right w:val="nil"/>
            </w:tcBorders>
          </w:tcPr>
          <w:p w14:paraId="7E09EC9C" w14:textId="77777777" w:rsidR="00D64459" w:rsidRPr="00493E39" w:rsidRDefault="008B2120">
            <w:pPr>
              <w:spacing w:line="240" w:lineRule="auto"/>
              <w:jc w:val="center"/>
              <w:rPr>
                <w:rFonts w:cs="Arial"/>
              </w:rPr>
            </w:pPr>
            <w:r w:rsidRPr="00493E39">
              <w:rPr>
                <w:rFonts w:cs="Arial"/>
                <w:sz w:val="18"/>
              </w:rPr>
              <w:t>79%</w:t>
            </w:r>
          </w:p>
        </w:tc>
      </w:tr>
    </w:tbl>
    <w:p w14:paraId="38F6A2C8" w14:textId="77777777" w:rsidR="00D64459" w:rsidRPr="00493E39" w:rsidRDefault="008B2120">
      <w:pPr>
        <w:spacing w:before="40" w:line="240" w:lineRule="auto"/>
        <w:jc w:val="both"/>
        <w:rPr>
          <w:rFonts w:cs="Arial"/>
          <w:lang w:val="pt-BR"/>
        </w:rPr>
      </w:pPr>
      <w:r w:rsidRPr="00493E39">
        <w:rPr>
          <w:rFonts w:cs="Arial"/>
          <w:sz w:val="18"/>
          <w:lang w:val="pt-BR"/>
        </w:rPr>
        <w:lastRenderedPageBreak/>
        <w:t>Nota: mediadores são os preços ao consumidor de gasolina, diesel e etanol. '</w:t>
      </w:r>
      <w:proofErr w:type="spellStart"/>
      <w:r w:rsidRPr="00493E39">
        <w:rPr>
          <w:rFonts w:cs="Arial"/>
          <w:sz w:val="18"/>
          <w:lang w:val="pt-BR"/>
        </w:rPr>
        <w:t>n.a</w:t>
      </w:r>
      <w:proofErr w:type="spellEnd"/>
      <w:r w:rsidRPr="00493E39">
        <w:rPr>
          <w:rFonts w:cs="Arial"/>
          <w:sz w:val="18"/>
          <w:lang w:val="pt-BR"/>
        </w:rPr>
        <w:t>.' indica razão não informativa, por ser o efeito total próximo de zero. O canal de 0,008 estimado no regime anterior em h = 0, embora significativo, não indica transmissão: ele é dominado pela perna da gasolina, cujo produto é a resposta do preço ao choque, de 0,208 e não distinguível de zero, multiplicada pelo coeficiente daquele preço na equação condicionada, que é praticamente o peso do item na cesta e por isso estimado com precisão alta. A significância reflete a precisão do peso, e não evidência de que o combustível respondesse à cotação internacional naquele regime.</w:t>
      </w:r>
    </w:p>
    <w:p w14:paraId="68CF993D"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716DE097" w14:textId="77777777" w:rsidR="00D64459" w:rsidRPr="00493E39" w:rsidRDefault="008B2120">
      <w:pPr>
        <w:keepNext/>
        <w:spacing w:before="200" w:after="40" w:line="240" w:lineRule="auto"/>
        <w:rPr>
          <w:rFonts w:cs="Arial"/>
          <w:lang w:val="pt-BR"/>
        </w:rPr>
      </w:pPr>
      <w:r w:rsidRPr="00493E39">
        <w:rPr>
          <w:rFonts w:cs="Arial"/>
          <w:sz w:val="20"/>
          <w:lang w:val="pt-BR"/>
        </w:rPr>
        <w:t>Tabela 5 – Decomposição do repasse ao IPCA Geral em primeira e segunda volta, regime posterior</w:t>
      </w:r>
    </w:p>
    <w:tbl>
      <w:tblPr>
        <w:tblW w:w="0" w:type="auto"/>
        <w:jc w:val="center"/>
        <w:tblLook w:val="04A0" w:firstRow="1" w:lastRow="0" w:firstColumn="1" w:lastColumn="0" w:noHBand="0" w:noVBand="1"/>
      </w:tblPr>
      <w:tblGrid>
        <w:gridCol w:w="794"/>
        <w:gridCol w:w="1474"/>
        <w:gridCol w:w="1587"/>
        <w:gridCol w:w="1587"/>
        <w:gridCol w:w="1020"/>
        <w:gridCol w:w="1701"/>
      </w:tblGrid>
      <w:tr w:rsidR="00D64459" w:rsidRPr="00493E39" w14:paraId="4ECA035D" w14:textId="77777777">
        <w:trPr>
          <w:cantSplit/>
          <w:tblHeader/>
          <w:jc w:val="center"/>
        </w:trPr>
        <w:tc>
          <w:tcPr>
            <w:tcW w:w="794" w:type="dxa"/>
            <w:tcBorders>
              <w:top w:val="single" w:sz="12" w:space="0" w:color="000000"/>
              <w:left w:val="nil"/>
              <w:bottom w:val="single" w:sz="6" w:space="0" w:color="000000"/>
              <w:right w:val="nil"/>
            </w:tcBorders>
          </w:tcPr>
          <w:p w14:paraId="1F4DF6CC" w14:textId="77777777" w:rsidR="00D64459" w:rsidRPr="00493E39" w:rsidRDefault="008B2120">
            <w:pPr>
              <w:spacing w:after="20" w:line="240" w:lineRule="auto"/>
              <w:rPr>
                <w:rFonts w:cs="Arial"/>
              </w:rPr>
            </w:pPr>
            <w:r w:rsidRPr="00493E39">
              <w:rPr>
                <w:rFonts w:cs="Arial"/>
                <w:b/>
                <w:sz w:val="18"/>
              </w:rPr>
              <w:t>h</w:t>
            </w:r>
          </w:p>
        </w:tc>
        <w:tc>
          <w:tcPr>
            <w:tcW w:w="1474" w:type="dxa"/>
            <w:tcBorders>
              <w:top w:val="single" w:sz="12" w:space="0" w:color="000000"/>
              <w:left w:val="nil"/>
              <w:bottom w:val="single" w:sz="6" w:space="0" w:color="000000"/>
              <w:right w:val="nil"/>
            </w:tcBorders>
          </w:tcPr>
          <w:p w14:paraId="0D019FFE" w14:textId="77777777" w:rsidR="00D64459" w:rsidRPr="00493E39" w:rsidRDefault="008B2120">
            <w:pPr>
              <w:spacing w:after="20" w:line="240" w:lineRule="auto"/>
              <w:jc w:val="center"/>
              <w:rPr>
                <w:rFonts w:cs="Arial"/>
              </w:rPr>
            </w:pPr>
            <w:proofErr w:type="spellStart"/>
            <w:r w:rsidRPr="00493E39">
              <w:rPr>
                <w:rFonts w:cs="Arial"/>
                <w:b/>
                <w:sz w:val="18"/>
              </w:rPr>
              <w:t>Efeito</w:t>
            </w:r>
            <w:proofErr w:type="spellEnd"/>
            <w:r w:rsidRPr="00493E39">
              <w:rPr>
                <w:rFonts w:cs="Arial"/>
                <w:b/>
                <w:sz w:val="18"/>
              </w:rPr>
              <w:t xml:space="preserve"> total</w:t>
            </w:r>
          </w:p>
        </w:tc>
        <w:tc>
          <w:tcPr>
            <w:tcW w:w="1587" w:type="dxa"/>
            <w:tcBorders>
              <w:top w:val="single" w:sz="12" w:space="0" w:color="000000"/>
              <w:left w:val="nil"/>
              <w:bottom w:val="single" w:sz="6" w:space="0" w:color="000000"/>
              <w:right w:val="nil"/>
            </w:tcBorders>
          </w:tcPr>
          <w:p w14:paraId="12638960" w14:textId="77777777" w:rsidR="00D64459" w:rsidRPr="00493E39" w:rsidRDefault="008B2120">
            <w:pPr>
              <w:spacing w:after="20" w:line="240" w:lineRule="auto"/>
              <w:jc w:val="center"/>
              <w:rPr>
                <w:rFonts w:cs="Arial"/>
              </w:rPr>
            </w:pPr>
            <w:proofErr w:type="spellStart"/>
            <w:r w:rsidRPr="00493E39">
              <w:rPr>
                <w:rFonts w:cs="Arial"/>
                <w:b/>
                <w:sz w:val="18"/>
              </w:rPr>
              <w:t>Primeira</w:t>
            </w:r>
            <w:proofErr w:type="spellEnd"/>
            <w:r w:rsidRPr="00493E39">
              <w:rPr>
                <w:rFonts w:cs="Arial"/>
                <w:b/>
                <w:sz w:val="18"/>
              </w:rPr>
              <w:t xml:space="preserve"> volta</w:t>
            </w:r>
          </w:p>
        </w:tc>
        <w:tc>
          <w:tcPr>
            <w:tcW w:w="1587" w:type="dxa"/>
            <w:tcBorders>
              <w:top w:val="single" w:sz="12" w:space="0" w:color="000000"/>
              <w:left w:val="nil"/>
              <w:bottom w:val="single" w:sz="6" w:space="0" w:color="000000"/>
              <w:right w:val="nil"/>
            </w:tcBorders>
          </w:tcPr>
          <w:p w14:paraId="0F99E0E6" w14:textId="77777777" w:rsidR="00D64459" w:rsidRPr="00493E39" w:rsidRDefault="008B2120">
            <w:pPr>
              <w:spacing w:after="20" w:line="240" w:lineRule="auto"/>
              <w:jc w:val="center"/>
              <w:rPr>
                <w:rFonts w:cs="Arial"/>
              </w:rPr>
            </w:pPr>
            <w:r w:rsidRPr="00493E39">
              <w:rPr>
                <w:rFonts w:cs="Arial"/>
                <w:b/>
                <w:sz w:val="18"/>
              </w:rPr>
              <w:t>Segunda volta</w:t>
            </w:r>
          </w:p>
        </w:tc>
        <w:tc>
          <w:tcPr>
            <w:tcW w:w="1020" w:type="dxa"/>
            <w:tcBorders>
              <w:top w:val="single" w:sz="12" w:space="0" w:color="000000"/>
              <w:left w:val="nil"/>
              <w:bottom w:val="single" w:sz="6" w:space="0" w:color="000000"/>
              <w:right w:val="nil"/>
            </w:tcBorders>
          </w:tcPr>
          <w:p w14:paraId="1D5593CD" w14:textId="77777777" w:rsidR="00D64459" w:rsidRPr="00493E39" w:rsidRDefault="008B2120">
            <w:pPr>
              <w:spacing w:after="20" w:line="240" w:lineRule="auto"/>
              <w:jc w:val="center"/>
              <w:rPr>
                <w:rFonts w:cs="Arial"/>
              </w:rPr>
            </w:pPr>
            <w:r w:rsidRPr="00493E39">
              <w:rPr>
                <w:rFonts w:cs="Arial"/>
                <w:b/>
                <w:sz w:val="18"/>
              </w:rPr>
              <w:t>p</w:t>
            </w:r>
          </w:p>
        </w:tc>
        <w:tc>
          <w:tcPr>
            <w:tcW w:w="1701" w:type="dxa"/>
            <w:tcBorders>
              <w:top w:val="single" w:sz="12" w:space="0" w:color="000000"/>
              <w:left w:val="nil"/>
              <w:bottom w:val="single" w:sz="6" w:space="0" w:color="000000"/>
              <w:right w:val="nil"/>
            </w:tcBorders>
          </w:tcPr>
          <w:p w14:paraId="7713D472" w14:textId="77777777" w:rsidR="00D64459" w:rsidRPr="00493E39" w:rsidRDefault="008B2120">
            <w:pPr>
              <w:spacing w:after="20" w:line="240" w:lineRule="auto"/>
              <w:jc w:val="center"/>
              <w:rPr>
                <w:rFonts w:cs="Arial"/>
              </w:rPr>
            </w:pPr>
            <w:r w:rsidRPr="00493E39">
              <w:rPr>
                <w:rFonts w:cs="Arial"/>
                <w:b/>
                <w:sz w:val="18"/>
              </w:rPr>
              <w:t xml:space="preserve">% </w:t>
            </w:r>
            <w:proofErr w:type="spellStart"/>
            <w:r w:rsidRPr="00493E39">
              <w:rPr>
                <w:rFonts w:cs="Arial"/>
                <w:b/>
                <w:sz w:val="18"/>
              </w:rPr>
              <w:t>primeira</w:t>
            </w:r>
            <w:proofErr w:type="spellEnd"/>
            <w:r w:rsidRPr="00493E39">
              <w:rPr>
                <w:rFonts w:cs="Arial"/>
                <w:b/>
                <w:sz w:val="18"/>
              </w:rPr>
              <w:t xml:space="preserve"> volta</w:t>
            </w:r>
          </w:p>
        </w:tc>
      </w:tr>
      <w:tr w:rsidR="00D64459" w:rsidRPr="00493E39" w14:paraId="2C68CB63" w14:textId="77777777">
        <w:trPr>
          <w:cantSplit/>
          <w:jc w:val="center"/>
        </w:trPr>
        <w:tc>
          <w:tcPr>
            <w:tcW w:w="794" w:type="dxa"/>
            <w:tcBorders>
              <w:top w:val="nil"/>
              <w:left w:val="nil"/>
              <w:bottom w:val="nil"/>
              <w:right w:val="nil"/>
            </w:tcBorders>
          </w:tcPr>
          <w:p w14:paraId="36EFDAA1" w14:textId="77777777" w:rsidR="00D64459" w:rsidRPr="00493E39" w:rsidRDefault="008B2120">
            <w:pPr>
              <w:spacing w:line="240" w:lineRule="auto"/>
              <w:rPr>
                <w:rFonts w:cs="Arial"/>
              </w:rPr>
            </w:pPr>
            <w:r w:rsidRPr="00493E39">
              <w:rPr>
                <w:rFonts w:cs="Arial"/>
                <w:sz w:val="18"/>
              </w:rPr>
              <w:t>0</w:t>
            </w:r>
          </w:p>
        </w:tc>
        <w:tc>
          <w:tcPr>
            <w:tcW w:w="1474" w:type="dxa"/>
            <w:tcBorders>
              <w:top w:val="nil"/>
              <w:left w:val="nil"/>
              <w:bottom w:val="nil"/>
              <w:right w:val="nil"/>
            </w:tcBorders>
          </w:tcPr>
          <w:p w14:paraId="2AA33625" w14:textId="77777777" w:rsidR="00D64459" w:rsidRPr="00493E39" w:rsidRDefault="008B2120">
            <w:pPr>
              <w:spacing w:line="240" w:lineRule="auto"/>
              <w:jc w:val="center"/>
              <w:rPr>
                <w:rFonts w:cs="Arial"/>
              </w:rPr>
            </w:pPr>
            <w:r w:rsidRPr="00493E39">
              <w:rPr>
                <w:rFonts w:cs="Arial"/>
                <w:sz w:val="18"/>
              </w:rPr>
              <w:t>0,180</w:t>
            </w:r>
          </w:p>
        </w:tc>
        <w:tc>
          <w:tcPr>
            <w:tcW w:w="1587" w:type="dxa"/>
            <w:tcBorders>
              <w:top w:val="nil"/>
              <w:left w:val="nil"/>
              <w:bottom w:val="nil"/>
              <w:right w:val="nil"/>
            </w:tcBorders>
          </w:tcPr>
          <w:p w14:paraId="5260F33F" w14:textId="77777777" w:rsidR="00D64459" w:rsidRPr="00493E39" w:rsidRDefault="008B2120">
            <w:pPr>
              <w:spacing w:line="240" w:lineRule="auto"/>
              <w:jc w:val="center"/>
              <w:rPr>
                <w:rFonts w:cs="Arial"/>
              </w:rPr>
            </w:pPr>
            <w:r w:rsidRPr="00493E39">
              <w:rPr>
                <w:rFonts w:cs="Arial"/>
                <w:sz w:val="18"/>
              </w:rPr>
              <w:t>0,114</w:t>
            </w:r>
          </w:p>
        </w:tc>
        <w:tc>
          <w:tcPr>
            <w:tcW w:w="1587" w:type="dxa"/>
            <w:tcBorders>
              <w:top w:val="nil"/>
              <w:left w:val="nil"/>
              <w:bottom w:val="nil"/>
              <w:right w:val="nil"/>
            </w:tcBorders>
          </w:tcPr>
          <w:p w14:paraId="6C608E80" w14:textId="77777777" w:rsidR="00D64459" w:rsidRPr="00493E39" w:rsidRDefault="008B2120">
            <w:pPr>
              <w:spacing w:line="240" w:lineRule="auto"/>
              <w:jc w:val="center"/>
              <w:rPr>
                <w:rFonts w:cs="Arial"/>
              </w:rPr>
            </w:pPr>
            <w:r w:rsidRPr="00493E39">
              <w:rPr>
                <w:rFonts w:cs="Arial"/>
                <w:sz w:val="18"/>
              </w:rPr>
              <w:t>0,067*</w:t>
            </w:r>
          </w:p>
        </w:tc>
        <w:tc>
          <w:tcPr>
            <w:tcW w:w="1020" w:type="dxa"/>
            <w:tcBorders>
              <w:top w:val="nil"/>
              <w:left w:val="nil"/>
              <w:bottom w:val="nil"/>
              <w:right w:val="nil"/>
            </w:tcBorders>
          </w:tcPr>
          <w:p w14:paraId="4F47C3CD" w14:textId="77777777" w:rsidR="00D64459" w:rsidRPr="00493E39" w:rsidRDefault="008B2120">
            <w:pPr>
              <w:spacing w:line="240" w:lineRule="auto"/>
              <w:jc w:val="center"/>
              <w:rPr>
                <w:rFonts w:cs="Arial"/>
              </w:rPr>
            </w:pPr>
            <w:r w:rsidRPr="00493E39">
              <w:rPr>
                <w:rFonts w:cs="Arial"/>
                <w:sz w:val="18"/>
              </w:rPr>
              <w:t>0,082</w:t>
            </w:r>
          </w:p>
        </w:tc>
        <w:tc>
          <w:tcPr>
            <w:tcW w:w="1701" w:type="dxa"/>
            <w:tcBorders>
              <w:top w:val="nil"/>
              <w:left w:val="nil"/>
              <w:bottom w:val="nil"/>
              <w:right w:val="nil"/>
            </w:tcBorders>
          </w:tcPr>
          <w:p w14:paraId="0F2F80B1" w14:textId="77777777" w:rsidR="00D64459" w:rsidRPr="00493E39" w:rsidRDefault="008B2120">
            <w:pPr>
              <w:spacing w:line="240" w:lineRule="auto"/>
              <w:jc w:val="center"/>
              <w:rPr>
                <w:rFonts w:cs="Arial"/>
              </w:rPr>
            </w:pPr>
            <w:r w:rsidRPr="00493E39">
              <w:rPr>
                <w:rFonts w:cs="Arial"/>
                <w:sz w:val="18"/>
              </w:rPr>
              <w:t>63%</w:t>
            </w:r>
          </w:p>
        </w:tc>
      </w:tr>
      <w:tr w:rsidR="00D64459" w:rsidRPr="00493E39" w14:paraId="564C6471" w14:textId="77777777">
        <w:trPr>
          <w:cantSplit/>
          <w:jc w:val="center"/>
        </w:trPr>
        <w:tc>
          <w:tcPr>
            <w:tcW w:w="794" w:type="dxa"/>
            <w:tcBorders>
              <w:top w:val="nil"/>
              <w:left w:val="nil"/>
              <w:bottom w:val="nil"/>
              <w:right w:val="nil"/>
            </w:tcBorders>
          </w:tcPr>
          <w:p w14:paraId="4B4F5A93" w14:textId="77777777" w:rsidR="00D64459" w:rsidRPr="00493E39" w:rsidRDefault="008B2120">
            <w:pPr>
              <w:spacing w:line="240" w:lineRule="auto"/>
              <w:rPr>
                <w:rFonts w:cs="Arial"/>
              </w:rPr>
            </w:pPr>
            <w:r w:rsidRPr="00493E39">
              <w:rPr>
                <w:rFonts w:cs="Arial"/>
                <w:sz w:val="18"/>
              </w:rPr>
              <w:t>1</w:t>
            </w:r>
          </w:p>
        </w:tc>
        <w:tc>
          <w:tcPr>
            <w:tcW w:w="1474" w:type="dxa"/>
            <w:tcBorders>
              <w:top w:val="nil"/>
              <w:left w:val="nil"/>
              <w:bottom w:val="nil"/>
              <w:right w:val="nil"/>
            </w:tcBorders>
          </w:tcPr>
          <w:p w14:paraId="3E52896D" w14:textId="77777777" w:rsidR="00D64459" w:rsidRPr="00493E39" w:rsidRDefault="008B2120">
            <w:pPr>
              <w:spacing w:line="240" w:lineRule="auto"/>
              <w:jc w:val="center"/>
              <w:rPr>
                <w:rFonts w:cs="Arial"/>
              </w:rPr>
            </w:pPr>
            <w:r w:rsidRPr="00493E39">
              <w:rPr>
                <w:rFonts w:cs="Arial"/>
                <w:sz w:val="18"/>
              </w:rPr>
              <w:t>0,360</w:t>
            </w:r>
          </w:p>
        </w:tc>
        <w:tc>
          <w:tcPr>
            <w:tcW w:w="1587" w:type="dxa"/>
            <w:tcBorders>
              <w:top w:val="nil"/>
              <w:left w:val="nil"/>
              <w:bottom w:val="nil"/>
              <w:right w:val="nil"/>
            </w:tcBorders>
          </w:tcPr>
          <w:p w14:paraId="7F6EF422" w14:textId="77777777" w:rsidR="00D64459" w:rsidRPr="00493E39" w:rsidRDefault="008B2120">
            <w:pPr>
              <w:spacing w:line="240" w:lineRule="auto"/>
              <w:jc w:val="center"/>
              <w:rPr>
                <w:rFonts w:cs="Arial"/>
              </w:rPr>
            </w:pPr>
            <w:r w:rsidRPr="00493E39">
              <w:rPr>
                <w:rFonts w:cs="Arial"/>
                <w:sz w:val="18"/>
              </w:rPr>
              <w:t>0,223</w:t>
            </w:r>
          </w:p>
        </w:tc>
        <w:tc>
          <w:tcPr>
            <w:tcW w:w="1587" w:type="dxa"/>
            <w:tcBorders>
              <w:top w:val="nil"/>
              <w:left w:val="nil"/>
              <w:bottom w:val="nil"/>
              <w:right w:val="nil"/>
            </w:tcBorders>
          </w:tcPr>
          <w:p w14:paraId="5E98BEE0" w14:textId="77777777" w:rsidR="00D64459" w:rsidRPr="00493E39" w:rsidRDefault="008B2120">
            <w:pPr>
              <w:spacing w:line="240" w:lineRule="auto"/>
              <w:jc w:val="center"/>
              <w:rPr>
                <w:rFonts w:cs="Arial"/>
              </w:rPr>
            </w:pPr>
            <w:r w:rsidRPr="00493E39">
              <w:rPr>
                <w:rFonts w:cs="Arial"/>
                <w:sz w:val="18"/>
              </w:rPr>
              <w:t>0,137**</w:t>
            </w:r>
          </w:p>
        </w:tc>
        <w:tc>
          <w:tcPr>
            <w:tcW w:w="1020" w:type="dxa"/>
            <w:tcBorders>
              <w:top w:val="nil"/>
              <w:left w:val="nil"/>
              <w:bottom w:val="nil"/>
              <w:right w:val="nil"/>
            </w:tcBorders>
          </w:tcPr>
          <w:p w14:paraId="24DF8167" w14:textId="77777777" w:rsidR="00D64459" w:rsidRPr="00493E39" w:rsidRDefault="008B2120">
            <w:pPr>
              <w:spacing w:line="240" w:lineRule="auto"/>
              <w:jc w:val="center"/>
              <w:rPr>
                <w:rFonts w:cs="Arial"/>
              </w:rPr>
            </w:pPr>
            <w:r w:rsidRPr="00493E39">
              <w:rPr>
                <w:rFonts w:cs="Arial"/>
                <w:sz w:val="18"/>
              </w:rPr>
              <w:t>0,048</w:t>
            </w:r>
          </w:p>
        </w:tc>
        <w:tc>
          <w:tcPr>
            <w:tcW w:w="1701" w:type="dxa"/>
            <w:tcBorders>
              <w:top w:val="nil"/>
              <w:left w:val="nil"/>
              <w:bottom w:val="nil"/>
              <w:right w:val="nil"/>
            </w:tcBorders>
          </w:tcPr>
          <w:p w14:paraId="2D7400B8" w14:textId="77777777" w:rsidR="00D64459" w:rsidRPr="00493E39" w:rsidRDefault="008B2120">
            <w:pPr>
              <w:spacing w:line="240" w:lineRule="auto"/>
              <w:jc w:val="center"/>
              <w:rPr>
                <w:rFonts w:cs="Arial"/>
              </w:rPr>
            </w:pPr>
            <w:r w:rsidRPr="00493E39">
              <w:rPr>
                <w:rFonts w:cs="Arial"/>
                <w:sz w:val="18"/>
              </w:rPr>
              <w:t>62%</w:t>
            </w:r>
          </w:p>
        </w:tc>
      </w:tr>
      <w:tr w:rsidR="00D64459" w:rsidRPr="00493E39" w14:paraId="2182CB39" w14:textId="77777777">
        <w:trPr>
          <w:cantSplit/>
          <w:jc w:val="center"/>
        </w:trPr>
        <w:tc>
          <w:tcPr>
            <w:tcW w:w="794" w:type="dxa"/>
            <w:tcBorders>
              <w:top w:val="nil"/>
              <w:left w:val="nil"/>
              <w:bottom w:val="nil"/>
              <w:right w:val="nil"/>
            </w:tcBorders>
          </w:tcPr>
          <w:p w14:paraId="4BB61579" w14:textId="77777777" w:rsidR="00D64459" w:rsidRPr="00493E39" w:rsidRDefault="008B2120">
            <w:pPr>
              <w:spacing w:line="240" w:lineRule="auto"/>
              <w:rPr>
                <w:rFonts w:cs="Arial"/>
              </w:rPr>
            </w:pPr>
            <w:r w:rsidRPr="00493E39">
              <w:rPr>
                <w:rFonts w:cs="Arial"/>
                <w:sz w:val="18"/>
              </w:rPr>
              <w:t>2</w:t>
            </w:r>
          </w:p>
        </w:tc>
        <w:tc>
          <w:tcPr>
            <w:tcW w:w="1474" w:type="dxa"/>
            <w:tcBorders>
              <w:top w:val="nil"/>
              <w:left w:val="nil"/>
              <w:bottom w:val="nil"/>
              <w:right w:val="nil"/>
            </w:tcBorders>
          </w:tcPr>
          <w:p w14:paraId="2362954E" w14:textId="77777777" w:rsidR="00D64459" w:rsidRPr="00493E39" w:rsidRDefault="008B2120">
            <w:pPr>
              <w:spacing w:line="240" w:lineRule="auto"/>
              <w:jc w:val="center"/>
              <w:rPr>
                <w:rFonts w:cs="Arial"/>
              </w:rPr>
            </w:pPr>
            <w:r w:rsidRPr="00493E39">
              <w:rPr>
                <w:rFonts w:cs="Arial"/>
                <w:sz w:val="18"/>
              </w:rPr>
              <w:t>0,322</w:t>
            </w:r>
          </w:p>
        </w:tc>
        <w:tc>
          <w:tcPr>
            <w:tcW w:w="1587" w:type="dxa"/>
            <w:tcBorders>
              <w:top w:val="nil"/>
              <w:left w:val="nil"/>
              <w:bottom w:val="nil"/>
              <w:right w:val="nil"/>
            </w:tcBorders>
          </w:tcPr>
          <w:p w14:paraId="18069CB7" w14:textId="77777777" w:rsidR="00D64459" w:rsidRPr="00493E39" w:rsidRDefault="008B2120">
            <w:pPr>
              <w:spacing w:line="240" w:lineRule="auto"/>
              <w:jc w:val="center"/>
              <w:rPr>
                <w:rFonts w:cs="Arial"/>
              </w:rPr>
            </w:pPr>
            <w:r w:rsidRPr="00493E39">
              <w:rPr>
                <w:rFonts w:cs="Arial"/>
                <w:sz w:val="18"/>
              </w:rPr>
              <w:t>0,184</w:t>
            </w:r>
          </w:p>
        </w:tc>
        <w:tc>
          <w:tcPr>
            <w:tcW w:w="1587" w:type="dxa"/>
            <w:tcBorders>
              <w:top w:val="nil"/>
              <w:left w:val="nil"/>
              <w:bottom w:val="nil"/>
              <w:right w:val="nil"/>
            </w:tcBorders>
          </w:tcPr>
          <w:p w14:paraId="50B6E7FB" w14:textId="77777777" w:rsidR="00D64459" w:rsidRPr="00493E39" w:rsidRDefault="008B2120">
            <w:pPr>
              <w:spacing w:line="240" w:lineRule="auto"/>
              <w:jc w:val="center"/>
              <w:rPr>
                <w:rFonts w:cs="Arial"/>
              </w:rPr>
            </w:pPr>
            <w:r w:rsidRPr="00493E39">
              <w:rPr>
                <w:rFonts w:cs="Arial"/>
                <w:sz w:val="18"/>
              </w:rPr>
              <w:t>0,138*</w:t>
            </w:r>
          </w:p>
        </w:tc>
        <w:tc>
          <w:tcPr>
            <w:tcW w:w="1020" w:type="dxa"/>
            <w:tcBorders>
              <w:top w:val="nil"/>
              <w:left w:val="nil"/>
              <w:bottom w:val="nil"/>
              <w:right w:val="nil"/>
            </w:tcBorders>
          </w:tcPr>
          <w:p w14:paraId="13EE5750" w14:textId="77777777" w:rsidR="00D64459" w:rsidRPr="00493E39" w:rsidRDefault="008B2120">
            <w:pPr>
              <w:spacing w:line="240" w:lineRule="auto"/>
              <w:jc w:val="center"/>
              <w:rPr>
                <w:rFonts w:cs="Arial"/>
              </w:rPr>
            </w:pPr>
            <w:r w:rsidRPr="00493E39">
              <w:rPr>
                <w:rFonts w:cs="Arial"/>
                <w:sz w:val="18"/>
              </w:rPr>
              <w:t>0,086</w:t>
            </w:r>
          </w:p>
        </w:tc>
        <w:tc>
          <w:tcPr>
            <w:tcW w:w="1701" w:type="dxa"/>
            <w:tcBorders>
              <w:top w:val="nil"/>
              <w:left w:val="nil"/>
              <w:bottom w:val="nil"/>
              <w:right w:val="nil"/>
            </w:tcBorders>
          </w:tcPr>
          <w:p w14:paraId="39984459" w14:textId="77777777" w:rsidR="00D64459" w:rsidRPr="00493E39" w:rsidRDefault="008B2120">
            <w:pPr>
              <w:spacing w:line="240" w:lineRule="auto"/>
              <w:jc w:val="center"/>
              <w:rPr>
                <w:rFonts w:cs="Arial"/>
              </w:rPr>
            </w:pPr>
            <w:r w:rsidRPr="00493E39">
              <w:rPr>
                <w:rFonts w:cs="Arial"/>
                <w:sz w:val="18"/>
              </w:rPr>
              <w:t>57%</w:t>
            </w:r>
          </w:p>
        </w:tc>
      </w:tr>
      <w:tr w:rsidR="00D64459" w:rsidRPr="00493E39" w14:paraId="7FFED9D2" w14:textId="77777777">
        <w:trPr>
          <w:cantSplit/>
          <w:jc w:val="center"/>
        </w:trPr>
        <w:tc>
          <w:tcPr>
            <w:tcW w:w="794" w:type="dxa"/>
            <w:tcBorders>
              <w:top w:val="nil"/>
              <w:left w:val="nil"/>
              <w:bottom w:val="nil"/>
              <w:right w:val="nil"/>
            </w:tcBorders>
          </w:tcPr>
          <w:p w14:paraId="31BB08B9" w14:textId="77777777" w:rsidR="00D64459" w:rsidRPr="00493E39" w:rsidRDefault="008B2120">
            <w:pPr>
              <w:spacing w:line="240" w:lineRule="auto"/>
              <w:rPr>
                <w:rFonts w:cs="Arial"/>
              </w:rPr>
            </w:pPr>
            <w:r w:rsidRPr="00493E39">
              <w:rPr>
                <w:rFonts w:cs="Arial"/>
                <w:sz w:val="18"/>
              </w:rPr>
              <w:t>3</w:t>
            </w:r>
          </w:p>
        </w:tc>
        <w:tc>
          <w:tcPr>
            <w:tcW w:w="1474" w:type="dxa"/>
            <w:tcBorders>
              <w:top w:val="nil"/>
              <w:left w:val="nil"/>
              <w:bottom w:val="nil"/>
              <w:right w:val="nil"/>
            </w:tcBorders>
          </w:tcPr>
          <w:p w14:paraId="6F4A71D4" w14:textId="77777777" w:rsidR="00D64459" w:rsidRPr="00493E39" w:rsidRDefault="008B2120">
            <w:pPr>
              <w:spacing w:line="240" w:lineRule="auto"/>
              <w:jc w:val="center"/>
              <w:rPr>
                <w:rFonts w:cs="Arial"/>
              </w:rPr>
            </w:pPr>
            <w:r w:rsidRPr="00493E39">
              <w:rPr>
                <w:rFonts w:cs="Arial"/>
                <w:sz w:val="18"/>
              </w:rPr>
              <w:t>0,317</w:t>
            </w:r>
          </w:p>
        </w:tc>
        <w:tc>
          <w:tcPr>
            <w:tcW w:w="1587" w:type="dxa"/>
            <w:tcBorders>
              <w:top w:val="nil"/>
              <w:left w:val="nil"/>
              <w:bottom w:val="nil"/>
              <w:right w:val="nil"/>
            </w:tcBorders>
          </w:tcPr>
          <w:p w14:paraId="15FDBCF1" w14:textId="77777777" w:rsidR="00D64459" w:rsidRPr="00493E39" w:rsidRDefault="008B2120">
            <w:pPr>
              <w:spacing w:line="240" w:lineRule="auto"/>
              <w:jc w:val="center"/>
              <w:rPr>
                <w:rFonts w:cs="Arial"/>
              </w:rPr>
            </w:pPr>
            <w:r w:rsidRPr="00493E39">
              <w:rPr>
                <w:rFonts w:cs="Arial"/>
                <w:sz w:val="18"/>
              </w:rPr>
              <w:t>0,156</w:t>
            </w:r>
          </w:p>
        </w:tc>
        <w:tc>
          <w:tcPr>
            <w:tcW w:w="1587" w:type="dxa"/>
            <w:tcBorders>
              <w:top w:val="nil"/>
              <w:left w:val="nil"/>
              <w:bottom w:val="nil"/>
              <w:right w:val="nil"/>
            </w:tcBorders>
          </w:tcPr>
          <w:p w14:paraId="424624D2" w14:textId="77777777" w:rsidR="00D64459" w:rsidRPr="00493E39" w:rsidRDefault="008B2120">
            <w:pPr>
              <w:spacing w:line="240" w:lineRule="auto"/>
              <w:jc w:val="center"/>
              <w:rPr>
                <w:rFonts w:cs="Arial"/>
              </w:rPr>
            </w:pPr>
            <w:r w:rsidRPr="00493E39">
              <w:rPr>
                <w:rFonts w:cs="Arial"/>
                <w:sz w:val="18"/>
              </w:rPr>
              <w:t>0,161</w:t>
            </w:r>
          </w:p>
        </w:tc>
        <w:tc>
          <w:tcPr>
            <w:tcW w:w="1020" w:type="dxa"/>
            <w:tcBorders>
              <w:top w:val="nil"/>
              <w:left w:val="nil"/>
              <w:bottom w:val="nil"/>
              <w:right w:val="nil"/>
            </w:tcBorders>
          </w:tcPr>
          <w:p w14:paraId="17FF59C5" w14:textId="77777777" w:rsidR="00D64459" w:rsidRPr="00493E39" w:rsidRDefault="008B2120">
            <w:pPr>
              <w:spacing w:line="240" w:lineRule="auto"/>
              <w:jc w:val="center"/>
              <w:rPr>
                <w:rFonts w:cs="Arial"/>
              </w:rPr>
            </w:pPr>
            <w:r w:rsidRPr="00493E39">
              <w:rPr>
                <w:rFonts w:cs="Arial"/>
                <w:sz w:val="18"/>
              </w:rPr>
              <w:t>0,124</w:t>
            </w:r>
          </w:p>
        </w:tc>
        <w:tc>
          <w:tcPr>
            <w:tcW w:w="1701" w:type="dxa"/>
            <w:tcBorders>
              <w:top w:val="nil"/>
              <w:left w:val="nil"/>
              <w:bottom w:val="nil"/>
              <w:right w:val="nil"/>
            </w:tcBorders>
          </w:tcPr>
          <w:p w14:paraId="3A238700" w14:textId="77777777" w:rsidR="00D64459" w:rsidRPr="00493E39" w:rsidRDefault="008B2120">
            <w:pPr>
              <w:spacing w:line="240" w:lineRule="auto"/>
              <w:jc w:val="center"/>
              <w:rPr>
                <w:rFonts w:cs="Arial"/>
              </w:rPr>
            </w:pPr>
            <w:r w:rsidRPr="00493E39">
              <w:rPr>
                <w:rFonts w:cs="Arial"/>
                <w:sz w:val="18"/>
              </w:rPr>
              <w:t>49%</w:t>
            </w:r>
          </w:p>
        </w:tc>
      </w:tr>
      <w:tr w:rsidR="00D64459" w:rsidRPr="00493E39" w14:paraId="1200FA7F" w14:textId="77777777">
        <w:trPr>
          <w:cantSplit/>
          <w:jc w:val="center"/>
        </w:trPr>
        <w:tc>
          <w:tcPr>
            <w:tcW w:w="794" w:type="dxa"/>
            <w:tcBorders>
              <w:top w:val="nil"/>
              <w:left w:val="nil"/>
              <w:bottom w:val="single" w:sz="12" w:space="0" w:color="000000"/>
              <w:right w:val="nil"/>
            </w:tcBorders>
          </w:tcPr>
          <w:p w14:paraId="6EF750C9" w14:textId="77777777" w:rsidR="00D64459" w:rsidRPr="00493E39" w:rsidRDefault="008B2120">
            <w:pPr>
              <w:spacing w:line="240" w:lineRule="auto"/>
              <w:rPr>
                <w:rFonts w:cs="Arial"/>
              </w:rPr>
            </w:pPr>
            <w:r w:rsidRPr="00493E39">
              <w:rPr>
                <w:rFonts w:cs="Arial"/>
                <w:sz w:val="18"/>
              </w:rPr>
              <w:t>6</w:t>
            </w:r>
          </w:p>
        </w:tc>
        <w:tc>
          <w:tcPr>
            <w:tcW w:w="1474" w:type="dxa"/>
            <w:tcBorders>
              <w:top w:val="nil"/>
              <w:left w:val="nil"/>
              <w:bottom w:val="single" w:sz="12" w:space="0" w:color="000000"/>
              <w:right w:val="nil"/>
            </w:tcBorders>
          </w:tcPr>
          <w:p w14:paraId="20E326D5" w14:textId="77777777" w:rsidR="00D64459" w:rsidRPr="00493E39" w:rsidRDefault="008B2120">
            <w:pPr>
              <w:spacing w:line="240" w:lineRule="auto"/>
              <w:jc w:val="center"/>
              <w:rPr>
                <w:rFonts w:cs="Arial"/>
              </w:rPr>
            </w:pPr>
            <w:r w:rsidRPr="00493E39">
              <w:rPr>
                <w:rFonts w:cs="Arial"/>
                <w:sz w:val="18"/>
              </w:rPr>
              <w:t>0,180</w:t>
            </w:r>
          </w:p>
        </w:tc>
        <w:tc>
          <w:tcPr>
            <w:tcW w:w="1587" w:type="dxa"/>
            <w:tcBorders>
              <w:top w:val="nil"/>
              <w:left w:val="nil"/>
              <w:bottom w:val="single" w:sz="12" w:space="0" w:color="000000"/>
              <w:right w:val="nil"/>
            </w:tcBorders>
          </w:tcPr>
          <w:p w14:paraId="45557DF0" w14:textId="77777777" w:rsidR="00D64459" w:rsidRPr="00493E39" w:rsidRDefault="008B2120">
            <w:pPr>
              <w:spacing w:line="240" w:lineRule="auto"/>
              <w:jc w:val="center"/>
              <w:rPr>
                <w:rFonts w:cs="Arial"/>
              </w:rPr>
            </w:pPr>
            <w:r w:rsidRPr="00493E39">
              <w:rPr>
                <w:rFonts w:cs="Arial"/>
                <w:sz w:val="18"/>
              </w:rPr>
              <w:t>0,023</w:t>
            </w:r>
          </w:p>
        </w:tc>
        <w:tc>
          <w:tcPr>
            <w:tcW w:w="1587" w:type="dxa"/>
            <w:tcBorders>
              <w:top w:val="nil"/>
              <w:left w:val="nil"/>
              <w:bottom w:val="single" w:sz="12" w:space="0" w:color="000000"/>
              <w:right w:val="nil"/>
            </w:tcBorders>
          </w:tcPr>
          <w:p w14:paraId="7BCD41BE" w14:textId="77777777" w:rsidR="00D64459" w:rsidRPr="00493E39" w:rsidRDefault="008B2120">
            <w:pPr>
              <w:spacing w:line="240" w:lineRule="auto"/>
              <w:jc w:val="center"/>
              <w:rPr>
                <w:rFonts w:cs="Arial"/>
              </w:rPr>
            </w:pPr>
            <w:r w:rsidRPr="00493E39">
              <w:rPr>
                <w:rFonts w:cs="Arial"/>
                <w:sz w:val="18"/>
              </w:rPr>
              <w:t>0,158*</w:t>
            </w:r>
          </w:p>
        </w:tc>
        <w:tc>
          <w:tcPr>
            <w:tcW w:w="1020" w:type="dxa"/>
            <w:tcBorders>
              <w:top w:val="nil"/>
              <w:left w:val="nil"/>
              <w:bottom w:val="single" w:sz="12" w:space="0" w:color="000000"/>
              <w:right w:val="nil"/>
            </w:tcBorders>
          </w:tcPr>
          <w:p w14:paraId="0C6002E6" w14:textId="77777777" w:rsidR="00D64459" w:rsidRPr="00493E39" w:rsidRDefault="008B2120">
            <w:pPr>
              <w:spacing w:line="240" w:lineRule="auto"/>
              <w:jc w:val="center"/>
              <w:rPr>
                <w:rFonts w:cs="Arial"/>
              </w:rPr>
            </w:pPr>
            <w:r w:rsidRPr="00493E39">
              <w:rPr>
                <w:rFonts w:cs="Arial"/>
                <w:sz w:val="18"/>
              </w:rPr>
              <w:t>0,056</w:t>
            </w:r>
          </w:p>
        </w:tc>
        <w:tc>
          <w:tcPr>
            <w:tcW w:w="1701" w:type="dxa"/>
            <w:tcBorders>
              <w:top w:val="nil"/>
              <w:left w:val="nil"/>
              <w:bottom w:val="single" w:sz="12" w:space="0" w:color="000000"/>
              <w:right w:val="nil"/>
            </w:tcBorders>
          </w:tcPr>
          <w:p w14:paraId="5A5BE22F" w14:textId="77777777" w:rsidR="00D64459" w:rsidRPr="00493E39" w:rsidRDefault="008B2120">
            <w:pPr>
              <w:spacing w:line="240" w:lineRule="auto"/>
              <w:jc w:val="center"/>
              <w:rPr>
                <w:rFonts w:cs="Arial"/>
              </w:rPr>
            </w:pPr>
            <w:r w:rsidRPr="00493E39">
              <w:rPr>
                <w:rFonts w:cs="Arial"/>
                <w:sz w:val="18"/>
              </w:rPr>
              <w:t>13%</w:t>
            </w:r>
          </w:p>
        </w:tc>
      </w:tr>
    </w:tbl>
    <w:p w14:paraId="4A96904F" w14:textId="77777777" w:rsidR="00D64459" w:rsidRPr="00493E39" w:rsidRDefault="008B2120">
      <w:pPr>
        <w:spacing w:before="40" w:line="240" w:lineRule="auto"/>
        <w:jc w:val="both"/>
        <w:rPr>
          <w:rFonts w:cs="Arial"/>
          <w:lang w:val="pt-BR"/>
        </w:rPr>
      </w:pPr>
      <w:r w:rsidRPr="00493E39">
        <w:rPr>
          <w:rFonts w:cs="Arial"/>
          <w:sz w:val="18"/>
          <w:lang w:val="pt-BR"/>
        </w:rPr>
        <w:t>Nota: regime posterior a março de 2017, cenário central de pesos. As percentagens da última coluna são calculadas sobre as estimativas não arredondadas, e por isso não reproduzem exatamente a razão entre os valores exibidos. Os asteriscos referem-se à segunda volta, única coluna com erro-padrão próprio, e indicam significância a 10% (*) e a 5% (**). As três equações são estimadas sobre um desenho comum, de modo que a identidade entre efeito total, primeira e segunda volta é exata. No regime anterior o efeito total situa-se entre 0,006 e 0,098 e a segunda volta não é significativa em horizonte algum, com p entre 0,196 e 0,982, razão pela qual a tabela não a reporta.</w:t>
      </w:r>
    </w:p>
    <w:p w14:paraId="0D2B0D0E"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47A08A35" w14:textId="77777777" w:rsidR="00D64459" w:rsidRPr="00493E39" w:rsidRDefault="008B2120">
      <w:pPr>
        <w:keepNext/>
        <w:spacing w:before="200" w:after="40" w:line="240" w:lineRule="auto"/>
        <w:rPr>
          <w:rFonts w:cs="Arial"/>
          <w:lang w:val="pt-BR"/>
        </w:rPr>
      </w:pPr>
      <w:r w:rsidRPr="00493E39">
        <w:rPr>
          <w:rFonts w:cs="Arial"/>
          <w:sz w:val="20"/>
          <w:lang w:val="pt-BR"/>
        </w:rPr>
        <w:t>Tabela 7 – Teste de autocorrelação residual da gasolina na refinaria, por subamostra</w:t>
      </w:r>
    </w:p>
    <w:tbl>
      <w:tblPr>
        <w:tblW w:w="0" w:type="auto"/>
        <w:jc w:val="center"/>
        <w:tblLook w:val="04A0" w:firstRow="1" w:lastRow="0" w:firstColumn="1" w:lastColumn="0" w:noHBand="0" w:noVBand="1"/>
      </w:tblPr>
      <w:tblGrid>
        <w:gridCol w:w="1928"/>
        <w:gridCol w:w="907"/>
        <w:gridCol w:w="1020"/>
        <w:gridCol w:w="1020"/>
        <w:gridCol w:w="1020"/>
        <w:gridCol w:w="2608"/>
      </w:tblGrid>
      <w:tr w:rsidR="00D64459" w:rsidRPr="00493E39" w14:paraId="4FBF4AD2" w14:textId="77777777">
        <w:trPr>
          <w:cantSplit/>
          <w:tblHeader/>
          <w:jc w:val="center"/>
        </w:trPr>
        <w:tc>
          <w:tcPr>
            <w:tcW w:w="1928" w:type="dxa"/>
            <w:tcBorders>
              <w:top w:val="single" w:sz="12" w:space="0" w:color="000000"/>
              <w:left w:val="nil"/>
              <w:bottom w:val="single" w:sz="6" w:space="0" w:color="000000"/>
              <w:right w:val="nil"/>
            </w:tcBorders>
          </w:tcPr>
          <w:p w14:paraId="74E2EEF7" w14:textId="77777777" w:rsidR="00D64459" w:rsidRPr="00493E39" w:rsidRDefault="008B2120">
            <w:pPr>
              <w:spacing w:after="20" w:line="240" w:lineRule="auto"/>
              <w:rPr>
                <w:rFonts w:cs="Arial"/>
              </w:rPr>
            </w:pPr>
            <w:proofErr w:type="spellStart"/>
            <w:r w:rsidRPr="00493E39">
              <w:rPr>
                <w:rFonts w:cs="Arial"/>
                <w:b/>
                <w:sz w:val="18"/>
              </w:rPr>
              <w:t>Amostra</w:t>
            </w:r>
            <w:proofErr w:type="spellEnd"/>
          </w:p>
        </w:tc>
        <w:tc>
          <w:tcPr>
            <w:tcW w:w="907" w:type="dxa"/>
            <w:tcBorders>
              <w:top w:val="single" w:sz="12" w:space="0" w:color="000000"/>
              <w:left w:val="nil"/>
              <w:bottom w:val="single" w:sz="6" w:space="0" w:color="000000"/>
              <w:right w:val="nil"/>
            </w:tcBorders>
          </w:tcPr>
          <w:p w14:paraId="40F66028" w14:textId="77777777" w:rsidR="00D64459" w:rsidRPr="00493E39" w:rsidRDefault="008B2120">
            <w:pPr>
              <w:spacing w:after="20" w:line="240" w:lineRule="auto"/>
              <w:jc w:val="center"/>
              <w:rPr>
                <w:rFonts w:cs="Arial"/>
              </w:rPr>
            </w:pPr>
            <w:r w:rsidRPr="00493E39">
              <w:rPr>
                <w:rFonts w:cs="Arial"/>
                <w:b/>
                <w:sz w:val="18"/>
              </w:rPr>
              <w:t>Obs.</w:t>
            </w:r>
          </w:p>
        </w:tc>
        <w:tc>
          <w:tcPr>
            <w:tcW w:w="1020" w:type="dxa"/>
            <w:tcBorders>
              <w:top w:val="single" w:sz="12" w:space="0" w:color="000000"/>
              <w:left w:val="nil"/>
              <w:bottom w:val="single" w:sz="6" w:space="0" w:color="000000"/>
              <w:right w:val="nil"/>
            </w:tcBorders>
          </w:tcPr>
          <w:p w14:paraId="46D3C40F" w14:textId="77777777" w:rsidR="00D64459" w:rsidRPr="00493E39" w:rsidRDefault="008B2120">
            <w:pPr>
              <w:spacing w:after="20" w:line="240" w:lineRule="auto"/>
              <w:jc w:val="center"/>
              <w:rPr>
                <w:rFonts w:cs="Arial"/>
              </w:rPr>
            </w:pPr>
            <w:r w:rsidRPr="00493E39">
              <w:rPr>
                <w:rFonts w:cs="Arial"/>
                <w:b/>
                <w:sz w:val="18"/>
              </w:rPr>
              <w:t>q = 1</w:t>
            </w:r>
          </w:p>
        </w:tc>
        <w:tc>
          <w:tcPr>
            <w:tcW w:w="1020" w:type="dxa"/>
            <w:tcBorders>
              <w:top w:val="single" w:sz="12" w:space="0" w:color="000000"/>
              <w:left w:val="nil"/>
              <w:bottom w:val="single" w:sz="6" w:space="0" w:color="000000"/>
              <w:right w:val="nil"/>
            </w:tcBorders>
          </w:tcPr>
          <w:p w14:paraId="45155202" w14:textId="77777777" w:rsidR="00D64459" w:rsidRPr="00493E39" w:rsidRDefault="008B2120">
            <w:pPr>
              <w:spacing w:after="20" w:line="240" w:lineRule="auto"/>
              <w:jc w:val="center"/>
              <w:rPr>
                <w:rFonts w:cs="Arial"/>
              </w:rPr>
            </w:pPr>
            <w:r w:rsidRPr="00493E39">
              <w:rPr>
                <w:rFonts w:cs="Arial"/>
                <w:b/>
                <w:sz w:val="18"/>
              </w:rPr>
              <w:t>q = 6</w:t>
            </w:r>
          </w:p>
        </w:tc>
        <w:tc>
          <w:tcPr>
            <w:tcW w:w="1020" w:type="dxa"/>
            <w:tcBorders>
              <w:top w:val="single" w:sz="12" w:space="0" w:color="000000"/>
              <w:left w:val="nil"/>
              <w:bottom w:val="single" w:sz="6" w:space="0" w:color="000000"/>
              <w:right w:val="nil"/>
            </w:tcBorders>
          </w:tcPr>
          <w:p w14:paraId="5DF7F968" w14:textId="77777777" w:rsidR="00D64459" w:rsidRPr="00493E39" w:rsidRDefault="008B2120">
            <w:pPr>
              <w:spacing w:after="20" w:line="240" w:lineRule="auto"/>
              <w:jc w:val="center"/>
              <w:rPr>
                <w:rFonts w:cs="Arial"/>
              </w:rPr>
            </w:pPr>
            <w:r w:rsidRPr="00493E39">
              <w:rPr>
                <w:rFonts w:cs="Arial"/>
                <w:b/>
                <w:sz w:val="18"/>
              </w:rPr>
              <w:t>q = 12</w:t>
            </w:r>
          </w:p>
        </w:tc>
        <w:tc>
          <w:tcPr>
            <w:tcW w:w="2608" w:type="dxa"/>
            <w:tcBorders>
              <w:top w:val="single" w:sz="12" w:space="0" w:color="000000"/>
              <w:left w:val="nil"/>
              <w:bottom w:val="single" w:sz="6" w:space="0" w:color="000000"/>
              <w:right w:val="nil"/>
            </w:tcBorders>
          </w:tcPr>
          <w:p w14:paraId="0D27ED17" w14:textId="77777777" w:rsidR="00D64459" w:rsidRPr="00493E39" w:rsidRDefault="008B2120">
            <w:pPr>
              <w:spacing w:after="20" w:line="240" w:lineRule="auto"/>
              <w:jc w:val="center"/>
              <w:rPr>
                <w:rFonts w:cs="Arial"/>
              </w:rPr>
            </w:pPr>
            <w:proofErr w:type="spellStart"/>
            <w:r w:rsidRPr="00493E39">
              <w:rPr>
                <w:rFonts w:cs="Arial"/>
                <w:b/>
                <w:sz w:val="18"/>
              </w:rPr>
              <w:t>Coeficiente</w:t>
            </w:r>
            <w:proofErr w:type="spellEnd"/>
            <w:r w:rsidRPr="00493E39">
              <w:rPr>
                <w:rFonts w:cs="Arial"/>
                <w:b/>
                <w:sz w:val="18"/>
              </w:rPr>
              <w:t xml:space="preserve"> do </w:t>
            </w:r>
            <w:proofErr w:type="spellStart"/>
            <w:r w:rsidRPr="00493E39">
              <w:rPr>
                <w:rFonts w:cs="Arial"/>
                <w:b/>
                <w:sz w:val="18"/>
              </w:rPr>
              <w:t>choque</w:t>
            </w:r>
            <w:proofErr w:type="spellEnd"/>
          </w:p>
        </w:tc>
      </w:tr>
      <w:tr w:rsidR="00D64459" w:rsidRPr="00493E39" w14:paraId="60F0FAF1" w14:textId="77777777">
        <w:trPr>
          <w:cantSplit/>
          <w:jc w:val="center"/>
        </w:trPr>
        <w:tc>
          <w:tcPr>
            <w:tcW w:w="1928" w:type="dxa"/>
            <w:tcBorders>
              <w:top w:val="nil"/>
              <w:left w:val="nil"/>
              <w:bottom w:val="nil"/>
              <w:right w:val="nil"/>
            </w:tcBorders>
          </w:tcPr>
          <w:p w14:paraId="78A62E5B" w14:textId="77777777" w:rsidR="00D64459" w:rsidRPr="00493E39" w:rsidRDefault="008B2120">
            <w:pPr>
              <w:spacing w:line="240" w:lineRule="auto"/>
              <w:rPr>
                <w:rFonts w:cs="Arial"/>
              </w:rPr>
            </w:pPr>
            <w:r w:rsidRPr="00493E39">
              <w:rPr>
                <w:rFonts w:cs="Arial"/>
                <w:sz w:val="18"/>
              </w:rPr>
              <w:t>Completa</w:t>
            </w:r>
          </w:p>
        </w:tc>
        <w:tc>
          <w:tcPr>
            <w:tcW w:w="907" w:type="dxa"/>
            <w:tcBorders>
              <w:top w:val="nil"/>
              <w:left w:val="nil"/>
              <w:bottom w:val="nil"/>
              <w:right w:val="nil"/>
            </w:tcBorders>
          </w:tcPr>
          <w:p w14:paraId="1A4D519F" w14:textId="77777777" w:rsidR="00D64459" w:rsidRPr="00493E39" w:rsidRDefault="008B2120">
            <w:pPr>
              <w:spacing w:line="240" w:lineRule="auto"/>
              <w:jc w:val="center"/>
              <w:rPr>
                <w:rFonts w:cs="Arial"/>
              </w:rPr>
            </w:pPr>
            <w:r w:rsidRPr="00493E39">
              <w:rPr>
                <w:rFonts w:cs="Arial"/>
                <w:sz w:val="18"/>
              </w:rPr>
              <w:t>269</w:t>
            </w:r>
          </w:p>
        </w:tc>
        <w:tc>
          <w:tcPr>
            <w:tcW w:w="1020" w:type="dxa"/>
            <w:tcBorders>
              <w:top w:val="nil"/>
              <w:left w:val="nil"/>
              <w:bottom w:val="nil"/>
              <w:right w:val="nil"/>
            </w:tcBorders>
          </w:tcPr>
          <w:p w14:paraId="2340FE48" w14:textId="77777777" w:rsidR="00D64459" w:rsidRPr="00493E39" w:rsidRDefault="008B2120">
            <w:pPr>
              <w:spacing w:line="240" w:lineRule="auto"/>
              <w:jc w:val="center"/>
              <w:rPr>
                <w:rFonts w:cs="Arial"/>
              </w:rPr>
            </w:pPr>
            <w:r w:rsidRPr="00493E39">
              <w:rPr>
                <w:rFonts w:cs="Arial"/>
                <w:sz w:val="18"/>
              </w:rPr>
              <w:t>0,112</w:t>
            </w:r>
          </w:p>
        </w:tc>
        <w:tc>
          <w:tcPr>
            <w:tcW w:w="1020" w:type="dxa"/>
            <w:tcBorders>
              <w:top w:val="nil"/>
              <w:left w:val="nil"/>
              <w:bottom w:val="nil"/>
              <w:right w:val="nil"/>
            </w:tcBorders>
          </w:tcPr>
          <w:p w14:paraId="0F67C881" w14:textId="77777777" w:rsidR="00D64459" w:rsidRPr="00493E39" w:rsidRDefault="008B2120">
            <w:pPr>
              <w:spacing w:line="240" w:lineRule="auto"/>
              <w:jc w:val="center"/>
              <w:rPr>
                <w:rFonts w:cs="Arial"/>
              </w:rPr>
            </w:pPr>
            <w:r w:rsidRPr="00493E39">
              <w:rPr>
                <w:rFonts w:cs="Arial"/>
                <w:sz w:val="18"/>
              </w:rPr>
              <w:t>0,515</w:t>
            </w:r>
          </w:p>
        </w:tc>
        <w:tc>
          <w:tcPr>
            <w:tcW w:w="1020" w:type="dxa"/>
            <w:tcBorders>
              <w:top w:val="nil"/>
              <w:left w:val="nil"/>
              <w:bottom w:val="nil"/>
              <w:right w:val="nil"/>
            </w:tcBorders>
          </w:tcPr>
          <w:p w14:paraId="1B83C71F" w14:textId="77777777" w:rsidR="00D64459" w:rsidRPr="00493E39" w:rsidRDefault="008B2120">
            <w:pPr>
              <w:spacing w:line="240" w:lineRule="auto"/>
              <w:jc w:val="center"/>
              <w:rPr>
                <w:rFonts w:cs="Arial"/>
              </w:rPr>
            </w:pPr>
            <w:r w:rsidRPr="00493E39">
              <w:rPr>
                <w:rFonts w:cs="Arial"/>
                <w:sz w:val="18"/>
              </w:rPr>
              <w:t>0,586</w:t>
            </w:r>
          </w:p>
        </w:tc>
        <w:tc>
          <w:tcPr>
            <w:tcW w:w="2608" w:type="dxa"/>
            <w:tcBorders>
              <w:top w:val="nil"/>
              <w:left w:val="nil"/>
              <w:bottom w:val="nil"/>
              <w:right w:val="nil"/>
            </w:tcBorders>
          </w:tcPr>
          <w:p w14:paraId="297AA3F7" w14:textId="77777777" w:rsidR="00D64459" w:rsidRPr="00493E39" w:rsidRDefault="008B2120">
            <w:pPr>
              <w:spacing w:line="240" w:lineRule="auto"/>
              <w:jc w:val="center"/>
              <w:rPr>
                <w:rFonts w:cs="Arial"/>
              </w:rPr>
            </w:pPr>
            <w:r w:rsidRPr="00493E39">
              <w:rPr>
                <w:rFonts w:cs="Arial"/>
                <w:sz w:val="18"/>
              </w:rPr>
              <w:t>1,586 (p &lt; 0,001)</w:t>
            </w:r>
          </w:p>
        </w:tc>
      </w:tr>
      <w:tr w:rsidR="00D64459" w:rsidRPr="00493E39" w14:paraId="05683185" w14:textId="77777777">
        <w:trPr>
          <w:cantSplit/>
          <w:jc w:val="center"/>
        </w:trPr>
        <w:tc>
          <w:tcPr>
            <w:tcW w:w="1928" w:type="dxa"/>
            <w:tcBorders>
              <w:top w:val="nil"/>
              <w:left w:val="nil"/>
              <w:bottom w:val="nil"/>
              <w:right w:val="nil"/>
            </w:tcBorders>
          </w:tcPr>
          <w:p w14:paraId="17D7E2F1" w14:textId="77777777" w:rsidR="00D64459" w:rsidRPr="00493E39" w:rsidRDefault="008B2120">
            <w:pPr>
              <w:spacing w:line="240" w:lineRule="auto"/>
              <w:rPr>
                <w:rFonts w:cs="Arial"/>
              </w:rPr>
            </w:pPr>
            <w:r w:rsidRPr="00493E39">
              <w:rPr>
                <w:rFonts w:cs="Arial"/>
                <w:sz w:val="18"/>
              </w:rPr>
              <w:t>Regime anterior</w:t>
            </w:r>
          </w:p>
        </w:tc>
        <w:tc>
          <w:tcPr>
            <w:tcW w:w="907" w:type="dxa"/>
            <w:tcBorders>
              <w:top w:val="nil"/>
              <w:left w:val="nil"/>
              <w:bottom w:val="nil"/>
              <w:right w:val="nil"/>
            </w:tcBorders>
          </w:tcPr>
          <w:p w14:paraId="502A06E6" w14:textId="77777777" w:rsidR="00D64459" w:rsidRPr="00493E39" w:rsidRDefault="008B2120">
            <w:pPr>
              <w:spacing w:line="240" w:lineRule="auto"/>
              <w:jc w:val="center"/>
              <w:rPr>
                <w:rFonts w:cs="Arial"/>
              </w:rPr>
            </w:pPr>
            <w:r w:rsidRPr="00493E39">
              <w:rPr>
                <w:rFonts w:cs="Arial"/>
                <w:sz w:val="18"/>
              </w:rPr>
              <w:t>166</w:t>
            </w:r>
          </w:p>
        </w:tc>
        <w:tc>
          <w:tcPr>
            <w:tcW w:w="1020" w:type="dxa"/>
            <w:tcBorders>
              <w:top w:val="nil"/>
              <w:left w:val="nil"/>
              <w:bottom w:val="nil"/>
              <w:right w:val="nil"/>
            </w:tcBorders>
          </w:tcPr>
          <w:p w14:paraId="77578D1A" w14:textId="77777777" w:rsidR="00D64459" w:rsidRPr="00493E39" w:rsidRDefault="008B2120">
            <w:pPr>
              <w:spacing w:line="240" w:lineRule="auto"/>
              <w:jc w:val="center"/>
              <w:rPr>
                <w:rFonts w:cs="Arial"/>
              </w:rPr>
            </w:pPr>
            <w:r w:rsidRPr="00493E39">
              <w:rPr>
                <w:rFonts w:cs="Arial"/>
                <w:sz w:val="18"/>
              </w:rPr>
              <w:t>0,691</w:t>
            </w:r>
          </w:p>
        </w:tc>
        <w:tc>
          <w:tcPr>
            <w:tcW w:w="1020" w:type="dxa"/>
            <w:tcBorders>
              <w:top w:val="nil"/>
              <w:left w:val="nil"/>
              <w:bottom w:val="nil"/>
              <w:right w:val="nil"/>
            </w:tcBorders>
          </w:tcPr>
          <w:p w14:paraId="74CD1FB2" w14:textId="77777777" w:rsidR="00D64459" w:rsidRPr="00493E39" w:rsidRDefault="008B2120">
            <w:pPr>
              <w:spacing w:line="240" w:lineRule="auto"/>
              <w:jc w:val="center"/>
              <w:rPr>
                <w:rFonts w:cs="Arial"/>
              </w:rPr>
            </w:pPr>
            <w:r w:rsidRPr="00493E39">
              <w:rPr>
                <w:rFonts w:cs="Arial"/>
                <w:sz w:val="18"/>
              </w:rPr>
              <w:t>0,864</w:t>
            </w:r>
          </w:p>
        </w:tc>
        <w:tc>
          <w:tcPr>
            <w:tcW w:w="1020" w:type="dxa"/>
            <w:tcBorders>
              <w:top w:val="nil"/>
              <w:left w:val="nil"/>
              <w:bottom w:val="nil"/>
              <w:right w:val="nil"/>
            </w:tcBorders>
          </w:tcPr>
          <w:p w14:paraId="7C45D63D" w14:textId="77777777" w:rsidR="00D64459" w:rsidRPr="00493E39" w:rsidRDefault="008B2120">
            <w:pPr>
              <w:spacing w:line="240" w:lineRule="auto"/>
              <w:jc w:val="center"/>
              <w:rPr>
                <w:rFonts w:cs="Arial"/>
              </w:rPr>
            </w:pPr>
            <w:r w:rsidRPr="00493E39">
              <w:rPr>
                <w:rFonts w:cs="Arial"/>
                <w:sz w:val="18"/>
              </w:rPr>
              <w:t>0,889</w:t>
            </w:r>
          </w:p>
        </w:tc>
        <w:tc>
          <w:tcPr>
            <w:tcW w:w="2608" w:type="dxa"/>
            <w:tcBorders>
              <w:top w:val="nil"/>
              <w:left w:val="nil"/>
              <w:bottom w:val="nil"/>
              <w:right w:val="nil"/>
            </w:tcBorders>
          </w:tcPr>
          <w:p w14:paraId="1E38D5A1" w14:textId="77777777" w:rsidR="00D64459" w:rsidRPr="00493E39" w:rsidRDefault="008B2120">
            <w:pPr>
              <w:spacing w:line="240" w:lineRule="auto"/>
              <w:jc w:val="center"/>
              <w:rPr>
                <w:rFonts w:cs="Arial"/>
              </w:rPr>
            </w:pPr>
            <w:r w:rsidRPr="00493E39">
              <w:rPr>
                <w:rFonts w:cs="Arial"/>
                <w:sz w:val="18"/>
              </w:rPr>
              <w:t>0,431 (p = 0,039)</w:t>
            </w:r>
          </w:p>
        </w:tc>
      </w:tr>
      <w:tr w:rsidR="00D64459" w:rsidRPr="00493E39" w14:paraId="6FCA1618" w14:textId="77777777">
        <w:trPr>
          <w:cantSplit/>
          <w:jc w:val="center"/>
        </w:trPr>
        <w:tc>
          <w:tcPr>
            <w:tcW w:w="1928" w:type="dxa"/>
            <w:tcBorders>
              <w:top w:val="nil"/>
              <w:left w:val="nil"/>
              <w:bottom w:val="single" w:sz="12" w:space="0" w:color="000000"/>
              <w:right w:val="nil"/>
            </w:tcBorders>
          </w:tcPr>
          <w:p w14:paraId="09407F5B" w14:textId="77777777" w:rsidR="00D64459" w:rsidRPr="00493E39" w:rsidRDefault="008B2120">
            <w:pPr>
              <w:spacing w:line="240" w:lineRule="auto"/>
              <w:rPr>
                <w:rFonts w:cs="Arial"/>
              </w:rPr>
            </w:pPr>
            <w:r w:rsidRPr="00493E39">
              <w:rPr>
                <w:rFonts w:cs="Arial"/>
                <w:sz w:val="18"/>
              </w:rPr>
              <w:t>Regime posterior</w:t>
            </w:r>
          </w:p>
        </w:tc>
        <w:tc>
          <w:tcPr>
            <w:tcW w:w="907" w:type="dxa"/>
            <w:tcBorders>
              <w:top w:val="nil"/>
              <w:left w:val="nil"/>
              <w:bottom w:val="single" w:sz="12" w:space="0" w:color="000000"/>
              <w:right w:val="nil"/>
            </w:tcBorders>
          </w:tcPr>
          <w:p w14:paraId="0A6276D7" w14:textId="77777777" w:rsidR="00D64459" w:rsidRPr="00493E39" w:rsidRDefault="008B2120">
            <w:pPr>
              <w:spacing w:line="240" w:lineRule="auto"/>
              <w:jc w:val="center"/>
              <w:rPr>
                <w:rFonts w:cs="Arial"/>
              </w:rPr>
            </w:pPr>
            <w:r w:rsidRPr="00493E39">
              <w:rPr>
                <w:rFonts w:cs="Arial"/>
                <w:sz w:val="18"/>
              </w:rPr>
              <w:t>103</w:t>
            </w:r>
          </w:p>
        </w:tc>
        <w:tc>
          <w:tcPr>
            <w:tcW w:w="1020" w:type="dxa"/>
            <w:tcBorders>
              <w:top w:val="nil"/>
              <w:left w:val="nil"/>
              <w:bottom w:val="single" w:sz="12" w:space="0" w:color="000000"/>
              <w:right w:val="nil"/>
            </w:tcBorders>
          </w:tcPr>
          <w:p w14:paraId="7E75D318" w14:textId="77777777" w:rsidR="00D64459" w:rsidRPr="00493E39" w:rsidRDefault="008B2120">
            <w:pPr>
              <w:spacing w:line="240" w:lineRule="auto"/>
              <w:jc w:val="center"/>
              <w:rPr>
                <w:rFonts w:cs="Arial"/>
              </w:rPr>
            </w:pPr>
            <w:r w:rsidRPr="00493E39">
              <w:rPr>
                <w:rFonts w:cs="Arial"/>
                <w:sz w:val="18"/>
              </w:rPr>
              <w:t>0,887</w:t>
            </w:r>
          </w:p>
        </w:tc>
        <w:tc>
          <w:tcPr>
            <w:tcW w:w="1020" w:type="dxa"/>
            <w:tcBorders>
              <w:top w:val="nil"/>
              <w:left w:val="nil"/>
              <w:bottom w:val="single" w:sz="12" w:space="0" w:color="000000"/>
              <w:right w:val="nil"/>
            </w:tcBorders>
          </w:tcPr>
          <w:p w14:paraId="09303A61" w14:textId="77777777" w:rsidR="00D64459" w:rsidRPr="00493E39" w:rsidRDefault="008B2120">
            <w:pPr>
              <w:spacing w:line="240" w:lineRule="auto"/>
              <w:jc w:val="center"/>
              <w:rPr>
                <w:rFonts w:cs="Arial"/>
              </w:rPr>
            </w:pPr>
            <w:r w:rsidRPr="00493E39">
              <w:rPr>
                <w:rFonts w:cs="Arial"/>
                <w:sz w:val="18"/>
              </w:rPr>
              <w:t>0,386</w:t>
            </w:r>
          </w:p>
        </w:tc>
        <w:tc>
          <w:tcPr>
            <w:tcW w:w="1020" w:type="dxa"/>
            <w:tcBorders>
              <w:top w:val="nil"/>
              <w:left w:val="nil"/>
              <w:bottom w:val="single" w:sz="12" w:space="0" w:color="000000"/>
              <w:right w:val="nil"/>
            </w:tcBorders>
          </w:tcPr>
          <w:p w14:paraId="1A3C5C0E" w14:textId="77777777" w:rsidR="00D64459" w:rsidRPr="00493E39" w:rsidRDefault="008B2120">
            <w:pPr>
              <w:spacing w:line="240" w:lineRule="auto"/>
              <w:jc w:val="center"/>
              <w:rPr>
                <w:rFonts w:cs="Arial"/>
              </w:rPr>
            </w:pPr>
            <w:r w:rsidRPr="00493E39">
              <w:rPr>
                <w:rFonts w:cs="Arial"/>
                <w:sz w:val="18"/>
              </w:rPr>
              <w:t>0,194</w:t>
            </w:r>
          </w:p>
        </w:tc>
        <w:tc>
          <w:tcPr>
            <w:tcW w:w="2608" w:type="dxa"/>
            <w:tcBorders>
              <w:top w:val="nil"/>
              <w:left w:val="nil"/>
              <w:bottom w:val="single" w:sz="12" w:space="0" w:color="000000"/>
              <w:right w:val="nil"/>
            </w:tcBorders>
          </w:tcPr>
          <w:p w14:paraId="18A43D23" w14:textId="77777777" w:rsidR="00D64459" w:rsidRPr="00493E39" w:rsidRDefault="008B2120">
            <w:pPr>
              <w:spacing w:line="240" w:lineRule="auto"/>
              <w:jc w:val="center"/>
              <w:rPr>
                <w:rFonts w:cs="Arial"/>
              </w:rPr>
            </w:pPr>
            <w:r w:rsidRPr="00493E39">
              <w:rPr>
                <w:rFonts w:cs="Arial"/>
                <w:sz w:val="18"/>
              </w:rPr>
              <w:t>4,575 (p &lt; 0,001)</w:t>
            </w:r>
          </w:p>
        </w:tc>
      </w:tr>
    </w:tbl>
    <w:p w14:paraId="36BE8145" w14:textId="77777777" w:rsidR="00D64459" w:rsidRPr="00493E39" w:rsidRDefault="008B2120">
      <w:pPr>
        <w:spacing w:before="40" w:line="240" w:lineRule="auto"/>
        <w:jc w:val="both"/>
        <w:rPr>
          <w:rFonts w:cs="Arial"/>
          <w:lang w:val="pt-BR"/>
        </w:rPr>
      </w:pPr>
      <w:r w:rsidRPr="00493E39">
        <w:rPr>
          <w:rFonts w:cs="Arial"/>
          <w:sz w:val="18"/>
          <w:lang w:val="pt-BR"/>
        </w:rPr>
        <w:t xml:space="preserve">Nota: p-valores do teste de </w:t>
      </w:r>
      <w:proofErr w:type="spellStart"/>
      <w:r w:rsidRPr="00493E39">
        <w:rPr>
          <w:rFonts w:cs="Arial"/>
          <w:sz w:val="18"/>
          <w:lang w:val="pt-BR"/>
        </w:rPr>
        <w:t>Breusch</w:t>
      </w:r>
      <w:proofErr w:type="spellEnd"/>
      <w:r w:rsidRPr="00493E39">
        <w:rPr>
          <w:rFonts w:cs="Arial"/>
          <w:sz w:val="18"/>
          <w:lang w:val="pt-BR"/>
        </w:rPr>
        <w:t>-Godfrey em versão robusta à heterocedasticidade, no horizonte de impacto. O teste não rejeita ausência de autocorrelação em nenhuma das três amostras. Na última coluna, o coeficiente do choque estimado em cada amostra.</w:t>
      </w:r>
    </w:p>
    <w:p w14:paraId="4571F2EE"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3F817D83"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4 – Resposta do IPCA Transportes por regime</w:t>
      </w:r>
    </w:p>
    <w:p w14:paraId="65B8D764" w14:textId="77777777" w:rsidR="00D64459" w:rsidRPr="00493E39" w:rsidRDefault="008B2120">
      <w:pPr>
        <w:keepNext/>
        <w:spacing w:after="40"/>
        <w:jc w:val="center"/>
        <w:rPr>
          <w:rFonts w:cs="Arial"/>
        </w:rPr>
      </w:pPr>
      <w:r w:rsidRPr="00493E39">
        <w:rPr>
          <w:rFonts w:cs="Arial"/>
          <w:noProof/>
        </w:rPr>
        <w:drawing>
          <wp:inline distT="0" distB="0" distL="0" distR="0" wp14:anchorId="1EE08F80" wp14:editId="27EDEDDB">
            <wp:extent cx="5220000" cy="20118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ime_resposta_ipca_transportes.png"/>
                    <pic:cNvPicPr/>
                  </pic:nvPicPr>
                  <pic:blipFill>
                    <a:blip r:embed="rId26"/>
                    <a:stretch>
                      <a:fillRect/>
                    </a:stretch>
                  </pic:blipFill>
                  <pic:spPr>
                    <a:xfrm>
                      <a:off x="0" y="0"/>
                      <a:ext cx="5220000" cy="2011875"/>
                    </a:xfrm>
                    <a:prstGeom prst="rect">
                      <a:avLst/>
                    </a:prstGeom>
                  </pic:spPr>
                </pic:pic>
              </a:graphicData>
            </a:graphic>
          </wp:inline>
        </w:drawing>
      </w:r>
    </w:p>
    <w:p w14:paraId="7F2BF822" w14:textId="77777777" w:rsidR="00D64459" w:rsidRPr="00493E39" w:rsidRDefault="008B2120">
      <w:pPr>
        <w:spacing w:line="240" w:lineRule="auto"/>
        <w:jc w:val="both"/>
        <w:rPr>
          <w:rFonts w:cs="Arial"/>
          <w:lang w:val="pt-BR"/>
        </w:rPr>
      </w:pPr>
      <w:r w:rsidRPr="00493E39">
        <w:rPr>
          <w:rFonts w:cs="Arial"/>
          <w:sz w:val="18"/>
          <w:lang w:val="pt-BR"/>
        </w:rPr>
        <w:t>Nota: mesma construção e mesmas cores da Figura 2. O grupo Transportes é o elo por onde o choque precisa passar antes de alcançar o índice cheio, e nele a separação entre regimes é mais nítida.</w:t>
      </w:r>
    </w:p>
    <w:p w14:paraId="54DB2444"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764AC24C" w14:textId="77777777" w:rsidR="00D64459" w:rsidRPr="00493E39" w:rsidRDefault="008B2120">
      <w:pPr>
        <w:keepNext/>
        <w:spacing w:before="200" w:after="40" w:line="240" w:lineRule="auto"/>
        <w:jc w:val="center"/>
        <w:rPr>
          <w:rFonts w:cs="Arial"/>
          <w:lang w:val="pt-BR"/>
        </w:rPr>
      </w:pPr>
      <w:r w:rsidRPr="00493E39">
        <w:rPr>
          <w:rFonts w:cs="Arial"/>
          <w:sz w:val="20"/>
          <w:lang w:val="pt-BR"/>
        </w:rPr>
        <w:lastRenderedPageBreak/>
        <w:t>Figura 9 – Os dois caminhos do choque e a inversão da composição</w:t>
      </w:r>
    </w:p>
    <w:p w14:paraId="2D0CE023" w14:textId="77777777" w:rsidR="00D64459" w:rsidRPr="00493E39" w:rsidRDefault="008B2120">
      <w:pPr>
        <w:keepNext/>
        <w:spacing w:after="40"/>
        <w:jc w:val="center"/>
        <w:rPr>
          <w:rFonts w:cs="Arial"/>
        </w:rPr>
      </w:pPr>
      <w:r w:rsidRPr="00493E39">
        <w:rPr>
          <w:rFonts w:cs="Arial"/>
          <w:noProof/>
        </w:rPr>
        <w:drawing>
          <wp:inline distT="0" distB="0" distL="0" distR="0" wp14:anchorId="6B20E5C0" wp14:editId="681AED6F">
            <wp:extent cx="5580000" cy="1971214"/>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oltas_esquema.png"/>
                    <pic:cNvPicPr/>
                  </pic:nvPicPr>
                  <pic:blipFill>
                    <a:blip r:embed="rId27"/>
                    <a:stretch>
                      <a:fillRect/>
                    </a:stretch>
                  </pic:blipFill>
                  <pic:spPr>
                    <a:xfrm>
                      <a:off x="0" y="0"/>
                      <a:ext cx="5580000" cy="1971214"/>
                    </a:xfrm>
                    <a:prstGeom prst="rect">
                      <a:avLst/>
                    </a:prstGeom>
                  </pic:spPr>
                </pic:pic>
              </a:graphicData>
            </a:graphic>
          </wp:inline>
        </w:drawing>
      </w:r>
    </w:p>
    <w:p w14:paraId="61FF6260" w14:textId="77777777" w:rsidR="00D64459" w:rsidRPr="00493E39" w:rsidRDefault="008B2120">
      <w:pPr>
        <w:spacing w:line="240" w:lineRule="auto"/>
        <w:jc w:val="both"/>
        <w:rPr>
          <w:rFonts w:cs="Arial"/>
          <w:lang w:val="pt-BR"/>
        </w:rPr>
      </w:pPr>
      <w:r w:rsidRPr="00493E39">
        <w:rPr>
          <w:rFonts w:cs="Arial"/>
          <w:sz w:val="18"/>
          <w:lang w:val="pt-BR"/>
        </w:rPr>
        <w:t xml:space="preserve">Nota: à esquerda, o esquema dos dois caminhos; à direita, a participação de cada um no efeito total, por horizonte, no </w:t>
      </w:r>
      <w:r w:rsidRPr="00493E39">
        <w:rPr>
          <w:rFonts w:cs="Arial"/>
          <w:i/>
          <w:sz w:val="18"/>
          <w:lang w:val="pt-BR"/>
        </w:rPr>
        <w:t>regime posterior</w:t>
      </w:r>
      <w:r w:rsidRPr="00493E39">
        <w:rPr>
          <w:rFonts w:cs="Arial"/>
          <w:sz w:val="18"/>
          <w:lang w:val="pt-BR"/>
        </w:rPr>
        <w:t xml:space="preserve"> a março de 2017. A primeira volta é a contribuição de composição da cesta; a segunda, o encarecimento de preços que não são combustível. Os valores entre parênteses são o efeito total do regime anterior, reportados para contraste.</w:t>
      </w:r>
    </w:p>
    <w:p w14:paraId="1D6DD78A"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49810065"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11 – Resposta no mês do choque sob os dois cortes</w:t>
      </w:r>
    </w:p>
    <w:p w14:paraId="74F8F1E3" w14:textId="77777777" w:rsidR="00D64459" w:rsidRPr="00493E39" w:rsidRDefault="008B2120">
      <w:pPr>
        <w:keepNext/>
        <w:spacing w:after="40"/>
        <w:jc w:val="center"/>
        <w:rPr>
          <w:rFonts w:cs="Arial"/>
        </w:rPr>
      </w:pPr>
      <w:r w:rsidRPr="00493E39">
        <w:rPr>
          <w:rFonts w:cs="Arial"/>
          <w:noProof/>
        </w:rPr>
        <w:drawing>
          <wp:inline distT="0" distB="0" distL="0" distR="0" wp14:anchorId="47E2E4C4" wp14:editId="666EFFC7">
            <wp:extent cx="5400000" cy="2398737"/>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te_alternativo_impacto.png"/>
                    <pic:cNvPicPr/>
                  </pic:nvPicPr>
                  <pic:blipFill>
                    <a:blip r:embed="rId28"/>
                    <a:stretch>
                      <a:fillRect/>
                    </a:stretch>
                  </pic:blipFill>
                  <pic:spPr>
                    <a:xfrm>
                      <a:off x="0" y="0"/>
                      <a:ext cx="5400000" cy="2398737"/>
                    </a:xfrm>
                    <a:prstGeom prst="rect">
                      <a:avLst/>
                    </a:prstGeom>
                  </pic:spPr>
                </pic:pic>
              </a:graphicData>
            </a:graphic>
          </wp:inline>
        </w:drawing>
      </w:r>
    </w:p>
    <w:p w14:paraId="0D649172" w14:textId="77777777" w:rsidR="00D64459" w:rsidRPr="00493E39" w:rsidRDefault="008B2120">
      <w:pPr>
        <w:spacing w:line="240" w:lineRule="auto"/>
        <w:jc w:val="both"/>
        <w:rPr>
          <w:rFonts w:cs="Arial"/>
          <w:lang w:val="pt-BR"/>
        </w:rPr>
      </w:pPr>
      <w:r w:rsidRPr="00493E39">
        <w:rPr>
          <w:rFonts w:cs="Arial"/>
          <w:sz w:val="18"/>
          <w:lang w:val="pt-BR"/>
        </w:rPr>
        <w:t xml:space="preserve">Nota: barras cheias, corte imposto em outubro de 2016, mês do anúncio da política de paridade; barras hachuradas, corte estimado em março de 2017. Tom claro para o regime anterior e escuro para o posterior. Hastes verticais: intervalo pontual de 90%. As duas estimações usam a mesma especificação e </w:t>
      </w:r>
      <w:proofErr w:type="gramStart"/>
      <w:r w:rsidRPr="00493E39">
        <w:rPr>
          <w:rFonts w:cs="Arial"/>
          <w:sz w:val="18"/>
          <w:lang w:val="pt-BR"/>
        </w:rPr>
        <w:t>a mesma</w:t>
      </w:r>
      <w:proofErr w:type="gramEnd"/>
      <w:r w:rsidRPr="00493E39">
        <w:rPr>
          <w:rFonts w:cs="Arial"/>
          <w:sz w:val="18"/>
          <w:lang w:val="pt-BR"/>
        </w:rPr>
        <w:t xml:space="preserve"> amostra, diferindo apenas na data que separa os regimes. O Apêndice F traz a comparação nos doze horizontes.</w:t>
      </w:r>
    </w:p>
    <w:p w14:paraId="662C7F2E" w14:textId="77777777" w:rsidR="00D64459" w:rsidRPr="00493E39" w:rsidRDefault="008B2120">
      <w:pPr>
        <w:spacing w:after="200" w:line="240" w:lineRule="auto"/>
        <w:jc w:val="center"/>
        <w:rPr>
          <w:rFonts w:cs="Arial"/>
          <w:lang w:val="pt-BR"/>
        </w:rPr>
      </w:pPr>
      <w:r w:rsidRPr="00493E39">
        <w:rPr>
          <w:rFonts w:cs="Arial"/>
          <w:sz w:val="20"/>
          <w:lang w:val="pt-BR"/>
        </w:rPr>
        <w:t>Fonte: Elaboração própria.</w:t>
      </w:r>
    </w:p>
    <w:p w14:paraId="5417ED76" w14:textId="77777777" w:rsidR="00D64459" w:rsidRPr="00493E39" w:rsidRDefault="008B2120">
      <w:pPr>
        <w:rPr>
          <w:rFonts w:cs="Arial"/>
          <w:lang w:val="pt-BR"/>
        </w:rPr>
      </w:pPr>
      <w:r w:rsidRPr="00493E39">
        <w:rPr>
          <w:rFonts w:cs="Arial"/>
          <w:lang w:val="pt-BR"/>
        </w:rPr>
        <w:br w:type="page"/>
      </w:r>
    </w:p>
    <w:p w14:paraId="34FDBB55" w14:textId="77777777" w:rsidR="00D64459" w:rsidRPr="00493E39" w:rsidRDefault="008B2120">
      <w:pPr>
        <w:pStyle w:val="Heading1"/>
        <w:spacing w:before="280" w:after="280"/>
        <w:jc w:val="center"/>
        <w:rPr>
          <w:rFonts w:ascii="Arial" w:hAnsi="Arial" w:cs="Arial"/>
          <w:lang w:val="pt-BR"/>
        </w:rPr>
      </w:pPr>
      <w:bookmarkStart w:id="53" w:name="_Toc239713602"/>
      <w:r w:rsidRPr="00493E39">
        <w:rPr>
          <w:rFonts w:ascii="Arial" w:hAnsi="Arial" w:cs="Arial"/>
          <w:lang w:val="pt-BR"/>
        </w:rPr>
        <w:lastRenderedPageBreak/>
        <w:t>APÊNDICE M – QUADRO DE VARIÁVEIS E FONTES</w:t>
      </w:r>
      <w:bookmarkEnd w:id="53"/>
    </w:p>
    <w:p w14:paraId="05088233" w14:textId="77777777" w:rsidR="00D64459" w:rsidRPr="00493E39" w:rsidRDefault="008B2120">
      <w:pPr>
        <w:ind w:firstLine="709"/>
        <w:jc w:val="both"/>
        <w:rPr>
          <w:rFonts w:cs="Arial"/>
          <w:lang w:val="pt-BR"/>
        </w:rPr>
      </w:pPr>
      <w:r w:rsidRPr="00493E39">
        <w:rPr>
          <w:rFonts w:cs="Arial"/>
          <w:lang w:val="pt-BR"/>
        </w:rPr>
        <w:t>O quadro reúne as variáveis do modelo, sua descrição e a fonte de cada uma, com os códigos de tabela e de série que permitem recuperá-las. Consta do apêndice por ser instrumento de consulta, e não de leitura corrida.</w:t>
      </w:r>
    </w:p>
    <w:p w14:paraId="32779B98" w14:textId="77777777" w:rsidR="00D64459" w:rsidRPr="00493E39" w:rsidRDefault="008B2120">
      <w:pPr>
        <w:keepNext/>
        <w:spacing w:before="200" w:after="40" w:line="240" w:lineRule="auto"/>
        <w:rPr>
          <w:rFonts w:cs="Arial"/>
        </w:rPr>
      </w:pPr>
      <w:r w:rsidRPr="00493E39">
        <w:rPr>
          <w:rFonts w:cs="Arial"/>
          <w:sz w:val="20"/>
        </w:rPr>
        <w:t xml:space="preserve">Quadro 1 – </w:t>
      </w:r>
      <w:proofErr w:type="spellStart"/>
      <w:r w:rsidRPr="00493E39">
        <w:rPr>
          <w:rFonts w:cs="Arial"/>
          <w:sz w:val="20"/>
        </w:rPr>
        <w:t>Variáveis</w:t>
      </w:r>
      <w:proofErr w:type="spellEnd"/>
      <w:r w:rsidRPr="00493E39">
        <w:rPr>
          <w:rFonts w:cs="Arial"/>
          <w:sz w:val="20"/>
        </w:rPr>
        <w:t xml:space="preserve"> e </w:t>
      </w:r>
      <w:proofErr w:type="spellStart"/>
      <w:r w:rsidRPr="00493E39">
        <w:rPr>
          <w:rFonts w:cs="Arial"/>
          <w:sz w:val="20"/>
        </w:rPr>
        <w:t>fontes</w:t>
      </w:r>
      <w:proofErr w:type="spellEnd"/>
    </w:p>
    <w:tbl>
      <w:tblPr>
        <w:tblW w:w="0" w:type="auto"/>
        <w:jc w:val="center"/>
        <w:tblLook w:val="04A0" w:firstRow="1" w:lastRow="0" w:firstColumn="1" w:lastColumn="0" w:noHBand="0" w:noVBand="1"/>
      </w:tblPr>
      <w:tblGrid>
        <w:gridCol w:w="2608"/>
        <w:gridCol w:w="3061"/>
        <w:gridCol w:w="2835"/>
      </w:tblGrid>
      <w:tr w:rsidR="00D64459" w:rsidRPr="00493E39" w14:paraId="18BC97C0" w14:textId="77777777">
        <w:trPr>
          <w:cantSplit/>
          <w:tblHeader/>
          <w:jc w:val="center"/>
        </w:trPr>
        <w:tc>
          <w:tcPr>
            <w:tcW w:w="2608" w:type="dxa"/>
            <w:tcBorders>
              <w:top w:val="single" w:sz="12" w:space="0" w:color="000000"/>
              <w:left w:val="nil"/>
              <w:bottom w:val="single" w:sz="6" w:space="0" w:color="000000"/>
              <w:right w:val="nil"/>
            </w:tcBorders>
          </w:tcPr>
          <w:p w14:paraId="3198F17C" w14:textId="77777777" w:rsidR="00D64459" w:rsidRPr="00493E39" w:rsidRDefault="008B2120">
            <w:pPr>
              <w:spacing w:after="20" w:line="240" w:lineRule="auto"/>
              <w:rPr>
                <w:rFonts w:cs="Arial"/>
              </w:rPr>
            </w:pPr>
            <w:proofErr w:type="spellStart"/>
            <w:r w:rsidRPr="00493E39">
              <w:rPr>
                <w:rFonts w:cs="Arial"/>
                <w:b/>
                <w:sz w:val="18"/>
              </w:rPr>
              <w:t>Variável</w:t>
            </w:r>
            <w:proofErr w:type="spellEnd"/>
          </w:p>
        </w:tc>
        <w:tc>
          <w:tcPr>
            <w:tcW w:w="3061" w:type="dxa"/>
            <w:tcBorders>
              <w:top w:val="single" w:sz="12" w:space="0" w:color="000000"/>
              <w:left w:val="nil"/>
              <w:bottom w:val="single" w:sz="6" w:space="0" w:color="000000"/>
              <w:right w:val="nil"/>
            </w:tcBorders>
          </w:tcPr>
          <w:p w14:paraId="5374DEAA" w14:textId="77777777" w:rsidR="00D64459" w:rsidRPr="00493E39" w:rsidRDefault="008B2120">
            <w:pPr>
              <w:spacing w:after="20" w:line="240" w:lineRule="auto"/>
              <w:rPr>
                <w:rFonts w:cs="Arial"/>
              </w:rPr>
            </w:pPr>
            <w:proofErr w:type="spellStart"/>
            <w:r w:rsidRPr="00493E39">
              <w:rPr>
                <w:rFonts w:cs="Arial"/>
                <w:b/>
                <w:sz w:val="18"/>
              </w:rPr>
              <w:t>Descrição</w:t>
            </w:r>
            <w:proofErr w:type="spellEnd"/>
          </w:p>
        </w:tc>
        <w:tc>
          <w:tcPr>
            <w:tcW w:w="2835" w:type="dxa"/>
            <w:tcBorders>
              <w:top w:val="single" w:sz="12" w:space="0" w:color="000000"/>
              <w:left w:val="nil"/>
              <w:bottom w:val="single" w:sz="6" w:space="0" w:color="000000"/>
              <w:right w:val="nil"/>
            </w:tcBorders>
          </w:tcPr>
          <w:p w14:paraId="458EF793" w14:textId="77777777" w:rsidR="00D64459" w:rsidRPr="00493E39" w:rsidRDefault="008B2120">
            <w:pPr>
              <w:spacing w:after="20" w:line="240" w:lineRule="auto"/>
              <w:rPr>
                <w:rFonts w:cs="Arial"/>
              </w:rPr>
            </w:pPr>
            <w:r w:rsidRPr="00493E39">
              <w:rPr>
                <w:rFonts w:cs="Arial"/>
                <w:b/>
                <w:sz w:val="18"/>
              </w:rPr>
              <w:t>Fonte</w:t>
            </w:r>
          </w:p>
        </w:tc>
      </w:tr>
      <w:tr w:rsidR="00D64459" w:rsidRPr="00493E39" w14:paraId="1E3A552D" w14:textId="77777777">
        <w:trPr>
          <w:cantSplit/>
          <w:jc w:val="center"/>
        </w:trPr>
        <w:tc>
          <w:tcPr>
            <w:tcW w:w="2608" w:type="dxa"/>
            <w:tcBorders>
              <w:top w:val="nil"/>
              <w:left w:val="nil"/>
              <w:bottom w:val="nil"/>
              <w:right w:val="nil"/>
            </w:tcBorders>
          </w:tcPr>
          <w:p w14:paraId="16164FF5" w14:textId="77777777" w:rsidR="00D64459" w:rsidRPr="00493E39" w:rsidRDefault="008B2120">
            <w:pPr>
              <w:spacing w:line="240" w:lineRule="auto"/>
              <w:rPr>
                <w:rFonts w:cs="Arial"/>
              </w:rPr>
            </w:pPr>
            <w:r w:rsidRPr="00493E39">
              <w:rPr>
                <w:rFonts w:cs="Arial"/>
                <w:sz w:val="18"/>
              </w:rPr>
              <w:t xml:space="preserve">IPCA Geral e </w:t>
            </w:r>
            <w:proofErr w:type="spellStart"/>
            <w:r w:rsidRPr="00493E39">
              <w:rPr>
                <w:rFonts w:cs="Arial"/>
                <w:sz w:val="18"/>
              </w:rPr>
              <w:t>Transportes</w:t>
            </w:r>
            <w:proofErr w:type="spellEnd"/>
          </w:p>
        </w:tc>
        <w:tc>
          <w:tcPr>
            <w:tcW w:w="3061" w:type="dxa"/>
            <w:tcBorders>
              <w:top w:val="nil"/>
              <w:left w:val="nil"/>
              <w:bottom w:val="nil"/>
              <w:right w:val="nil"/>
            </w:tcBorders>
          </w:tcPr>
          <w:p w14:paraId="71062E1C" w14:textId="77777777" w:rsidR="00D64459" w:rsidRPr="00493E39" w:rsidRDefault="008B2120">
            <w:pPr>
              <w:spacing w:line="240" w:lineRule="auto"/>
              <w:rPr>
                <w:rFonts w:cs="Arial"/>
                <w:lang w:val="pt-BR"/>
              </w:rPr>
            </w:pPr>
            <w:r w:rsidRPr="00493E39">
              <w:rPr>
                <w:rFonts w:cs="Arial"/>
                <w:sz w:val="18"/>
                <w:lang w:val="pt-BR"/>
              </w:rPr>
              <w:t>Variação mensal do índice e do grupo</w:t>
            </w:r>
          </w:p>
        </w:tc>
        <w:tc>
          <w:tcPr>
            <w:tcW w:w="2835" w:type="dxa"/>
            <w:tcBorders>
              <w:top w:val="nil"/>
              <w:left w:val="nil"/>
              <w:bottom w:val="nil"/>
              <w:right w:val="nil"/>
            </w:tcBorders>
          </w:tcPr>
          <w:p w14:paraId="1523ECA6" w14:textId="77777777" w:rsidR="00D64459" w:rsidRPr="00493E39" w:rsidRDefault="008B2120">
            <w:pPr>
              <w:spacing w:line="240" w:lineRule="auto"/>
              <w:rPr>
                <w:rFonts w:cs="Arial"/>
              </w:rPr>
            </w:pPr>
            <w:r w:rsidRPr="00493E39">
              <w:rPr>
                <w:rFonts w:cs="Arial"/>
                <w:sz w:val="18"/>
              </w:rPr>
              <w:t>IBGE, SIDRA</w:t>
            </w:r>
          </w:p>
        </w:tc>
      </w:tr>
      <w:tr w:rsidR="00D64459" w:rsidRPr="00493E39" w14:paraId="3E457B8C" w14:textId="77777777">
        <w:trPr>
          <w:cantSplit/>
          <w:jc w:val="center"/>
        </w:trPr>
        <w:tc>
          <w:tcPr>
            <w:tcW w:w="2608" w:type="dxa"/>
            <w:tcBorders>
              <w:top w:val="nil"/>
              <w:left w:val="nil"/>
              <w:bottom w:val="nil"/>
              <w:right w:val="nil"/>
            </w:tcBorders>
          </w:tcPr>
          <w:p w14:paraId="3EE27404" w14:textId="77777777" w:rsidR="00D64459" w:rsidRPr="00493E39" w:rsidRDefault="008B2120">
            <w:pPr>
              <w:spacing w:line="240" w:lineRule="auto"/>
              <w:rPr>
                <w:rFonts w:cs="Arial"/>
              </w:rPr>
            </w:pPr>
            <w:proofErr w:type="spellStart"/>
            <w:r w:rsidRPr="00493E39">
              <w:rPr>
                <w:rFonts w:cs="Arial"/>
                <w:sz w:val="18"/>
              </w:rPr>
              <w:t>Comercializáveis</w:t>
            </w:r>
            <w:proofErr w:type="spellEnd"/>
            <w:r w:rsidRPr="00493E39">
              <w:rPr>
                <w:rFonts w:cs="Arial"/>
                <w:sz w:val="18"/>
              </w:rPr>
              <w:t xml:space="preserve"> e </w:t>
            </w:r>
            <w:proofErr w:type="spellStart"/>
            <w:r w:rsidRPr="00493E39">
              <w:rPr>
                <w:rFonts w:cs="Arial"/>
                <w:sz w:val="18"/>
              </w:rPr>
              <w:t>não</w:t>
            </w:r>
            <w:proofErr w:type="spellEnd"/>
            <w:r w:rsidRPr="00493E39">
              <w:rPr>
                <w:rFonts w:cs="Arial"/>
                <w:sz w:val="18"/>
              </w:rPr>
              <w:t xml:space="preserve"> </w:t>
            </w:r>
            <w:proofErr w:type="spellStart"/>
            <w:r w:rsidRPr="00493E39">
              <w:rPr>
                <w:rFonts w:cs="Arial"/>
                <w:sz w:val="18"/>
              </w:rPr>
              <w:t>comercializáveis</w:t>
            </w:r>
            <w:proofErr w:type="spellEnd"/>
          </w:p>
        </w:tc>
        <w:tc>
          <w:tcPr>
            <w:tcW w:w="3061" w:type="dxa"/>
            <w:tcBorders>
              <w:top w:val="nil"/>
              <w:left w:val="nil"/>
              <w:bottom w:val="nil"/>
              <w:right w:val="nil"/>
            </w:tcBorders>
          </w:tcPr>
          <w:p w14:paraId="1089A109" w14:textId="77777777" w:rsidR="00D64459" w:rsidRPr="00493E39" w:rsidRDefault="008B2120">
            <w:pPr>
              <w:spacing w:line="240" w:lineRule="auto"/>
              <w:rPr>
                <w:rFonts w:cs="Arial"/>
                <w:lang w:val="pt-BR"/>
              </w:rPr>
            </w:pPr>
            <w:r w:rsidRPr="00493E39">
              <w:rPr>
                <w:rFonts w:cs="Arial"/>
                <w:sz w:val="18"/>
                <w:lang w:val="pt-BR"/>
              </w:rPr>
              <w:t>Variação mensal por grau de comercialização</w:t>
            </w:r>
          </w:p>
        </w:tc>
        <w:tc>
          <w:tcPr>
            <w:tcW w:w="2835" w:type="dxa"/>
            <w:tcBorders>
              <w:top w:val="nil"/>
              <w:left w:val="nil"/>
              <w:bottom w:val="nil"/>
              <w:right w:val="nil"/>
            </w:tcBorders>
          </w:tcPr>
          <w:p w14:paraId="0AF3991C" w14:textId="77777777" w:rsidR="00D64459" w:rsidRPr="00493E39" w:rsidRDefault="008B2120">
            <w:pPr>
              <w:spacing w:line="240" w:lineRule="auto"/>
              <w:rPr>
                <w:rFonts w:cs="Arial"/>
              </w:rPr>
            </w:pPr>
            <w:r w:rsidRPr="00493E39">
              <w:rPr>
                <w:rFonts w:cs="Arial"/>
                <w:sz w:val="18"/>
              </w:rPr>
              <w:t xml:space="preserve">IBGE, </w:t>
            </w:r>
            <w:proofErr w:type="spellStart"/>
            <w:r w:rsidRPr="00493E39">
              <w:rPr>
                <w:rFonts w:cs="Arial"/>
                <w:sz w:val="18"/>
              </w:rPr>
              <w:t>séries</w:t>
            </w:r>
            <w:proofErr w:type="spellEnd"/>
            <w:r w:rsidRPr="00493E39">
              <w:rPr>
                <w:rFonts w:cs="Arial"/>
                <w:sz w:val="18"/>
              </w:rPr>
              <w:t xml:space="preserve"> </w:t>
            </w:r>
            <w:proofErr w:type="spellStart"/>
            <w:r w:rsidRPr="00493E39">
              <w:rPr>
                <w:rFonts w:cs="Arial"/>
                <w:sz w:val="18"/>
              </w:rPr>
              <w:t>especiais</w:t>
            </w:r>
            <w:proofErr w:type="spellEnd"/>
          </w:p>
        </w:tc>
      </w:tr>
      <w:tr w:rsidR="00D64459" w:rsidRPr="00AD093D" w14:paraId="72B052A5" w14:textId="77777777">
        <w:trPr>
          <w:cantSplit/>
          <w:jc w:val="center"/>
        </w:trPr>
        <w:tc>
          <w:tcPr>
            <w:tcW w:w="2608" w:type="dxa"/>
            <w:tcBorders>
              <w:top w:val="nil"/>
              <w:left w:val="nil"/>
              <w:bottom w:val="nil"/>
              <w:right w:val="nil"/>
            </w:tcBorders>
          </w:tcPr>
          <w:p w14:paraId="0AA1826E" w14:textId="77777777" w:rsidR="00D64459" w:rsidRPr="00493E39" w:rsidRDefault="008B2120">
            <w:pPr>
              <w:spacing w:line="240" w:lineRule="auto"/>
              <w:rPr>
                <w:rFonts w:cs="Arial"/>
              </w:rPr>
            </w:pPr>
            <w:proofErr w:type="spellStart"/>
            <w:r w:rsidRPr="00493E39">
              <w:rPr>
                <w:rFonts w:cs="Arial"/>
                <w:sz w:val="18"/>
              </w:rPr>
              <w:t>Gasolina</w:t>
            </w:r>
            <w:proofErr w:type="spellEnd"/>
            <w:r w:rsidRPr="00493E39">
              <w:rPr>
                <w:rFonts w:cs="Arial"/>
                <w:sz w:val="18"/>
              </w:rPr>
              <w:t xml:space="preserve"> A </w:t>
            </w:r>
            <w:proofErr w:type="spellStart"/>
            <w:r w:rsidRPr="00493E39">
              <w:rPr>
                <w:rFonts w:cs="Arial"/>
                <w:sz w:val="18"/>
              </w:rPr>
              <w:t>na</w:t>
            </w:r>
            <w:proofErr w:type="spellEnd"/>
            <w:r w:rsidRPr="00493E39">
              <w:rPr>
                <w:rFonts w:cs="Arial"/>
                <w:sz w:val="18"/>
              </w:rPr>
              <w:t xml:space="preserve"> </w:t>
            </w:r>
            <w:proofErr w:type="spellStart"/>
            <w:r w:rsidRPr="00493E39">
              <w:rPr>
                <w:rFonts w:cs="Arial"/>
                <w:sz w:val="18"/>
              </w:rPr>
              <w:t>refinaria</w:t>
            </w:r>
            <w:proofErr w:type="spellEnd"/>
          </w:p>
        </w:tc>
        <w:tc>
          <w:tcPr>
            <w:tcW w:w="3061" w:type="dxa"/>
            <w:tcBorders>
              <w:top w:val="nil"/>
              <w:left w:val="nil"/>
              <w:bottom w:val="nil"/>
              <w:right w:val="nil"/>
            </w:tcBorders>
          </w:tcPr>
          <w:p w14:paraId="71155DE5" w14:textId="77777777" w:rsidR="00D64459" w:rsidRPr="00493E39" w:rsidRDefault="008B2120">
            <w:pPr>
              <w:spacing w:line="240" w:lineRule="auto"/>
              <w:rPr>
                <w:rFonts w:cs="Arial"/>
                <w:lang w:val="pt-BR"/>
              </w:rPr>
            </w:pPr>
            <w:r w:rsidRPr="00493E39">
              <w:rPr>
                <w:rFonts w:cs="Arial"/>
                <w:sz w:val="18"/>
                <w:lang w:val="pt-BR"/>
              </w:rPr>
              <w:t xml:space="preserve">Preço médio ponderado de produtores e importadores, líquido de Cide, PIS/Pasep e </w:t>
            </w:r>
            <w:proofErr w:type="spellStart"/>
            <w:r w:rsidRPr="00493E39">
              <w:rPr>
                <w:rFonts w:cs="Arial"/>
                <w:sz w:val="18"/>
                <w:lang w:val="pt-BR"/>
              </w:rPr>
              <w:t>Cofins</w:t>
            </w:r>
            <w:proofErr w:type="spellEnd"/>
            <w:r w:rsidRPr="00493E39">
              <w:rPr>
                <w:rFonts w:cs="Arial"/>
                <w:sz w:val="18"/>
                <w:lang w:val="pt-BR"/>
              </w:rPr>
              <w:t xml:space="preserve"> e sem ICMS; média dos dias do mês</w:t>
            </w:r>
          </w:p>
        </w:tc>
        <w:tc>
          <w:tcPr>
            <w:tcW w:w="2835" w:type="dxa"/>
            <w:tcBorders>
              <w:top w:val="nil"/>
              <w:left w:val="nil"/>
              <w:bottom w:val="nil"/>
              <w:right w:val="nil"/>
            </w:tcBorders>
          </w:tcPr>
          <w:p w14:paraId="5BC01346" w14:textId="77777777" w:rsidR="00D64459" w:rsidRPr="00493E39" w:rsidRDefault="008B2120">
            <w:pPr>
              <w:spacing w:line="240" w:lineRule="auto"/>
              <w:rPr>
                <w:rFonts w:cs="Arial"/>
                <w:lang w:val="pt-BR"/>
              </w:rPr>
            </w:pPr>
            <w:r w:rsidRPr="00493E39">
              <w:rPr>
                <w:rFonts w:cs="Arial"/>
                <w:sz w:val="18"/>
                <w:lang w:val="pt-BR"/>
              </w:rPr>
              <w:t>ANP; tributos pelos atos legais (Planalto)</w:t>
            </w:r>
          </w:p>
        </w:tc>
      </w:tr>
      <w:tr w:rsidR="00D64459" w:rsidRPr="00493E39" w14:paraId="75D9701F" w14:textId="77777777">
        <w:trPr>
          <w:cantSplit/>
          <w:jc w:val="center"/>
        </w:trPr>
        <w:tc>
          <w:tcPr>
            <w:tcW w:w="2608" w:type="dxa"/>
            <w:tcBorders>
              <w:top w:val="nil"/>
              <w:left w:val="nil"/>
              <w:bottom w:val="nil"/>
              <w:right w:val="nil"/>
            </w:tcBorders>
          </w:tcPr>
          <w:p w14:paraId="715F8B8F" w14:textId="77777777" w:rsidR="00D64459" w:rsidRPr="00493E39" w:rsidRDefault="008B2120">
            <w:pPr>
              <w:spacing w:line="240" w:lineRule="auto"/>
              <w:rPr>
                <w:rFonts w:cs="Arial"/>
                <w:lang w:val="pt-BR"/>
              </w:rPr>
            </w:pPr>
            <w:r w:rsidRPr="00493E39">
              <w:rPr>
                <w:rFonts w:cs="Arial"/>
                <w:sz w:val="18"/>
                <w:lang w:val="pt-BR"/>
              </w:rPr>
              <w:t>Gasolina, diesel e etanol ao consumidor</w:t>
            </w:r>
          </w:p>
        </w:tc>
        <w:tc>
          <w:tcPr>
            <w:tcW w:w="3061" w:type="dxa"/>
            <w:tcBorders>
              <w:top w:val="nil"/>
              <w:left w:val="nil"/>
              <w:bottom w:val="nil"/>
              <w:right w:val="nil"/>
            </w:tcBorders>
          </w:tcPr>
          <w:p w14:paraId="7979E475" w14:textId="77777777" w:rsidR="00D64459" w:rsidRPr="00493E39" w:rsidRDefault="008B2120">
            <w:pPr>
              <w:spacing w:line="240" w:lineRule="auto"/>
              <w:rPr>
                <w:rFonts w:cs="Arial"/>
                <w:lang w:val="pt-BR"/>
              </w:rPr>
            </w:pPr>
            <w:r w:rsidRPr="00493E39">
              <w:rPr>
                <w:rFonts w:cs="Arial"/>
                <w:sz w:val="18"/>
                <w:lang w:val="pt-BR"/>
              </w:rPr>
              <w:t>Variação mensal dos subitens do IPCA</w:t>
            </w:r>
          </w:p>
        </w:tc>
        <w:tc>
          <w:tcPr>
            <w:tcW w:w="2835" w:type="dxa"/>
            <w:tcBorders>
              <w:top w:val="nil"/>
              <w:left w:val="nil"/>
              <w:bottom w:val="nil"/>
              <w:right w:val="nil"/>
            </w:tcBorders>
          </w:tcPr>
          <w:p w14:paraId="543E51EA" w14:textId="77777777" w:rsidR="00D64459" w:rsidRPr="00493E39" w:rsidRDefault="008B2120">
            <w:pPr>
              <w:spacing w:line="240" w:lineRule="auto"/>
              <w:rPr>
                <w:rFonts w:cs="Arial"/>
              </w:rPr>
            </w:pPr>
            <w:r w:rsidRPr="00493E39">
              <w:rPr>
                <w:rFonts w:cs="Arial"/>
                <w:sz w:val="18"/>
              </w:rPr>
              <w:t>IBGE, SIDRA (</w:t>
            </w:r>
            <w:proofErr w:type="spellStart"/>
            <w:r w:rsidRPr="00493E39">
              <w:rPr>
                <w:rFonts w:cs="Arial"/>
                <w:sz w:val="18"/>
              </w:rPr>
              <w:t>tabela</w:t>
            </w:r>
            <w:proofErr w:type="spellEnd"/>
            <w:r w:rsidRPr="00493E39">
              <w:rPr>
                <w:rFonts w:cs="Arial"/>
                <w:sz w:val="18"/>
              </w:rPr>
              <w:t xml:space="preserve"> 7060)</w:t>
            </w:r>
          </w:p>
        </w:tc>
      </w:tr>
      <w:tr w:rsidR="00D64459" w:rsidRPr="00AD093D" w14:paraId="48DABD32" w14:textId="77777777">
        <w:trPr>
          <w:cantSplit/>
          <w:jc w:val="center"/>
        </w:trPr>
        <w:tc>
          <w:tcPr>
            <w:tcW w:w="2608" w:type="dxa"/>
            <w:tcBorders>
              <w:top w:val="nil"/>
              <w:left w:val="nil"/>
              <w:bottom w:val="nil"/>
              <w:right w:val="nil"/>
            </w:tcBorders>
          </w:tcPr>
          <w:p w14:paraId="31AF479A" w14:textId="77777777" w:rsidR="00D64459" w:rsidRPr="00493E39" w:rsidRDefault="008B2120">
            <w:pPr>
              <w:spacing w:line="240" w:lineRule="auto"/>
              <w:rPr>
                <w:rFonts w:cs="Arial"/>
              </w:rPr>
            </w:pPr>
            <w:r w:rsidRPr="00493E39">
              <w:rPr>
                <w:rFonts w:cs="Arial"/>
                <w:sz w:val="18"/>
              </w:rPr>
              <w:t>Brent</w:t>
            </w:r>
          </w:p>
        </w:tc>
        <w:tc>
          <w:tcPr>
            <w:tcW w:w="3061" w:type="dxa"/>
            <w:tcBorders>
              <w:top w:val="nil"/>
              <w:left w:val="nil"/>
              <w:bottom w:val="nil"/>
              <w:right w:val="nil"/>
            </w:tcBorders>
          </w:tcPr>
          <w:p w14:paraId="2C5ABFFB" w14:textId="77777777" w:rsidR="00D64459" w:rsidRPr="00493E39" w:rsidRDefault="008B2120">
            <w:pPr>
              <w:spacing w:line="240" w:lineRule="auto"/>
              <w:rPr>
                <w:rFonts w:cs="Arial"/>
                <w:lang w:val="pt-BR"/>
              </w:rPr>
            </w:pPr>
            <w:r w:rsidRPr="00493E39">
              <w:rPr>
                <w:rFonts w:cs="Arial"/>
                <w:sz w:val="18"/>
                <w:lang w:val="pt-BR"/>
              </w:rPr>
              <w:t>Preço internacional do barril, em dólares</w:t>
            </w:r>
          </w:p>
        </w:tc>
        <w:tc>
          <w:tcPr>
            <w:tcW w:w="2835" w:type="dxa"/>
            <w:tcBorders>
              <w:top w:val="nil"/>
              <w:left w:val="nil"/>
              <w:bottom w:val="nil"/>
              <w:right w:val="nil"/>
            </w:tcBorders>
          </w:tcPr>
          <w:p w14:paraId="3083BC47" w14:textId="77777777" w:rsidR="00D64459" w:rsidRPr="00493E39" w:rsidRDefault="008B2120">
            <w:pPr>
              <w:spacing w:line="240" w:lineRule="auto"/>
              <w:rPr>
                <w:rFonts w:cs="Arial"/>
                <w:lang w:val="pt-BR"/>
              </w:rPr>
            </w:pPr>
            <w:proofErr w:type="spellStart"/>
            <w:r w:rsidRPr="00493E39">
              <w:rPr>
                <w:rFonts w:cs="Arial"/>
                <w:sz w:val="18"/>
                <w:lang w:val="pt-BR"/>
              </w:rPr>
              <w:t>Ipeadata</w:t>
            </w:r>
            <w:proofErr w:type="spellEnd"/>
            <w:r w:rsidRPr="00493E39">
              <w:rPr>
                <w:rFonts w:cs="Arial"/>
                <w:sz w:val="18"/>
                <w:lang w:val="pt-BR"/>
              </w:rPr>
              <w:t>, série de origem EIA</w:t>
            </w:r>
          </w:p>
        </w:tc>
      </w:tr>
      <w:tr w:rsidR="00D64459" w:rsidRPr="00AD093D" w14:paraId="0B0772B5" w14:textId="77777777">
        <w:trPr>
          <w:cantSplit/>
          <w:jc w:val="center"/>
        </w:trPr>
        <w:tc>
          <w:tcPr>
            <w:tcW w:w="2608" w:type="dxa"/>
            <w:tcBorders>
              <w:top w:val="nil"/>
              <w:left w:val="nil"/>
              <w:bottom w:val="nil"/>
              <w:right w:val="nil"/>
            </w:tcBorders>
          </w:tcPr>
          <w:p w14:paraId="0A98F2FF" w14:textId="77777777" w:rsidR="00D64459" w:rsidRPr="00493E39" w:rsidRDefault="008B2120">
            <w:pPr>
              <w:spacing w:line="240" w:lineRule="auto"/>
              <w:rPr>
                <w:rFonts w:cs="Arial"/>
              </w:rPr>
            </w:pPr>
            <w:proofErr w:type="spellStart"/>
            <w:r w:rsidRPr="00493E39">
              <w:rPr>
                <w:rFonts w:cs="Arial"/>
                <w:sz w:val="18"/>
              </w:rPr>
              <w:t>Câmbio</w:t>
            </w:r>
            <w:proofErr w:type="spellEnd"/>
          </w:p>
        </w:tc>
        <w:tc>
          <w:tcPr>
            <w:tcW w:w="3061" w:type="dxa"/>
            <w:tcBorders>
              <w:top w:val="nil"/>
              <w:left w:val="nil"/>
              <w:bottom w:val="nil"/>
              <w:right w:val="nil"/>
            </w:tcBorders>
          </w:tcPr>
          <w:p w14:paraId="28AECD39" w14:textId="77777777" w:rsidR="00D64459" w:rsidRPr="00493E39" w:rsidRDefault="008B2120">
            <w:pPr>
              <w:spacing w:line="240" w:lineRule="auto"/>
              <w:rPr>
                <w:rFonts w:cs="Arial"/>
              </w:rPr>
            </w:pPr>
            <w:r w:rsidRPr="00493E39">
              <w:rPr>
                <w:rFonts w:cs="Arial"/>
                <w:sz w:val="18"/>
              </w:rPr>
              <w:t>Taxa nominal R$/US$</w:t>
            </w:r>
          </w:p>
        </w:tc>
        <w:tc>
          <w:tcPr>
            <w:tcW w:w="2835" w:type="dxa"/>
            <w:tcBorders>
              <w:top w:val="nil"/>
              <w:left w:val="nil"/>
              <w:bottom w:val="nil"/>
              <w:right w:val="nil"/>
            </w:tcBorders>
          </w:tcPr>
          <w:p w14:paraId="5503BA1B" w14:textId="77777777" w:rsidR="00D64459" w:rsidRPr="00493E39" w:rsidRDefault="008B2120">
            <w:pPr>
              <w:spacing w:line="240" w:lineRule="auto"/>
              <w:rPr>
                <w:rFonts w:cs="Arial"/>
                <w:lang w:val="pt-BR"/>
              </w:rPr>
            </w:pPr>
            <w:r w:rsidRPr="00493E39">
              <w:rPr>
                <w:rFonts w:cs="Arial"/>
                <w:sz w:val="18"/>
                <w:lang w:val="pt-BR"/>
              </w:rPr>
              <w:t>Banco Central do Brasil, SGS</w:t>
            </w:r>
          </w:p>
        </w:tc>
      </w:tr>
      <w:tr w:rsidR="00D64459" w:rsidRPr="00AD093D" w14:paraId="44D940DE" w14:textId="77777777">
        <w:trPr>
          <w:cantSplit/>
          <w:jc w:val="center"/>
        </w:trPr>
        <w:tc>
          <w:tcPr>
            <w:tcW w:w="2608" w:type="dxa"/>
            <w:tcBorders>
              <w:top w:val="nil"/>
              <w:left w:val="nil"/>
              <w:bottom w:val="nil"/>
              <w:right w:val="nil"/>
            </w:tcBorders>
          </w:tcPr>
          <w:p w14:paraId="37C83583" w14:textId="77777777" w:rsidR="00D64459" w:rsidRPr="00493E39" w:rsidRDefault="008B2120">
            <w:pPr>
              <w:spacing w:line="240" w:lineRule="auto"/>
              <w:rPr>
                <w:rFonts w:cs="Arial"/>
              </w:rPr>
            </w:pPr>
            <w:proofErr w:type="spellStart"/>
            <w:r w:rsidRPr="00493E39">
              <w:rPr>
                <w:rFonts w:cs="Arial"/>
                <w:sz w:val="18"/>
              </w:rPr>
              <w:t>Atividade</w:t>
            </w:r>
            <w:proofErr w:type="spellEnd"/>
            <w:r w:rsidRPr="00493E39">
              <w:rPr>
                <w:rFonts w:cs="Arial"/>
                <w:sz w:val="18"/>
              </w:rPr>
              <w:t xml:space="preserve"> </w:t>
            </w:r>
            <w:proofErr w:type="spellStart"/>
            <w:r w:rsidRPr="00493E39">
              <w:rPr>
                <w:rFonts w:cs="Arial"/>
                <w:sz w:val="18"/>
              </w:rPr>
              <w:t>econômica</w:t>
            </w:r>
            <w:proofErr w:type="spellEnd"/>
          </w:p>
        </w:tc>
        <w:tc>
          <w:tcPr>
            <w:tcW w:w="3061" w:type="dxa"/>
            <w:tcBorders>
              <w:top w:val="nil"/>
              <w:left w:val="nil"/>
              <w:bottom w:val="nil"/>
              <w:right w:val="nil"/>
            </w:tcBorders>
          </w:tcPr>
          <w:p w14:paraId="16B9BF6E" w14:textId="77777777" w:rsidR="00D64459" w:rsidRPr="00493E39" w:rsidRDefault="008B2120">
            <w:pPr>
              <w:spacing w:line="240" w:lineRule="auto"/>
              <w:rPr>
                <w:rFonts w:cs="Arial"/>
              </w:rPr>
            </w:pPr>
            <w:proofErr w:type="spellStart"/>
            <w:r w:rsidRPr="00493E39">
              <w:rPr>
                <w:rFonts w:cs="Arial"/>
                <w:sz w:val="18"/>
              </w:rPr>
              <w:t>Índice</w:t>
            </w:r>
            <w:proofErr w:type="spellEnd"/>
            <w:r w:rsidRPr="00493E39">
              <w:rPr>
                <w:rFonts w:cs="Arial"/>
                <w:sz w:val="18"/>
              </w:rPr>
              <w:t xml:space="preserve"> de </w:t>
            </w:r>
            <w:proofErr w:type="spellStart"/>
            <w:r w:rsidRPr="00493E39">
              <w:rPr>
                <w:rFonts w:cs="Arial"/>
                <w:sz w:val="18"/>
              </w:rPr>
              <w:t>atividade</w:t>
            </w:r>
            <w:proofErr w:type="spellEnd"/>
          </w:p>
        </w:tc>
        <w:tc>
          <w:tcPr>
            <w:tcW w:w="2835" w:type="dxa"/>
            <w:tcBorders>
              <w:top w:val="nil"/>
              <w:left w:val="nil"/>
              <w:bottom w:val="nil"/>
              <w:right w:val="nil"/>
            </w:tcBorders>
          </w:tcPr>
          <w:p w14:paraId="6EF19475" w14:textId="77777777" w:rsidR="00D64459" w:rsidRPr="00493E39" w:rsidRDefault="008B2120">
            <w:pPr>
              <w:spacing w:line="240" w:lineRule="auto"/>
              <w:rPr>
                <w:rFonts w:cs="Arial"/>
                <w:lang w:val="pt-BR"/>
              </w:rPr>
            </w:pPr>
            <w:r w:rsidRPr="00493E39">
              <w:rPr>
                <w:rFonts w:cs="Arial"/>
                <w:sz w:val="18"/>
                <w:lang w:val="pt-BR"/>
              </w:rPr>
              <w:t>Banco Central do Brasil, SGS (IBC-Br)</w:t>
            </w:r>
          </w:p>
        </w:tc>
      </w:tr>
      <w:tr w:rsidR="00D64459" w:rsidRPr="00AD093D" w14:paraId="18C0255F" w14:textId="77777777">
        <w:trPr>
          <w:cantSplit/>
          <w:jc w:val="center"/>
        </w:trPr>
        <w:tc>
          <w:tcPr>
            <w:tcW w:w="2608" w:type="dxa"/>
            <w:tcBorders>
              <w:top w:val="nil"/>
              <w:left w:val="nil"/>
              <w:bottom w:val="nil"/>
              <w:right w:val="nil"/>
            </w:tcBorders>
          </w:tcPr>
          <w:p w14:paraId="5D9A61EF" w14:textId="77777777" w:rsidR="00D64459" w:rsidRPr="00493E39" w:rsidRDefault="008B2120">
            <w:pPr>
              <w:spacing w:line="240" w:lineRule="auto"/>
              <w:rPr>
                <w:rFonts w:cs="Arial"/>
              </w:rPr>
            </w:pPr>
            <w:r w:rsidRPr="00493E39">
              <w:rPr>
                <w:rFonts w:cs="Arial"/>
                <w:sz w:val="18"/>
              </w:rPr>
              <w:t>Meta Selic</w:t>
            </w:r>
          </w:p>
        </w:tc>
        <w:tc>
          <w:tcPr>
            <w:tcW w:w="3061" w:type="dxa"/>
            <w:tcBorders>
              <w:top w:val="nil"/>
              <w:left w:val="nil"/>
              <w:bottom w:val="nil"/>
              <w:right w:val="nil"/>
            </w:tcBorders>
          </w:tcPr>
          <w:p w14:paraId="06ABED23" w14:textId="77777777" w:rsidR="00D64459" w:rsidRPr="00493E39" w:rsidRDefault="008B2120">
            <w:pPr>
              <w:spacing w:line="240" w:lineRule="auto"/>
              <w:rPr>
                <w:rFonts w:cs="Arial"/>
                <w:lang w:val="pt-BR"/>
              </w:rPr>
            </w:pPr>
            <w:r w:rsidRPr="00493E39">
              <w:rPr>
                <w:rFonts w:cs="Arial"/>
                <w:sz w:val="18"/>
                <w:lang w:val="pt-BR"/>
              </w:rPr>
              <w:t>Meta do Copom, transformada em 100·ln(1+r/100)</w:t>
            </w:r>
          </w:p>
        </w:tc>
        <w:tc>
          <w:tcPr>
            <w:tcW w:w="2835" w:type="dxa"/>
            <w:tcBorders>
              <w:top w:val="nil"/>
              <w:left w:val="nil"/>
              <w:bottom w:val="nil"/>
              <w:right w:val="nil"/>
            </w:tcBorders>
          </w:tcPr>
          <w:p w14:paraId="0CB50CFE" w14:textId="77777777" w:rsidR="00D64459" w:rsidRPr="00493E39" w:rsidRDefault="008B2120">
            <w:pPr>
              <w:spacing w:line="240" w:lineRule="auto"/>
              <w:rPr>
                <w:rFonts w:cs="Arial"/>
                <w:lang w:val="pt-BR"/>
              </w:rPr>
            </w:pPr>
            <w:r w:rsidRPr="00493E39">
              <w:rPr>
                <w:rFonts w:cs="Arial"/>
                <w:sz w:val="18"/>
                <w:lang w:val="pt-BR"/>
              </w:rPr>
              <w:t>Banco Central do Brasil, SGS 432</w:t>
            </w:r>
          </w:p>
        </w:tc>
      </w:tr>
      <w:tr w:rsidR="00D64459" w:rsidRPr="00AD093D" w14:paraId="6B13931F" w14:textId="77777777">
        <w:trPr>
          <w:cantSplit/>
          <w:jc w:val="center"/>
        </w:trPr>
        <w:tc>
          <w:tcPr>
            <w:tcW w:w="2608" w:type="dxa"/>
            <w:tcBorders>
              <w:top w:val="nil"/>
              <w:left w:val="nil"/>
              <w:bottom w:val="single" w:sz="12" w:space="0" w:color="000000"/>
              <w:right w:val="nil"/>
            </w:tcBorders>
          </w:tcPr>
          <w:p w14:paraId="1E6670BA" w14:textId="77777777" w:rsidR="00D64459" w:rsidRPr="00493E39" w:rsidRDefault="008B2120">
            <w:pPr>
              <w:spacing w:line="240" w:lineRule="auto"/>
              <w:rPr>
                <w:rFonts w:cs="Arial"/>
              </w:rPr>
            </w:pPr>
            <w:proofErr w:type="spellStart"/>
            <w:r w:rsidRPr="00493E39">
              <w:rPr>
                <w:rFonts w:cs="Arial"/>
                <w:sz w:val="18"/>
              </w:rPr>
              <w:t>Expectativa</w:t>
            </w:r>
            <w:proofErr w:type="spellEnd"/>
            <w:r w:rsidRPr="00493E39">
              <w:rPr>
                <w:rFonts w:cs="Arial"/>
                <w:sz w:val="18"/>
              </w:rPr>
              <w:t xml:space="preserve"> de </w:t>
            </w:r>
            <w:proofErr w:type="spellStart"/>
            <w:r w:rsidRPr="00493E39">
              <w:rPr>
                <w:rFonts w:cs="Arial"/>
                <w:sz w:val="18"/>
              </w:rPr>
              <w:t>inflação</w:t>
            </w:r>
            <w:proofErr w:type="spellEnd"/>
          </w:p>
        </w:tc>
        <w:tc>
          <w:tcPr>
            <w:tcW w:w="3061" w:type="dxa"/>
            <w:tcBorders>
              <w:top w:val="nil"/>
              <w:left w:val="nil"/>
              <w:bottom w:val="single" w:sz="12" w:space="0" w:color="000000"/>
              <w:right w:val="nil"/>
            </w:tcBorders>
          </w:tcPr>
          <w:p w14:paraId="5AFF406C" w14:textId="77777777" w:rsidR="00D64459" w:rsidRPr="00493E39" w:rsidRDefault="008B2120">
            <w:pPr>
              <w:spacing w:line="240" w:lineRule="auto"/>
              <w:rPr>
                <w:rFonts w:cs="Arial"/>
                <w:lang w:val="pt-BR"/>
              </w:rPr>
            </w:pPr>
            <w:r w:rsidRPr="00493E39">
              <w:rPr>
                <w:rFonts w:cs="Arial"/>
                <w:sz w:val="18"/>
                <w:lang w:val="pt-BR"/>
              </w:rPr>
              <w:t>Projeções de mercado, mesma transformação</w:t>
            </w:r>
          </w:p>
        </w:tc>
        <w:tc>
          <w:tcPr>
            <w:tcW w:w="2835" w:type="dxa"/>
            <w:tcBorders>
              <w:top w:val="nil"/>
              <w:left w:val="nil"/>
              <w:bottom w:val="single" w:sz="12" w:space="0" w:color="000000"/>
              <w:right w:val="nil"/>
            </w:tcBorders>
          </w:tcPr>
          <w:p w14:paraId="0D575990" w14:textId="77777777" w:rsidR="00D64459" w:rsidRPr="00493E39" w:rsidRDefault="008B2120">
            <w:pPr>
              <w:spacing w:line="240" w:lineRule="auto"/>
              <w:rPr>
                <w:rFonts w:cs="Arial"/>
                <w:lang w:val="pt-BR"/>
              </w:rPr>
            </w:pPr>
            <w:r w:rsidRPr="00493E39">
              <w:rPr>
                <w:rFonts w:cs="Arial"/>
                <w:sz w:val="18"/>
                <w:lang w:val="pt-BR"/>
              </w:rPr>
              <w:t>Banco Central do Brasil, Focus</w:t>
            </w:r>
          </w:p>
        </w:tc>
      </w:tr>
    </w:tbl>
    <w:p w14:paraId="68FFF3BC" w14:textId="77777777" w:rsidR="00D64459" w:rsidRPr="00493E39" w:rsidRDefault="008B2120">
      <w:pPr>
        <w:spacing w:before="40" w:line="240" w:lineRule="auto"/>
        <w:jc w:val="both"/>
        <w:rPr>
          <w:rFonts w:cs="Arial"/>
          <w:lang w:val="pt-BR"/>
        </w:rPr>
      </w:pPr>
      <w:r w:rsidRPr="00493E39">
        <w:rPr>
          <w:rFonts w:cs="Arial"/>
          <w:sz w:val="18"/>
          <w:lang w:val="pt-BR"/>
        </w:rPr>
        <w:t xml:space="preserve">Nota: as séries de preços em nível são índices com base em janeiro de 2003. Os subitens de combustíveis correspondem aos códigos 5104001 (gasolina), 5104002 (etanol) e 5104003 (óleo diesel) da classificação do IPCA; os não comercializáveis correspondem à série 4448 do SGS. A gasolina A na refinaria é a média semanal ponderada da ANP menos a Cide, o PIS/Pasep e a </w:t>
      </w:r>
      <w:proofErr w:type="spellStart"/>
      <w:r w:rsidRPr="00493E39">
        <w:rPr>
          <w:rFonts w:cs="Arial"/>
          <w:sz w:val="18"/>
          <w:lang w:val="pt-BR"/>
        </w:rPr>
        <w:t>Cofins</w:t>
      </w:r>
      <w:proofErr w:type="spellEnd"/>
      <w:r w:rsidRPr="00493E39">
        <w:rPr>
          <w:rFonts w:cs="Arial"/>
          <w:sz w:val="18"/>
          <w:lang w:val="pt-BR"/>
        </w:rPr>
        <w:t xml:space="preserve"> vigentes em cada dia, segundo a Lei 10.336/2001 e os decretos e atos posteriores, agregada pela média dos dias do mês civil.</w:t>
      </w:r>
    </w:p>
    <w:p w14:paraId="3E366DA8" w14:textId="77777777" w:rsidR="00D64459" w:rsidRPr="00493E39" w:rsidRDefault="008B2120">
      <w:pPr>
        <w:spacing w:before="20" w:after="200" w:line="240" w:lineRule="auto"/>
        <w:jc w:val="both"/>
        <w:rPr>
          <w:rFonts w:cs="Arial"/>
          <w:lang w:val="pt-BR"/>
        </w:rPr>
      </w:pPr>
      <w:r w:rsidRPr="00493E39">
        <w:rPr>
          <w:rFonts w:cs="Arial"/>
          <w:sz w:val="20"/>
          <w:lang w:val="pt-BR"/>
        </w:rPr>
        <w:t>Fonte: Elaboração própria.</w:t>
      </w:r>
    </w:p>
    <w:p w14:paraId="49199142" w14:textId="77777777" w:rsidR="00D64459" w:rsidRPr="00493E39" w:rsidRDefault="008B2120">
      <w:pPr>
        <w:rPr>
          <w:rFonts w:cs="Arial"/>
          <w:lang w:val="pt-BR"/>
        </w:rPr>
      </w:pPr>
      <w:r w:rsidRPr="00493E39">
        <w:rPr>
          <w:rFonts w:cs="Arial"/>
          <w:lang w:val="pt-BR"/>
        </w:rPr>
        <w:br w:type="page"/>
      </w:r>
    </w:p>
    <w:p w14:paraId="74E678E6" w14:textId="77777777" w:rsidR="00D64459" w:rsidRPr="00493E39" w:rsidRDefault="008B2120">
      <w:pPr>
        <w:pStyle w:val="Heading1"/>
        <w:spacing w:before="280" w:after="280"/>
        <w:jc w:val="center"/>
        <w:rPr>
          <w:rFonts w:ascii="Arial" w:hAnsi="Arial" w:cs="Arial"/>
          <w:lang w:val="pt-BR"/>
        </w:rPr>
      </w:pPr>
      <w:bookmarkStart w:id="54" w:name="_Toc239713603"/>
      <w:r w:rsidRPr="00493E39">
        <w:rPr>
          <w:rFonts w:ascii="Arial" w:hAnsi="Arial" w:cs="Arial"/>
          <w:lang w:val="pt-BR"/>
        </w:rPr>
        <w:lastRenderedPageBreak/>
        <w:t>APÊNDICE N – FIGURAS DO CAPÍTULO DE RESULTADOS</w:t>
      </w:r>
      <w:bookmarkEnd w:id="54"/>
    </w:p>
    <w:p w14:paraId="48B90D49" w14:textId="77777777" w:rsidR="00D64459" w:rsidRPr="00493E39" w:rsidRDefault="008B2120">
      <w:pPr>
        <w:ind w:firstLine="709"/>
        <w:jc w:val="both"/>
        <w:rPr>
          <w:rFonts w:cs="Arial"/>
          <w:lang w:val="pt-BR"/>
        </w:rPr>
      </w:pPr>
      <w:r w:rsidRPr="00493E39">
        <w:rPr>
          <w:rFonts w:cs="Arial"/>
          <w:lang w:val="pt-BR"/>
        </w:rPr>
        <w:t>A figura deste apêndice acompanha a seção 4.8 e mantém a numeração da ordem de citação. Ela exibe graficamente um resultado que o corpo do trabalho reporta em números.</w:t>
      </w:r>
    </w:p>
    <w:p w14:paraId="24BDE637" w14:textId="77777777" w:rsidR="00D64459" w:rsidRPr="00493E39" w:rsidRDefault="008B2120">
      <w:pPr>
        <w:keepNext/>
        <w:spacing w:before="200" w:after="40" w:line="240" w:lineRule="auto"/>
        <w:jc w:val="center"/>
        <w:rPr>
          <w:rFonts w:cs="Arial"/>
          <w:lang w:val="pt-BR"/>
        </w:rPr>
      </w:pPr>
      <w:r w:rsidRPr="00493E39">
        <w:rPr>
          <w:rFonts w:cs="Arial"/>
          <w:sz w:val="20"/>
          <w:lang w:val="pt-BR"/>
        </w:rPr>
        <w:t>Figura 13 – O repasse brasileiro na distribuição internacional</w:t>
      </w:r>
    </w:p>
    <w:p w14:paraId="24359350" w14:textId="77777777" w:rsidR="00D64459" w:rsidRPr="00493E39" w:rsidRDefault="008B2120">
      <w:pPr>
        <w:keepNext/>
        <w:spacing w:after="40"/>
        <w:jc w:val="center"/>
        <w:rPr>
          <w:rFonts w:cs="Arial"/>
        </w:rPr>
      </w:pPr>
      <w:r w:rsidRPr="00493E39">
        <w:rPr>
          <w:rFonts w:cs="Arial"/>
          <w:noProof/>
        </w:rPr>
        <w:drawing>
          <wp:inline distT="0" distB="0" distL="0" distR="0" wp14:anchorId="5987B99E" wp14:editId="46E8CCDF">
            <wp:extent cx="5580000" cy="2009038"/>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passe_internacional.png"/>
                    <pic:cNvPicPr/>
                  </pic:nvPicPr>
                  <pic:blipFill>
                    <a:blip r:embed="rId29"/>
                    <a:stretch>
                      <a:fillRect/>
                    </a:stretch>
                  </pic:blipFill>
                  <pic:spPr>
                    <a:xfrm>
                      <a:off x="0" y="0"/>
                      <a:ext cx="5580000" cy="2009038"/>
                    </a:xfrm>
                    <a:prstGeom prst="rect">
                      <a:avLst/>
                    </a:prstGeom>
                  </pic:spPr>
                </pic:pic>
              </a:graphicData>
            </a:graphic>
          </wp:inline>
        </w:drawing>
      </w:r>
    </w:p>
    <w:p w14:paraId="36613AE8" w14:textId="77777777" w:rsidR="00D64459" w:rsidRPr="00493E39" w:rsidRDefault="008B2120">
      <w:pPr>
        <w:spacing w:line="240" w:lineRule="auto"/>
        <w:jc w:val="both"/>
        <w:rPr>
          <w:rFonts w:cs="Arial"/>
          <w:lang w:val="pt-BR"/>
        </w:rPr>
      </w:pPr>
      <w:r w:rsidRPr="00493E39">
        <w:rPr>
          <w:rFonts w:cs="Arial"/>
          <w:sz w:val="18"/>
          <w:lang w:val="pt-BR"/>
        </w:rPr>
        <w:t xml:space="preserve">Nota: repasse calculado pela medida de </w:t>
      </w:r>
      <w:proofErr w:type="spellStart"/>
      <w:r w:rsidRPr="00493E39">
        <w:rPr>
          <w:rFonts w:cs="Arial"/>
          <w:sz w:val="18"/>
          <w:lang w:val="pt-BR"/>
        </w:rPr>
        <w:t>Akcura</w:t>
      </w:r>
      <w:proofErr w:type="spellEnd"/>
      <w:r w:rsidRPr="00493E39">
        <w:rPr>
          <w:rFonts w:cs="Arial"/>
          <w:sz w:val="18"/>
          <w:lang w:val="pt-BR"/>
        </w:rPr>
        <w:t xml:space="preserve"> (2025), com as adaptações da seção 4.8, como razão entre a variação do preço de varejo e a da referência internacional defasada em um mês, na alta de abril de 2020 a junho de 2022. Preços de varejo em dólares por litro e referência dada pela gasolina convencional da Costa do Golfo dos Estados Unidos, de modo que a variação cambial não integra o cálculo. A classificação entre preço regulado e desregulado é a da base de medidas de controle de preços do Banco Mundial para 2021 e 2022.</w:t>
      </w:r>
    </w:p>
    <w:p w14:paraId="4B1D9DC3" w14:textId="77777777" w:rsidR="00D64459" w:rsidRPr="00493E39" w:rsidRDefault="008B2120">
      <w:pPr>
        <w:spacing w:after="200" w:line="240" w:lineRule="auto"/>
        <w:jc w:val="center"/>
        <w:rPr>
          <w:rFonts w:cs="Arial"/>
        </w:rPr>
      </w:pPr>
      <w:r w:rsidRPr="00493E39">
        <w:rPr>
          <w:rFonts w:cs="Arial"/>
          <w:sz w:val="20"/>
        </w:rPr>
        <w:t xml:space="preserve">Fonte: </w:t>
      </w:r>
      <w:proofErr w:type="spellStart"/>
      <w:r w:rsidRPr="00493E39">
        <w:rPr>
          <w:rFonts w:cs="Arial"/>
          <w:sz w:val="20"/>
        </w:rPr>
        <w:t>Elaboração</w:t>
      </w:r>
      <w:proofErr w:type="spellEnd"/>
      <w:r w:rsidRPr="00493E39">
        <w:rPr>
          <w:rFonts w:cs="Arial"/>
          <w:sz w:val="20"/>
        </w:rPr>
        <w:t xml:space="preserve"> </w:t>
      </w:r>
      <w:proofErr w:type="spellStart"/>
      <w:r w:rsidRPr="00493E39">
        <w:rPr>
          <w:rFonts w:cs="Arial"/>
          <w:sz w:val="20"/>
        </w:rPr>
        <w:t>própria</w:t>
      </w:r>
      <w:proofErr w:type="spellEnd"/>
      <w:r w:rsidRPr="00493E39">
        <w:rPr>
          <w:rFonts w:cs="Arial"/>
          <w:sz w:val="20"/>
        </w:rPr>
        <w:t>.</w:t>
      </w:r>
    </w:p>
    <w:sectPr w:rsidR="00D64459" w:rsidRPr="00493E39" w:rsidSect="00034616">
      <w:headerReference w:type="default" r:id="rId30"/>
      <w:pgSz w:w="12240" w:h="15840"/>
      <w:pgMar w:top="1701" w:right="1134" w:bottom="1134" w:left="1701"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B10A" w14:textId="77777777" w:rsidR="00AE471D" w:rsidRDefault="00AE471D">
      <w:pPr>
        <w:spacing w:line="240" w:lineRule="auto"/>
      </w:pPr>
      <w:r>
        <w:separator/>
      </w:r>
    </w:p>
  </w:endnote>
  <w:endnote w:type="continuationSeparator" w:id="0">
    <w:p w14:paraId="25D5525B" w14:textId="77777777" w:rsidR="00AE471D" w:rsidRDefault="00AE4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1A354" w14:textId="77777777" w:rsidR="00AE471D" w:rsidRDefault="00AE471D">
      <w:pPr>
        <w:spacing w:line="240" w:lineRule="auto"/>
      </w:pPr>
      <w:r>
        <w:separator/>
      </w:r>
    </w:p>
  </w:footnote>
  <w:footnote w:type="continuationSeparator" w:id="0">
    <w:p w14:paraId="12503290" w14:textId="77777777" w:rsidR="00AE471D" w:rsidRDefault="00AE47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9D7B" w14:textId="77777777" w:rsidR="00D64459" w:rsidRDefault="008B2120">
    <w:pPr>
      <w:pStyle w:val="Head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404636">
    <w:abstractNumId w:val="8"/>
  </w:num>
  <w:num w:numId="2" w16cid:durableId="334957701">
    <w:abstractNumId w:val="6"/>
  </w:num>
  <w:num w:numId="3" w16cid:durableId="1269309944">
    <w:abstractNumId w:val="5"/>
  </w:num>
  <w:num w:numId="4" w16cid:durableId="584850106">
    <w:abstractNumId w:val="4"/>
  </w:num>
  <w:num w:numId="5" w16cid:durableId="2000647541">
    <w:abstractNumId w:val="7"/>
  </w:num>
  <w:num w:numId="6" w16cid:durableId="143746327">
    <w:abstractNumId w:val="3"/>
  </w:num>
  <w:num w:numId="7" w16cid:durableId="772700379">
    <w:abstractNumId w:val="2"/>
  </w:num>
  <w:num w:numId="8" w16cid:durableId="1341271780">
    <w:abstractNumId w:val="1"/>
  </w:num>
  <w:num w:numId="9" w16cid:durableId="206533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18"/>
    <w:rsid w:val="0006063C"/>
    <w:rsid w:val="00062839"/>
    <w:rsid w:val="0008727C"/>
    <w:rsid w:val="00091690"/>
    <w:rsid w:val="000B39AF"/>
    <w:rsid w:val="0015074B"/>
    <w:rsid w:val="0023193F"/>
    <w:rsid w:val="00281542"/>
    <w:rsid w:val="0029639D"/>
    <w:rsid w:val="002F4B80"/>
    <w:rsid w:val="00325E30"/>
    <w:rsid w:val="00326F90"/>
    <w:rsid w:val="00331702"/>
    <w:rsid w:val="0033483B"/>
    <w:rsid w:val="0034527E"/>
    <w:rsid w:val="00377C6E"/>
    <w:rsid w:val="003C3B25"/>
    <w:rsid w:val="00493E39"/>
    <w:rsid w:val="004E561D"/>
    <w:rsid w:val="0059005D"/>
    <w:rsid w:val="005D0F55"/>
    <w:rsid w:val="005D480B"/>
    <w:rsid w:val="005F7A44"/>
    <w:rsid w:val="006931AE"/>
    <w:rsid w:val="00722477"/>
    <w:rsid w:val="00792236"/>
    <w:rsid w:val="008B2120"/>
    <w:rsid w:val="00921EED"/>
    <w:rsid w:val="00984324"/>
    <w:rsid w:val="009B0E90"/>
    <w:rsid w:val="00AA1D8D"/>
    <w:rsid w:val="00AD093D"/>
    <w:rsid w:val="00AD4DF5"/>
    <w:rsid w:val="00AE0BDF"/>
    <w:rsid w:val="00AE471D"/>
    <w:rsid w:val="00B47730"/>
    <w:rsid w:val="00B52CEC"/>
    <w:rsid w:val="00BB35BF"/>
    <w:rsid w:val="00C50FE5"/>
    <w:rsid w:val="00CB0664"/>
    <w:rsid w:val="00CD0D7C"/>
    <w:rsid w:val="00CD567E"/>
    <w:rsid w:val="00CE2AA3"/>
    <w:rsid w:val="00CF0CC4"/>
    <w:rsid w:val="00D34F92"/>
    <w:rsid w:val="00D46B7B"/>
    <w:rsid w:val="00D64459"/>
    <w:rsid w:val="00E02C17"/>
    <w:rsid w:val="00E815E7"/>
    <w:rsid w:val="00EA6EA1"/>
    <w:rsid w:val="00EF52C8"/>
    <w:rsid w:val="00F30B3A"/>
    <w:rsid w:val="00F37D68"/>
    <w:rsid w:val="00FC693F"/>
    <w:rsid w:val="00FD247E"/>
    <w:rsid w:val="00FD4330"/>
    <w:rsid w:val="00FE34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8D233B"/>
  <w14:defaultImageDpi w14:val="300"/>
  <w15:docId w15:val="{40385A4D-026F-437E-B166-C392D241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4F92"/>
    <w:pPr>
      <w:spacing w:after="100"/>
    </w:pPr>
  </w:style>
  <w:style w:type="paragraph" w:styleId="TOC2">
    <w:name w:val="toc 2"/>
    <w:basedOn w:val="Normal"/>
    <w:next w:val="Normal"/>
    <w:autoRedefine/>
    <w:uiPriority w:val="39"/>
    <w:unhideWhenUsed/>
    <w:rsid w:val="00D34F92"/>
    <w:pPr>
      <w:spacing w:after="100"/>
      <w:ind w:left="240"/>
    </w:pPr>
  </w:style>
  <w:style w:type="paragraph" w:styleId="TOC3">
    <w:name w:val="toc 3"/>
    <w:basedOn w:val="Normal"/>
    <w:next w:val="Normal"/>
    <w:autoRedefine/>
    <w:uiPriority w:val="39"/>
    <w:unhideWhenUsed/>
    <w:rsid w:val="00D34F92"/>
    <w:pPr>
      <w:spacing w:after="100"/>
      <w:ind w:left="480"/>
    </w:pPr>
  </w:style>
  <w:style w:type="character" w:styleId="Hyperlink">
    <w:name w:val="Hyperlink"/>
    <w:basedOn w:val="DefaultParagraphFont"/>
    <w:uiPriority w:val="99"/>
    <w:unhideWhenUsed/>
    <w:rsid w:val="00D34F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93</Pages>
  <Words>26212</Words>
  <Characters>141547</Characters>
  <Application>Microsoft Office Word</Application>
  <DocSecurity>0</DocSecurity>
  <Lines>1179</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repasse do preço internacional do petróleo à inflação brasileira</dc:title>
  <dc:subject/>
  <dc:creator>Pedro Minella</dc:creator>
  <cp:keywords/>
  <dc:description>generated by python-docx</dc:description>
  <cp:lastModifiedBy>Pedro Franck Minella</cp:lastModifiedBy>
  <cp:revision>8</cp:revision>
  <dcterms:created xsi:type="dcterms:W3CDTF">2026-09-09T18:00:00Z</dcterms:created>
  <dcterms:modified xsi:type="dcterms:W3CDTF">2026-10-14T05:45:00Z</dcterms:modified>
  <cp:category/>
</cp:coreProperties>
</file>