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60" w:line="36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1 INTRODUÇÃO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Conflitos armados no Oriente Médio e ameaças ao tráfego marítimo em rotas de escoamento recolocaram o preço do petróleo no centro da discussão econômica mundial, e com ele uma pergunta que a política monetária precisa responder rapidamente: quanto de um choque no preço internacional chega à inflação doméstica, e em quanto tempo. A pergunta é antiga, mas a urgência é recorrente, porque episódios dessa natureza voltam a ocorrer sem aviso e exigem que a autoridade monetária saiba, de antemão, qual repasse esperar.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resposta encontrada é que ela mudou. No mês de um choque típico de petróleo, o repasse ao IPCA cheio passa de 0,005 ponto percentual antes de 2017 para algo entre 0,088 e 0,176 depois, faixa cujos extremos correspondem a dois tratamentos defensáveis das observações da pandemia. Mais importante que o nível, porém, é que a mudança não é de intensidade: nas dezoito estimativas do regime anterior nenhuma é estatisticamente distinguível de zero, ao passo que todas as do regime posterior são, e isso vale sob os dois tratamentos. O coeficiente anterior tampouco é impreciso, com erro-padrão de 0,024 no impacto, de modo que o zero está bem estimado. O repasse não era menor, era indetectável, e passou a ser sistemático.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pergunta não tem resposta única. Ela depende de um elo que a literatura internacional raramente examina, porque nas economias que ela estuda esse elo é estável: a regra pela qual o preço internacional se converte em preço doméstico de combustível. Onde essa regra é de mercado, o repasse é uma característica razoavelmente permanente da economia. Onde ela é administrativa, o repasse é uma decisão, e pode mudar de um ano para o outro sem que nada mude na estrutura produtiva, na cesta de consumo ou no regime monetário.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Há uma razão adicional para que a pergunta importe no Brasil. O país conviveu com inflação alta e depois com hiperinflação até a estabilização de 1994, e adotou o regime de metas em 1999, de modo que a construção de credibilidade monetária é fenômeno recente e ainda em consolidação. Choi et al. (2018) documentam que o repasse do petróleo à inflação declina justamente com o ganho de credibilidade da autoridade monetária. O achado deste trabalho vai na direção oposta dessa força: o repasse aumenta em um período no qual o regime monetário não se deteriorou. A explicação, portanto, não pode estar na política monetária, e a candidata que sobra é a regra de formação de preços.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Brasil é um caso dessa segunda espécie, e por isso oferece o que aquela literatura não tem. Entre 2011 e 2014, a Petrobras vendeu derivados sistematicamente abaixo da referência internacional, política cuja perda de receita Almeida, Oliveira e Losekann (2015) estimam em cerca de R$ 98 bilhões. Em 2016, a empresa adotou a política de paridade de importação, que vinculou o preço doméstico à cotação externa. Em pouco mais de uma década, portanto, a regra de transmissão mudou, e mudou por decisão administrativa, e não por alteração de mercado.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Dessa configuração decorrem duas lacunas na literatura, e é delas que este trabalho se ocupa.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primeira é de objeto. Os trabalhos de referência sobre repasse do petróleo à inflação, como Choi et al. (2018), tratam o grau de regulação dos preços domésticos como característica fixa de cada país, medida por variável indicadora no painel. A opção é razoável nas economias examinadas, mas descarta justamente a variação que o caso brasileiro oferece. Duas perguntas resultam disso, e ambas interessam: quanto vale o repasse, magnitude que importa diretamente à condução da política monetária e que a literatura nacional ainda não estimou com este desenho, e se essa magnitude é estável, isto é, se o repasse é função da regra de preços vigente ou constitui parâmetro estrutural da economia. Estimar a primeira é condição para responder a segunda.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segunda lacuna é de mecanismo. Afirmar que o petróleo alcança a inflação pelos combustíveis é intuitivo, e a literatura o afirma com frequência, mas raramente o mede. Medir exige separar duas coisas que costumam vir somadas: o efeito aritmético, que decorre de gasolina, diesel e etanol integrarem a cesta do IPCA, e o efeito econômico de segunda volta, que é o encarecimento dos demais preços por meio de frete, transporte e insumos. Sem essa separação não se pode dizer se o repasse observado é contabilidade de cesta ou propagação de custos, e a distinção importa: apenas a segunda justifica reação da política monetária.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trabalho ocupa as duas lacunas com um único desenho. O repasse é estimado por projeções locais (JORDÀ, 2005), permitindo que o coeficiente do choque difira entre regimes de política de preços. A data que separa os regimes não é imposta pela cronologia institucional, e sim estimada pelos próprios dados, por teste que estima a data em vez de impô-la (ANDREWS, 1993), com valores críticos obtidos por reamostragem (HANSEN, 2000). E o efeito estimado é decomposto entre o canal dos combustíveis e o restante, e dentro daquele, entre primeira e segunda volta. A amostra é mensal e cobre de janeiro de 2003 a setembro de 2025. Tentou-se ainda verificar o desenho com choque de oferta identificado externamente, a partir de anúncios da OPEP (KÄNZIG, 2021); a tentativa é reportada por completude e é inconclusiva, por falta de potência do instrumento, de modo que a identificação repousa integralmente sobre a comparação entre regimes.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Os resultados sustentam quatro proposições. A transmissão aumentou de forma acentuada em torno do primeiro trimestre de 2017, data que os dados elegem e que a cronologia institucional corrobora: no mês do choque, o repasse ao IPCA cheio passa de 0,005 para a faixa de 0,088 a 0,176 ponto percentual. O repasse concentra-se nos dois primeiros meses após o choque. Transita pelos preços de combustíveis, canal que carrega 0,003 ponto percentual em três meses no regime anterior e 0,249 no posterior, diferença de 0,246 ponto com p inferior a 0,001. E torna-se majoritariamente de segunda volta a partir do terceiro mês, magnitude para a qual duas construções distintas convergem, ainda que nenhuma delas a estabeleça isoladamente.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implicação de política é direta. A magnitude com que um choque internacional de petróleo atinge a inflação brasileira não é constante da economia, e sim atributo da regra de formação de preços vigente. Um choque como o de março de 2026 produz efeitos muito distintos conforme a regra em vigor no momento em que ocorre.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Além desta introdução, o trabalho está organizado em quatro capítulos. O segundo apresenta o referencial teórico, cobrindo a literatura sobre repasse do petróleo à inflação, a crítica de identificação de Kilian (2009), a experiência brasileira de preços administrados e as ferramentas econométricas empregadas. O terceiro detalha os dados e a metodologia. O quarto apresenta e discute os resultados. O quinto conclui.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 – Introdução</dc:title>
  <dc:subject/>
  <dc:creator>Pedro Minella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