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160" w:line="360" w:lineRule="auto"/>
        <w:ind w:firstLine="0"/>
        <w:jc w:val="left"/>
      </w:pPr>
      <w:r>
        <w:rPr>
          <w:rFonts w:ascii="Arial" w:hAnsi="Arial"/>
          <w:b/>
          <w:i w:val="0"/>
          <w:color w:val="000000"/>
          <w:sz w:val="28"/>
        </w:rPr>
        <w:t>3 METODOLOGIA</w:t>
      </w:r>
    </w:p>
    <w:p>
      <w:pPr>
        <w:pStyle w:val="Heading2"/>
        <w:keepNext/>
        <w:spacing w:before="280" w:after="160" w:line="360" w:lineRule="auto"/>
        <w:ind w:firstLine="0"/>
        <w:jc w:val="left"/>
      </w:pPr>
      <w:r>
        <w:rPr>
          <w:rFonts w:ascii="Arial" w:hAnsi="Arial"/>
          <w:b/>
          <w:i w:val="0"/>
          <w:color w:val="000000"/>
          <w:sz w:val="24"/>
        </w:rPr>
        <w:t>3.1 Dados</w:t>
      </w:r>
    </w:p>
    <w:p>
      <w:pPr>
        <w:spacing w:after="0" w:before="0" w:line="360" w:lineRule="auto"/>
        <w:ind w:firstLine="709"/>
        <w:jc w:val="both"/>
      </w:pPr>
      <w:r>
        <w:rPr>
          <w:rFonts w:ascii="Arial" w:hAnsi="Arial"/>
          <w:color w:val="000000"/>
          <w:sz w:val="24"/>
        </w:rPr>
        <w:t>A amostra é mensal e cobre de janeiro de 2003 a setembro de 2025, com 273 observações. O início em 2003 é deliberado: exclui a crise cambial de 2002 e situa toda a amostra sob o regime de metas de inflação já consolidado, de modo que as mudanças documentadas não se confundam com transição de regime monetário.</w:t>
      </w:r>
    </w:p>
    <w:p>
      <w:pPr>
        <w:spacing w:after="0" w:before="0" w:line="360" w:lineRule="auto"/>
        <w:ind w:firstLine="709"/>
        <w:jc w:val="both"/>
      </w:pPr>
      <w:r>
        <w:rPr>
          <w:rFonts w:ascii="Arial" w:hAnsi="Arial"/>
          <w:color w:val="000000"/>
          <w:sz w:val="24"/>
        </w:rPr>
        <w:t>Seis séries entram como variável dependente. Quatro são preços de combustíveis, o que permite acompanhar a transmissão ao longo da cadeia: a gasolina A na refinaria, que é o preço efetivamente definido pela Petrobras, e a gasolina, o óleo diesel e o etanol ao consumidor. As outras duas são o IPCA cheio e o IPCA do grupo Transportes. Duas séries auxiliares, comercializáveis e não comercializáveis, entram apenas na decomposição do canal, pela propriedade de excluírem combustíveis por construção, já que estes são classificados como preços monitorados.</w:t>
      </w:r>
    </w:p>
    <w:p>
      <w:pPr>
        <w:spacing w:before="200" w:after="40" w:line="240" w:lineRule="auto"/>
        <w:ind w:firstLine="0"/>
      </w:pPr>
      <w:r>
        <w:rPr>
          <w:rFonts w:ascii="Arial" w:hAnsi="Arial"/>
          <w:color w:val="000000"/>
          <w:sz w:val="20"/>
        </w:rPr>
        <w:t>Quadro 1 – Variáveis e fontes</w:t>
      </w:r>
    </w:p>
    <w:tbl>
      <w:tblPr>
        <w:tblW w:type="auto" w:w="0"/>
        <w:jc w:val="center"/>
        <w:tblLook w:firstColumn="1" w:firstRow="1" w:lastColumn="0" w:lastRow="0" w:noHBand="0" w:noVBand="1" w:val="04A0"/>
      </w:tblPr>
      <w:tblGrid>
        <w:gridCol w:w="3135"/>
        <w:gridCol w:w="3135"/>
        <w:gridCol w:w="3135"/>
      </w:tblGrid>
      <w:tr>
        <w:trPr>
          <w:cantSplit/>
        </w:trPr>
        <w:tc>
          <w:tcPr>
            <w:tcW w:type="dxa" w:w="2608"/>
            <w:tcBorders>
              <w:top w:val="single" w:sz="12" w:color="000000"/>
              <w:bottom w:val="single" w:sz="6" w:color="000000"/>
              <w:left w:val="nil"/>
              <w:right w:val="nil"/>
            </w:tcBorders>
          </w:tcPr>
          <w:p>
            <w:pPr>
              <w:spacing w:after="20" w:line="240" w:lineRule="auto"/>
              <w:ind w:firstLine="0"/>
              <w:jc w:val="left"/>
            </w:pPr>
            <w:r>
              <w:rPr>
                <w:rFonts w:ascii="Arial" w:hAnsi="Arial"/>
                <w:b/>
                <w:color w:val="000000"/>
                <w:sz w:val="18"/>
              </w:rPr>
              <w:t>Variável</w:t>
            </w:r>
          </w:p>
        </w:tc>
        <w:tc>
          <w:tcPr>
            <w:tcW w:type="dxa" w:w="3061"/>
            <w:tcBorders>
              <w:top w:val="single" w:sz="12" w:color="000000"/>
              <w:bottom w:val="single" w:sz="6" w:color="000000"/>
              <w:left w:val="nil"/>
              <w:right w:val="nil"/>
            </w:tcBorders>
          </w:tcPr>
          <w:p>
            <w:pPr>
              <w:spacing w:after="20" w:line="240" w:lineRule="auto"/>
              <w:ind w:firstLine="0"/>
              <w:jc w:val="left"/>
            </w:pPr>
            <w:r>
              <w:rPr>
                <w:rFonts w:ascii="Arial" w:hAnsi="Arial"/>
                <w:b/>
                <w:color w:val="000000"/>
                <w:sz w:val="18"/>
              </w:rPr>
              <w:t>Descrição</w:t>
            </w:r>
          </w:p>
        </w:tc>
        <w:tc>
          <w:tcPr>
            <w:tcW w:type="dxa" w:w="2835"/>
            <w:tcBorders>
              <w:top w:val="single" w:sz="12" w:color="000000"/>
              <w:bottom w:val="single" w:sz="6" w:color="000000"/>
              <w:left w:val="nil"/>
              <w:right w:val="nil"/>
            </w:tcBorders>
          </w:tcPr>
          <w:p>
            <w:pPr>
              <w:spacing w:after="20" w:line="240" w:lineRule="auto"/>
              <w:ind w:firstLine="0"/>
              <w:jc w:val="left"/>
            </w:pPr>
            <w:r>
              <w:rPr>
                <w:rFonts w:ascii="Arial" w:hAnsi="Arial"/>
                <w:b/>
                <w:color w:val="000000"/>
                <w:sz w:val="18"/>
              </w:rPr>
              <w:t>Fonte</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IPCA Geral e Transportes</w:t>
            </w:r>
          </w:p>
        </w:tc>
        <w:tc>
          <w:tcPr>
            <w:tcW w:type="dxa" w:w="3061"/>
            <w:tcBorders>
              <w:top w:val="nil"/>
              <w:bottom w:val="nil"/>
              <w:left w:val="nil"/>
              <w:right w:val="nil"/>
            </w:tcBorders>
          </w:tcPr>
          <w:p>
            <w:pPr>
              <w:spacing w:after="0" w:line="240" w:lineRule="auto"/>
              <w:ind w:firstLine="0"/>
              <w:jc w:val="left"/>
            </w:pPr>
            <w:r>
              <w:rPr>
                <w:rFonts w:ascii="Arial" w:hAnsi="Arial"/>
                <w:color w:val="000000"/>
                <w:sz w:val="18"/>
              </w:rPr>
              <w:t>Variação mensal do índice e do grupo</w:t>
            </w:r>
          </w:p>
        </w:tc>
        <w:tc>
          <w:tcPr>
            <w:tcW w:type="dxa" w:w="2835"/>
            <w:tcBorders>
              <w:top w:val="nil"/>
              <w:bottom w:val="nil"/>
              <w:left w:val="nil"/>
              <w:right w:val="nil"/>
            </w:tcBorders>
          </w:tcPr>
          <w:p>
            <w:pPr>
              <w:spacing w:after="0" w:line="240" w:lineRule="auto"/>
              <w:ind w:firstLine="0"/>
              <w:jc w:val="left"/>
            </w:pPr>
            <w:r>
              <w:rPr>
                <w:rFonts w:ascii="Arial" w:hAnsi="Arial"/>
                <w:color w:val="000000"/>
                <w:sz w:val="18"/>
              </w:rPr>
              <w:t>IBGE, SIDRA</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Comercializáveis e não comercializáveis</w:t>
            </w:r>
          </w:p>
        </w:tc>
        <w:tc>
          <w:tcPr>
            <w:tcW w:type="dxa" w:w="3061"/>
            <w:tcBorders>
              <w:top w:val="nil"/>
              <w:bottom w:val="nil"/>
              <w:left w:val="nil"/>
              <w:right w:val="nil"/>
            </w:tcBorders>
          </w:tcPr>
          <w:p>
            <w:pPr>
              <w:spacing w:after="0" w:line="240" w:lineRule="auto"/>
              <w:ind w:firstLine="0"/>
              <w:jc w:val="left"/>
            </w:pPr>
            <w:r>
              <w:rPr>
                <w:rFonts w:ascii="Arial" w:hAnsi="Arial"/>
                <w:color w:val="000000"/>
                <w:sz w:val="18"/>
              </w:rPr>
              <w:t>Variação mensal por grau de comercialização</w:t>
            </w:r>
          </w:p>
        </w:tc>
        <w:tc>
          <w:tcPr>
            <w:tcW w:type="dxa" w:w="2835"/>
            <w:tcBorders>
              <w:top w:val="nil"/>
              <w:bottom w:val="nil"/>
              <w:left w:val="nil"/>
              <w:right w:val="nil"/>
            </w:tcBorders>
          </w:tcPr>
          <w:p>
            <w:pPr>
              <w:spacing w:after="0" w:line="240" w:lineRule="auto"/>
              <w:ind w:firstLine="0"/>
              <w:jc w:val="left"/>
            </w:pPr>
            <w:r>
              <w:rPr>
                <w:rFonts w:ascii="Arial" w:hAnsi="Arial"/>
                <w:color w:val="000000"/>
                <w:sz w:val="18"/>
              </w:rPr>
              <w:t>IBGE, séries especiais</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Gasolina A na refinaria</w:t>
            </w:r>
          </w:p>
        </w:tc>
        <w:tc>
          <w:tcPr>
            <w:tcW w:type="dxa" w:w="3061"/>
            <w:tcBorders>
              <w:top w:val="nil"/>
              <w:bottom w:val="nil"/>
              <w:left w:val="nil"/>
              <w:right w:val="nil"/>
            </w:tcBorders>
          </w:tcPr>
          <w:p>
            <w:pPr>
              <w:spacing w:after="0" w:line="240" w:lineRule="auto"/>
              <w:ind w:firstLine="0"/>
              <w:jc w:val="left"/>
            </w:pPr>
            <w:r>
              <w:rPr>
                <w:rFonts w:ascii="Arial" w:hAnsi="Arial"/>
                <w:color w:val="000000"/>
                <w:sz w:val="18"/>
              </w:rPr>
              <w:t>Preço médio mensal, agregado de dados semanais</w:t>
            </w:r>
          </w:p>
        </w:tc>
        <w:tc>
          <w:tcPr>
            <w:tcW w:type="dxa" w:w="2835"/>
            <w:tcBorders>
              <w:top w:val="nil"/>
              <w:bottom w:val="nil"/>
              <w:left w:val="nil"/>
              <w:right w:val="nil"/>
            </w:tcBorders>
          </w:tcPr>
          <w:p>
            <w:pPr>
              <w:spacing w:after="0" w:line="240" w:lineRule="auto"/>
              <w:ind w:firstLine="0"/>
              <w:jc w:val="left"/>
            </w:pPr>
            <w:r>
              <w:rPr>
                <w:rFonts w:ascii="Arial" w:hAnsi="Arial"/>
                <w:color w:val="000000"/>
                <w:sz w:val="18"/>
              </w:rPr>
              <w:t>Petrobras e ANP</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Gasolina, diesel e etanol ao consumidor</w:t>
            </w:r>
          </w:p>
        </w:tc>
        <w:tc>
          <w:tcPr>
            <w:tcW w:type="dxa" w:w="3061"/>
            <w:tcBorders>
              <w:top w:val="nil"/>
              <w:bottom w:val="nil"/>
              <w:left w:val="nil"/>
              <w:right w:val="nil"/>
            </w:tcBorders>
          </w:tcPr>
          <w:p>
            <w:pPr>
              <w:spacing w:after="0" w:line="240" w:lineRule="auto"/>
              <w:ind w:firstLine="0"/>
              <w:jc w:val="left"/>
            </w:pPr>
            <w:r>
              <w:rPr>
                <w:rFonts w:ascii="Arial" w:hAnsi="Arial"/>
                <w:color w:val="000000"/>
                <w:sz w:val="18"/>
              </w:rPr>
              <w:t>Variação mensal dos subitens do IPCA</w:t>
            </w:r>
          </w:p>
        </w:tc>
        <w:tc>
          <w:tcPr>
            <w:tcW w:type="dxa" w:w="2835"/>
            <w:tcBorders>
              <w:top w:val="nil"/>
              <w:bottom w:val="nil"/>
              <w:left w:val="nil"/>
              <w:right w:val="nil"/>
            </w:tcBorders>
          </w:tcPr>
          <w:p>
            <w:pPr>
              <w:spacing w:after="0" w:line="240" w:lineRule="auto"/>
              <w:ind w:firstLine="0"/>
              <w:jc w:val="left"/>
            </w:pPr>
            <w:r>
              <w:rPr>
                <w:rFonts w:ascii="Arial" w:hAnsi="Arial"/>
                <w:color w:val="000000"/>
                <w:sz w:val="18"/>
              </w:rPr>
              <w:t>IBGE, SIDRA (tabela 7060)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Brent</w:t>
            </w:r>
          </w:p>
        </w:tc>
        <w:tc>
          <w:tcPr>
            <w:tcW w:type="dxa" w:w="3061"/>
            <w:tcBorders>
              <w:top w:val="nil"/>
              <w:bottom w:val="nil"/>
              <w:left w:val="nil"/>
              <w:right w:val="nil"/>
            </w:tcBorders>
          </w:tcPr>
          <w:p>
            <w:pPr>
              <w:spacing w:after="0" w:line="240" w:lineRule="auto"/>
              <w:ind w:firstLine="0"/>
              <w:jc w:val="left"/>
            </w:pPr>
            <w:r>
              <w:rPr>
                <w:rFonts w:ascii="Arial" w:hAnsi="Arial"/>
                <w:color w:val="000000"/>
                <w:sz w:val="18"/>
              </w:rPr>
              <w:t>Preço internacional do barril, em dólares</w:t>
            </w:r>
          </w:p>
        </w:tc>
        <w:tc>
          <w:tcPr>
            <w:tcW w:type="dxa" w:w="2835"/>
            <w:tcBorders>
              <w:top w:val="nil"/>
              <w:bottom w:val="nil"/>
              <w:left w:val="nil"/>
              <w:right w:val="nil"/>
            </w:tcBorders>
          </w:tcPr>
          <w:p>
            <w:pPr>
              <w:spacing w:after="0" w:line="240" w:lineRule="auto"/>
              <w:ind w:firstLine="0"/>
              <w:jc w:val="left"/>
            </w:pPr>
            <w:r>
              <w:rPr>
                <w:rFonts w:ascii="Arial" w:hAnsi="Arial"/>
                <w:color w:val="000000"/>
                <w:sz w:val="18"/>
              </w:rPr>
              <w:t>Ipeadata, série de origem EIA</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Câmbio</w:t>
            </w:r>
          </w:p>
        </w:tc>
        <w:tc>
          <w:tcPr>
            <w:tcW w:type="dxa" w:w="3061"/>
            <w:tcBorders>
              <w:top w:val="nil"/>
              <w:bottom w:val="nil"/>
              <w:left w:val="nil"/>
              <w:right w:val="nil"/>
            </w:tcBorders>
          </w:tcPr>
          <w:p>
            <w:pPr>
              <w:spacing w:after="0" w:line="240" w:lineRule="auto"/>
              <w:ind w:firstLine="0"/>
              <w:jc w:val="left"/>
            </w:pPr>
            <w:r>
              <w:rPr>
                <w:rFonts w:ascii="Arial" w:hAnsi="Arial"/>
                <w:color w:val="000000"/>
                <w:sz w:val="18"/>
              </w:rPr>
              <w:t>Taxa nominal R$/US$</w:t>
            </w:r>
          </w:p>
        </w:tc>
        <w:tc>
          <w:tcPr>
            <w:tcW w:type="dxa" w:w="2835"/>
            <w:tcBorders>
              <w:top w:val="nil"/>
              <w:bottom w:val="nil"/>
              <w:left w:val="nil"/>
              <w:right w:val="nil"/>
            </w:tcBorders>
          </w:tcPr>
          <w:p>
            <w:pPr>
              <w:spacing w:after="0" w:line="240" w:lineRule="auto"/>
              <w:ind w:firstLine="0"/>
              <w:jc w:val="left"/>
            </w:pPr>
            <w:r>
              <w:rPr>
                <w:rFonts w:ascii="Arial" w:hAnsi="Arial"/>
                <w:color w:val="000000"/>
                <w:sz w:val="18"/>
              </w:rPr>
              <w:t>Banco Central do Brasil, SGS</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Atividade econômica</w:t>
            </w:r>
          </w:p>
        </w:tc>
        <w:tc>
          <w:tcPr>
            <w:tcW w:type="dxa" w:w="3061"/>
            <w:tcBorders>
              <w:top w:val="nil"/>
              <w:bottom w:val="nil"/>
              <w:left w:val="nil"/>
              <w:right w:val="nil"/>
            </w:tcBorders>
          </w:tcPr>
          <w:p>
            <w:pPr>
              <w:spacing w:after="0" w:line="240" w:lineRule="auto"/>
              <w:ind w:firstLine="0"/>
              <w:jc w:val="left"/>
            </w:pPr>
            <w:r>
              <w:rPr>
                <w:rFonts w:ascii="Arial" w:hAnsi="Arial"/>
                <w:color w:val="000000"/>
                <w:sz w:val="18"/>
              </w:rPr>
              <w:t>Índice de atividade</w:t>
            </w:r>
          </w:p>
        </w:tc>
        <w:tc>
          <w:tcPr>
            <w:tcW w:type="dxa" w:w="2835"/>
            <w:tcBorders>
              <w:top w:val="nil"/>
              <w:bottom w:val="nil"/>
              <w:left w:val="nil"/>
              <w:right w:val="nil"/>
            </w:tcBorders>
          </w:tcPr>
          <w:p>
            <w:pPr>
              <w:spacing w:after="0" w:line="240" w:lineRule="auto"/>
              <w:ind w:firstLine="0"/>
              <w:jc w:val="left"/>
            </w:pPr>
            <w:r>
              <w:rPr>
                <w:rFonts w:ascii="Arial" w:hAnsi="Arial"/>
                <w:color w:val="000000"/>
                <w:sz w:val="18"/>
              </w:rPr>
              <w:t>Banco Central do Brasil, SGS (IBC-Br)</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Meta Selic</w:t>
            </w:r>
          </w:p>
        </w:tc>
        <w:tc>
          <w:tcPr>
            <w:tcW w:type="dxa" w:w="3061"/>
            <w:tcBorders>
              <w:top w:val="nil"/>
              <w:bottom w:val="nil"/>
              <w:left w:val="nil"/>
              <w:right w:val="nil"/>
            </w:tcBorders>
          </w:tcPr>
          <w:p>
            <w:pPr>
              <w:spacing w:after="0" w:line="240" w:lineRule="auto"/>
              <w:ind w:firstLine="0"/>
              <w:jc w:val="left"/>
            </w:pPr>
            <w:r>
              <w:rPr>
                <w:rFonts w:ascii="Arial" w:hAnsi="Arial"/>
                <w:color w:val="000000"/>
                <w:sz w:val="18"/>
              </w:rPr>
              <w:t>Meta do Copom, transformada em 100·ln(1+r/100)</w:t>
            </w:r>
          </w:p>
        </w:tc>
        <w:tc>
          <w:tcPr>
            <w:tcW w:type="dxa" w:w="2835"/>
            <w:tcBorders>
              <w:top w:val="nil"/>
              <w:bottom w:val="nil"/>
              <w:left w:val="nil"/>
              <w:right w:val="nil"/>
            </w:tcBorders>
          </w:tcPr>
          <w:p>
            <w:pPr>
              <w:spacing w:after="0" w:line="240" w:lineRule="auto"/>
              <w:ind w:firstLine="0"/>
              <w:jc w:val="left"/>
            </w:pPr>
            <w:r>
              <w:rPr>
                <w:rFonts w:ascii="Arial" w:hAnsi="Arial"/>
                <w:color w:val="000000"/>
                <w:sz w:val="18"/>
              </w:rPr>
              <w:t>Banco Central do Brasil, SGS 432</w:t>
            </w:r>
          </w:p>
        </w:tc>
      </w:tr>
      <w:tr>
        <w:trPr>
          <w:cantSplit/>
        </w:trPr>
        <w:tc>
          <w:tcPr>
            <w:tcW w:type="dxa" w:w="2608"/>
            <w:tcBorders>
              <w:top w:val="nil"/>
              <w:bottom w:val="single" w:sz="12" w:color="000000"/>
              <w:left w:val="nil"/>
              <w:right w:val="nil"/>
            </w:tcBorders>
          </w:tcPr>
          <w:p>
            <w:pPr>
              <w:spacing w:after="0" w:line="240" w:lineRule="auto"/>
              <w:ind w:firstLine="0"/>
              <w:jc w:val="left"/>
            </w:pPr>
            <w:r>
              <w:rPr>
                <w:rFonts w:ascii="Arial" w:hAnsi="Arial"/>
                <w:color w:val="000000"/>
                <w:sz w:val="18"/>
              </w:rPr>
              <w:t>Expectativa de inflação</w:t>
            </w:r>
          </w:p>
        </w:tc>
        <w:tc>
          <w:tcPr>
            <w:tcW w:type="dxa" w:w="3061"/>
            <w:tcBorders>
              <w:top w:val="nil"/>
              <w:bottom w:val="single" w:sz="12" w:color="000000"/>
              <w:left w:val="nil"/>
              <w:right w:val="nil"/>
            </w:tcBorders>
          </w:tcPr>
          <w:p>
            <w:pPr>
              <w:spacing w:after="0" w:line="240" w:lineRule="auto"/>
              <w:ind w:firstLine="0"/>
              <w:jc w:val="left"/>
            </w:pPr>
            <w:r>
              <w:rPr>
                <w:rFonts w:ascii="Arial" w:hAnsi="Arial"/>
                <w:color w:val="000000"/>
                <w:sz w:val="18"/>
              </w:rPr>
              <w:t>Projeções de mercado, mesma transformação</w:t>
            </w:r>
          </w:p>
        </w:tc>
        <w:tc>
          <w:tcPr>
            <w:tcW w:type="dxa" w:w="2835"/>
            <w:tcBorders>
              <w:top w:val="nil"/>
              <w:bottom w:val="single" w:sz="12" w:color="000000"/>
              <w:left w:val="nil"/>
              <w:right w:val="nil"/>
            </w:tcBorders>
          </w:tcPr>
          <w:p>
            <w:pPr>
              <w:spacing w:after="0" w:line="240" w:lineRule="auto"/>
              <w:ind w:firstLine="0"/>
              <w:jc w:val="left"/>
            </w:pPr>
            <w:r>
              <w:rPr>
                <w:rFonts w:ascii="Arial" w:hAnsi="Arial"/>
                <w:color w:val="000000"/>
                <w:sz w:val="18"/>
              </w:rPr>
              <w:t>Banco Central do Brasil, Focus</w:t>
            </w:r>
          </w:p>
        </w:tc>
      </w:tr>
    </w:tbl>
    <w:p>
      <w:pPr>
        <w:spacing w:after="0" w:before="40" w:line="240" w:lineRule="auto"/>
        <w:ind w:firstLine="0"/>
        <w:jc w:val="both"/>
      </w:pPr>
      <w:r>
        <w:rPr>
          <w:rFonts w:ascii="Arial" w:hAnsi="Arial"/>
          <w:color w:val="000000"/>
          <w:sz w:val="18"/>
        </w:rPr>
        <w:t>Nota: as séries de preços em nível são índices com base em janeiro de 2003. Os subitens de combustíveis correspondem aos códigos 5104001 (gasolina), 5104002 (etanol) e 5104003 (óleo diesel) da classificação do IPCA; os não comercializáveis correspondem à série 4448 do SGS.</w:t>
      </w:r>
    </w:p>
    <w:p>
      <w:pPr>
        <w:spacing w:after="200" w:before="20" w:line="240" w:lineRule="auto"/>
        <w:ind w:firstLine="0"/>
        <w:jc w:val="both"/>
      </w:pPr>
      <w:r>
        <w:rPr>
          <w:rFonts w:ascii="Arial" w:hAnsi="Arial"/>
          <w:color w:val="000000"/>
          <w:sz w:val="20"/>
        </w:rPr>
        <w:t>Fonte: Elaboração própria.</w:t>
      </w:r>
    </w:p>
    <w:p>
      <w:pPr>
        <w:spacing w:after="0" w:before="0" w:line="360" w:lineRule="auto"/>
        <w:ind w:firstLine="709"/>
        <w:jc w:val="both"/>
      </w:pPr>
      <w:r>
        <w:rPr>
          <w:rFonts w:ascii="Arial" w:hAnsi="Arial"/>
          <w:color w:val="000000"/>
          <w:sz w:val="24"/>
        </w:rPr>
        <w:t>Adota-se a meta Selic definida pelo Copom, série 432 do Sistema Gerenciador de Séries Temporais, e não a Selic efetiva acumulada, cuja anualização em dias úteis introduz variação de calendário sem conteúdo de política monetária. As duas taxas do modelo entram em nível, e não em logaritmo, seguindo a prática de Choi et al. (2018), Baba e Lee (2022) e do Banco Central do Brasil (2026).</w:t>
      </w:r>
    </w:p>
    <w:p>
      <w:pPr>
        <w:spacing w:after="0" w:before="0" w:line="360" w:lineRule="auto"/>
        <w:ind w:firstLine="709"/>
        <w:jc w:val="both"/>
      </w:pPr>
      <w:r>
        <w:rPr>
          <w:rFonts w:ascii="Arial" w:hAnsi="Arial"/>
          <w:color w:val="000000"/>
          <w:sz w:val="24"/>
        </w:rPr>
        <w:t>As séries foram validadas contra as fontes primárias. Não há meses ausentes nem duplicados nas 273 observações, nenhuma variável do modelo apresenta valor faltante, e as séries de nível reproduzem exatamente as variações mensais correspondentes. A série do Brent obtida no Ipeadata, cuja fonte primária é a U.S. Energy Information Administration, foi confrontada com a série publicada diretamente por aquela agência nas 273 observações: as duas coincidem, com desvio absoluto médio de 0,49%, máximo de 4,5% e viés médio nulo. As divergências concentram-se nos meses de maior oscilação intramensal, passando de 0,28% nos meses mais calmos para 0,81% no quartil mais volátil, o que é o padrão esperado quando duas séries tomam médias de conjuntos ligeiramente distintos de cotações diárias. Para o objeto do trabalho a diferença é irrelevante: a correlação entre o choque padronizado construído a partir das duas fontes é de 0,995.</w:t>
      </w:r>
    </w:p>
    <w:p>
      <w:pPr>
        <w:spacing w:after="0" w:before="0" w:line="360" w:lineRule="auto"/>
        <w:ind w:firstLine="709"/>
        <w:jc w:val="both"/>
      </w:pPr>
      <w:r>
        <w:rPr>
          <w:rFonts w:ascii="Arial" w:hAnsi="Arial"/>
          <w:color w:val="000000"/>
          <w:sz w:val="24"/>
        </w:rPr>
        <w:t>A Figura 2 apresenta as séries. Dois aspectos merecem atenção antes de qualquer estimação. O primeiro é que os preços de combustíveis acompanham o Brent de forma visivelmente mais estreita na segunda metade da amostra. O segundo é o padrão da gasolina na refinaria, que antes de 2017 avança por degraus, com longos trechos horizontais interrompidos por saltos discretos, e depois passa a variar de forma contínua. Esse é o traço gráfico de um preço administrado convertido em preço indexado, e antecipa tanto a especificação por regime quanto o diagnóstico de resíduos daquela série.</w:t>
      </w:r>
    </w:p>
    <w:p>
      <w:pPr>
        <w:spacing w:before="200" w:after="40" w:line="240" w:lineRule="auto"/>
        <w:ind w:firstLine="0"/>
        <w:jc w:val="center"/>
      </w:pPr>
      <w:r>
        <w:rPr>
          <w:rFonts w:ascii="Arial" w:hAnsi="Arial"/>
          <w:color w:val="000000"/>
          <w:sz w:val="20"/>
        </w:rPr>
        <w:t>Figura 2 – Séries utilizadas, em nível e em escala logarítmica</w:t>
      </w:r>
    </w:p>
    <w:p>
      <w:pPr>
        <w:keepNext/>
        <w:spacing w:after="40"/>
        <w:ind w:firstLine="0"/>
        <w:jc w:val="center"/>
      </w:pPr>
      <w:r>
        <w:drawing>
          <wp:inline xmlns:a="http://schemas.openxmlformats.org/drawingml/2006/main" xmlns:pic="http://schemas.openxmlformats.org/drawingml/2006/picture">
            <wp:extent cx="5400000" cy="3375000"/>
            <wp:docPr id="1" name="Picture 1"/>
            <wp:cNvGraphicFramePr>
              <a:graphicFrameLocks noChangeAspect="1"/>
            </wp:cNvGraphicFramePr>
            <a:graphic>
              <a:graphicData uri="http://schemas.openxmlformats.org/drawingml/2006/picture">
                <pic:pic>
                  <pic:nvPicPr>
                    <pic:cNvPr id="0" name="series_principais.png"/>
                    <pic:cNvPicPr/>
                  </pic:nvPicPr>
                  <pic:blipFill>
                    <a:blip r:embed="rId9"/>
                    <a:stretch>
                      <a:fillRect/>
                    </a:stretch>
                  </pic:blipFill>
                  <pic:spPr>
                    <a:xfrm>
                      <a:off x="0" y="0"/>
                      <a:ext cx="5400000" cy="3375000"/>
                    </a:xfrm>
                    <a:prstGeom prst="rect"/>
                  </pic:spPr>
                </pic:pic>
              </a:graphicData>
            </a:graphic>
          </wp:inline>
        </w:drawing>
      </w:r>
    </w:p>
    <w:p>
      <w:pPr>
        <w:spacing w:after="0" w:before="0" w:line="240" w:lineRule="auto"/>
        <w:ind w:firstLine="0"/>
        <w:jc w:val="both"/>
      </w:pPr>
      <w:r>
        <w:rPr>
          <w:rFonts w:ascii="Arial" w:hAnsi="Arial"/>
          <w:color w:val="000000"/>
          <w:sz w:val="18"/>
        </w:rPr>
        <w:t>Nota: o painel do Brent está em nível, em dólares por barril, e os demais em pontos logarítmicos, 100·[ln P(t) − ln P(jan/2003)], com janeiro de 2003 igual a zero. Ponto logarítmico não é porcento: 126 pontos, que é o acumulado do IPCA Geral na amostra, correspondem a alta real de 253%. A equivalência só vale aproximadamente para variações pequenas. Meta Selic e expectativa de inflação aparecem em nível, no eixo à direita, por já serem taxas. A linha tracejada marca março de 2017 e a faixa cinza, os meses de pandemia tratados por indicadoras. As séries completas, em nível e em logaritmo, constam do Apêndice.</w:t>
      </w:r>
    </w:p>
    <w:p>
      <w:pPr>
        <w:spacing w:after="200" w:before="0" w:line="240" w:lineRule="auto"/>
        <w:ind w:firstLine="0"/>
        <w:jc w:val="center"/>
      </w:pPr>
      <w:r>
        <w:rPr>
          <w:rFonts w:ascii="Arial" w:hAnsi="Arial"/>
          <w:color w:val="000000"/>
          <w:sz w:val="20"/>
        </w:rPr>
        <w:t>Fonte: Elaboração própria.</w:t>
      </w:r>
    </w:p>
    <w:p>
      <w:pPr>
        <w:pStyle w:val="Heading2"/>
        <w:keepNext/>
        <w:spacing w:before="280" w:after="160" w:line="360" w:lineRule="auto"/>
        <w:ind w:firstLine="0"/>
        <w:jc w:val="left"/>
      </w:pPr>
      <w:r>
        <w:rPr>
          <w:rFonts w:ascii="Arial" w:hAnsi="Arial"/>
          <w:b/>
          <w:i w:val="0"/>
          <w:color w:val="000000"/>
          <w:sz w:val="24"/>
        </w:rPr>
        <w:t>3.2 A medida de choque</w:t>
      </w:r>
    </w:p>
    <w:p>
      <w:pPr>
        <w:spacing w:after="0" w:before="0" w:line="360" w:lineRule="auto"/>
        <w:ind w:firstLine="709"/>
        <w:jc w:val="both"/>
      </w:pPr>
      <w:r>
        <w:rPr>
          <w:rFonts w:ascii="Arial" w:hAnsi="Arial"/>
          <w:color w:val="000000"/>
          <w:sz w:val="24"/>
        </w:rPr>
        <w:t>O choque é definido como a variação logarítmica mensal do preço do Brent em dólares, padronizada pelo desvio-padrão calculado na janela de referência completa, antes de qualquer truncamento de amostra:</w:t>
      </w:r>
    </w:p>
    <w:p>
      <w:pPr>
        <w:spacing w:before="160" w:after="160" w:line="288" w:lineRule="auto"/>
        <w:ind w:firstLine="0"/>
        <w:jc w:val="center"/>
      </w:pPr>
      <w:r>
        <w:rPr>
          <w:rFonts w:ascii="Arial" w:hAnsi="Arial"/>
          <w:color w:val="000000"/>
          <w:sz w:val="22"/>
        </w:rPr>
        <w:t>choque(t) = 100 · [ln B(t) − ln B(t−1)] / σ,   σ = 10,19</w:t>
      </w:r>
    </w:p>
    <w:p>
      <w:pPr>
        <w:spacing w:after="0" w:before="0" w:line="360" w:lineRule="auto"/>
        <w:ind w:firstLine="709"/>
        <w:jc w:val="both"/>
      </w:pPr>
      <w:r>
        <w:rPr>
          <w:rFonts w:ascii="Arial" w:hAnsi="Arial"/>
          <w:color w:val="000000"/>
          <w:sz w:val="24"/>
        </w:rPr>
        <w:t>Um choque unitário corresponde, portanto, a uma elevação de 10,7% no preço do barril. Choques dessa magnitude não são raros: em 51 dos 272 meses da amostra a variação do Brent igualou ou superou um desvio-padrão, o que equivale a cerca de duas ocorrências por ano. O efeito reportado refere-se, portanto, a um evento comum, e não a um cenário extremo.</w:t>
      </w:r>
    </w:p>
    <w:p>
      <w:pPr>
        <w:spacing w:after="0" w:before="0" w:line="360" w:lineRule="auto"/>
        <w:ind w:firstLine="709"/>
        <w:jc w:val="both"/>
      </w:pPr>
      <w:r>
        <w:rPr>
          <w:rFonts w:ascii="Arial" w:hAnsi="Arial"/>
          <w:color w:val="000000"/>
          <w:sz w:val="24"/>
        </w:rPr>
        <w:t>A escolha do Brent como referência decorre do objeto de estudo. A política de preços da Petrobras toma a cotação internacional como parâmetro, e o Brent é a referência usual tanto na formação de preços quanto na literatura aplicada brasileira. Kilian (2009) constrói sua medida a partir do custo de aquisição de petróleo importado pelas refinarias norte-americanas, deflacionado pelo índice de preços ao consumidor daquele país, o que é adequado ao mercado que examina e menos adequado ao caso brasileiro.</w:t>
      </w:r>
    </w:p>
    <w:p>
      <w:pPr>
        <w:spacing w:after="0" w:before="0" w:line="360" w:lineRule="auto"/>
        <w:ind w:firstLine="709"/>
        <w:jc w:val="both"/>
      </w:pPr>
      <w:r>
        <w:rPr>
          <w:rFonts w:ascii="Arial" w:hAnsi="Arial"/>
          <w:color w:val="000000"/>
          <w:sz w:val="24"/>
        </w:rPr>
        <w:t>Cabe antecipar aqui a objeção mais previsível ao desenho, que é a de que o modelo não separa choque de oferta de choque de demanda. Ela é tratada na seção 4.6, com duas respostas independentes, entre as quais a de que erro de medida e mudança de composição do choque contaminam os dois regimes e, portanto, tendem a se cancelar no contraste entre eles, que é o objeto do trabalho. Registre-se desde já que a verificação por instrumento externo, reportada na seção 4.7.4, não está entre elas: ela é inconclusiva por falta de potência, e não sustenta nem contradiz o resultado.</w:t>
      </w:r>
    </w:p>
    <w:p>
      <w:pPr>
        <w:spacing w:after="0" w:before="0" w:line="360" w:lineRule="auto"/>
        <w:ind w:firstLine="709"/>
        <w:jc w:val="both"/>
      </w:pPr>
      <w:r>
        <w:rPr>
          <w:rFonts w:ascii="Arial" w:hAnsi="Arial"/>
          <w:color w:val="000000"/>
          <w:sz w:val="24"/>
        </w:rPr>
        <w:t>A objeção de que a variação bruta do preço mistura choques de oferta, de demanda global e de demanda precaucional é reconhecida e tratada como exercício de robustez, projetando-se a resposta sobre o choque de notícia de oferta identificado por Känzig (2021). Cabe observar, porém, que o objeto deste trabalho não é o efeito de um choque estrutural específico, e sim a transmissão do preço observado, que é precisamente a variável que a regra de precificação doméstica toma como referência.</w:t>
      </w:r>
    </w:p>
    <w:p>
      <w:pPr>
        <w:pStyle w:val="Heading2"/>
        <w:keepNext/>
        <w:spacing w:before="280" w:after="160" w:line="360" w:lineRule="auto"/>
        <w:ind w:firstLine="0"/>
        <w:jc w:val="left"/>
      </w:pPr>
      <w:r>
        <w:rPr>
          <w:rFonts w:ascii="Arial" w:hAnsi="Arial"/>
          <w:b/>
          <w:i w:val="0"/>
          <w:color w:val="000000"/>
          <w:sz w:val="24"/>
        </w:rPr>
        <w:t>3.3 Projeções locais</w:t>
      </w:r>
    </w:p>
    <w:p>
      <w:pPr>
        <w:spacing w:after="0" w:before="0" w:line="360" w:lineRule="auto"/>
        <w:ind w:firstLine="709"/>
        <w:jc w:val="both"/>
      </w:pPr>
      <w:r>
        <w:rPr>
          <w:rFonts w:ascii="Arial" w:hAnsi="Arial"/>
          <w:color w:val="000000"/>
          <w:sz w:val="24"/>
        </w:rPr>
        <w:t>As funções de resposta são estimadas pelo método de projeções locais de Jordà (2005), que consiste em uma regressão separada para cada horizonte, em lugar da iteração de um modelo de vetores autorregressivos. A vantagem é a robustez: um erro de especificação afeta apenas o horizonte em que ocorre, ao passo que em um modelo autorregressivo ele se compõe a cada iteração. O custo é perda de eficiência.</w:t>
      </w:r>
    </w:p>
    <w:p>
      <w:pPr>
        <w:spacing w:after="0" w:before="0" w:line="360" w:lineRule="auto"/>
        <w:ind w:firstLine="709"/>
        <w:jc w:val="both"/>
      </w:pPr>
      <w:r>
        <w:rPr>
          <w:rFonts w:ascii="Arial" w:hAnsi="Arial"/>
          <w:color w:val="000000"/>
          <w:sz w:val="24"/>
        </w:rPr>
        <w:t>Para o problema aqui examinado há uma segunda vantagem, decisiva. Permitir que o repasse difira entre regimes de política de preços exige, em projeções locais, apenas um termo de interação, e a hipótese de igualdade entre regimes torna-se um teste de Wald sobre dois coeficientes da mesma equação. Em um sistema autorregressivo, a mesma pergunta demandaria estimação separada em cada subamostra, com perda substancial de graus de liberdade.</w:t>
      </w:r>
    </w:p>
    <w:p>
      <w:pPr>
        <w:spacing w:after="0" w:before="0" w:line="360" w:lineRule="auto"/>
        <w:ind w:firstLine="709"/>
        <w:jc w:val="both"/>
      </w:pPr>
      <w:r>
        <w:rPr>
          <w:rFonts w:ascii="Arial" w:hAnsi="Arial"/>
          <w:color w:val="000000"/>
          <w:sz w:val="24"/>
        </w:rPr>
        <w:t>A variável dependente é a resposta acumulada do nível de preços, definida como 100·[ln P(t+h) − ln P(t−1)], que mede quanto o nível de preços está mais alto h meses após o choque. A especificação estimada, para cada série e cada horizonte de zero a doze meses, é:</w:t>
      </w:r>
    </w:p>
    <w:p>
      <w:pPr>
        <w:spacing w:before="160" w:after="160" w:line="288" w:lineRule="auto"/>
        <w:ind w:firstLine="0"/>
        <w:jc w:val="center"/>
      </w:pPr>
      <w:r>
        <w:rPr>
          <w:rFonts w:ascii="Arial" w:hAnsi="Arial"/>
          <w:color w:val="000000"/>
          <w:sz w:val="22"/>
        </w:rPr>
        <w:t>100·[ln P(t+h) − ln P(t−1)] = α + β(h)·choque(t)</w:t>
        <w:br/>
        <w:t>+ Σ(i=1..3) [ γᵢ·Δln P(t−i) + φᵢ·choque(t−i) + θᵢ′·X(t−i) ]</w:t>
        <w:br/>
        <w:t>+ sazonais mensais + indicadoras de pandemia + u(t,h)</w:t>
      </w:r>
    </w:p>
    <w:p>
      <w:pPr>
        <w:spacing w:after="0" w:before="0" w:line="360" w:lineRule="auto"/>
        <w:ind w:firstLine="709"/>
        <w:jc w:val="both"/>
      </w:pPr>
      <w:r>
        <w:rPr>
          <w:rFonts w:ascii="Arial" w:hAnsi="Arial"/>
          <w:color w:val="000000"/>
          <w:sz w:val="24"/>
        </w:rPr>
        <w:t>O vetor de controles X reúne a variação cambial, a variação da atividade econômica, a meta Selic e a expectativa de inflação, todos exclusivamente defasados. As duas taxas entram como 100·ln(1 + r/100), isto é, a taxa composta continuamente: não se aplica logaritmo ao valor percentual bruto, e sim à taxa bruta unitária, o que preserva a escala e mantém a variável comparável às demais, expressas em variação logarítmica. Uma meta de 13,75% ao ano entra como 12,883. A transformação é monotônica e comprime a escala em 1% na ponta baixa da amostra e em 11,3% na alta, e a inferência sobre o coeficiente do choque é praticamente idêntica com as taxas em nível: a correlação entre as duas versões da Selic é de 0,999 e os coeficientes do choque diferem na terceira casa decimal. A exclusão dos controles contemporâneos é deliberada: câmbio e expectativas respondem ao próprio choque de petróleo dentro do mês, de modo que incluí-los em t absorveria parte do efeito que se pretende medir.</w:t>
      </w:r>
    </w:p>
    <w:p>
      <w:pPr>
        <w:spacing w:after="0" w:before="0" w:line="360" w:lineRule="auto"/>
        <w:ind w:firstLine="709"/>
        <w:jc w:val="both"/>
      </w:pPr>
      <w:r>
        <w:rPr>
          <w:rFonts w:ascii="Arial" w:hAnsi="Arial"/>
          <w:color w:val="000000"/>
          <w:sz w:val="24"/>
        </w:rPr>
        <w:t>Adotam-se três defasagens. Os critérios de informação aplicados à equação de impacto indicam uma pelo critério bayesiano e duas pelo de Akaike, e a escolha de três segue o procedimento de aumento de defasagem de Montiel Olea e Plagborg-Møller (2021), que assegura validade uniforme da inferência na presença de regressores persistentes. A meta Selic é o caso relevante, com estatística de raiz unitária de −2,72 e p-valor de 0,070. O capítulo de resultados reporta a sensibilidade a essa escolha.</w:t>
      </w:r>
    </w:p>
    <w:p>
      <w:pPr>
        <w:spacing w:after="0" w:before="0" w:line="360" w:lineRule="auto"/>
        <w:ind w:firstLine="709"/>
        <w:jc w:val="both"/>
      </w:pPr>
      <w:r>
        <w:rPr>
          <w:rFonts w:ascii="Arial" w:hAnsi="Arial"/>
          <w:color w:val="000000"/>
          <w:sz w:val="24"/>
        </w:rPr>
        <w:t>O ponto decisivo do resultado daqueles autores é que o aumento de defasagem dispensa tomar posição sobre a ordem de integração das séries: o intervalo de confiança é válido, nas palavras deles, independentemente de os dados terem ou não raiz unitária, com validade uniforme sobre dados estacionários e não estacionários. Não é preciso, portanto, sustentar que a meta Selic seja estacionária para que a inferência seja correta.</w:t>
      </w:r>
    </w:p>
    <w:p>
      <w:pPr>
        <w:pStyle w:val="Heading2"/>
        <w:keepNext/>
        <w:spacing w:before="280" w:after="160" w:line="360" w:lineRule="auto"/>
        <w:ind w:firstLine="0"/>
        <w:jc w:val="left"/>
      </w:pPr>
      <w:r>
        <w:rPr>
          <w:rFonts w:ascii="Arial" w:hAnsi="Arial"/>
          <w:b/>
          <w:i w:val="0"/>
          <w:color w:val="000000"/>
          <w:sz w:val="24"/>
        </w:rPr>
        <w:t>3.4 A especificação por regime</w:t>
      </w:r>
    </w:p>
    <w:p>
      <w:pPr>
        <w:spacing w:after="0" w:before="0" w:line="360" w:lineRule="auto"/>
        <w:ind w:firstLine="709"/>
        <w:jc w:val="both"/>
      </w:pPr>
      <w:r>
        <w:rPr>
          <w:rFonts w:ascii="Arial" w:hAnsi="Arial"/>
          <w:color w:val="000000"/>
          <w:sz w:val="24"/>
        </w:rPr>
        <w:t>A hipótese central do trabalho é que o repasse não é constante, mas depende da regra de formação de preços vigente. A especificação por regime permite que apenas o coeficiente do choque difira, mantendo comum toda a demais dinâmica:</w:t>
      </w:r>
    </w:p>
    <w:p>
      <w:pPr>
        <w:spacing w:before="160" w:after="160" w:line="288" w:lineRule="auto"/>
        <w:ind w:firstLine="0"/>
        <w:jc w:val="center"/>
      </w:pPr>
      <w:r>
        <w:rPr>
          <w:rFonts w:ascii="Arial" w:hAnsi="Arial"/>
          <w:color w:val="000000"/>
          <w:sz w:val="22"/>
        </w:rPr>
        <w:t>100·[ln P(t+h) − ln P(t−1)] = α + β_pré(h)·choque(t)·1{t &lt; τ}</w:t>
        <w:br/>
        <w:t>+ β_pós(h)·choque(t)·1{t ≥ τ} + δ(h)·1{t ≥ τ} + controles + u(t,h)</w:t>
      </w:r>
    </w:p>
    <w:p>
      <w:pPr>
        <w:spacing w:after="0" w:before="0" w:line="360" w:lineRule="auto"/>
        <w:ind w:firstLine="709"/>
        <w:jc w:val="both"/>
      </w:pPr>
      <w:r>
        <w:rPr>
          <w:rFonts w:ascii="Arial" w:hAnsi="Arial"/>
          <w:color w:val="000000"/>
          <w:sz w:val="24"/>
        </w:rPr>
        <w:t>A indicadora 1{t ≥ τ} entra também isoladamente, de modo que a mudança de nível médio dos preços entre os períodos não seja atribuída ao choque. O objeto de interesse é o par β_pré(h) e β_pós(h), e sobretudo o teste da hipótese de que sejam iguais.</w:t>
      </w:r>
    </w:p>
    <w:p>
      <w:pPr>
        <w:spacing w:after="0" w:before="0" w:line="360" w:lineRule="auto"/>
        <w:ind w:firstLine="709"/>
        <w:jc w:val="both"/>
      </w:pPr>
      <w:r>
        <w:rPr>
          <w:rFonts w:ascii="Arial" w:hAnsi="Arial"/>
          <w:color w:val="000000"/>
          <w:sz w:val="24"/>
        </w:rPr>
        <w:t>A pandemia recebe tratamento específico. Em lugar de indicadoras pontuais para cada mês de 2020, adotam-se indicadoras de janela, que assinalam se cada mês entre março e dezembro de 2020 pertence ao intervalo de acumulação do horizonte estimado, isto é, 1{t ≤ s ≤ t+h}. A razão é que a variável dependente acumula variações de t até t+h: um mês de pandemia afeta a resposta sempre que estiver dentro dessa janela, e não apenas quando coincidir com t. Indicadoras pontuais deixariam o efeito parcialmente não controlado nos horizontes longos.</w:t>
      </w:r>
    </w:p>
    <w:p>
      <w:pPr>
        <w:spacing w:after="0" w:before="0" w:line="360" w:lineRule="auto"/>
        <w:ind w:firstLine="709"/>
        <w:jc w:val="both"/>
      </w:pPr>
      <w:r>
        <w:rPr>
          <w:rFonts w:ascii="Arial" w:hAnsi="Arial"/>
          <w:color w:val="000000"/>
          <w:sz w:val="24"/>
        </w:rPr>
        <w:t>As indicadoras do modelo são, ao todo, três famílias. Onze sazonais mensais, uma para cada mês de fevereiro a dezembro, com janeiro como categoria omitida, já que a constante ocupa o seu lugar. Dez de pandemia, uma para cada mês de março a dezembro de 2020, construídas na forma de janela descrita acima, de modo que o número de indicadoras é fixo mas o conteúdo delas muda com o horizonte. E, na especificação por regime, a indicadora de nível do período posterior ao corte.</w:t>
      </w:r>
    </w:p>
    <w:p>
      <w:pPr>
        <w:spacing w:after="0" w:before="0" w:line="360" w:lineRule="auto"/>
        <w:ind w:firstLine="709"/>
        <w:jc w:val="both"/>
      </w:pPr>
      <w:r>
        <w:rPr>
          <w:rFonts w:ascii="Arial" w:hAnsi="Arial"/>
          <w:color w:val="000000"/>
          <w:sz w:val="24"/>
        </w:rPr>
        <w:t>Cabe registrar que os meses de pandemia foram mantidos na amostra e controlados por essas indicadoras, e não descartados. A alternativa de excluí-los é adotada por Baba e Lee (2022), que encerram a amostra no quarto trimestre de 2019 para evitar os efeitos extraordinários do período. A opção aqui preserva as observações, ao custo de depender da adequação do controle, e a seção 4.7 reporta a robustez dessa escolha.</w:t>
      </w:r>
    </w:p>
    <w:p>
      <w:pPr>
        <w:spacing w:after="0" w:before="0" w:line="360" w:lineRule="auto"/>
        <w:ind w:firstLine="709"/>
        <w:jc w:val="both"/>
      </w:pPr>
      <w:r>
        <w:rPr>
          <w:rFonts w:ascii="Arial" w:hAnsi="Arial"/>
          <w:color w:val="000000"/>
          <w:sz w:val="24"/>
        </w:rPr>
        <w:t>Convém explicitar o que esta especificação identifica, dado que ela é estimada por mínimos quadrados ordinários e que o choque do petróleo, como qualquer variável macroeconômica, não é experimentalmente atribuído. O objeto de interesse do trabalho não é o nível de β_pós(h), e sim a diferença entre β_pós(h) e β_pré(h). Essa distinção não é retórica: ela altera a hipótese de identificação necessária.</w:t>
      </w:r>
    </w:p>
    <w:p>
      <w:pPr>
        <w:spacing w:after="0" w:before="0" w:line="360" w:lineRule="auto"/>
        <w:ind w:firstLine="709"/>
        <w:jc w:val="both"/>
      </w:pPr>
      <w:r>
        <w:rPr>
          <w:rFonts w:ascii="Arial" w:hAnsi="Arial"/>
          <w:color w:val="000000"/>
          <w:sz w:val="24"/>
        </w:rPr>
        <w:t>Suponha-se que o choque esteja correlacionado com determinantes da inflação omitidos da equação, de modo que cada coeficiente estimado incorpore um termo de viés. Escrevendo o estimador de cada regime como o parâmetro verdadeiro somado a um viés próprio, a diferença estimada é:</w:t>
      </w:r>
    </w:p>
    <w:p>
      <w:pPr>
        <w:spacing w:before="160" w:after="160" w:line="288" w:lineRule="auto"/>
        <w:ind w:firstLine="0"/>
        <w:jc w:val="center"/>
      </w:pPr>
      <w:r>
        <w:rPr>
          <w:rFonts w:ascii="Arial" w:hAnsi="Arial"/>
          <w:color w:val="000000"/>
          <w:sz w:val="22"/>
        </w:rPr>
        <w:t>[β*_pós(h) − β*_pré(h)] = [β_pós(h) − β_pré(h)] + [v_pós(h) − v_pré(h)]</w:t>
      </w:r>
    </w:p>
    <w:p>
      <w:pPr>
        <w:spacing w:after="0" w:before="0" w:line="360" w:lineRule="auto"/>
        <w:ind w:firstLine="709"/>
        <w:jc w:val="both"/>
      </w:pPr>
      <w:r>
        <w:rPr>
          <w:rFonts w:ascii="Arial" w:hAnsi="Arial"/>
          <w:color w:val="000000"/>
          <w:sz w:val="24"/>
        </w:rPr>
        <w:t>O asterisco denota estimador, e a sua ausência, o parâmetro populacional. Se o viés for o mesmo nos dois regimes, os dois últimos termos se cancelam e a diferença é estimada de forma consistente, ainda que nenhum dos dois níveis o seja. É a mesma lógica que sustenta o estimador de diferenças em diferenças: a contaminação sobrevive em cada termo isolado e desaparece no contraste, desde que seja comum. A hipótese de identificação do trabalho é, portanto, mais fraca do que a exogeneidade do choque. Não se afirma que o choque seja exógeno, e sim que a endogeneidade que porventura exista não se alterou na data de corte.</w:t>
      </w:r>
    </w:p>
    <w:p>
      <w:pPr>
        <w:spacing w:after="0" w:before="0" w:line="360" w:lineRule="auto"/>
        <w:ind w:firstLine="709"/>
        <w:jc w:val="both"/>
      </w:pPr>
      <w:r>
        <w:rPr>
          <w:rFonts w:ascii="Arial" w:hAnsi="Arial"/>
          <w:color w:val="000000"/>
          <w:sz w:val="24"/>
        </w:rPr>
        <w:t>Essa hipótese tem conteúdo empírico e não é postulada. O viés depende da distribuição conjunta do choque e dos determinantes omitidos, de sorte que ele é comum aos dois regimes quando o processo gerador do choque não muda em τ. A seção 4.7.7 examina precisamente isso: a proporção de meses de alta é de 59,8% no regime anterior e de 54,4% no posterior, sem aglomeração de choques positivos após o corte, e a Figura 12 documenta o padrão. O resultado é duplamente favorável, porque além de não sustentar a hipótese alternativa de composição, ele opera contra ela: o regime em que o repasse estimado é maior é justamente o que contém proporcionalmente menos choques de alta.</w:t>
      </w:r>
    </w:p>
    <w:p>
      <w:pPr>
        <w:spacing w:after="0" w:before="0" w:line="360" w:lineRule="auto"/>
        <w:ind w:firstLine="709"/>
        <w:jc w:val="both"/>
      </w:pPr>
      <w:r>
        <w:rPr>
          <w:rFonts w:ascii="Arial" w:hAnsi="Arial"/>
          <w:color w:val="000000"/>
          <w:sz w:val="24"/>
        </w:rPr>
        <w:t>Resta registrar o que a hipótese não cobre, para que o leitor possa avaliá-la. Ela seria violada caso a mudança de regra houvesse coincidido com alteração na forma pela qual condições brasileiras retroalimentam a cotação internacional, canal cuja relevância é limitada pela condição de tomador de preço da economia brasileira no mercado mundial de petróleo, ou caso a composição dos choques por natureza, entre oferta e demanda no sentido de Kilian (2009), houvesse se deslocado na data de corte. O primeiro canal é implausível por ordem de grandeza, o segundo é parcialmente endereçado pela verificação da seção 4.7.4, que projeta sobre uma medida de choque de oferta identificada externamente. Quanto ao nível dos coeficientes, que a estratégia não identifica com a mesma força que a diferença, a seção 4.8 oferece aferição externa de magnitude por comparação internacional.</w:t>
      </w:r>
    </w:p>
    <w:p>
      <w:pPr>
        <w:pStyle w:val="Heading2"/>
        <w:keepNext/>
        <w:spacing w:before="280" w:after="160" w:line="360" w:lineRule="auto"/>
        <w:ind w:firstLine="0"/>
        <w:jc w:val="left"/>
      </w:pPr>
      <w:r>
        <w:rPr>
          <w:rFonts w:ascii="Arial" w:hAnsi="Arial"/>
          <w:b/>
          <w:i w:val="0"/>
          <w:color w:val="000000"/>
          <w:sz w:val="24"/>
        </w:rPr>
        <w:t>3.5 Inferência</w:t>
      </w:r>
    </w:p>
    <w:p>
      <w:pPr>
        <w:spacing w:after="0" w:before="0" w:line="360" w:lineRule="auto"/>
        <w:ind w:firstLine="709"/>
        <w:jc w:val="both"/>
      </w:pPr>
      <w:r>
        <w:rPr>
          <w:rFonts w:ascii="Arial" w:hAnsi="Arial"/>
          <w:color w:val="000000"/>
          <w:sz w:val="24"/>
        </w:rPr>
        <w:t>O trabalho emprega dois procedimentos de inferência, escolhidos de modo que os resultados sejam diretamente comparáveis entre si.</w:t>
      </w:r>
    </w:p>
    <w:p>
      <w:pPr>
        <w:spacing w:after="0" w:before="0" w:line="360" w:lineRule="auto"/>
        <w:ind w:firstLine="709"/>
        <w:jc w:val="both"/>
      </w:pPr>
      <w:r>
        <w:rPr>
          <w:rFonts w:ascii="Arial" w:hAnsi="Arial"/>
          <w:color w:val="000000"/>
          <w:sz w:val="24"/>
        </w:rPr>
        <w:t>O primeiro é o estimador de covariância robusto à heterocedasticidade e à autocorrelação de Newey e West (1987), com núcleo de Bartlett, largura de banda igual a h+1 e correção de amostra finita T/(T−K). A banda acompanha o horizonte porque a acumulação de h períodos induz autocorrelação de ordem h nos resíduos por construção. Esse é o único erro-padrão de coeficiente utilizado no trabalho.</w:t>
      </w:r>
    </w:p>
    <w:p>
      <w:pPr>
        <w:spacing w:after="0" w:before="0" w:line="360" w:lineRule="auto"/>
        <w:ind w:firstLine="709"/>
        <w:jc w:val="both"/>
      </w:pPr>
      <w:r>
        <w:rPr>
          <w:rFonts w:ascii="Arial" w:hAnsi="Arial"/>
          <w:color w:val="000000"/>
          <w:sz w:val="24"/>
        </w:rPr>
        <w:t>Dele derivam duas bandas de confiança. A banda pontual de 90% usa o valor crítico normal de 1,645. A banda uniforme, também de 90%, usa o valor crítico do tipo sup-t de Montiel Olea e Plagborg-Møller (2019), obtido da matriz de correlação implicada pela covariância conjunta entre horizontes. A banda uniforme não constitui um segundo erro-padrão: é o mesmo erro-padrão com outro valor crítico, e responde à questão de que uma função de resposta avaliada em treze horizontes tem probabilidade de cobertura conjunta muito inferior ao nível nominal se cada horizonte for julgado isoladamente.</w:t>
      </w:r>
    </w:p>
    <w:p>
      <w:pPr>
        <w:spacing w:after="0" w:before="0" w:line="360" w:lineRule="auto"/>
        <w:ind w:firstLine="709"/>
        <w:jc w:val="both"/>
      </w:pPr>
      <w:r>
        <w:rPr>
          <w:rFonts w:ascii="Arial" w:hAnsi="Arial"/>
          <w:color w:val="000000"/>
          <w:sz w:val="24"/>
        </w:rPr>
        <w:t>O nível de 90% adotado nas bandas segue a prática dominante na literatura de referência: Choi et al. (2018), Baba e Lee (2022), Känzig (2021) e Ramey (2016) reportam bandas de 90% em suas funções de resposta.</w:t>
      </w:r>
    </w:p>
    <w:p>
      <w:pPr>
        <w:spacing w:after="0" w:before="0" w:line="360" w:lineRule="auto"/>
        <w:ind w:firstLine="709"/>
        <w:jc w:val="both"/>
      </w:pPr>
      <w:r>
        <w:rPr>
          <w:rFonts w:ascii="Arial" w:hAnsi="Arial"/>
          <w:color w:val="000000"/>
          <w:sz w:val="24"/>
        </w:rPr>
        <w:t>Da mesma covariância deriva ainda o teste de Wald, empregado nas tabelas do capítulo seguinte. Ele compara duas estimativas e pergunta se a diferença entre elas é maior do que a incerteza permitiria por acaso. Na especificação por regime, testa a hipótese de que o coeficiente do período anterior seja igual ao do posterior. É pergunta distinta da que os asteriscos respondem: aqueles testam se cada coeficiente difere de zero, ao passo que o Wald testa se os dois coeficientes diferem entre si, que é a hipótese central do trabalho.</w:t>
      </w:r>
    </w:p>
    <w:p>
      <w:pPr>
        <w:spacing w:after="0" w:before="0" w:line="360" w:lineRule="auto"/>
        <w:ind w:firstLine="709"/>
        <w:jc w:val="both"/>
      </w:pPr>
      <w:r>
        <w:rPr>
          <w:rFonts w:ascii="Arial" w:hAnsi="Arial"/>
          <w:color w:val="000000"/>
          <w:sz w:val="24"/>
        </w:rPr>
        <w:t>O segundo procedimento é o bootstrap selvagem em blocos, com blocos de doze meses, pesos de Rademacher e resíduos corrigidos por alavancagem conforme Davidson e Flachaire (2008). Ele é empregado exclusivamente onde não existe distribuição assintótica utilizável: no valor crítico do teste de quebra em data desconhecida, no p-valor ajustado por seleção da data estimada, no valor crítico dos testes conjuntos entre horizontes e no intervalo da parcela atribuída ao canal dos combustíveis, que é uma razão entre estimativas. Fora desses casos, a inferência é analítica.</w:t>
      </w:r>
    </w:p>
    <w:p>
      <w:pPr>
        <w:spacing w:before="160" w:after="160" w:line="288" w:lineRule="auto"/>
        <w:ind w:firstLine="0"/>
        <w:jc w:val="center"/>
      </w:pPr>
      <w:r>
        <w:rPr>
          <w:rFonts w:ascii="Arial" w:hAnsi="Arial"/>
          <w:color w:val="000000"/>
          <w:sz w:val="22"/>
        </w:rPr>
        <w:t>W(h) = [β*_pós(h) − β*_pré(h)]² / V*[β*_pós(h) − β*_pré(h)]  ~  χ²(1)</w:t>
        <w:br/>
        <w:t>sob H₀: β_pré(h) = β_pós(h),  com V* extraída da covariância HAC</w:t>
      </w:r>
    </w:p>
    <w:p>
      <w:pPr>
        <w:spacing w:after="0" w:before="0" w:line="360" w:lineRule="auto"/>
        <w:ind w:firstLine="709"/>
        <w:jc w:val="both"/>
      </w:pPr>
      <w:r>
        <w:rPr>
          <w:rFonts w:ascii="Arial" w:hAnsi="Arial"/>
          <w:color w:val="000000"/>
          <w:sz w:val="24"/>
        </w:rPr>
        <w:t>A variância no denominador é a da diferença, e não a soma das variâncias individuais, de modo que a covariância entre os dois coeficientes é levada em conta. Reporta-se o p-valor dessa estatística em cada horizonte, e também o de sua versão conjunta para os horizontes de zero a seis, cuja distribuição sob a nula é aproximada por reamostragem, porque a qui-quadrado sobre-rejeita quando as estatísticas dos horizontes são fortemente correlacionadas entre si.</w:t>
      </w:r>
    </w:p>
    <w:p>
      <w:pPr>
        <w:pStyle w:val="Heading2"/>
        <w:keepNext/>
        <w:spacing w:before="280" w:after="160" w:line="360" w:lineRule="auto"/>
        <w:ind w:firstLine="0"/>
        <w:jc w:val="left"/>
      </w:pPr>
      <w:r>
        <w:rPr>
          <w:rFonts w:ascii="Arial" w:hAnsi="Arial"/>
          <w:b/>
          <w:i w:val="0"/>
          <w:color w:val="000000"/>
          <w:sz w:val="24"/>
        </w:rPr>
        <w:t>3.6 Datação da mudança de regime</w:t>
      </w:r>
    </w:p>
    <w:p>
      <w:pPr>
        <w:spacing w:after="0" w:before="0" w:line="360" w:lineRule="auto"/>
        <w:ind w:firstLine="709"/>
        <w:jc w:val="both"/>
      </w:pPr>
      <w:r>
        <w:rPr>
          <w:rFonts w:ascii="Arial" w:hAnsi="Arial"/>
          <w:color w:val="000000"/>
          <w:sz w:val="24"/>
        </w:rPr>
        <w:t>A data que separa os regimes é estimada, e não imposta pela cronologia institucional. Aplica-se o teste de instabilidade com ponto de quebra desconhecido de Andrews (1993) em versão multivariada: para cada mês candidato calcula-se a estatística de igualdade de repasse, somam-se as estatísticas das séries do conjunto e toma-se o máximo sobre as datas candidatas, descartadas as caudas da amostra pelo truncamento usual.</w:t>
      </w:r>
    </w:p>
    <w:p>
      <w:pPr>
        <w:spacing w:before="160" w:after="160" w:line="288" w:lineRule="auto"/>
        <w:ind w:firstLine="0"/>
        <w:jc w:val="center"/>
      </w:pPr>
      <w:r>
        <w:rPr>
          <w:rFonts w:ascii="Arial" w:hAnsi="Arial"/>
          <w:color w:val="000000"/>
          <w:sz w:val="22"/>
        </w:rPr>
        <w:t>τ* = arg max (τ ∈ C) Σ(k) W_k(τ),   C = { τ : 0,15·T ≤ τ ≤ 0,85·T }</w:t>
      </w:r>
    </w:p>
    <w:p>
      <w:pPr>
        <w:spacing w:after="0" w:before="0" w:line="360" w:lineRule="auto"/>
        <w:ind w:firstLine="709"/>
        <w:jc w:val="both"/>
      </w:pPr>
      <w:r>
        <w:rPr>
          <w:rFonts w:ascii="Arial" w:hAnsi="Arial"/>
          <w:color w:val="000000"/>
          <w:sz w:val="24"/>
        </w:rPr>
        <w:t>O índice k percorre as séries do conjunto, de sorte que a data estimada é comum ao sistema e não a uma série isolada, no espírito de Bai, Lumsdaine e Stock (1998). O conjunto C exclui 15% de observações em cada extremidade, truncamento usual que evita que a estatística seja maximizada em subamostras pequenas demais para estimá-la.</w:t>
      </w:r>
    </w:p>
    <w:p>
      <w:pPr>
        <w:spacing w:after="0" w:before="0" w:line="360" w:lineRule="auto"/>
        <w:ind w:firstLine="709"/>
        <w:jc w:val="both"/>
      </w:pPr>
      <w:r>
        <w:rPr>
          <w:rFonts w:ascii="Arial" w:hAnsi="Arial"/>
          <w:color w:val="000000"/>
          <w:sz w:val="24"/>
        </w:rPr>
        <w:t>A distribuição assintótica dessa estatística não é qui-quadrado, uma vez que o parâmetro que indexa a data não é identificado sob a hipótese nula. Hansen (2000) demonstra que a aproximação convencional sobre-rejeita de forma substancial e propõe valores críticos por reamostragem com regressores fixos, procedimento aqui adotado.</w:t>
      </w:r>
    </w:p>
    <w:p>
      <w:pPr>
        <w:spacing w:after="0" w:before="0" w:line="360" w:lineRule="auto"/>
        <w:ind w:firstLine="709"/>
        <w:jc w:val="both"/>
      </w:pPr>
      <w:r>
        <w:rPr>
          <w:rFonts w:ascii="Arial" w:hAnsi="Arial"/>
          <w:color w:val="000000"/>
          <w:sz w:val="24"/>
        </w:rPr>
        <w:t>Como a data é escolhida maximizando uma estatística, avaliar essa mesma estatística naquela data com p-valor convencional é circular. Reporta-se, por isso, p-valor ajustado por seleção, em que cada réplica de reamostragem refaz integralmente a busca sob a hipótese nula e a estatística é comparada ao máximo daquela réplica. Reporta-se também a faixa de datas cuja estatística supera o valor crítico, em lugar de apresentar a data estimada como se fosse conhecida com precisão mensal.</w:t>
      </w:r>
    </w:p>
    <w:p>
      <w:pPr>
        <w:pStyle w:val="Heading2"/>
        <w:keepNext/>
        <w:spacing w:before="280" w:after="160" w:line="360" w:lineRule="auto"/>
        <w:ind w:firstLine="0"/>
        <w:jc w:val="left"/>
      </w:pPr>
      <w:r>
        <w:rPr>
          <w:rFonts w:ascii="Arial" w:hAnsi="Arial"/>
          <w:b/>
          <w:i w:val="0"/>
          <w:color w:val="000000"/>
          <w:sz w:val="24"/>
        </w:rPr>
        <w:t>3.7 Decomposição do canal e efeitos de segunda volta</w:t>
      </w:r>
    </w:p>
    <w:p>
      <w:pPr>
        <w:spacing w:after="0" w:before="0" w:line="360" w:lineRule="auto"/>
        <w:ind w:firstLine="709"/>
        <w:jc w:val="both"/>
      </w:pPr>
      <w:r>
        <w:rPr>
          <w:rFonts w:ascii="Arial" w:hAnsi="Arial"/>
          <w:color w:val="000000"/>
          <w:sz w:val="24"/>
        </w:rPr>
        <w:t>Para medir quanto do efeito do petróleo sobre a inflação transita pelos preços domésticos de combustíveis, aplica-se o teorema de Frisch-Waugh-Lovell. Estima-se o efeito total do choque e, em seguida, o efeito remanescente quando se condiciona nos preços de gasolina, diesel e etanol acumulados na mesma janela. A diferença entre os dois mede a parcela que atravessa esses preços.</w:t>
      </w:r>
    </w:p>
    <w:p>
      <w:pPr>
        <w:spacing w:before="160" w:after="160" w:line="288" w:lineRule="auto"/>
        <w:ind w:firstLine="0"/>
        <w:jc w:val="center"/>
      </w:pPr>
      <w:r>
        <w:rPr>
          <w:rFonts w:ascii="Arial" w:hAnsi="Arial"/>
          <w:color w:val="000000"/>
          <w:sz w:val="22"/>
        </w:rPr>
        <w:t>(i)   100·[ln P(t+h) − ln P(t−1)] = α + β(h)·choque(t) + controles + u(t,h)</w:t>
        <w:br/>
        <w:t>(ii)  100·[ln P(t+h) − ln P(t−1)] = α + β_dir(h)·choque(t)</w:t>
        <w:br/>
        <w:t xml:space="preserve">                                      + Σ(j) δⱼ(h)·Fⱼ(t,h) + controles + ũ(t,h)</w:t>
        <w:br/>
        <w:t>canal(h) = β(h) − β_dir(h) = Σ(j) δⱼ(h)·bⱼ(h)</w:t>
      </w:r>
    </w:p>
    <w:p>
      <w:pPr>
        <w:spacing w:after="0" w:before="0" w:line="360" w:lineRule="auto"/>
        <w:ind w:firstLine="709"/>
        <w:jc w:val="both"/>
      </w:pPr>
      <w:r>
        <w:rPr>
          <w:rFonts w:ascii="Arial" w:hAnsi="Arial"/>
          <w:color w:val="000000"/>
          <w:sz w:val="24"/>
        </w:rPr>
        <w:t>Em (ii), Fⱼ(t,h) = 100·[ln Pⱼ(t+h) − ln Pⱼ(t−1)] é a variação acumulada do preço do combustível j na mesma janela do desfecho, com j percorrendo gasolina, diesel e etanol, e bⱼ(h) é a resposta desse preço ao choque, estimada por (i) com Pⱼ como dependente. A segunda igualdade é o teorema de Frisch-Waugh-Lovell: o canal pode ser lido como a diferença entre os dois coeficientes do choque ou, de forma equivalente, como a soma dos produtos entre a resposta de cada combustível ao choque e o coeficiente desse combustível na equação condicionada. As duas leituras são reportadas, e a rotina de estimação verifica numericamente que coincidem. Apenas os níveis contemporâneos dos combustíveis são omitidos de (i), pois são pós-tratamento e fechariam o próprio canal que se quer medir; as defasagens permanecem em ambas.</w:t>
      </w:r>
    </w:p>
    <w:p>
      <w:pPr>
        <w:spacing w:after="0" w:before="0" w:line="360" w:lineRule="auto"/>
        <w:ind w:firstLine="709"/>
        <w:jc w:val="both"/>
      </w:pPr>
      <w:r>
        <w:rPr>
          <w:rFonts w:ascii="Arial" w:hAnsi="Arial"/>
          <w:color w:val="000000"/>
          <w:sz w:val="24"/>
        </w:rPr>
        <w:t>Essa decomposição não separa, por si só, o que é efeito aritmético do que é efeito econômico. Como gasolina, diesel e etanol integram a cesta do IPCA, parte do canal medido resulta da própria composição do índice. Convém fixar os termos: a primeira volta é exclusivamente a contribuição de composição da cesta, e nada mais, ao passo que o encarecimento de frete, transporte e insumos é segunda volta, por atingir preços que não são combustível e que, portanto, não entravam na conta aritmética. A contribuição aritmética é calculável como a soma dos pesos desses itens na cesta multiplicados pelas respectivas respostas estimadas, e subtraí-la do índice permite estimar diretamente o efeito de segunda volta, com erro-padrão proveniente da própria regressão. Como os pesos variam ao longo do tempo e entre estruturas de ponderação, o exercício é conduzido em três cenários, e a faixa de resultados é reportada. Como os preços de combustíveis são os próprios subitens do IPCA, e os pesos são os da mesma cesta, a decomposição é internamente consistente: peso e preço referem-se ao mesmo objeto.</w:t>
      </w:r>
    </w:p>
    <w:p>
      <w:pPr>
        <w:spacing w:before="160" w:after="160" w:line="288" w:lineRule="auto"/>
        <w:ind w:firstLine="0"/>
        <w:jc w:val="center"/>
      </w:pPr>
      <w:r>
        <w:rPr>
          <w:rFonts w:ascii="Arial" w:hAnsi="Arial"/>
          <w:color w:val="000000"/>
          <w:sz w:val="22"/>
        </w:rPr>
        <w:t>primeira volta:  β₁ª(h) = Σ(j) wⱼ · bⱼ(h)</w:t>
        <w:br/>
        <w:t>segunda volta:   β₂ª(h) = β(h) − Σ(j) wⱼ · bⱼ(h)</w:t>
        <w:br/>
        <w:t>equivalentemente:  Δln IPCA^ex(t) = Δln IPCA(t) − Σ(j) wⱼ · Δln Pⱼ(t)</w:t>
      </w:r>
    </w:p>
    <w:p>
      <w:pPr>
        <w:spacing w:after="0" w:before="0" w:line="360" w:lineRule="auto"/>
        <w:ind w:firstLine="709"/>
        <w:jc w:val="both"/>
      </w:pPr>
      <w:r>
        <w:rPr>
          <w:rFonts w:ascii="Arial" w:hAnsi="Arial"/>
          <w:color w:val="000000"/>
          <w:sz w:val="24"/>
        </w:rPr>
        <w:t>O peso wⱼ é o do subitem j na cesta do IPCA e bⱼ(h) é a resposta já definida acima. A primeira linha é aritmética de índice e não contém comportamento algum: ela apenas contabiliza que combustíveis são itens da cesta. A segunda obtém o efeito de segunda volta por resíduo. A terceira mostra que o mesmo número pode ser obtido construindo um índice líquido da contribuição mecânica e estimando sobre ele a projeção de (i), o que tem a vantagem de produzir erro-padrão vindo da própria regressão em vez de propagação. Os dois caminhos são conduzidos e comparados. Como os pesos mudam com as Pesquisas de Orçamentos Familiares, o exercício é repetido em três estruturas de ponderação e reporta-se a faixa resultante.</w:t>
      </w:r>
    </w:p>
    <w:p>
      <w:pPr>
        <w:spacing w:after="0" w:before="0" w:line="360" w:lineRule="auto"/>
        <w:ind w:firstLine="709"/>
        <w:jc w:val="both"/>
      </w:pPr>
      <w:r>
        <w:rPr>
          <w:rFonts w:ascii="Arial" w:hAnsi="Arial"/>
          <w:color w:val="000000"/>
          <w:sz w:val="24"/>
        </w:rPr>
        <w:t>Um segundo caminho, independente do primeiro, usa como variável dependente os subgrupos de comercializáveis e não comercializáveis, que excluem combustíveis por construção. Qualquer resposta ali estimada é necessariamente de segunda ordem, sem que seja preciso subtrair coisa alguma. A convergência entre os dois caminhos, que não compartilham elemento metodológico, é o critério de validação adotado.</w:t>
      </w:r>
    </w:p>
    <w:p>
      <w:pPr>
        <w:spacing w:after="0" w:before="0" w:line="360" w:lineRule="auto"/>
        <w:ind w:firstLine="709"/>
        <w:jc w:val="both"/>
      </w:pPr>
      <w:r>
        <w:rPr>
          <w:rFonts w:ascii="Arial" w:hAnsi="Arial"/>
          <w:color w:val="000000"/>
          <w:sz w:val="24"/>
        </w:rPr>
        <w:t>Registre-se a limitação de identificação. A etapa que condiciona no preço do combustível não é causalmente identificada, pois não se dispõe de instrumento específico para esse preço. A leitura defensável é contábil, isto é, quanto da resposta estimada desaparece ao condicionar no mediador, e não uma afirmação causal sobre o mediador.</w:t>
      </w:r>
    </w:p>
    <w:p>
      <w:pPr>
        <w:pStyle w:val="Heading2"/>
        <w:keepNext/>
        <w:spacing w:before="280" w:after="160" w:line="360" w:lineRule="auto"/>
        <w:ind w:firstLine="0"/>
        <w:jc w:val="left"/>
      </w:pPr>
      <w:r>
        <w:rPr>
          <w:rFonts w:ascii="Arial" w:hAnsi="Arial"/>
          <w:b/>
          <w:i w:val="0"/>
          <w:color w:val="000000"/>
          <w:sz w:val="24"/>
        </w:rPr>
        <w:t>3.8 Verificações</w:t>
      </w:r>
    </w:p>
    <w:p>
      <w:pPr>
        <w:spacing w:after="0" w:before="0" w:line="360" w:lineRule="auto"/>
        <w:ind w:firstLine="709"/>
        <w:jc w:val="both"/>
      </w:pPr>
      <w:r>
        <w:rPr>
          <w:rFonts w:ascii="Arial" w:hAnsi="Arial"/>
          <w:color w:val="000000"/>
          <w:sz w:val="24"/>
        </w:rPr>
        <w:t xml:space="preserve">Três exercícios de verificação acompanham as estimativas. O primeiro é um teste de placebo, que parte de um princípio simples: causa antecede efeito. Se a identificação for válida, o choque de um mês não pode ajudar a prever a inflação dos meses anteriores, que já haviam ocorrido quando ele aconteceu. Estima-se, portanto, a mesma equação tendo como variável dependente a inflação de um, dois e três meses </w:t>
      </w:r>
      <w:r>
        <w:rPr>
          <w:rFonts w:ascii="Arial" w:hAnsi="Arial"/>
          <w:color w:val="000000"/>
          <w:sz w:val="24"/>
          <w:i/>
        </w:rPr>
        <w:t>antes</w:t>
      </w:r>
      <w:r>
        <w:rPr>
          <w:rFonts w:ascii="Arial" w:hAnsi="Arial"/>
          <w:color w:val="000000"/>
          <w:sz w:val="24"/>
        </w:rPr>
        <w:t xml:space="preserve"> do choque, ajustando os controles para que nenhum deles seja posterior à dependente. Coeficiente significativo aqui indicaria que a medida de choque capta algo que já estava em curso, e não um evento novo. O segundo é a sensibilidade ao número de defasagens, entre uma e seis. O terceiro é a correção de Teulings e Zubanov (2014), que inclui como controles os choques ocorridos entre t e t+h, cabível porque o choque apresenta autocorrelação de primeira ordem não desprezível.</w:t>
      </w:r>
    </w:p>
    <w:p>
      <w:pPr>
        <w:spacing w:after="0" w:before="0" w:line="360" w:lineRule="auto"/>
        <w:ind w:firstLine="709"/>
        <w:jc w:val="both"/>
      </w:pPr>
      <w:r>
        <w:rPr>
          <w:rFonts w:ascii="Arial" w:hAnsi="Arial"/>
          <w:color w:val="000000"/>
          <w:sz w:val="24"/>
        </w:rPr>
        <w:t>Todos os resultados são obtidos em Python 3.13, com NumPy, pandas, statsmodels, SciPy e Matplotlib, e as rotinas de estimação incluem verificações internas de consistência, entre as quais a identidade entre a resposta acumulada e a soma das respostas mensais e a reprodução das estimativas por caminhos de código independentes nos pontos em que o resultado é central ao argumento. Os procedimentos de reamostragem empregam semente fixa, declarada em cada rotina, de modo que os valores críticos e os p-valores por bootstrap são exatamente reproduzíveis. As séries são todas de acesso público e estão identificadas por código de tabela ou de série no Quadro 1, e o Apêndice J reporta as estatísticas descritivas, os pesos de cesta e os testes de raiz unitária. O código de estimação e a base montada estão disponíveis mediante solicitação ao autor.</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3 – Metodologia</dc:title>
  <dc:subject/>
  <dc:creator>Pedro Minella</dc:creator>
  <cp:keywords/>
  <dc:description>generated by python-docx</dc:description>
  <cp:lastModifiedBy/>
  <cp:revision>1</cp:revision>
  <dcterms:created xsi:type="dcterms:W3CDTF">2013-12-23T23:15:00Z</dcterms:created>
  <dcterms:modified xsi:type="dcterms:W3CDTF">2013-12-23T23:15:00Z</dcterms:modified>
  <cp:category/>
</cp:coreProperties>
</file>