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60" w:line="360" w:lineRule="auto"/>
        <w:ind w:firstLine="0"/>
        <w:jc w:val="left"/>
      </w:pPr>
      <w:r>
        <w:rPr>
          <w:rFonts w:ascii="Arial" w:hAnsi="Arial"/>
          <w:b/>
          <w:i w:val="0"/>
          <w:color w:val="000000"/>
          <w:sz w:val="28"/>
        </w:rPr>
        <w:t>5 CONCLUSÃO</w:t>
      </w:r>
    </w:p>
    <w:p>
      <w:pPr>
        <w:spacing w:after="0" w:line="360" w:lineRule="auto"/>
        <w:ind w:firstLine="709"/>
        <w:jc w:val="both"/>
      </w:pPr>
      <w:r>
        <w:rPr>
          <w:rFonts w:ascii="Arial" w:hAnsi="Arial"/>
          <w:color w:val="000000"/>
          <w:sz w:val="24"/>
        </w:rPr>
        <w:t>Este trabalho perguntou quanto de um choque no preço internacional do petróleo chega à inflação brasileira, quando esse efeito se materializa e por qual canal ele transita. A resposta que emerge é que nenhuma dessas três perguntas tem resposta única, porque todas dependem da regra pela qual o preço internacional se converte em preço doméstico de combustível. No Brasil essa regra mudou, e a mudança é o que torna a pergunta respondível.</w:t>
      </w:r>
    </w:p>
    <w:p>
      <w:pPr>
        <w:spacing w:after="0" w:line="360" w:lineRule="auto"/>
        <w:ind w:firstLine="709"/>
        <w:jc w:val="both"/>
      </w:pPr>
      <w:r>
        <w:rPr>
          <w:rFonts w:ascii="Arial" w:hAnsi="Arial"/>
          <w:color w:val="000000"/>
          <w:sz w:val="24"/>
        </w:rPr>
        <w:t>O resultado central é que o repasse aumentou de forma acentuada em torno do primeiro trimestre de 2017. A data é estimada pelos próprios dados, por teste de quebra em ponto desconhecido, e não imposta pela cronologia institucional; mas ela é identificada com folga de anos, e a seção 4.7.6 mostra que impor setembro de 2016, mês do anúncio da política, reproduz integralmente o resultado. No mês do choque, a resposta do IPCA cheio passa de 0,005 para algo entre 0,088 e 0,176 ponto percentual, conforme o tratamento dado às observações da pandemia. A mudança, porém, não é apenas de intensidade, e é aqui que a evidência é mais firme. Nas dezoito estimativas do regime anterior não há um único coeficiente distinguível de zero, sequer ao nível de 10%, ao passo que as dezoito do regime posterior são todas significativas nos horizontes de impacto e de até três meses. E o coeficiente anterior não é indistinguível de zero por imprecisão: seu erro-padrão no impacto é de 0,024, de modo que o zero está estimado com precisão alta. O repasse não era menor: não era detectável, e passou a ser sistemático. É a diferença entre um preço que acompanha o mercado internacional de forma esporádica e discricionária e um preço que o segue por regra.</w:t>
      </w:r>
    </w:p>
    <w:p>
      <w:pPr>
        <w:spacing w:after="0" w:line="360" w:lineRule="auto"/>
        <w:ind w:firstLine="709"/>
        <w:jc w:val="both"/>
      </w:pPr>
      <w:r>
        <w:rPr>
          <w:rFonts w:ascii="Arial" w:hAnsi="Arial"/>
          <w:color w:val="000000"/>
          <w:sz w:val="24"/>
        </w:rPr>
        <w:t>O efeito é rápido e concentrado. A decomposição da resposta acumulada em contribuições mensais mostra que os dois primeiros meses entregam integralmente o repasse verificado em três meses, e que entre o segundo e o décimo mês praticamente nenhuma série responde. Para a política monetária, isso significa que a janela de transmissão é estreita e se fecha cedo.</w:t>
      </w:r>
    </w:p>
    <w:p>
      <w:pPr>
        <w:spacing w:after="0" w:line="360" w:lineRule="auto"/>
        <w:ind w:firstLine="709"/>
        <w:jc w:val="both"/>
      </w:pPr>
      <w:r>
        <w:rPr>
          <w:rFonts w:ascii="Arial" w:hAnsi="Arial"/>
          <w:color w:val="000000"/>
          <w:sz w:val="24"/>
        </w:rPr>
        <w:t>Quanto ao canal, a evidência é nítida. Os preços domésticos de combustíveis respondem por 0,003 ponto percentual do efeito sobre o IPCA em três meses no regime anterior, valor que não difere de zero, e por 0,249 ponto no regime posterior, significativo a menos de 1%. Em proporção do efeito total isso corresponde a 3% e 79%, leitura mais intuitiva mas menos precisa, porque o denominador do regime anterior é ele próprio impreciso. A paridade de importação não apenas elevou o repasse: elevou-o pela via prevista pela mudança institucional, e não por efeito difuso operando via câmbio ou expectativas. Dentro dessa parcela, a separação entre o efeito aritmético, que decorre de os combustíveis integrarem a cesta do IPCA, e o efeito econômico de segunda volta mostra que a composição do repasse se desloca com o tempo: no regime posterior a primeira volta responde por 63% do efeito no mês do choque, por 49% em três meses e por apenas 13% em seis. O efeito de composição da cesta é imediato e se esgota; o de custos é mais lento e persiste, situando-se em 0,158 ponto percentual no sexto mês. Duas construções que diferem no caminho de montagem da variável dependente convergem em ordem de grandeza no horizonte de três meses, 0,161 pela via aritmética e 0,163 pelos não comercializáveis. A convergência é compatível com a leitura de que a segunda volta mede algo real, mas não a estabelece: as duas construções compartilham choque, controles, amostra e dados de preço largamente sobrepostos, e nenhuma delas alcança significância isolada naquele horizonte. O que o trabalho sustenta com firmeza sobre o canal é outra coisa, e é a diferença entre regimes: o canal dos combustíveis carrega 0,003 ponto no regime anterior e 0,249 no posterior, e essa diferença de 0,246 ponto tem erro-padrão de 0,053 e p inferior a 0,001.</w:t>
      </w:r>
    </w:p>
    <w:p>
      <w:pPr>
        <w:spacing w:after="0" w:line="360" w:lineRule="auto"/>
        <w:ind w:firstLine="709"/>
        <w:jc w:val="both"/>
      </w:pPr>
      <w:r>
        <w:rPr>
          <w:rFonts w:ascii="Arial" w:hAnsi="Arial"/>
          <w:color w:val="000000"/>
          <w:sz w:val="24"/>
        </w:rPr>
        <w:t>A contribuição do trabalho está menos em qualquer um desses números isoladamente e mais no que a convergência entre eles permite afirmar. As rejeições do teste de quebra concentram-se no horizonte de impacto; o p-valor ajustado por seleção sustenta-se apenas nesse horizonte; o canal dos combustíveis já responde por quase metade do repasse no mês do choque; e a resposta mensal é significativa no impacto e no mês seguinte, e em nenhum outro. Nenhum desses resultados depende dos demais, e todos delimitam o mesmo horizonte e o mesmo mecanismo. Some-se a isso que a elasticidade estimada para o regime posterior coincide com o parâmetro que o Banco Central do Brasil calibra pela estrutura de custos, ao passo que a do regime anterior está muito abaixo dele: um parâmetro de referência externo ao trabalho descreve com precisão um dos regimes e não descreveria o outro.</w:t>
      </w:r>
    </w:p>
    <w:p>
      <w:pPr>
        <w:spacing w:after="0" w:line="360" w:lineRule="auto"/>
        <w:ind w:firstLine="709"/>
        <w:jc w:val="both"/>
      </w:pPr>
      <w:r>
        <w:rPr>
          <w:rFonts w:ascii="Arial" w:hAnsi="Arial"/>
          <w:color w:val="000000"/>
          <w:sz w:val="24"/>
        </w:rPr>
        <w:t>A implicação de política decorre disso. A magnitude com que um choque internacional de petróleo atinge a inflação brasileira não é constante da economia, e sim atributo da regra de formação de preços vigente. Um choque como o que o mercado internacional registrou em março de 2026 produziria efeitos bastante distintos sobre a inflação doméstica conforme a regra em vigor no momento em que ocorresse. Para quem conduz a política monetária, a consequência prática é que a calibragem do repasse precisa ser revista sempre que a regra de precificação mudar, e não tratada como parâmetro herdado de estimativas anteriores.</w:t>
      </w:r>
    </w:p>
    <w:p>
      <w:pPr>
        <w:spacing w:after="0" w:line="360" w:lineRule="auto"/>
        <w:ind w:firstLine="709"/>
        <w:jc w:val="both"/>
      </w:pPr>
      <w:r>
        <w:rPr>
          <w:rFonts w:ascii="Arial" w:hAnsi="Arial"/>
          <w:color w:val="000000"/>
          <w:sz w:val="24"/>
        </w:rPr>
        <w:t>Quatro limitações delimitam o alcance dos resultados. A etapa que condiciona no preço do combustível não é causalmente identificada, por não se dispor de instrumento específico para esse preço, de modo que a leitura defensável é contábil e não causal. A data da quebra, embora estimada, é identificada com folga de anos e não de meses, e a faixa compatível com os dados se estende de abril de 2016 a fevereiro de 2021. A conclusão sobre a mudança de regime apoia-se no horizonte de impacto, onde é robusta a todas as verificações realizadas, e não no horizonte de três meses, onde o teste de igualdade entre regimes para o efeito total é sensível ao número de defasagens adotado, ainda que o teste para o canal dos combustíveis rejeite com folga também ali. E o nível do repasse, bem como a data que os dados elegem, dependem do tratamento dado às observações da pandemia: o coeficiente de impacto situa-se entre 0,088 e 0,176 conforme esse tratamento, e o supremo da estatística de quebra desloca-se de março de 2017 para fevereiro de 2021 quando aqueles dez meses retornam à amostra. Nada disso altera o contraste entre regimes, que rejeita a igualdade nas duas construções, nem o padrão de significância, que a seção 4.7.6 reproduz impondo a data institucional de setembro de 2016 e assim dispensando qualquer datação estimada.</w:t>
      </w:r>
    </w:p>
    <w:p>
      <w:pPr>
        <w:spacing w:after="0" w:line="360" w:lineRule="auto"/>
        <w:ind w:firstLine="709"/>
        <w:jc w:val="both"/>
      </w:pPr>
      <w:r>
        <w:rPr>
          <w:rFonts w:ascii="Arial" w:hAnsi="Arial"/>
          <w:color w:val="000000"/>
          <w:sz w:val="24"/>
        </w:rPr>
        <w:t>Cabe registrar ainda que a política de paridade de importação foi encerrada em maio de 2023, ao passo que a amostra se estende até setembro de 2025. Reestimado o modelo com a amostra encerrada na data do encerramento da política, em maio de 2023, o repasse no impacto sobe de 0,176 para 0,214, o que indica que as estimativas aqui reportadas são conservadoras: incorporar meses em que a política já não vigorava atenua o coeficiente.</w:t>
      </w:r>
    </w:p>
    <w:p>
      <w:pPr>
        <w:spacing w:after="0" w:line="360" w:lineRule="auto"/>
        <w:ind w:firstLine="709"/>
        <w:jc w:val="both"/>
      </w:pPr>
      <w:r>
        <w:rPr>
          <w:rFonts w:ascii="Arial" w:hAnsi="Arial"/>
          <w:color w:val="000000"/>
          <w:sz w:val="24"/>
        </w:rPr>
        <w:t>Três extensões decorrem naturalmente. A primeira é instrumentar o preço doméstico de combustível pela própria cotação internacional do produto refinado, que sob a paridade de importação determina mecanicamente aquele preço, o que permitiria identificar causalmente o efeito de segunda volta que este trabalho só consegue medir de forma contábil. A segunda é aprofundar a assimetria entre altas e quedas, que a seção 4.7.9 documenta e não esgota. O resultado ali obtido contraria a intuição de que uma regra mecânica não comportaria discricionariedade: é justamente sob a paridade de importação que os preços de combustível passam a exibir o padrão de foguetes e penas, enquanto o índice cheio permanece simétrico. A leitura proposta, de que a regra obriga a acompanhar a alta mas não a devolver a queda, é plausível e não foi testada contra alternativas como custo de menu ou concentração na distribuição, o que exigiria dados de margem por elo da cadeia. A terceira é reavaliar o período posterior a maio de 2023 quando houver observações suficientes para estimá-lo com precisão, o que permitirá verificar se o fim da paridade reverteu a transmissão ao patamar anterior ou apenas a reduziu. Essa terceira frente deixou de ser conjectural: o Fundo Monetário Internacional (2026) registra, na consulta do Artigo IV concluída em julho de 2026, que a Petrobras vem moderando o repasse de choques internacionais aos preços domésticos em linha com a estratégia comercial adotada em 2023, e que os ganhos fiscais associados ao petróleo têm sido largamente aplicados em medidas de contenção do preço de combustível. A avaliação de um organismo multilateral de que a regra vigente atenua a transmissão é, em si, indicação de que o objeto deste trabalho permanece ativo, e a elevação do preço internacional observada em 2026 oferecerá a variação necessária para estimá-lo.</w:t>
      </w:r>
    </w:p>
    <w:p>
      <w:pPr>
        <w:spacing w:after="0" w:line="360" w:lineRule="auto"/>
        <w:ind w:firstLine="709"/>
        <w:jc w:val="both"/>
      </w:pPr>
      <w:r>
        <w:rPr>
          <w:rFonts w:ascii="Arial" w:hAnsi="Arial"/>
          <w:color w:val="000000"/>
          <w:sz w:val="24"/>
        </w:rPr>
        <w:t>O trabalho deixa, como resultado mais durável, uma advertência metodológica. Estimativas de repasse do petróleo à inflação obtidas em amostras longas, sem atenção à regra de formação de preços vigente em cada período, produzem médias que não descrevem nenhum dos regimes que atravessaram. A especificação de amostra completa deste mesmo conjunto de dados não rejeita a hipótese de ausência de efeito sobre o IPCA cheio, enquanto a especificação por regime rejeita a igualdade entre períodos nas seis séries examinadas. O objeto de interesse, portanto, não estava perdido nos dados: estava escondido pela agregação.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5 – Conclusão</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