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280" w:line="360" w:lineRule="auto"/>
        <w:ind w:firstLine="0"/>
        <w:jc w:val="center"/>
      </w:pPr>
      <w:r>
        <w:rPr>
          <w:rFonts w:ascii="Arial" w:hAnsi="Arial"/>
          <w:b/>
          <w:i w:val="0"/>
          <w:color w:val="000000"/>
          <w:sz w:val="28"/>
        </w:rPr>
        <w:t>REFERÊNCIAS</w:t>
      </w:r>
    </w:p>
    <w:p>
      <w:pPr>
        <w:spacing w:after="240" w:line="240" w:lineRule="auto"/>
        <w:ind w:firstLine="0"/>
        <w:jc w:val="left"/>
      </w:pPr>
      <w:r>
        <w:rPr>
          <w:rFonts w:ascii="Arial" w:hAnsi="Arial"/>
          <w:color w:val="000000"/>
          <w:sz w:val="24"/>
        </w:rPr>
        <w:t>AGÊNCIA NACIONAL DO PETRÓLEO, GÁS NATURAL E BIOCOMBUSTÍVEIS. Série histórica de preços de combustíveis. Rio de Janeiro: ANP, 2025. Base de dados.</w:t>
      </w:r>
    </w:p>
    <w:p>
      <w:pPr>
        <w:spacing w:after="240" w:line="240" w:lineRule="auto"/>
        <w:ind w:firstLine="0"/>
        <w:jc w:val="left"/>
      </w:pPr>
      <w:r>
        <w:rPr>
          <w:rFonts w:ascii="Arial" w:hAnsi="Arial"/>
          <w:color w:val="000000"/>
          <w:sz w:val="24"/>
        </w:rPr>
        <w:t>AKCURA, E. A global assessment of domestic petroleum fuel prices. Washington: World Bank, 2025. (Policy Research Working Paper, n. 11153).</w:t>
      </w:r>
    </w:p>
    <w:p>
      <w:pPr>
        <w:spacing w:after="240" w:line="240" w:lineRule="auto"/>
        <w:ind w:firstLine="0"/>
        <w:jc w:val="left"/>
      </w:pPr>
      <w:r>
        <w:rPr>
          <w:rFonts w:ascii="Arial" w:hAnsi="Arial"/>
          <w:color w:val="000000"/>
          <w:sz w:val="24"/>
        </w:rPr>
        <w:t>ALMEIDA, E. L. F. de; OLIVEIRA, P. V. de; LOSEKANN, L. Impactos da contenção dos preços de combustíveis no Brasil e opções de mecanismos de precificação. Revista de Economia Política, v. 35, n. 3, p. 531-556, 2015.</w:t>
      </w:r>
    </w:p>
    <w:p>
      <w:pPr>
        <w:spacing w:after="240" w:line="240" w:lineRule="auto"/>
        <w:ind w:firstLine="0"/>
        <w:jc w:val="left"/>
      </w:pPr>
      <w:r>
        <w:rPr>
          <w:rFonts w:ascii="Arial" w:hAnsi="Arial"/>
          <w:color w:val="000000"/>
          <w:sz w:val="24"/>
        </w:rPr>
        <w:t>ANDREWS, D. W. K. Tests for parameter instability and structural change with unknown change point. Econometrica, v. 61, n. 4, p. 821-856, 1993.</w:t>
      </w:r>
    </w:p>
    <w:p>
      <w:pPr>
        <w:spacing w:after="240" w:line="240" w:lineRule="auto"/>
        <w:ind w:firstLine="0"/>
        <w:jc w:val="left"/>
      </w:pPr>
      <w:r>
        <w:rPr>
          <w:rFonts w:ascii="Arial" w:hAnsi="Arial"/>
          <w:color w:val="000000"/>
          <w:sz w:val="24"/>
        </w:rPr>
        <w:t>ANDREWS, I.; STOCK, J. H.; SUN, L. Weak instruments in instrumental variables regression: theory and practice. Annual Review of Economics, v. 11, p. 727-753, 2019.</w:t>
      </w:r>
    </w:p>
    <w:p>
      <w:pPr>
        <w:spacing w:after="240" w:line="240" w:lineRule="auto"/>
        <w:ind w:firstLine="0"/>
        <w:jc w:val="left"/>
      </w:pPr>
      <w:r>
        <w:rPr>
          <w:rFonts w:ascii="Arial" w:hAnsi="Arial"/>
          <w:color w:val="000000"/>
          <w:sz w:val="24"/>
        </w:rPr>
        <w:t>AZEVEDO, P. F. de; SERIGATI, F. C. Preços administrados e discricionariedade do Executivo. Revista de Economia Política, v. 35, n. 3, p. 510-530, 2015.</w:t>
      </w:r>
    </w:p>
    <w:p>
      <w:pPr>
        <w:spacing w:after="240" w:line="240" w:lineRule="auto"/>
        <w:ind w:firstLine="0"/>
        <w:jc w:val="left"/>
      </w:pPr>
      <w:r>
        <w:rPr>
          <w:rFonts w:ascii="Arial" w:hAnsi="Arial"/>
          <w:color w:val="000000"/>
          <w:sz w:val="24"/>
        </w:rPr>
        <w:t>BABA, C.; LEE, J. Second-round effects of oil price shocks: implications for Europe's inflation outlook. Washington: International Monetary Fund, 2022. (IMF Working Paper, WP/22/173).</w:t>
      </w:r>
    </w:p>
    <w:p>
      <w:pPr>
        <w:spacing w:after="240" w:line="240" w:lineRule="auto"/>
        <w:ind w:firstLine="0"/>
        <w:jc w:val="left"/>
      </w:pPr>
      <w:r>
        <w:rPr>
          <w:rFonts w:ascii="Arial" w:hAnsi="Arial"/>
          <w:color w:val="000000"/>
          <w:sz w:val="24"/>
        </w:rPr>
        <w:t>BAI, J.; LUMSDAINE, R. L.; STOCK, J. H. Testing for and dating common breaks in multivariate time series. The Review of Economic Studies, v. 65, n. 3, p. 395-432, 1998.</w:t>
      </w:r>
    </w:p>
    <w:p>
      <w:pPr>
        <w:spacing w:after="240" w:line="240" w:lineRule="auto"/>
        <w:ind w:firstLine="0"/>
        <w:jc w:val="left"/>
      </w:pPr>
      <w:r>
        <w:rPr>
          <w:rFonts w:ascii="Arial" w:hAnsi="Arial"/>
          <w:color w:val="000000"/>
          <w:sz w:val="24"/>
        </w:rPr>
        <w:t>BAI, J.; PERRON, P. Estimating and testing linear models with multiple structural changes. Econometrica, v. 66, n. 1, p. 47-78, 1998.</w:t>
      </w:r>
    </w:p>
    <w:p>
      <w:pPr>
        <w:spacing w:after="240" w:line="240" w:lineRule="auto"/>
        <w:ind w:firstLine="0"/>
        <w:jc w:val="left"/>
      </w:pPr>
      <w:r>
        <w:rPr>
          <w:rFonts w:ascii="Arial" w:hAnsi="Arial"/>
          <w:color w:val="000000"/>
          <w:sz w:val="24"/>
        </w:rPr>
        <w:t>BANCO CENTRAL DO BRASIL. Exchange rate pass-through: estimates from local projections. In: Relatório de Política Monetária, Brasília, mar. 2026. Boxe, p. 66-68.</w:t>
      </w:r>
    </w:p>
    <w:p>
      <w:pPr>
        <w:spacing w:after="240" w:line="240" w:lineRule="auto"/>
        <w:ind w:firstLine="0"/>
        <w:jc w:val="left"/>
      </w:pPr>
      <w:r>
        <w:rPr>
          <w:rFonts w:ascii="Arial" w:hAnsi="Arial"/>
          <w:color w:val="000000"/>
          <w:sz w:val="24"/>
        </w:rPr>
        <w:t>BANCO CENTRAL DO BRASIL. Repasse do preço do petróleo para a inflação. In: Relatório de Inflação, Brasília, mar. 2022. Boxe, p. 58-61.</w:t>
      </w:r>
    </w:p>
    <w:p>
      <w:pPr>
        <w:spacing w:after="240" w:line="240" w:lineRule="auto"/>
        <w:ind w:firstLine="0"/>
        <w:jc w:val="left"/>
      </w:pPr>
      <w:r>
        <w:rPr>
          <w:rFonts w:ascii="Arial" w:hAnsi="Arial"/>
          <w:color w:val="000000"/>
          <w:sz w:val="24"/>
        </w:rPr>
        <w:t>BANCO CENTRAL DO BRASIL. Sistema Gerenciador de Séries Temporais. Brasília: BCB, 2025. Séries 432, 3695 e 4448, e Sistema de Expectativas de Mercado (Focus). Base de dados.</w:t>
      </w:r>
    </w:p>
    <w:p>
      <w:pPr>
        <w:spacing w:after="240" w:line="240" w:lineRule="auto"/>
        <w:ind w:firstLine="0"/>
        <w:jc w:val="left"/>
      </w:pPr>
      <w:r>
        <w:rPr>
          <w:rFonts w:ascii="Arial" w:hAnsi="Arial"/>
          <w:color w:val="000000"/>
          <w:sz w:val="24"/>
        </w:rPr>
        <w:t>BLANCHARD, O. J.; GALÍ, J. The macroeconomic effects of oil shocks: why are the 2000s so different from the 1970s? Cambridge: National Bureau of Economic Research, 2007. (NBER Working Paper, n. 13368).</w:t>
      </w:r>
    </w:p>
    <w:p>
      <w:pPr>
        <w:spacing w:after="240" w:line="240" w:lineRule="auto"/>
        <w:ind w:firstLine="0"/>
        <w:jc w:val="left"/>
      </w:pPr>
      <w:r>
        <w:rPr>
          <w:rFonts w:ascii="Arial" w:hAnsi="Arial"/>
          <w:color w:val="000000"/>
          <w:sz w:val="24"/>
        </w:rPr>
        <w:t>BOBEICA, E.; HARTWIG, B. The COVID-19 shock and challenges for time series models. Frankfurt: European Central Bank, 2021. (ECB Working Paper, n. 2558).</w:t>
      </w:r>
    </w:p>
    <w:p>
      <w:pPr>
        <w:spacing w:after="240" w:line="240" w:lineRule="auto"/>
        <w:ind w:firstLine="0"/>
        <w:jc w:val="left"/>
      </w:pPr>
      <w:r>
        <w:rPr>
          <w:rFonts w:ascii="Arial" w:hAnsi="Arial"/>
          <w:color w:val="000000"/>
          <w:sz w:val="24"/>
        </w:rPr>
        <w:t>CARDOSO, A. R.; SEVERNINI, E. Price stabilization policy, gasoline consumption, and health externality: evidence from Brazil. Pittsburgh: Carnegie Mellon University, 2023. Working paper.</w:t>
      </w:r>
    </w:p>
    <w:p>
      <w:pPr>
        <w:spacing w:after="240" w:line="240" w:lineRule="auto"/>
        <w:ind w:firstLine="0"/>
        <w:jc w:val="left"/>
      </w:pPr>
      <w:r>
        <w:rPr>
          <w:rFonts w:ascii="Arial" w:hAnsi="Arial"/>
          <w:color w:val="000000"/>
          <w:sz w:val="24"/>
        </w:rPr>
        <w:t>CHOI, S.; FURCERI, D.; LOUNGANI, P.; MISHRA, S.; POPLAWSKI-RIBEIRO, M. Oil prices and inflation dynamics: evidence from advanced and developing economies. Journal of International Money and Finance, v. 82, p. 71-96, 2018.</w:t>
      </w:r>
    </w:p>
    <w:p>
      <w:pPr>
        <w:spacing w:after="240" w:line="240" w:lineRule="auto"/>
        <w:ind w:firstLine="0"/>
        <w:jc w:val="left"/>
      </w:pPr>
      <w:r>
        <w:rPr>
          <w:rFonts w:ascii="Arial" w:hAnsi="Arial"/>
          <w:color w:val="000000"/>
          <w:sz w:val="24"/>
        </w:rPr>
        <w:t>CONFLITTI, C.; LUCIANI, M. Oil price pass-through into core inflation. The Energy Journal, v. 40, n. 6, p. 221-247, 2019.</w:t>
      </w:r>
    </w:p>
    <w:p>
      <w:pPr>
        <w:spacing w:after="240" w:line="240" w:lineRule="auto"/>
        <w:ind w:firstLine="0"/>
        <w:jc w:val="left"/>
      </w:pPr>
      <w:r>
        <w:rPr>
          <w:rFonts w:ascii="Arial" w:hAnsi="Arial"/>
          <w:color w:val="000000"/>
          <w:sz w:val="24"/>
        </w:rPr>
        <w:t>CORREA, A. da S.; MINELLA, A. Nonlinear mechanisms of the exchange rate pass-through: a Phillips curve model with threshold for Brazil. Revista Brasileira de Economia, v. 64, n. 3, p. 231-243, 2010.</w:t>
      </w:r>
    </w:p>
    <w:p>
      <w:pPr>
        <w:spacing w:after="240" w:line="240" w:lineRule="auto"/>
        <w:ind w:firstLine="0"/>
        <w:jc w:val="left"/>
      </w:pPr>
      <w:r>
        <w:rPr>
          <w:rFonts w:ascii="Arial" w:hAnsi="Arial"/>
          <w:color w:val="000000"/>
          <w:sz w:val="24"/>
        </w:rPr>
        <w:t>DAVIDSON, R.; FLACHAIRE, E. The wild bootstrap, tamed at last. Journal of Econometrics, v. 146, n. 1, p. 162-169, 2008.</w:t>
      </w:r>
    </w:p>
    <w:p>
      <w:pPr>
        <w:spacing w:after="240" w:line="240" w:lineRule="auto"/>
        <w:ind w:firstLine="0"/>
        <w:jc w:val="left"/>
      </w:pPr>
      <w:r>
        <w:rPr>
          <w:rFonts w:ascii="Arial" w:hAnsi="Arial"/>
          <w:color w:val="000000"/>
          <w:sz w:val="24"/>
        </w:rPr>
        <w:t>FIGUEIREDO, F. M. R.; FERREIRA, T. P. Os preços administrados e a inflação no Brasil. Brasília: Banco Central do Brasil, 2002. (Trabalhos para Discussão, n. 59).</w:t>
      </w:r>
    </w:p>
    <w:p>
      <w:pPr>
        <w:spacing w:after="240" w:line="240" w:lineRule="auto"/>
        <w:ind w:firstLine="0"/>
        <w:jc w:val="left"/>
      </w:pPr>
      <w:r>
        <w:rPr>
          <w:rFonts w:ascii="Arial" w:hAnsi="Arial"/>
          <w:color w:val="000000"/>
          <w:sz w:val="24"/>
        </w:rPr>
        <w:t>FUNDO MONETÁRIO INTERNACIONAL. Brazil: 2026 Article IV consultation. Washington: International Monetary Fund, 2026. (IMF Country Report).</w:t>
      </w:r>
    </w:p>
    <w:p>
      <w:pPr>
        <w:spacing w:after="240" w:line="240" w:lineRule="auto"/>
        <w:ind w:firstLine="0"/>
        <w:jc w:val="left"/>
      </w:pPr>
      <w:r>
        <w:rPr>
          <w:rFonts w:ascii="Arial" w:hAnsi="Arial"/>
          <w:color w:val="000000"/>
          <w:sz w:val="24"/>
        </w:rPr>
        <w:t>GELOS, G.; USTYUGOVA, Y. Inflation responses to commodity price shocks: how and why do countries differ? Journal of International Money and Finance, v. 72, p. 28-47, 2017.</w:t>
      </w:r>
    </w:p>
    <w:p>
      <w:pPr>
        <w:spacing w:after="240" w:line="240" w:lineRule="auto"/>
        <w:ind w:firstLine="0"/>
        <w:jc w:val="left"/>
      </w:pPr>
      <w:r>
        <w:rPr>
          <w:rFonts w:ascii="Arial" w:hAnsi="Arial"/>
          <w:color w:val="000000"/>
          <w:sz w:val="24"/>
        </w:rPr>
        <w:t>HALE, T.; ANGRIST, N.; GOLDSZMIDT, R. et al. A global panel database of pandemic policies (Oxford COVID-19 Government Response Tracker). Nature Human Behaviour, v. 5, p. 529-538, 2021.</w:t>
      </w:r>
    </w:p>
    <w:p>
      <w:pPr>
        <w:spacing w:after="240" w:line="240" w:lineRule="auto"/>
        <w:ind w:firstLine="0"/>
        <w:jc w:val="left"/>
      </w:pPr>
      <w:r>
        <w:rPr>
          <w:rFonts w:ascii="Arial" w:hAnsi="Arial"/>
          <w:color w:val="000000"/>
          <w:sz w:val="24"/>
        </w:rPr>
        <w:t>HAMILTON, J. D. What is an oil shock? Journal of Econometrics, v. 113, n. 2, p. 363-398, 2003.</w:t>
      </w:r>
    </w:p>
    <w:p>
      <w:pPr>
        <w:spacing w:after="240" w:line="240" w:lineRule="auto"/>
        <w:ind w:firstLine="0"/>
        <w:jc w:val="left"/>
      </w:pPr>
      <w:r>
        <w:rPr>
          <w:rFonts w:ascii="Arial" w:hAnsi="Arial"/>
          <w:color w:val="000000"/>
          <w:sz w:val="24"/>
        </w:rPr>
        <w:t>HANSEN, B. E. Testing for structural change in conditional models. Journal of Econometrics, v. 97, n. 1, p. 93-115, 2000.</w:t>
      </w:r>
    </w:p>
    <w:p>
      <w:pPr>
        <w:spacing w:after="240" w:line="240" w:lineRule="auto"/>
        <w:ind w:firstLine="0"/>
        <w:jc w:val="left"/>
      </w:pPr>
      <w:r>
        <w:rPr>
          <w:rFonts w:ascii="Arial" w:hAnsi="Arial"/>
          <w:color w:val="000000"/>
          <w:sz w:val="24"/>
        </w:rPr>
        <w:t>INSTITUTO DE PESQUISA ECONÔMICA APLICADA. Ipeadata: preço do petróleo Brent. Brasília: Ipea, 2025. Base de dados, fonte primária U.S. Energy Information Administration.</w:t>
      </w:r>
    </w:p>
    <w:p>
      <w:pPr>
        <w:spacing w:after="240" w:line="240" w:lineRule="auto"/>
        <w:ind w:firstLine="0"/>
        <w:jc w:val="left"/>
      </w:pPr>
      <w:r>
        <w:rPr>
          <w:rFonts w:ascii="Arial" w:hAnsi="Arial"/>
          <w:color w:val="000000"/>
          <w:sz w:val="24"/>
        </w:rPr>
        <w:t>INSTITUTO BRASILEIRO DE GEOGRAFIA E ESTATÍSTICA. Índice Nacional de Preços ao Consumidor Amplo. Rio de Janeiro: IBGE, 2025. Tabelas 1737 e 7060 do SIDRA, e séries especiais por grau de comercialização. Base de dados.</w:t>
      </w:r>
    </w:p>
    <w:p>
      <w:pPr>
        <w:spacing w:after="240" w:line="240" w:lineRule="auto"/>
        <w:ind w:firstLine="0"/>
        <w:jc w:val="left"/>
      </w:pPr>
      <w:r>
        <w:rPr>
          <w:rFonts w:ascii="Arial" w:hAnsi="Arial"/>
          <w:color w:val="000000"/>
          <w:sz w:val="24"/>
        </w:rPr>
        <w:t>JESUS JR., L. B. de; UCHÔA, C. F. A.; FERNANDES, R. A. S. An analysis of the fuel price policy dilemma in Brazil. Journal of Commodity Markets, v. 39, 2025.</w:t>
      </w:r>
    </w:p>
    <w:p>
      <w:pPr>
        <w:spacing w:after="240" w:line="240" w:lineRule="auto"/>
        <w:ind w:firstLine="0"/>
        <w:jc w:val="left"/>
      </w:pPr>
      <w:r>
        <w:rPr>
          <w:rFonts w:ascii="Arial" w:hAnsi="Arial"/>
          <w:color w:val="000000"/>
          <w:sz w:val="24"/>
        </w:rPr>
        <w:t>JORDÀ, Ò. Estimation and inference of impulse responses by local projections. American Economic Review, v. 95, n. 1, p. 161-182, 2005.</w:t>
      </w:r>
    </w:p>
    <w:p>
      <w:pPr>
        <w:spacing w:after="240" w:line="240" w:lineRule="auto"/>
        <w:ind w:firstLine="0"/>
        <w:jc w:val="left"/>
      </w:pPr>
      <w:r>
        <w:rPr>
          <w:rFonts w:ascii="Arial" w:hAnsi="Arial"/>
          <w:color w:val="000000"/>
          <w:sz w:val="24"/>
        </w:rPr>
        <w:t>KÄNZIG, D. R. The macroeconomic effects of oil supply news: evidence from OPEC announcements. American Economic Review, v. 111, n. 4, p. 1092-1125, 2021.</w:t>
      </w:r>
    </w:p>
    <w:p>
      <w:pPr>
        <w:spacing w:after="240" w:line="240" w:lineRule="auto"/>
        <w:ind w:firstLine="0"/>
        <w:jc w:val="left"/>
      </w:pPr>
      <w:r>
        <w:rPr>
          <w:rFonts w:ascii="Arial" w:hAnsi="Arial"/>
          <w:color w:val="000000"/>
          <w:sz w:val="24"/>
        </w:rPr>
        <w:t>KILIAN, L. Not all oil price shocks are alike: disentangling demand and supply shocks in the crude oil market. American Economic Review, v. 99, n. 3, p. 1053-1069, 2009.</w:t>
      </w:r>
    </w:p>
    <w:p>
      <w:pPr>
        <w:spacing w:after="240" w:line="240" w:lineRule="auto"/>
        <w:ind w:firstLine="0"/>
        <w:jc w:val="left"/>
      </w:pPr>
      <w:r>
        <w:rPr>
          <w:rFonts w:ascii="Arial" w:hAnsi="Arial"/>
          <w:color w:val="000000"/>
          <w:sz w:val="24"/>
        </w:rPr>
        <w:t>LENZA, M.; PRIMICERI, G. E. How to estimate a VAR after March 2020. Cambridge: National Bureau of Economic Research, 2020. (NBER Working Paper, n. 27771).</w:t>
      </w:r>
    </w:p>
    <w:p>
      <w:pPr>
        <w:spacing w:after="240" w:line="240" w:lineRule="auto"/>
        <w:ind w:firstLine="0"/>
        <w:jc w:val="left"/>
      </w:pPr>
      <w:r>
        <w:rPr>
          <w:rFonts w:ascii="Arial" w:hAnsi="Arial"/>
          <w:color w:val="000000"/>
          <w:sz w:val="24"/>
        </w:rPr>
        <w:t>LÓPEZ, L.; ODENDAHL, F.; PARRAGA RODRIGUEZ, S.; SILGADO-GÓMEZ, E. The pass-through to inflation of gas price shocks. Frankfurt: European Central Bank, 2026. (ECB Working Paper, n. 2968).</w:t>
      </w:r>
    </w:p>
    <w:p>
      <w:pPr>
        <w:spacing w:after="240" w:line="240" w:lineRule="auto"/>
        <w:ind w:firstLine="0"/>
        <w:jc w:val="left"/>
      </w:pPr>
      <w:r>
        <w:rPr>
          <w:rFonts w:ascii="Arial" w:hAnsi="Arial"/>
          <w:color w:val="000000"/>
          <w:sz w:val="24"/>
        </w:rPr>
        <w:t>MACKINNON, J. G. Bootstrap hypothesis testing. Kingston: Queen's University, 2007. (Queen's Economics Department Working Paper, n. 1127).</w:t>
      </w:r>
    </w:p>
    <w:p>
      <w:pPr>
        <w:spacing w:after="240" w:line="240" w:lineRule="auto"/>
        <w:ind w:firstLine="0"/>
        <w:jc w:val="left"/>
      </w:pPr>
      <w:r>
        <w:rPr>
          <w:rFonts w:ascii="Arial" w:hAnsi="Arial"/>
          <w:color w:val="000000"/>
          <w:sz w:val="24"/>
        </w:rPr>
        <w:t>MONTIEL OLEA, J. L.; PLAGBORG-MØLLER, M. Local projection inference is simpler and more robust than you think. Econometrica, v. 89, n. 4, p. 1789-1823, 2021.</w:t>
      </w:r>
    </w:p>
    <w:p>
      <w:pPr>
        <w:spacing w:after="240" w:line="240" w:lineRule="auto"/>
        <w:ind w:firstLine="0"/>
        <w:jc w:val="left"/>
      </w:pPr>
      <w:r>
        <w:rPr>
          <w:rFonts w:ascii="Arial" w:hAnsi="Arial"/>
          <w:color w:val="000000"/>
          <w:sz w:val="24"/>
        </w:rPr>
        <w:t>MONTIEL OLEA, J. L.; PLAGBORG-MØLLER, M. Simultaneous confidence bands: theory, implementation, and an application to SVARs. Journal of Applied Econometrics, v. 34, n. 1, p. 1-17, 2019.</w:t>
      </w:r>
    </w:p>
    <w:p>
      <w:pPr>
        <w:spacing w:after="240" w:line="240" w:lineRule="auto"/>
        <w:ind w:firstLine="0"/>
        <w:jc w:val="left"/>
      </w:pPr>
      <w:r>
        <w:rPr>
          <w:rFonts w:ascii="Arial" w:hAnsi="Arial"/>
          <w:color w:val="000000"/>
          <w:sz w:val="24"/>
        </w:rPr>
        <w:t>NEWEY, W. K.; WEST, K. D. A simple, positive semi-definite, heteroskedasticity and autocorrelation consistent covariance matrix. Econometrica, v. 55, n. 3, p. 703-708, 1987.</w:t>
      </w:r>
    </w:p>
    <w:p>
      <w:pPr>
        <w:spacing w:after="240" w:line="240" w:lineRule="auto"/>
        <w:ind w:firstLine="0"/>
        <w:jc w:val="left"/>
      </w:pPr>
      <w:r>
        <w:rPr>
          <w:rFonts w:ascii="Arial" w:hAnsi="Arial"/>
          <w:color w:val="000000"/>
          <w:sz w:val="24"/>
        </w:rPr>
        <w:t>RAMEY, V. A. Macroeconomic shocks and their propagation. In: TAYLOR, J. B.; UHLIG, H. (ed.). Handbook of Macroeconomics. Amsterdam: Elsevier, 2016. v. 2A, cap. 2, p. 71-162.</w:t>
      </w:r>
    </w:p>
    <w:p>
      <w:pPr>
        <w:spacing w:after="240" w:line="240" w:lineRule="auto"/>
        <w:ind w:firstLine="0"/>
        <w:jc w:val="left"/>
      </w:pPr>
      <w:r>
        <w:rPr>
          <w:rFonts w:ascii="Arial" w:hAnsi="Arial"/>
          <w:color w:val="000000"/>
          <w:sz w:val="24"/>
        </w:rPr>
        <w:t>RYAN, R.; MICHIEKA, N. Not all oil price shocks are alike: a replication of Kilian (American Economic Review, 2009). Journal of Comment and Replication in Economics, 2024.</w:t>
      </w:r>
    </w:p>
    <w:p>
      <w:pPr>
        <w:spacing w:after="240" w:line="240" w:lineRule="auto"/>
        <w:ind w:firstLine="0"/>
        <w:jc w:val="left"/>
      </w:pPr>
      <w:r>
        <w:rPr>
          <w:rFonts w:ascii="Arial" w:hAnsi="Arial"/>
          <w:color w:val="000000"/>
          <w:sz w:val="24"/>
        </w:rPr>
        <w:t>SALKEVER, D. S. The use of dummy variables to compute predictions, prediction errors, and confidence intervals. Journal of Econometrics, v. 4, n. 4, p. 393-397, 1976.</w:t>
      </w:r>
    </w:p>
    <w:p>
      <w:pPr>
        <w:spacing w:after="240" w:line="240" w:lineRule="auto"/>
        <w:ind w:firstLine="0"/>
        <w:jc w:val="left"/>
      </w:pPr>
      <w:r>
        <w:rPr>
          <w:rFonts w:ascii="Arial" w:hAnsi="Arial"/>
          <w:color w:val="000000"/>
          <w:sz w:val="24"/>
        </w:rPr>
        <w:t>STAIGER, D.; STOCK, J. H. Instrumental variables regression with weak instruments. Econometrica, v. 65, n. 3, p. 557-586, 1997.</w:t>
      </w:r>
    </w:p>
    <w:p>
      <w:pPr>
        <w:spacing w:after="240" w:line="240" w:lineRule="auto"/>
        <w:ind w:firstLine="0"/>
        <w:jc w:val="left"/>
      </w:pPr>
      <w:r>
        <w:rPr>
          <w:rFonts w:ascii="Arial" w:hAnsi="Arial"/>
          <w:color w:val="000000"/>
          <w:sz w:val="24"/>
        </w:rPr>
        <w:t>TEULINGS, C. N.; ZUBANOV, N. Is economic recovery a myth? Robust estimation of impulse responses. Journal of Applied Econometrics, v. 29, n. 3, p. 497-514, 2014.</w:t>
      </w:r>
    </w:p>
    <w:p>
      <w:pPr>
        <w:spacing w:after="240" w:line="240" w:lineRule="auto"/>
        <w:ind w:firstLine="0"/>
        <w:jc w:val="left"/>
      </w:pPr>
      <w:r>
        <w:rPr>
          <w:rFonts w:ascii="Arial" w:hAnsi="Arial"/>
          <w:color w:val="000000"/>
          <w:sz w:val="24"/>
        </w:rPr>
        <w:t>WORLD BANK. Global fuel subsidies and price control measures database. Washington: World Bank, 2025. Base de dados que acompanha AKCURA (2025).</w:t>
      </w:r>
    </w:p>
    <w:p>
      <w:pPr>
        <w:spacing w:after="240" w:line="240" w:lineRule="auto"/>
        <w:ind w:firstLine="0"/>
        <w:jc w:val="left"/>
      </w:pPr>
      <w:r>
        <w:rPr>
          <w:rFonts w:ascii="Arial" w:hAnsi="Arial"/>
          <w:color w:val="000000"/>
          <w:sz w:val="24"/>
        </w:rPr>
        <w:t>UNITED STATES ENERGY INFORMATION ADMINISTRATION. Petroleum and other liquids: spot prices. Washington: EIA, 2025. Base de dados.</w:t>
      </w:r>
    </w:p>
    <w:p>
      <w:r>
        <w:br w:type="page"/>
      </w:r>
    </w:p>
    <w:p>
      <w:pPr>
        <w:pStyle w:val="Heading1"/>
        <w:keepNext/>
        <w:spacing w:before="280" w:after="280" w:line="360" w:lineRule="auto"/>
        <w:ind w:firstLine="0"/>
        <w:jc w:val="center"/>
      </w:pPr>
      <w:r>
        <w:rPr>
          <w:rFonts w:ascii="Arial" w:hAnsi="Arial"/>
          <w:b/>
          <w:i w:val="0"/>
          <w:color w:val="000000"/>
          <w:sz w:val="28"/>
        </w:rPr>
        <w:t>APÊNDICE A – SÉRIES UTILIZADAS, EM NÍVEL</w:t>
      </w:r>
    </w:p>
    <w:p>
      <w:pPr>
        <w:spacing w:line="360" w:lineRule="auto" w:after="0"/>
        <w:ind w:firstLine="709"/>
        <w:jc w:val="both"/>
      </w:pPr>
      <w:r>
        <w:rPr>
          <w:rFonts w:ascii="Arial" w:hAnsi="Arial"/>
          <w:color w:val="000000"/>
          <w:sz w:val="24"/>
        </w:rPr>
        <w:t>Este apêndice reúne as séries do modelo em nível, na unidade original de cada uma. As séries de preços aparecem como índices com base em janeiro de 2003; câmbio, meta Selic e expectativa de inflação, nas respectivas unidades.</w:t>
      </w:r>
    </w:p>
    <w:p>
      <w:pPr>
        <w:spacing w:before="200" w:after="40" w:line="240" w:lineRule="auto"/>
        <w:ind w:firstLine="0"/>
        <w:jc w:val="center"/>
      </w:pPr>
      <w:r>
        <w:rPr>
          <w:rFonts w:ascii="Arial" w:hAnsi="Arial"/>
          <w:color w:val="000000"/>
          <w:sz w:val="20"/>
        </w:rPr>
        <w:t>Figura A.1 – Séries em nível, janeiro de 2003 a setembro de 2025</w:t>
      </w:r>
    </w:p>
    <w:p>
      <w:pPr>
        <w:spacing w:after="40"/>
        <w:ind w:firstLine="0"/>
        <w:jc w:val="center"/>
      </w:pPr>
      <w:r>
        <w:drawing>
          <wp:inline xmlns:a="http://schemas.openxmlformats.org/drawingml/2006/main" xmlns:pic="http://schemas.openxmlformats.org/drawingml/2006/picture">
            <wp:extent cx="5580000" cy="5689412"/>
            <wp:docPr id="1" name="Picture 1"/>
            <wp:cNvGraphicFramePr>
              <a:graphicFrameLocks noChangeAspect="1"/>
            </wp:cNvGraphicFramePr>
            <a:graphic>
              <a:graphicData uri="http://schemas.openxmlformats.org/drawingml/2006/picture">
                <pic:pic>
                  <pic:nvPicPr>
                    <pic:cNvPr id="0" name="series_nivel.png"/>
                    <pic:cNvPicPr/>
                  </pic:nvPicPr>
                  <pic:blipFill>
                    <a:blip r:embed="rId9"/>
                    <a:stretch>
                      <a:fillRect/>
                    </a:stretch>
                  </pic:blipFill>
                  <pic:spPr>
                    <a:xfrm>
                      <a:off x="0" y="0"/>
                      <a:ext cx="5580000" cy="5689412"/>
                    </a:xfrm>
                    <a:prstGeom prst="rect"/>
                  </pic:spPr>
                </pic:pic>
              </a:graphicData>
            </a:graphic>
          </wp:inline>
        </w:drawing>
      </w:r>
    </w:p>
    <w:p>
      <w:pPr>
        <w:spacing w:line="240" w:lineRule="auto" w:after="0"/>
        <w:ind w:firstLine="0"/>
        <w:jc w:val="both"/>
      </w:pPr>
      <w:r>
        <w:rPr>
          <w:rFonts w:ascii="Arial" w:hAnsi="Arial"/>
          <w:color w:val="000000"/>
          <w:sz w:val="18"/>
        </w:rPr>
        <w:t>Nota: a linha tracejada marca março de 2017 e a faixa cinza, os meses de pandemia tratados por indicadoras.</w:t>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B – SÉRIES EM ESCALA LOGARÍTMICA</w:t>
      </w:r>
    </w:p>
    <w:p>
      <w:pPr>
        <w:spacing w:line="360" w:lineRule="auto" w:after="0"/>
        <w:ind w:firstLine="709"/>
        <w:jc w:val="both"/>
      </w:pPr>
      <w:r>
        <w:rPr>
          <w:rFonts w:ascii="Arial" w:hAnsi="Arial"/>
          <w:color w:val="000000"/>
          <w:sz w:val="24"/>
        </w:rPr>
        <w:t>As séries que o modelo transforma em logaritmo aparecem aqui como 100·[ln P(t) − ln P(jan/2003)], em pontos logarítmicos. Ponto logarítmico não equivale a porcento fora de variações pequenas: os 126 pontos acumulados pelo IPCA Geral na amostra correspondem a alta real de 253%. Meta Selic e expectativa não aparecem, por já serem taxas.</w:t>
      </w:r>
    </w:p>
    <w:p>
      <w:pPr>
        <w:spacing w:before="200" w:after="40" w:line="240" w:lineRule="auto"/>
        <w:ind w:firstLine="0"/>
        <w:jc w:val="center"/>
      </w:pPr>
      <w:r>
        <w:rPr>
          <w:rFonts w:ascii="Arial" w:hAnsi="Arial"/>
          <w:color w:val="000000"/>
          <w:sz w:val="20"/>
        </w:rPr>
        <w:t>Figura B.1 – Séries em escala logarítmica</w:t>
      </w:r>
    </w:p>
    <w:p>
      <w:pPr>
        <w:spacing w:after="40"/>
        <w:ind w:firstLine="0"/>
        <w:jc w:val="center"/>
      </w:pPr>
      <w:r>
        <w:drawing>
          <wp:inline xmlns:a="http://schemas.openxmlformats.org/drawingml/2006/main" xmlns:pic="http://schemas.openxmlformats.org/drawingml/2006/picture">
            <wp:extent cx="5580000" cy="4376471"/>
            <wp:docPr id="2" name="Picture 2"/>
            <wp:cNvGraphicFramePr>
              <a:graphicFrameLocks noChangeAspect="1"/>
            </wp:cNvGraphicFramePr>
            <a:graphic>
              <a:graphicData uri="http://schemas.openxmlformats.org/drawingml/2006/picture">
                <pic:pic>
                  <pic:nvPicPr>
                    <pic:cNvPr id="0" name="series_log.png"/>
                    <pic:cNvPicPr/>
                  </pic:nvPicPr>
                  <pic:blipFill>
                    <a:blip r:embed="rId10"/>
                    <a:stretch>
                      <a:fillRect/>
                    </a:stretch>
                  </pic:blipFill>
                  <pic:spPr>
                    <a:xfrm>
                      <a:off x="0" y="0"/>
                      <a:ext cx="5580000" cy="4376471"/>
                    </a:xfrm>
                    <a:prstGeom prst="rect"/>
                  </pic:spPr>
                </pic:pic>
              </a:graphicData>
            </a:graphic>
          </wp:inline>
        </w:drawing>
      </w:r>
    </w:p>
    <w:p>
      <w:pPr>
        <w:spacing w:line="240" w:lineRule="auto" w:after="0"/>
        <w:ind w:firstLine="0"/>
        <w:jc w:val="both"/>
      </w:pPr>
      <w:r>
        <w:rPr>
          <w:rFonts w:ascii="Arial" w:hAnsi="Arial"/>
          <w:color w:val="000000"/>
          <w:sz w:val="18"/>
        </w:rPr>
        <w:t>Nota: valores em pontos logarítmicos, não em porcento.</w:t>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C – IDENTIFICAÇÃO POR INSTRUMENTO EXTERNO</w:t>
      </w:r>
    </w:p>
    <w:p>
      <w:pPr>
        <w:spacing w:line="360" w:lineRule="auto" w:after="0"/>
        <w:ind w:firstLine="709"/>
        <w:jc w:val="both"/>
      </w:pPr>
      <w:r>
        <w:rPr>
          <w:rFonts w:ascii="Arial" w:hAnsi="Arial"/>
          <w:color w:val="000000"/>
          <w:sz w:val="24"/>
        </w:rPr>
        <w:t>A seção 4.7 reporta a projeção sobre o choque de notícia de oferta de Känzig (2021) e a ressalva de que o arquivo daquele autor contém duas séries com propriedades muito distintas. A figura a seguir contrapõe as duas: à esquerda, a forma reduzida sobre cada uma; à direita, o intervalo convencional de mínimos quadrados em dois estágios comparado ao conjunto de Anderson-Rubin, robusto a instrumento fraco. Com o instrumento externo bruto, cuja estatística F de primeiro estágio fica entre 2,9 e 6,8, o conjunto de Anderson-Rubin é cerca de 80% mais amplo e nunca exclui o zero.</w:t>
      </w:r>
    </w:p>
    <w:p>
      <w:pPr>
        <w:spacing w:before="200" w:after="40" w:line="240" w:lineRule="auto"/>
        <w:ind w:firstLine="0"/>
        <w:jc w:val="center"/>
      </w:pPr>
      <w:r>
        <w:rPr>
          <w:rFonts w:ascii="Arial" w:hAnsi="Arial"/>
          <w:color w:val="000000"/>
          <w:sz w:val="20"/>
        </w:rPr>
        <w:t>Figura C.1 – Forma reduzida e conjuntos de Anderson-Rubin para o IPCA Geral</w:t>
      </w:r>
    </w:p>
    <w:p>
      <w:pPr>
        <w:spacing w:after="40"/>
        <w:ind w:firstLine="0"/>
        <w:jc w:val="center"/>
      </w:pPr>
      <w:r>
        <w:drawing>
          <wp:inline xmlns:a="http://schemas.openxmlformats.org/drawingml/2006/main" xmlns:pic="http://schemas.openxmlformats.org/drawingml/2006/picture">
            <wp:extent cx="5580000" cy="2183478"/>
            <wp:docPr id="3" name="Picture 3"/>
            <wp:cNvGraphicFramePr>
              <a:graphicFrameLocks noChangeAspect="1"/>
            </wp:cNvGraphicFramePr>
            <a:graphic>
              <a:graphicData uri="http://schemas.openxmlformats.org/drawingml/2006/picture">
                <pic:pic>
                  <pic:nvPicPr>
                    <pic:cNvPr id="0" name="lp_iv_reduzida_ar_final_ipca_geral.png"/>
                    <pic:cNvPicPr/>
                  </pic:nvPicPr>
                  <pic:blipFill>
                    <a:blip r:embed="rId11"/>
                    <a:stretch>
                      <a:fillRect/>
                    </a:stretch>
                  </pic:blipFill>
                  <pic:spPr>
                    <a:xfrm>
                      <a:off x="0" y="0"/>
                      <a:ext cx="5580000" cy="2183478"/>
                    </a:xfrm>
                    <a:prstGeom prst="rect"/>
                  </pic:spPr>
                </pic:pic>
              </a:graphicData>
            </a:graphic>
          </wp:inline>
        </w:drawing>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D – DIAGNÓSTICO DA GASOLINA NA REFINARIA</w:t>
      </w:r>
    </w:p>
    <w:p>
      <w:pPr>
        <w:spacing w:line="360" w:lineRule="auto" w:after="0"/>
        <w:ind w:firstLine="709"/>
        <w:jc w:val="both"/>
      </w:pPr>
      <w:r>
        <w:rPr>
          <w:rFonts w:ascii="Arial" w:hAnsi="Arial"/>
          <w:color w:val="000000"/>
          <w:sz w:val="24"/>
        </w:rPr>
        <w:t>A Tabela 7 documenta que a autocorrelação residual da gasolina na refinaria origina-se inteiramente do período de preço administrado. A figura a seguir mostra a contrapartida gráfica: à esquerda, a variação mensal do preço na refinaria, em tom claro antes de março de 2017 e escuro depois; à direita, a fração de meses sem alteração de preço, por regime e por série. O contraste entre 19,5% e 5,8% de meses parados é o que sustenta a leitura de transição de um preço administrado para um preço indexado.</w:t>
      </w:r>
    </w:p>
    <w:p>
      <w:pPr>
        <w:spacing w:before="200" w:after="40" w:line="240" w:lineRule="auto"/>
        <w:ind w:firstLine="0"/>
        <w:jc w:val="center"/>
      </w:pPr>
      <w:r>
        <w:rPr>
          <w:rFonts w:ascii="Arial" w:hAnsi="Arial"/>
          <w:color w:val="000000"/>
          <w:sz w:val="20"/>
        </w:rPr>
        <w:t>Figura D.1 – Variação mensal do preço na refinaria e frequência de reajuste por regime</w:t>
      </w:r>
    </w:p>
    <w:p>
      <w:pPr>
        <w:spacing w:after="40"/>
        <w:ind w:firstLine="0"/>
        <w:jc w:val="center"/>
      </w:pPr>
      <w:r>
        <w:drawing>
          <wp:inline xmlns:a="http://schemas.openxmlformats.org/drawingml/2006/main" xmlns:pic="http://schemas.openxmlformats.org/drawingml/2006/picture">
            <wp:extent cx="5580000" cy="2092500"/>
            <wp:docPr id="4" name="Picture 4"/>
            <wp:cNvGraphicFramePr>
              <a:graphicFrameLocks noChangeAspect="1"/>
            </wp:cNvGraphicFramePr>
            <a:graphic>
              <a:graphicData uri="http://schemas.openxmlformats.org/drawingml/2006/picture">
                <pic:pic>
                  <pic:nvPicPr>
                    <pic:cNvPr id="0" name="diagnostico_refinaria.png"/>
                    <pic:cNvPicPr/>
                  </pic:nvPicPr>
                  <pic:blipFill>
                    <a:blip r:embed="rId12"/>
                    <a:stretch>
                      <a:fillRect/>
                    </a:stretch>
                  </pic:blipFill>
                  <pic:spPr>
                    <a:xfrm>
                      <a:off x="0" y="0"/>
                      <a:ext cx="5580000" cy="2092500"/>
                    </a:xfrm>
                    <a:prstGeom prst="rect"/>
                  </pic:spPr>
                </pic:pic>
              </a:graphicData>
            </a:graphic>
          </wp:inline>
        </w:drawing>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A figura seguinte examina diretamente os resíduos da equação de impacto, que são o objeto do teste. À esquerda, a série residual, separada pelos dois regimes; à direita, o correlograma de cada um. O desvio-padrão residual passa de 1,00 no regime anterior para 1,93 no posterior, e a autocorrelação de primeira ordem, de +0,133 para praticamente zero. O padrão é o esperado: sob preço administrado, os meses parados criam dependência serial que a indexação elimina, ao custo de variância maior.</w:t>
      </w:r>
    </w:p>
    <w:p>
      <w:pPr>
        <w:spacing w:before="200" w:after="40" w:line="240" w:lineRule="auto"/>
        <w:ind w:firstLine="0"/>
        <w:jc w:val="center"/>
      </w:pPr>
      <w:r>
        <w:rPr>
          <w:rFonts w:ascii="Arial" w:hAnsi="Arial"/>
          <w:color w:val="000000"/>
          <w:sz w:val="20"/>
        </w:rPr>
        <w:t>Figura D.2 – Resíduos da equação de impacto da gasolina na refinaria, por regime</w:t>
      </w:r>
    </w:p>
    <w:p>
      <w:pPr>
        <w:spacing w:after="40"/>
        <w:ind w:firstLine="0"/>
        <w:jc w:val="center"/>
      </w:pPr>
      <w:r>
        <w:drawing>
          <wp:inline xmlns:a="http://schemas.openxmlformats.org/drawingml/2006/main" xmlns:pic="http://schemas.openxmlformats.org/drawingml/2006/picture">
            <wp:extent cx="5580000" cy="1953341"/>
            <wp:docPr id="5" name="Picture 5"/>
            <wp:cNvGraphicFramePr>
              <a:graphicFrameLocks noChangeAspect="1"/>
            </wp:cNvGraphicFramePr>
            <a:graphic>
              <a:graphicData uri="http://schemas.openxmlformats.org/drawingml/2006/picture">
                <pic:pic>
                  <pic:nvPicPr>
                    <pic:cNvPr id="0" name="residuos_refinaria.png"/>
                    <pic:cNvPicPr/>
                  </pic:nvPicPr>
                  <pic:blipFill>
                    <a:blip r:embed="rId13"/>
                    <a:stretch>
                      <a:fillRect/>
                    </a:stretch>
                  </pic:blipFill>
                  <pic:spPr>
                    <a:xfrm>
                      <a:off x="0" y="0"/>
                      <a:ext cx="5580000" cy="1953341"/>
                    </a:xfrm>
                    <a:prstGeom prst="rect"/>
                  </pic:spPr>
                </pic:pic>
              </a:graphicData>
            </a:graphic>
          </wp:inline>
        </w:drawing>
      </w:r>
    </w:p>
    <w:p>
      <w:pPr>
        <w:spacing w:line="240" w:lineRule="auto" w:after="0"/>
        <w:ind w:firstLine="0"/>
        <w:jc w:val="both"/>
      </w:pPr>
      <w:r>
        <w:rPr>
          <w:rFonts w:ascii="Arial" w:hAnsi="Arial"/>
          <w:color w:val="000000"/>
          <w:sz w:val="18"/>
        </w:rPr>
        <w:t>Nota: as linhas tracejadas do correlograma marcam a banda de dois erros-padrão assintóticos.</w:t>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E – SENSIBILIDADE AO NÚMERO DE DEFASAGENS</w:t>
      </w:r>
    </w:p>
    <w:p>
      <w:pPr>
        <w:spacing w:line="360" w:lineRule="auto" w:after="0"/>
        <w:ind w:firstLine="709"/>
        <w:jc w:val="both"/>
      </w:pPr>
      <w:r>
        <w:rPr>
          <w:rFonts w:ascii="Arial" w:hAnsi="Arial"/>
          <w:color w:val="000000"/>
          <w:sz w:val="24"/>
        </w:rPr>
        <w:t>A seção 4.7 reporta que o resultado de regime no horizonte de impacto é invariante ao número de defasagens adotado, e que em três meses a estabilidade não se mantém. A figura apresenta a escada completa, de uma a doze defasagens, para as variáveis principais.</w:t>
      </w:r>
    </w:p>
    <w:p>
      <w:pPr>
        <w:spacing w:before="200" w:after="40" w:line="240" w:lineRule="auto"/>
        <w:ind w:firstLine="0"/>
        <w:jc w:val="center"/>
      </w:pPr>
      <w:r>
        <w:rPr>
          <w:rFonts w:ascii="Arial" w:hAnsi="Arial"/>
          <w:color w:val="000000"/>
          <w:sz w:val="20"/>
        </w:rPr>
        <w:t>Figura E.1 – Coeficiente do choque por número de defasagens</w:t>
      </w:r>
    </w:p>
    <w:p>
      <w:pPr>
        <w:spacing w:after="40"/>
        <w:ind w:firstLine="0"/>
        <w:jc w:val="center"/>
      </w:pPr>
      <w:r>
        <w:drawing>
          <wp:inline xmlns:a="http://schemas.openxmlformats.org/drawingml/2006/main" xmlns:pic="http://schemas.openxmlformats.org/drawingml/2006/picture">
            <wp:extent cx="5580000" cy="3760435"/>
            <wp:docPr id="6" name="Picture 6"/>
            <wp:cNvGraphicFramePr>
              <a:graphicFrameLocks noChangeAspect="1"/>
            </wp:cNvGraphicFramePr>
            <a:graphic>
              <a:graphicData uri="http://schemas.openxmlformats.org/drawingml/2006/picture">
                <pic:pic>
                  <pic:nvPicPr>
                    <pic:cNvPr id="0" name="escada_defasagens.png"/>
                    <pic:cNvPicPr/>
                  </pic:nvPicPr>
                  <pic:blipFill>
                    <a:blip r:embed="rId14"/>
                    <a:stretch>
                      <a:fillRect/>
                    </a:stretch>
                  </pic:blipFill>
                  <pic:spPr>
                    <a:xfrm>
                      <a:off x="0" y="0"/>
                      <a:ext cx="5580000" cy="3760435"/>
                    </a:xfrm>
                    <a:prstGeom prst="rect"/>
                  </pic:spPr>
                </pic:pic>
              </a:graphicData>
            </a:graphic>
          </wp:inline>
        </w:drawing>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F – COMPARAÇÃO ENTRE A DATA ESTIMADA E A DATA DO ANÚNCIO</w:t>
      </w:r>
    </w:p>
    <w:p>
      <w:pPr>
        <w:spacing w:line="360" w:lineRule="auto" w:after="0"/>
        <w:ind w:firstLine="709"/>
        <w:jc w:val="both"/>
      </w:pPr>
      <w:r>
        <w:rPr>
          <w:rFonts w:ascii="Arial" w:hAnsi="Arial"/>
          <w:color w:val="000000"/>
          <w:sz w:val="24"/>
        </w:rPr>
        <w:t>A seção 4.7.6 reporta que o resultado não depende de a data de corte ter sido estimada. Este apêndice apresenta a verificação completa. As duas linhas de painéis usam a mesma especificação, a mesma amostra e o mesmo código, e diferem apenas na data que separa os dois regimes: acima, setembro de 2016, mês em que a política de paridade de importação foi anunciada, imposta sem estimação; abaixo, março de 2017, estimada por sup-Wald conforme o Capítulo 3.</w:t>
      </w:r>
    </w:p>
    <w:p>
      <w:pPr>
        <w:spacing w:line="360" w:lineRule="auto" w:after="0"/>
        <w:ind w:firstLine="709"/>
        <w:jc w:val="both"/>
      </w:pPr>
      <w:r>
        <w:rPr>
          <w:rFonts w:ascii="Arial" w:hAnsi="Arial"/>
          <w:color w:val="000000"/>
          <w:sz w:val="24"/>
        </w:rPr>
        <w:t>A leitura relevante não é a coincidência das magnitudes, que de todo modo é próxima, e sim a reprodução do padrão qualitativo. Em ambos os cortes a resposta do regime anterior permanece indistinguível de zero nos horizontes curtos, e a do regime posterior é significativa e de ordem de grandeza várias vezes maior. Impor uma data exógena tem, ainda, a vantagem de dispensar a correção para inferência após seleção discutida na seção 4.6.</w:t>
      </w:r>
    </w:p>
    <w:p>
      <w:pPr>
        <w:spacing w:before="200" w:after="40" w:line="240" w:lineRule="auto"/>
        <w:ind w:firstLine="0"/>
        <w:jc w:val="center"/>
      </w:pPr>
      <w:r>
        <w:rPr>
          <w:rFonts w:ascii="Arial" w:hAnsi="Arial"/>
          <w:color w:val="000000"/>
          <w:sz w:val="20"/>
        </w:rPr>
        <w:t>Figura F.1 – Resposta acumulada por regime sob os dois cortes</w:t>
      </w:r>
    </w:p>
    <w:p>
      <w:pPr>
        <w:spacing w:after="40"/>
        <w:ind w:firstLine="0"/>
        <w:jc w:val="center"/>
      </w:pPr>
      <w:r>
        <w:drawing>
          <wp:inline xmlns:a="http://schemas.openxmlformats.org/drawingml/2006/main" xmlns:pic="http://schemas.openxmlformats.org/drawingml/2006/picture">
            <wp:extent cx="5580000" cy="2588840"/>
            <wp:docPr id="7" name="Picture 7"/>
            <wp:cNvGraphicFramePr>
              <a:graphicFrameLocks noChangeAspect="1"/>
            </wp:cNvGraphicFramePr>
            <a:graphic>
              <a:graphicData uri="http://schemas.openxmlformats.org/drawingml/2006/picture">
                <pic:pic>
                  <pic:nvPicPr>
                    <pic:cNvPr id="0" name="corte_alternativo_completo.png"/>
                    <pic:cNvPicPr/>
                  </pic:nvPicPr>
                  <pic:blipFill>
                    <a:blip r:embed="rId15"/>
                    <a:stretch>
                      <a:fillRect/>
                    </a:stretch>
                  </pic:blipFill>
                  <pic:spPr>
                    <a:xfrm>
                      <a:off x="0" y="0"/>
                      <a:ext cx="5580000" cy="2588840"/>
                    </a:xfrm>
                    <a:prstGeom prst="rect"/>
                  </pic:spPr>
                </pic:pic>
              </a:graphicData>
            </a:graphic>
          </wp:inline>
        </w:drawing>
      </w:r>
    </w:p>
    <w:p>
      <w:pPr>
        <w:spacing w:line="240" w:lineRule="auto" w:after="0"/>
        <w:ind w:firstLine="0"/>
        <w:jc w:val="both"/>
      </w:pPr>
      <w:r>
        <w:rPr>
          <w:rFonts w:ascii="Arial" w:hAnsi="Arial"/>
          <w:color w:val="000000"/>
          <w:sz w:val="18"/>
        </w:rPr>
        <w:t>Nota: tom claro para o regime anterior e escuro para o posterior. Faixas sombreadas: intervalo pontual de 90%. Linha superior de painéis, corte imposto em setembro de 2016; linha inferior, corte estimado em março de 2017.</w:t>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G – INSTRUMENTOS EXTERNOS TESTADOS E NÃO ADOTADOS</w:t>
      </w:r>
    </w:p>
    <w:p>
      <w:pPr>
        <w:spacing w:line="360" w:lineRule="auto" w:after="0"/>
        <w:ind w:firstLine="709"/>
        <w:jc w:val="both"/>
      </w:pPr>
      <w:r>
        <w:rPr>
          <w:rFonts w:ascii="Arial" w:hAnsi="Arial"/>
          <w:color w:val="000000"/>
          <w:sz w:val="24"/>
        </w:rPr>
        <w:t>A seção 4.7.4 registra que a identificação do trabalho não repousa sobre variável instrumental. Este apêndice reporta as estatísticas dos instrumentos externos que foram testados e descartados, para documentar a tentativa e permitir que o leitor avalie a decisão.</w:t>
      </w:r>
    </w:p>
    <w:p>
      <w:pPr>
        <w:spacing w:line="360" w:lineRule="auto" w:after="0"/>
        <w:ind w:firstLine="709"/>
        <w:jc w:val="both"/>
      </w:pPr>
      <w:r>
        <w:rPr>
          <w:rFonts w:ascii="Arial" w:hAnsi="Arial"/>
          <w:color w:val="000000"/>
          <w:sz w:val="24"/>
        </w:rPr>
        <w:t>Além da projeção sobre o choque de KÄNZIG (2021), construíram-se dois instrumentos a partir da margem de refino internacional, obtida subtraindo-se a cotação do Brent das cotações da gasolina e do diesel de ultrabaixo teor de enxofre na Costa do Golfo dos Estados Unidos, ambas publicadas pela U.S. Energy Information Administration. O instrumento é o resíduo da regressão da variação logarítmica do derivado sobre a do Brent, portanto ortogonal ao choque de petróleo por construção, com correlação amostral nula até a terceira casa decimal. A lógica econômica é que interrupções de capacidade de refino, tipicamente climáticas, movem a margem sem mover o preço do óleo cru.</w:t>
      </w:r>
    </w:p>
    <w:p>
      <w:pPr>
        <w:spacing w:before="200" w:after="40" w:line="240" w:lineRule="auto"/>
        <w:ind w:firstLine="0"/>
      </w:pPr>
      <w:r>
        <w:rPr>
          <w:rFonts w:ascii="Arial" w:hAnsi="Arial"/>
          <w:color w:val="000000"/>
          <w:sz w:val="20"/>
        </w:rPr>
        <w:t>Tabela G.1 – Estatística F de primeiro estágio, horizonte de impacto</w:t>
      </w:r>
    </w:p>
    <w:tbl>
      <w:tblPr>
        <w:tblW w:type="auto" w:w="0"/>
        <w:jc w:val="center"/>
        <w:tblLook w:firstColumn="1" w:firstRow="1" w:lastColumn="0" w:lastRow="0" w:noHBand="0" w:noVBand="1" w:val="04A0"/>
      </w:tblPr>
      <w:tblGrid>
        <w:gridCol w:w="2351"/>
        <w:gridCol w:w="2351"/>
        <w:gridCol w:w="2351"/>
        <w:gridCol w:w="2351"/>
      </w:tblGrid>
      <w:tr>
        <w:tc>
          <w:tcPr>
            <w:tcW w:type="dxa" w:w="3402"/>
            <w:tcBorders>
              <w:top w:val="single" w:sz="12" w:color="000000"/>
              <w:bottom w:val="single" w:sz="6" w:color="000000"/>
            </w:tcBorders>
          </w:tcPr>
          <w:p>
            <w:pPr>
              <w:spacing w:after="20" w:line="240" w:lineRule="auto"/>
              <w:ind w:firstLine="0"/>
            </w:pPr>
            <w:r>
              <w:rPr>
                <w:rFonts w:ascii="Arial" w:hAnsi="Arial"/>
                <w:b/>
                <w:color w:val="000000"/>
                <w:sz w:val="18"/>
              </w:rPr>
              <w:t>Instrumento</w:t>
            </w:r>
          </w:p>
        </w:tc>
        <w:tc>
          <w:tcPr>
            <w:tcW w:type="dxa" w:w="2608"/>
            <w:tcBorders>
              <w:top w:val="single" w:sz="12" w:color="000000"/>
              <w:bottom w:val="single" w:sz="6" w:color="000000"/>
            </w:tcBorders>
          </w:tcPr>
          <w:p>
            <w:pPr>
              <w:spacing w:after="20" w:line="240" w:lineRule="auto"/>
              <w:ind w:firstLine="0"/>
            </w:pPr>
            <w:r>
              <w:rPr>
                <w:rFonts w:ascii="Arial" w:hAnsi="Arial"/>
                <w:b/>
                <w:color w:val="000000"/>
                <w:sz w:val="18"/>
              </w:rPr>
              <w:t>Variável endógena</w:t>
            </w:r>
          </w:p>
        </w:tc>
        <w:tc>
          <w:tcPr>
            <w:tcW w:type="dxa" w:w="1814"/>
            <w:tcBorders>
              <w:top w:val="single" w:sz="12" w:color="000000"/>
              <w:bottom w:val="single" w:sz="6" w:color="000000"/>
            </w:tcBorders>
          </w:tcPr>
          <w:p>
            <w:pPr>
              <w:spacing w:after="20" w:line="240" w:lineRule="auto"/>
              <w:ind w:firstLine="0"/>
            </w:pPr>
            <w:r>
              <w:rPr>
                <w:rFonts w:ascii="Arial" w:hAnsi="Arial"/>
                <w:b/>
                <w:color w:val="000000"/>
                <w:sz w:val="18"/>
              </w:rPr>
              <w:t>Regime posterior</w:t>
            </w:r>
          </w:p>
        </w:tc>
        <w:tc>
          <w:tcPr>
            <w:tcW w:type="dxa" w:w="1814"/>
            <w:tcBorders>
              <w:top w:val="single" w:sz="12" w:color="000000"/>
              <w:bottom w:val="single" w:sz="6" w:color="000000"/>
            </w:tcBorders>
          </w:tcPr>
          <w:p>
            <w:pPr>
              <w:spacing w:after="20" w:line="240" w:lineRule="auto"/>
              <w:ind w:firstLine="0"/>
            </w:pPr>
            <w:r>
              <w:rPr>
                <w:rFonts w:ascii="Arial" w:hAnsi="Arial"/>
                <w:b/>
                <w:color w:val="000000"/>
                <w:sz w:val="18"/>
              </w:rPr>
              <w:t>Regime anterior</w:t>
            </w:r>
          </w:p>
        </w:tc>
      </w:tr>
      <w:tr>
        <w:tc>
          <w:tcPr>
            <w:tcW w:type="dxa" w:w="3402"/>
          </w:tcPr>
          <w:p>
            <w:pPr>
              <w:spacing w:after="20" w:line="240" w:lineRule="auto"/>
              <w:ind w:firstLine="0"/>
              <w:jc w:val="left"/>
            </w:pPr>
            <w:r>
              <w:rPr>
                <w:rFonts w:ascii="Arial" w:hAnsi="Arial"/>
                <w:color w:val="000000"/>
                <w:sz w:val="18"/>
              </w:rPr>
              <w:t>Margem de refino da gasolina</w:t>
            </w:r>
          </w:p>
        </w:tc>
        <w:tc>
          <w:tcPr>
            <w:tcW w:type="dxa" w:w="2608"/>
          </w:tcPr>
          <w:p>
            <w:pPr>
              <w:spacing w:after="20" w:line="240" w:lineRule="auto"/>
              <w:ind w:firstLine="0"/>
              <w:jc w:val="center"/>
            </w:pPr>
            <w:r>
              <w:rPr>
                <w:rFonts w:ascii="Arial" w:hAnsi="Arial"/>
                <w:color w:val="000000"/>
                <w:sz w:val="18"/>
              </w:rPr>
              <w:t>Gasolina ao consumidor</w:t>
            </w:r>
          </w:p>
        </w:tc>
        <w:tc>
          <w:tcPr>
            <w:tcW w:type="dxa" w:w="1814"/>
          </w:tcPr>
          <w:p>
            <w:pPr>
              <w:spacing w:after="20" w:line="240" w:lineRule="auto"/>
              <w:ind w:firstLine="0"/>
              <w:jc w:val="center"/>
            </w:pPr>
            <w:r>
              <w:rPr>
                <w:rFonts w:ascii="Arial" w:hAnsi="Arial"/>
                <w:color w:val="000000"/>
                <w:sz w:val="18"/>
              </w:rPr>
              <w:t>5,54</w:t>
            </w:r>
          </w:p>
        </w:tc>
        <w:tc>
          <w:tcPr>
            <w:tcW w:type="dxa" w:w="1814"/>
          </w:tcPr>
          <w:p>
            <w:pPr>
              <w:spacing w:after="20" w:line="240" w:lineRule="auto"/>
              <w:ind w:firstLine="0"/>
              <w:jc w:val="center"/>
            </w:pPr>
            <w:r>
              <w:rPr>
                <w:rFonts w:ascii="Arial" w:hAnsi="Arial"/>
                <w:color w:val="000000"/>
                <w:sz w:val="18"/>
              </w:rPr>
              <w:t>1,44</w:t>
            </w:r>
          </w:p>
        </w:tc>
      </w:tr>
      <w:tr>
        <w:tc>
          <w:tcPr>
            <w:tcW w:type="dxa" w:w="3402"/>
          </w:tcPr>
          <w:p>
            <w:pPr>
              <w:spacing w:after="20" w:line="240" w:lineRule="auto"/>
              <w:ind w:firstLine="0"/>
              <w:jc w:val="left"/>
            </w:pPr>
            <w:r>
              <w:rPr>
                <w:rFonts w:ascii="Arial" w:hAnsi="Arial"/>
                <w:color w:val="000000"/>
                <w:sz w:val="18"/>
              </w:rPr>
              <w:t>Margem de refino do diesel</w:t>
            </w:r>
          </w:p>
        </w:tc>
        <w:tc>
          <w:tcPr>
            <w:tcW w:type="dxa" w:w="2608"/>
          </w:tcPr>
          <w:p>
            <w:pPr>
              <w:spacing w:after="20" w:line="240" w:lineRule="auto"/>
              <w:ind w:firstLine="0"/>
              <w:jc w:val="center"/>
            </w:pPr>
            <w:r>
              <w:rPr>
                <w:rFonts w:ascii="Arial" w:hAnsi="Arial"/>
                <w:color w:val="000000"/>
                <w:sz w:val="18"/>
              </w:rPr>
              <w:t>Óleo diesel</w:t>
            </w:r>
          </w:p>
        </w:tc>
        <w:tc>
          <w:tcPr>
            <w:tcW w:type="dxa" w:w="1814"/>
          </w:tcPr>
          <w:p>
            <w:pPr>
              <w:spacing w:after="20" w:line="240" w:lineRule="auto"/>
              <w:ind w:firstLine="0"/>
              <w:jc w:val="center"/>
            </w:pPr>
            <w:r>
              <w:rPr>
                <w:rFonts w:ascii="Arial" w:hAnsi="Arial"/>
                <w:color w:val="000000"/>
                <w:sz w:val="18"/>
              </w:rPr>
              <w:t>0,27</w:t>
            </w:r>
          </w:p>
        </w:tc>
        <w:tc>
          <w:tcPr>
            <w:tcW w:type="dxa" w:w="1814"/>
          </w:tcPr>
          <w:p>
            <w:pPr>
              <w:spacing w:after="20" w:line="240" w:lineRule="auto"/>
              <w:ind w:firstLine="0"/>
              <w:jc w:val="center"/>
            </w:pPr>
            <w:r>
              <w:rPr>
                <w:rFonts w:ascii="Arial" w:hAnsi="Arial"/>
                <w:color w:val="000000"/>
                <w:sz w:val="18"/>
              </w:rPr>
              <w:t>0,90</w:t>
            </w:r>
          </w:p>
        </w:tc>
      </w:tr>
      <w:tr>
        <w:tc>
          <w:tcPr>
            <w:tcW w:type="dxa" w:w="3402"/>
            <w:tcBorders>
              <w:bottom w:val="single" w:sz="12" w:color="000000"/>
            </w:tcBorders>
          </w:tcPr>
          <w:p>
            <w:pPr>
              <w:spacing w:after="20" w:line="240" w:lineRule="auto"/>
              <w:ind w:firstLine="0"/>
              <w:jc w:val="left"/>
            </w:pPr>
            <w:r>
              <w:rPr>
                <w:rFonts w:ascii="Arial" w:hAnsi="Arial"/>
                <w:color w:val="000000"/>
                <w:sz w:val="18"/>
              </w:rPr>
              <w:t>Surpresa externa de oferta</w:t>
            </w:r>
          </w:p>
        </w:tc>
        <w:tc>
          <w:tcPr>
            <w:tcW w:type="dxa" w:w="2608"/>
            <w:tcBorders>
              <w:bottom w:val="single" w:sz="12" w:color="000000"/>
            </w:tcBorders>
          </w:tcPr>
          <w:p>
            <w:pPr>
              <w:spacing w:after="20" w:line="240" w:lineRule="auto"/>
              <w:ind w:firstLine="0"/>
              <w:jc w:val="center"/>
            </w:pPr>
            <w:r>
              <w:rPr>
                <w:rFonts w:ascii="Arial" w:hAnsi="Arial"/>
                <w:color w:val="000000"/>
                <w:sz w:val="18"/>
              </w:rPr>
              <w:t>Preço do petróleo</w:t>
            </w:r>
          </w:p>
        </w:tc>
        <w:tc>
          <w:tcPr>
            <w:tcW w:type="dxa" w:w="1814"/>
            <w:tcBorders>
              <w:bottom w:val="single" w:sz="12" w:color="000000"/>
            </w:tcBorders>
          </w:tcPr>
          <w:p>
            <w:pPr>
              <w:spacing w:after="20" w:line="240" w:lineRule="auto"/>
              <w:ind w:firstLine="0"/>
              <w:jc w:val="center"/>
            </w:pPr>
            <w:r>
              <w:rPr>
                <w:rFonts w:ascii="Arial" w:hAnsi="Arial"/>
                <w:color w:val="000000"/>
                <w:sz w:val="18"/>
              </w:rPr>
              <w:t>2,9 a 6,8</w:t>
            </w:r>
          </w:p>
        </w:tc>
        <w:tc>
          <w:tcPr>
            <w:tcW w:type="dxa" w:w="1814"/>
            <w:tcBorders>
              <w:bottom w:val="single" w:sz="12" w:color="000000"/>
            </w:tcBorders>
          </w:tcPr>
          <w:p>
            <w:pPr>
              <w:spacing w:after="20" w:line="240" w:lineRule="auto"/>
              <w:ind w:firstLine="0"/>
              <w:jc w:val="center"/>
            </w:pPr>
            <w:r>
              <w:rPr>
                <w:rFonts w:ascii="Arial" w:hAnsi="Arial"/>
                <w:color w:val="000000"/>
                <w:sz w:val="18"/>
              </w:rPr>
              <w:t>2,9 a 6,8</w:t>
            </w:r>
          </w:p>
        </w:tc>
      </w:tr>
    </w:tbl>
    <w:p>
      <w:pPr>
        <w:spacing w:line="240" w:lineRule="auto" w:after="0"/>
        <w:ind w:firstLine="0"/>
        <w:jc w:val="both"/>
      </w:pPr>
      <w:r>
        <w:rPr>
          <w:rFonts w:ascii="Arial" w:hAnsi="Arial"/>
          <w:color w:val="000000"/>
          <w:sz w:val="18"/>
        </w:rPr>
        <w:t>Nota: F robusto sobre o instrumento excluído, com os mesmos controles da especificação principal. O regime posterior tem 109 observações; o anterior, 160 para a gasolina e 122 para o diesel, cuja série da EIA começa em junho de 2006. A faixa da surpresa externa de oferta refere-se ao conjunto de variáveis e horizontes. O limiar convencional de instrumento forte é 10.</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A margem da gasolina reproduz o padrão de regime previsto pela hipótese do trabalho, com tração quatro vezes maior sob a regra de paridade, e é o único dos instrumentos a mover um índice de preços de forma significativa, ainda assim restrito ao grupo Transportes e ao regime posterior. A margem do diesel não apresenta primeiro estágio em regime algum, o que sugere que a estrutura tributária e logística daquele combustível dissolve o sinal internacional antes que ele alcance o preço final.</w:t>
      </w:r>
    </w:p>
    <w:p>
      <w:pPr>
        <w:spacing w:before="200" w:after="40" w:line="240" w:lineRule="auto"/>
        <w:ind w:firstLine="0"/>
      </w:pPr>
      <w:r>
        <w:rPr>
          <w:rFonts w:ascii="Arial" w:hAnsi="Arial"/>
          <w:color w:val="000000"/>
          <w:sz w:val="20"/>
        </w:rPr>
        <w:t>Tabela G.2 – Forma reduzida sobre a margem de refino da gasolina</w:t>
      </w:r>
    </w:p>
    <w:tbl>
      <w:tblPr>
        <w:tblW w:type="auto" w:w="0"/>
        <w:jc w:val="center"/>
        <w:tblLook w:firstColumn="1" w:firstRow="1" w:lastColumn="0" w:lastRow="0" w:noHBand="0" w:noVBand="1" w:val="04A0"/>
      </w:tblPr>
      <w:tblGrid>
        <w:gridCol w:w="2351"/>
        <w:gridCol w:w="2351"/>
        <w:gridCol w:w="2351"/>
        <w:gridCol w:w="2351"/>
      </w:tblGrid>
      <w:tr>
        <w:tc>
          <w:tcPr>
            <w:tcW w:type="dxa" w:w="3061"/>
            <w:tcBorders>
              <w:top w:val="single" w:sz="12" w:color="000000"/>
              <w:bottom w:val="single" w:sz="6" w:color="000000"/>
            </w:tcBorders>
          </w:tcPr>
          <w:p>
            <w:pPr>
              <w:spacing w:after="20" w:line="240" w:lineRule="auto"/>
              <w:ind w:firstLine="0"/>
            </w:pPr>
            <w:r>
              <w:rPr>
                <w:rFonts w:ascii="Arial" w:hAnsi="Arial"/>
                <w:b/>
                <w:color w:val="000000"/>
                <w:sz w:val="18"/>
              </w:rPr>
              <w:t>Desfecho</w:t>
            </w:r>
          </w:p>
        </w:tc>
        <w:tc>
          <w:tcPr>
            <w:tcW w:type="dxa" w:w="794"/>
            <w:tcBorders>
              <w:top w:val="single" w:sz="12" w:color="000000"/>
              <w:bottom w:val="single" w:sz="6" w:color="000000"/>
            </w:tcBorders>
          </w:tcPr>
          <w:p>
            <w:pPr>
              <w:spacing w:after="20" w:line="240" w:lineRule="auto"/>
              <w:ind w:firstLine="0"/>
            </w:pPr>
            <w:r>
              <w:rPr>
                <w:rFonts w:ascii="Arial" w:hAnsi="Arial"/>
                <w:b/>
                <w:color w:val="000000"/>
                <w:sz w:val="18"/>
              </w:rPr>
              <w:t>h</w:t>
            </w:r>
          </w:p>
        </w:tc>
        <w:tc>
          <w:tcPr>
            <w:tcW w:type="dxa" w:w="2891"/>
            <w:tcBorders>
              <w:top w:val="single" w:sz="12" w:color="000000"/>
              <w:bottom w:val="single" w:sz="6" w:color="000000"/>
            </w:tcBorders>
          </w:tcPr>
          <w:p>
            <w:pPr>
              <w:spacing w:after="20" w:line="240" w:lineRule="auto"/>
              <w:ind w:firstLine="0"/>
            </w:pPr>
            <w:r>
              <w:rPr>
                <w:rFonts w:ascii="Arial" w:hAnsi="Arial"/>
                <w:b/>
                <w:color w:val="000000"/>
                <w:sz w:val="18"/>
              </w:rPr>
              <w:t>Regime posterior</w:t>
            </w:r>
          </w:p>
        </w:tc>
        <w:tc>
          <w:tcPr>
            <w:tcW w:type="dxa" w:w="2891"/>
            <w:tcBorders>
              <w:top w:val="single" w:sz="12" w:color="000000"/>
              <w:bottom w:val="single" w:sz="6" w:color="000000"/>
            </w:tcBorders>
          </w:tcPr>
          <w:p>
            <w:pPr>
              <w:spacing w:after="20" w:line="240" w:lineRule="auto"/>
              <w:ind w:firstLine="0"/>
            </w:pPr>
            <w:r>
              <w:rPr>
                <w:rFonts w:ascii="Arial" w:hAnsi="Arial"/>
                <w:b/>
                <w:color w:val="000000"/>
                <w:sz w:val="18"/>
              </w:rPr>
              <w:t>Regime anterior</w:t>
            </w:r>
          </w:p>
        </w:tc>
      </w:tr>
      <w:tr>
        <w:tc>
          <w:tcPr>
            <w:tcW w:type="dxa" w:w="3061"/>
          </w:tcPr>
          <w:p>
            <w:pPr>
              <w:spacing w:after="20" w:line="240" w:lineRule="auto"/>
              <w:ind w:firstLine="0"/>
              <w:jc w:val="left"/>
            </w:pPr>
            <w:r>
              <w:rPr>
                <w:rFonts w:ascii="Arial" w:hAnsi="Arial"/>
                <w:color w:val="000000"/>
                <w:sz w:val="18"/>
              </w:rPr>
              <w:t>IPCA Transportes</w:t>
            </w:r>
          </w:p>
        </w:tc>
        <w:tc>
          <w:tcPr>
            <w:tcW w:type="dxa" w:w="794"/>
          </w:tcPr>
          <w:p>
            <w:pPr>
              <w:spacing w:after="20" w:line="240" w:lineRule="auto"/>
              <w:ind w:firstLine="0"/>
              <w:jc w:val="center"/>
            </w:pPr>
            <w:r>
              <w:rPr>
                <w:rFonts w:ascii="Arial" w:hAnsi="Arial"/>
                <w:color w:val="000000"/>
                <w:sz w:val="18"/>
              </w:rPr>
              <w:t>0</w:t>
            </w:r>
          </w:p>
        </w:tc>
        <w:tc>
          <w:tcPr>
            <w:tcW w:type="dxa" w:w="2891"/>
          </w:tcPr>
          <w:p>
            <w:pPr>
              <w:spacing w:after="20" w:line="240" w:lineRule="auto"/>
              <w:ind w:firstLine="0"/>
              <w:jc w:val="center"/>
            </w:pPr>
            <w:r>
              <w:rPr>
                <w:rFonts w:ascii="Arial" w:hAnsi="Arial"/>
                <w:color w:val="000000"/>
                <w:sz w:val="18"/>
              </w:rPr>
              <w:t>0,363**</w:t>
            </w:r>
          </w:p>
        </w:tc>
        <w:tc>
          <w:tcPr>
            <w:tcW w:type="dxa" w:w="2891"/>
          </w:tcPr>
          <w:p>
            <w:pPr>
              <w:spacing w:after="20" w:line="240" w:lineRule="auto"/>
              <w:ind w:firstLine="0"/>
              <w:jc w:val="center"/>
            </w:pPr>
            <w:r>
              <w:rPr>
                <w:rFonts w:ascii="Arial" w:hAnsi="Arial"/>
                <w:color w:val="000000"/>
                <w:sz w:val="18"/>
              </w:rPr>
              <w:t>0,004</w:t>
            </w:r>
          </w:p>
        </w:tc>
      </w:tr>
      <w:tr>
        <w:tc>
          <w:tcPr>
            <w:tcW w:type="dxa" w:w="3061"/>
          </w:tcPr>
          <w:p>
            <w:pPr>
              <w:spacing w:after="20" w:line="240" w:lineRule="auto"/>
              <w:ind w:firstLine="0"/>
              <w:jc w:val="left"/>
            </w:pPr>
            <w:r>
              <w:rPr>
                <w:rFonts w:ascii="Arial" w:hAnsi="Arial"/>
                <w:color w:val="000000"/>
                <w:sz w:val="18"/>
              </w:rPr>
            </w:r>
          </w:p>
        </w:tc>
        <w:tc>
          <w:tcPr>
            <w:tcW w:type="dxa" w:w="794"/>
          </w:tcPr>
          <w:p>
            <w:pPr>
              <w:spacing w:after="20" w:line="240" w:lineRule="auto"/>
              <w:ind w:firstLine="0"/>
              <w:jc w:val="center"/>
            </w:pPr>
            <w:r>
              <w:rPr>
                <w:rFonts w:ascii="Arial" w:hAnsi="Arial"/>
                <w:color w:val="000000"/>
                <w:sz w:val="18"/>
              </w:rPr>
              <w:t>1</w:t>
            </w:r>
          </w:p>
        </w:tc>
        <w:tc>
          <w:tcPr>
            <w:tcW w:type="dxa" w:w="2891"/>
          </w:tcPr>
          <w:p>
            <w:pPr>
              <w:spacing w:after="20" w:line="240" w:lineRule="auto"/>
              <w:ind w:firstLine="0"/>
              <w:jc w:val="center"/>
            </w:pPr>
            <w:r>
              <w:rPr>
                <w:rFonts w:ascii="Arial" w:hAnsi="Arial"/>
                <w:color w:val="000000"/>
                <w:sz w:val="18"/>
              </w:rPr>
              <w:t>0,623**</w:t>
            </w:r>
          </w:p>
        </w:tc>
        <w:tc>
          <w:tcPr>
            <w:tcW w:type="dxa" w:w="2891"/>
          </w:tcPr>
          <w:p>
            <w:pPr>
              <w:spacing w:after="20" w:line="240" w:lineRule="auto"/>
              <w:ind w:firstLine="0"/>
              <w:jc w:val="center"/>
            </w:pPr>
            <w:r>
              <w:rPr>
                <w:rFonts w:ascii="Arial" w:hAnsi="Arial"/>
                <w:color w:val="000000"/>
                <w:sz w:val="18"/>
              </w:rPr>
              <w:t>0,107</w:t>
            </w:r>
          </w:p>
        </w:tc>
      </w:tr>
      <w:tr>
        <w:tc>
          <w:tcPr>
            <w:tcW w:type="dxa" w:w="3061"/>
          </w:tcPr>
          <w:p>
            <w:pPr>
              <w:spacing w:after="20" w:line="240" w:lineRule="auto"/>
              <w:ind w:firstLine="0"/>
              <w:jc w:val="left"/>
            </w:pPr>
            <w:r>
              <w:rPr>
                <w:rFonts w:ascii="Arial" w:hAnsi="Arial"/>
                <w:color w:val="000000"/>
                <w:sz w:val="18"/>
              </w:rPr>
              <w:t>Não comercializáveis</w:t>
            </w:r>
          </w:p>
        </w:tc>
        <w:tc>
          <w:tcPr>
            <w:tcW w:type="dxa" w:w="794"/>
          </w:tcPr>
          <w:p>
            <w:pPr>
              <w:spacing w:after="20" w:line="240" w:lineRule="auto"/>
              <w:ind w:firstLine="0"/>
              <w:jc w:val="center"/>
            </w:pPr>
            <w:r>
              <w:rPr>
                <w:rFonts w:ascii="Arial" w:hAnsi="Arial"/>
                <w:color w:val="000000"/>
                <w:sz w:val="18"/>
              </w:rPr>
              <w:t>0</w:t>
            </w:r>
          </w:p>
        </w:tc>
        <w:tc>
          <w:tcPr>
            <w:tcW w:type="dxa" w:w="2891"/>
          </w:tcPr>
          <w:p>
            <w:pPr>
              <w:spacing w:after="20" w:line="240" w:lineRule="auto"/>
              <w:ind w:firstLine="0"/>
              <w:jc w:val="center"/>
            </w:pPr>
            <w:r>
              <w:rPr>
                <w:rFonts w:ascii="Arial" w:hAnsi="Arial"/>
                <w:color w:val="000000"/>
                <w:sz w:val="18"/>
              </w:rPr>
              <w:t>−0,012</w:t>
            </w:r>
          </w:p>
        </w:tc>
        <w:tc>
          <w:tcPr>
            <w:tcW w:type="dxa" w:w="2891"/>
          </w:tcPr>
          <w:p>
            <w:pPr>
              <w:spacing w:after="20" w:line="240" w:lineRule="auto"/>
              <w:ind w:firstLine="0"/>
              <w:jc w:val="center"/>
            </w:pPr>
            <w:r>
              <w:rPr>
                <w:rFonts w:ascii="Arial" w:hAnsi="Arial"/>
                <w:color w:val="000000"/>
                <w:sz w:val="18"/>
              </w:rPr>
              <w:t>−0,013</w:t>
            </w:r>
          </w:p>
        </w:tc>
      </w:tr>
      <w:tr>
        <w:tc>
          <w:tcPr>
            <w:tcW w:type="dxa" w:w="3061"/>
          </w:tcPr>
          <w:p>
            <w:pPr>
              <w:spacing w:after="20" w:line="240" w:lineRule="auto"/>
              <w:ind w:firstLine="0"/>
              <w:jc w:val="left"/>
            </w:pPr>
            <w:r>
              <w:rPr>
                <w:rFonts w:ascii="Arial" w:hAnsi="Arial"/>
                <w:color w:val="000000"/>
                <w:sz w:val="18"/>
              </w:rPr>
            </w:r>
          </w:p>
        </w:tc>
        <w:tc>
          <w:tcPr>
            <w:tcW w:type="dxa" w:w="794"/>
          </w:tcPr>
          <w:p>
            <w:pPr>
              <w:spacing w:after="20" w:line="240" w:lineRule="auto"/>
              <w:ind w:firstLine="0"/>
              <w:jc w:val="center"/>
            </w:pPr>
            <w:r>
              <w:rPr>
                <w:rFonts w:ascii="Arial" w:hAnsi="Arial"/>
                <w:color w:val="000000"/>
                <w:sz w:val="18"/>
              </w:rPr>
              <w:t>3</w:t>
            </w:r>
          </w:p>
        </w:tc>
        <w:tc>
          <w:tcPr>
            <w:tcW w:type="dxa" w:w="2891"/>
          </w:tcPr>
          <w:p>
            <w:pPr>
              <w:spacing w:after="20" w:line="240" w:lineRule="auto"/>
              <w:ind w:firstLine="0"/>
              <w:jc w:val="center"/>
            </w:pPr>
            <w:r>
              <w:rPr>
                <w:rFonts w:ascii="Arial" w:hAnsi="Arial"/>
                <w:color w:val="000000"/>
                <w:sz w:val="18"/>
              </w:rPr>
              <w:t>−0,098</w:t>
            </w:r>
          </w:p>
        </w:tc>
        <w:tc>
          <w:tcPr>
            <w:tcW w:type="dxa" w:w="2891"/>
          </w:tcPr>
          <w:p>
            <w:pPr>
              <w:spacing w:after="20" w:line="240" w:lineRule="auto"/>
              <w:ind w:firstLine="0"/>
              <w:jc w:val="center"/>
            </w:pPr>
            <w:r>
              <w:rPr>
                <w:rFonts w:ascii="Arial" w:hAnsi="Arial"/>
                <w:color w:val="000000"/>
                <w:sz w:val="18"/>
              </w:rPr>
              <w:t>0,000</w:t>
            </w:r>
          </w:p>
        </w:tc>
      </w:tr>
      <w:tr>
        <w:tc>
          <w:tcPr>
            <w:tcW w:type="dxa" w:w="3061"/>
          </w:tcPr>
          <w:p>
            <w:pPr>
              <w:spacing w:after="20" w:line="240" w:lineRule="auto"/>
              <w:ind w:firstLine="0"/>
              <w:jc w:val="left"/>
            </w:pPr>
            <w:r>
              <w:rPr>
                <w:rFonts w:ascii="Arial" w:hAnsi="Arial"/>
                <w:color w:val="000000"/>
                <w:sz w:val="18"/>
              </w:rPr>
              <w:t>Comercializáveis</w:t>
            </w:r>
          </w:p>
        </w:tc>
        <w:tc>
          <w:tcPr>
            <w:tcW w:type="dxa" w:w="794"/>
          </w:tcPr>
          <w:p>
            <w:pPr>
              <w:spacing w:after="20" w:line="240" w:lineRule="auto"/>
              <w:ind w:firstLine="0"/>
              <w:jc w:val="center"/>
            </w:pPr>
            <w:r>
              <w:rPr>
                <w:rFonts w:ascii="Arial" w:hAnsi="Arial"/>
                <w:color w:val="000000"/>
                <w:sz w:val="18"/>
              </w:rPr>
              <w:t>0</w:t>
            </w:r>
          </w:p>
        </w:tc>
        <w:tc>
          <w:tcPr>
            <w:tcW w:type="dxa" w:w="2891"/>
          </w:tcPr>
          <w:p>
            <w:pPr>
              <w:spacing w:after="20" w:line="240" w:lineRule="auto"/>
              <w:ind w:firstLine="0"/>
              <w:jc w:val="center"/>
            </w:pPr>
            <w:r>
              <w:rPr>
                <w:rFonts w:ascii="Arial" w:hAnsi="Arial"/>
                <w:color w:val="000000"/>
                <w:sz w:val="18"/>
              </w:rPr>
              <w:t>0,002</w:t>
            </w:r>
          </w:p>
        </w:tc>
        <w:tc>
          <w:tcPr>
            <w:tcW w:type="dxa" w:w="2891"/>
          </w:tcPr>
          <w:p>
            <w:pPr>
              <w:spacing w:after="20" w:line="240" w:lineRule="auto"/>
              <w:ind w:firstLine="0"/>
              <w:jc w:val="center"/>
            </w:pPr>
            <w:r>
              <w:rPr>
                <w:rFonts w:ascii="Arial" w:hAnsi="Arial"/>
                <w:color w:val="000000"/>
                <w:sz w:val="18"/>
              </w:rPr>
              <w:t>−0,025</w:t>
            </w:r>
          </w:p>
        </w:tc>
      </w:tr>
      <w:tr>
        <w:tc>
          <w:tcPr>
            <w:tcW w:type="dxa" w:w="3061"/>
            <w:tcBorders>
              <w:bottom w:val="single" w:sz="12" w:color="000000"/>
            </w:tcBorders>
          </w:tcPr>
          <w:p>
            <w:pPr>
              <w:spacing w:after="20" w:line="240" w:lineRule="auto"/>
              <w:ind w:firstLine="0"/>
              <w:jc w:val="left"/>
            </w:pPr>
            <w:r>
              <w:rPr>
                <w:rFonts w:ascii="Arial" w:hAnsi="Arial"/>
                <w:color w:val="000000"/>
                <w:sz w:val="18"/>
              </w:rPr>
              <w:t>IPCA Geral</w:t>
            </w:r>
          </w:p>
        </w:tc>
        <w:tc>
          <w:tcPr>
            <w:tcW w:type="dxa" w:w="794"/>
            <w:tcBorders>
              <w:bottom w:val="single" w:sz="12" w:color="000000"/>
            </w:tcBorders>
          </w:tcPr>
          <w:p>
            <w:pPr>
              <w:spacing w:after="20" w:line="240" w:lineRule="auto"/>
              <w:ind w:firstLine="0"/>
              <w:jc w:val="center"/>
            </w:pPr>
            <w:r>
              <w:rPr>
                <w:rFonts w:ascii="Arial" w:hAnsi="Arial"/>
                <w:color w:val="000000"/>
                <w:sz w:val="18"/>
              </w:rPr>
              <w:t>1</w:t>
            </w:r>
          </w:p>
        </w:tc>
        <w:tc>
          <w:tcPr>
            <w:tcW w:type="dxa" w:w="2891"/>
            <w:tcBorders>
              <w:bottom w:val="single" w:sz="12" w:color="000000"/>
            </w:tcBorders>
          </w:tcPr>
          <w:p>
            <w:pPr>
              <w:spacing w:after="20" w:line="240" w:lineRule="auto"/>
              <w:ind w:firstLine="0"/>
              <w:jc w:val="center"/>
            </w:pPr>
            <w:r>
              <w:rPr>
                <w:rFonts w:ascii="Arial" w:hAnsi="Arial"/>
                <w:color w:val="000000"/>
                <w:sz w:val="18"/>
              </w:rPr>
              <w:t>0,112*</w:t>
            </w:r>
          </w:p>
        </w:tc>
        <w:tc>
          <w:tcPr>
            <w:tcW w:type="dxa" w:w="2891"/>
            <w:tcBorders>
              <w:bottom w:val="single" w:sz="12" w:color="000000"/>
            </w:tcBorders>
          </w:tcPr>
          <w:p>
            <w:pPr>
              <w:spacing w:after="20" w:line="240" w:lineRule="auto"/>
              <w:ind w:firstLine="0"/>
              <w:jc w:val="center"/>
            </w:pPr>
            <w:r>
              <w:rPr>
                <w:rFonts w:ascii="Arial" w:hAnsi="Arial"/>
                <w:color w:val="000000"/>
                <w:sz w:val="18"/>
              </w:rPr>
              <w:t>0,023</w:t>
            </w:r>
          </w:p>
        </w:tc>
      </w:tr>
    </w:tbl>
    <w:p>
      <w:pPr>
        <w:spacing w:line="240" w:lineRule="auto" w:after="0"/>
        <w:ind w:firstLine="0"/>
        <w:jc w:val="both"/>
      </w:pPr>
      <w:r>
        <w:rPr>
          <w:rFonts w:ascii="Arial" w:hAnsi="Arial"/>
          <w:color w:val="000000"/>
          <w:sz w:val="18"/>
        </w:rPr>
        <w:t>Nota: coeficiente do instrumento em regressão que dispensa primeiro estágio, ao estilo da forma reduzida. Asteriscos indicam significância a 10% (*) e 5% (**). A ausência de sinal em comercializáveis e não comercializáveis, que excluem combustíveis por construção, indica que este instrumento não tem potência para detectar propagação de segunda volta.</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Nenhum dos instrumentos alcança o limiar convencional. Reporta-se o conjunto porque a busca por identificação externa é parte do desenho da pesquisa, e porque o contraste entre regimes observado no primeiro estágio da gasolina corrobora, ainda que sem potência para inferência, a leitura central do trabalho: o preço doméstico só responde à referência internacional sob a regra de paridade.</w:t>
      </w:r>
    </w:p>
    <w:p>
      <w:r>
        <w:br w:type="page"/>
      </w:r>
    </w:p>
    <w:p>
      <w:pPr>
        <w:pStyle w:val="Heading1"/>
        <w:keepNext/>
        <w:spacing w:before="280" w:after="280" w:line="360" w:lineRule="auto"/>
        <w:ind w:firstLine="0"/>
        <w:jc w:val="center"/>
      </w:pPr>
      <w:r>
        <w:rPr>
          <w:rFonts w:ascii="Arial" w:hAnsi="Arial"/>
          <w:b/>
          <w:i w:val="0"/>
          <w:color w:val="000000"/>
          <w:sz w:val="28"/>
        </w:rPr>
        <w:t>APÊNDICE H – CONTRAFACTUAL E DESAGREGAÇÃO DO ÍNDICE</w:t>
      </w:r>
    </w:p>
    <w:p>
      <w:pPr>
        <w:spacing w:line="360" w:lineRule="auto" w:after="0"/>
        <w:ind w:firstLine="709"/>
        <w:jc w:val="both"/>
      </w:pPr>
      <w:r>
        <w:rPr>
          <w:rFonts w:ascii="Arial" w:hAnsi="Arial"/>
          <w:color w:val="000000"/>
          <w:sz w:val="24"/>
        </w:rPr>
        <w:t>Este apêndice reporta os números do exercício contrafactual da seção 4.7.8 e as estimativas por regime para os subgrupos de comercializáveis e não comercializáveis do IPCA.</w:t>
      </w:r>
    </w:p>
    <w:p>
      <w:pPr>
        <w:spacing w:before="200" w:after="40" w:line="240" w:lineRule="auto"/>
        <w:ind w:firstLine="0"/>
      </w:pPr>
      <w:r>
        <w:rPr>
          <w:rFonts w:ascii="Arial" w:hAnsi="Arial"/>
          <w:color w:val="000000"/>
          <w:sz w:val="20"/>
        </w:rPr>
        <w:t>Tabela H.1 – Contribuição dos choques de petróleo ao IPCA, janeiro de 2021 a dezembro de 2022</w:t>
      </w:r>
    </w:p>
    <w:tbl>
      <w:tblPr>
        <w:tblW w:type="auto" w:w="0"/>
        <w:jc w:val="center"/>
        <w:tblLook w:firstColumn="1" w:firstRow="1" w:lastColumn="0" w:lastRow="0" w:noHBand="0" w:noVBand="1" w:val="04A0"/>
      </w:tblPr>
      <w:tblGrid>
        <w:gridCol w:w="3135"/>
        <w:gridCol w:w="3135"/>
        <w:gridCol w:w="3135"/>
      </w:tblGrid>
      <w:tr>
        <w:tc>
          <w:tcPr>
            <w:tcW w:type="dxa" w:w="4649"/>
            <w:tcBorders>
              <w:top w:val="single" w:sz="12" w:color="000000"/>
              <w:bottom w:val="single" w:sz="6" w:color="000000"/>
            </w:tcBorders>
          </w:tcPr>
          <w:p>
            <w:pPr>
              <w:spacing w:after="20" w:line="240" w:lineRule="auto"/>
              <w:ind w:firstLine="0"/>
            </w:pPr>
            <w:r>
              <w:rPr>
                <w:rFonts w:ascii="Arial" w:hAnsi="Arial"/>
                <w:b/>
                <w:color w:val="000000"/>
                <w:sz w:val="18"/>
              </w:rPr>
              <w:t>Parametrização</w:t>
            </w:r>
          </w:p>
        </w:tc>
        <w:tc>
          <w:tcPr>
            <w:tcW w:type="dxa" w:w="2438"/>
            <w:tcBorders>
              <w:top w:val="single" w:sz="12" w:color="000000"/>
              <w:bottom w:val="single" w:sz="6" w:color="000000"/>
            </w:tcBorders>
          </w:tcPr>
          <w:p>
            <w:pPr>
              <w:spacing w:after="20" w:line="240" w:lineRule="auto"/>
              <w:ind w:firstLine="0"/>
            </w:pPr>
            <w:r>
              <w:rPr>
                <w:rFonts w:ascii="Arial" w:hAnsi="Arial"/>
                <w:b/>
                <w:color w:val="000000"/>
                <w:sz w:val="18"/>
              </w:rPr>
              <w:t>Contribuição acumulada</w:t>
            </w:r>
          </w:p>
        </w:tc>
        <w:tc>
          <w:tcPr>
            <w:tcW w:type="dxa" w:w="2551"/>
            <w:tcBorders>
              <w:top w:val="single" w:sz="12" w:color="000000"/>
              <w:bottom w:val="single" w:sz="6" w:color="000000"/>
            </w:tcBorders>
          </w:tcPr>
          <w:p>
            <w:pPr>
              <w:spacing w:after="20" w:line="240" w:lineRule="auto"/>
              <w:ind w:firstLine="0"/>
            </w:pPr>
            <w:r>
              <w:rPr>
                <w:rFonts w:ascii="Arial" w:hAnsi="Arial"/>
                <w:b/>
                <w:color w:val="000000"/>
                <w:sz w:val="18"/>
              </w:rPr>
              <w:t>Em % da inflação do período</w:t>
            </w:r>
          </w:p>
        </w:tc>
      </w:tr>
      <w:tr>
        <w:tc>
          <w:tcPr>
            <w:tcW w:type="dxa" w:w="4649"/>
          </w:tcPr>
          <w:p>
            <w:pPr>
              <w:spacing w:after="20" w:line="240" w:lineRule="auto"/>
              <w:ind w:firstLine="0"/>
              <w:jc w:val="left"/>
            </w:pPr>
            <w:r>
              <w:rPr>
                <w:rFonts w:ascii="Arial" w:hAnsi="Arial"/>
                <w:color w:val="000000"/>
                <w:sz w:val="18"/>
              </w:rPr>
              <w:t>Coeficientes do regime posterior (observado)</w:t>
            </w:r>
          </w:p>
        </w:tc>
        <w:tc>
          <w:tcPr>
            <w:tcW w:type="dxa" w:w="2438"/>
          </w:tcPr>
          <w:p>
            <w:pPr>
              <w:spacing w:after="20" w:line="240" w:lineRule="auto"/>
              <w:ind w:firstLine="0"/>
              <w:jc w:val="center"/>
            </w:pPr>
            <w:r>
              <w:rPr>
                <w:rFonts w:ascii="Arial" w:hAnsi="Arial"/>
                <w:color w:val="000000"/>
                <w:sz w:val="18"/>
              </w:rPr>
              <w:t>+2,92 p.p.</w:t>
            </w:r>
          </w:p>
        </w:tc>
        <w:tc>
          <w:tcPr>
            <w:tcW w:type="dxa" w:w="2551"/>
          </w:tcPr>
          <w:p>
            <w:pPr>
              <w:spacing w:after="20" w:line="240" w:lineRule="auto"/>
              <w:ind w:firstLine="0"/>
              <w:jc w:val="center"/>
            </w:pPr>
            <w:r>
              <w:rPr>
                <w:rFonts w:ascii="Arial" w:hAnsi="Arial"/>
                <w:color w:val="000000"/>
                <w:sz w:val="18"/>
              </w:rPr>
              <w:t>19,2%</w:t>
            </w:r>
          </w:p>
        </w:tc>
      </w:tr>
      <w:tr>
        <w:tc>
          <w:tcPr>
            <w:tcW w:type="dxa" w:w="4649"/>
          </w:tcPr>
          <w:p>
            <w:pPr>
              <w:spacing w:after="20" w:line="240" w:lineRule="auto"/>
              <w:ind w:firstLine="0"/>
              <w:jc w:val="left"/>
            </w:pPr>
            <w:r>
              <w:rPr>
                <w:rFonts w:ascii="Arial" w:hAnsi="Arial"/>
                <w:color w:val="000000"/>
                <w:sz w:val="18"/>
              </w:rPr>
              <w:t>Coeficientes do regime anterior (contrafactual)</w:t>
            </w:r>
          </w:p>
        </w:tc>
        <w:tc>
          <w:tcPr>
            <w:tcW w:type="dxa" w:w="2438"/>
          </w:tcPr>
          <w:p>
            <w:pPr>
              <w:spacing w:after="20" w:line="240" w:lineRule="auto"/>
              <w:ind w:firstLine="0"/>
              <w:jc w:val="center"/>
            </w:pPr>
            <w:r>
              <w:rPr>
                <w:rFonts w:ascii="Arial" w:hAnsi="Arial"/>
                <w:color w:val="000000"/>
                <w:sz w:val="18"/>
              </w:rPr>
              <w:t>−0,43 p.p.</w:t>
            </w:r>
          </w:p>
        </w:tc>
        <w:tc>
          <w:tcPr>
            <w:tcW w:type="dxa" w:w="2551"/>
          </w:tcPr>
          <w:p>
            <w:pPr>
              <w:spacing w:after="20" w:line="240" w:lineRule="auto"/>
              <w:ind w:firstLine="0"/>
              <w:jc w:val="center"/>
            </w:pPr>
            <w:r>
              <w:rPr>
                <w:rFonts w:ascii="Arial" w:hAnsi="Arial"/>
                <w:color w:val="000000"/>
                <w:sz w:val="18"/>
              </w:rPr>
              <w:t>−2,8%</w:t>
            </w:r>
          </w:p>
        </w:tc>
      </w:tr>
      <w:tr>
        <w:tc>
          <w:tcPr>
            <w:tcW w:type="dxa" w:w="4649"/>
          </w:tcPr>
          <w:p>
            <w:pPr>
              <w:spacing w:after="20" w:line="240" w:lineRule="auto"/>
              <w:ind w:firstLine="0"/>
              <w:jc w:val="left"/>
            </w:pPr>
            <w:r>
              <w:rPr>
                <w:rFonts w:ascii="Arial" w:hAnsi="Arial"/>
                <w:color w:val="000000"/>
                <w:sz w:val="18"/>
              </w:rPr>
              <w:t>Diferença atribuível à regra de preços</w:t>
            </w:r>
          </w:p>
        </w:tc>
        <w:tc>
          <w:tcPr>
            <w:tcW w:type="dxa" w:w="2438"/>
          </w:tcPr>
          <w:p>
            <w:pPr>
              <w:spacing w:after="20" w:line="240" w:lineRule="auto"/>
              <w:ind w:firstLine="0"/>
              <w:jc w:val="center"/>
            </w:pPr>
            <w:r>
              <w:rPr>
                <w:rFonts w:ascii="Arial" w:hAnsi="Arial"/>
                <w:color w:val="000000"/>
                <w:sz w:val="18"/>
              </w:rPr>
              <w:t>+3,35 p.p.</w:t>
            </w:r>
          </w:p>
        </w:tc>
        <w:tc>
          <w:tcPr>
            <w:tcW w:type="dxa" w:w="2551"/>
          </w:tcPr>
          <w:p>
            <w:pPr>
              <w:spacing w:after="20" w:line="240" w:lineRule="auto"/>
              <w:ind w:firstLine="0"/>
              <w:jc w:val="center"/>
            </w:pPr>
            <w:r>
              <w:rPr>
                <w:rFonts w:ascii="Arial" w:hAnsi="Arial"/>
                <w:color w:val="000000"/>
                <w:sz w:val="18"/>
              </w:rPr>
              <w:t>22,0%</w:t>
            </w:r>
          </w:p>
        </w:tc>
      </w:tr>
      <w:tr>
        <w:tc>
          <w:tcPr>
            <w:tcW w:type="dxa" w:w="4649"/>
            <w:tcBorders>
              <w:bottom w:val="single" w:sz="12" w:color="000000"/>
            </w:tcBorders>
          </w:tcPr>
          <w:p>
            <w:pPr>
              <w:spacing w:after="20" w:line="240" w:lineRule="auto"/>
              <w:ind w:firstLine="0"/>
              <w:jc w:val="left"/>
            </w:pPr>
            <w:r>
              <w:rPr>
                <w:rFonts w:ascii="Arial" w:hAnsi="Arial"/>
                <w:color w:val="000000"/>
                <w:sz w:val="18"/>
              </w:rPr>
              <w:t>IPCA acumulado no biênio</w:t>
            </w:r>
          </w:p>
        </w:tc>
        <w:tc>
          <w:tcPr>
            <w:tcW w:type="dxa" w:w="2438"/>
            <w:tcBorders>
              <w:bottom w:val="single" w:sz="12" w:color="000000"/>
            </w:tcBorders>
          </w:tcPr>
          <w:p>
            <w:pPr>
              <w:spacing w:after="20" w:line="240" w:lineRule="auto"/>
              <w:ind w:firstLine="0"/>
              <w:jc w:val="center"/>
            </w:pPr>
            <w:r>
              <w:rPr>
                <w:rFonts w:ascii="Arial" w:hAnsi="Arial"/>
                <w:color w:val="000000"/>
                <w:sz w:val="18"/>
              </w:rPr>
              <w:t>15,21%</w:t>
            </w:r>
          </w:p>
        </w:tc>
        <w:tc>
          <w:tcPr>
            <w:tcW w:type="dxa" w:w="2551"/>
            <w:tcBorders>
              <w:bottom w:val="single" w:sz="12" w:color="000000"/>
            </w:tcBorders>
          </w:tcPr>
          <w:p>
            <w:pPr>
              <w:spacing w:after="20" w:line="240" w:lineRule="auto"/>
              <w:ind w:firstLine="0"/>
              <w:jc w:val="center"/>
            </w:pPr>
            <w:r>
              <w:rPr>
                <w:rFonts w:ascii="Arial" w:hAnsi="Arial"/>
                <w:color w:val="000000"/>
                <w:sz w:val="18"/>
              </w:rPr>
              <w:t>100%</w:t>
            </w:r>
          </w:p>
        </w:tc>
      </w:tr>
    </w:tbl>
    <w:p>
      <w:pPr>
        <w:spacing w:line="240" w:lineRule="auto" w:after="0"/>
        <w:ind w:firstLine="0"/>
        <w:jc w:val="both"/>
      </w:pPr>
      <w:r>
        <w:rPr>
          <w:rFonts w:ascii="Arial" w:hAnsi="Arial"/>
          <w:color w:val="000000"/>
          <w:sz w:val="18"/>
        </w:rPr>
        <w:t>Nota: contribuição obtida aplicando-se os coeficientes não acumulados de cada regime aos choques efetivamente ocorridos no biênio. Exercício de equilíbrio parcial: mede a contribuição dos choques de petróleo mantido o restante no caminho observado, e não a trajetória da inflação sob regra alternativa.</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As duas trajetórias mensais constam da Figura 13. A contribuição contrafactual é levemente negativa ao fim do período porque, sob os coeficientes do regime anterior, as quedas do preço do petróleo ocorridas no segundo semestre de 2022 pesam mais que as altas do primeiro, ao passo que sob a paridade a alta de 2021 e do início de 2022 domina.</w:t>
      </w:r>
    </w:p>
    <w:p>
      <w:pPr>
        <w:spacing w:before="200" w:after="40" w:line="240" w:lineRule="auto"/>
        <w:ind w:firstLine="0"/>
      </w:pPr>
      <w:r>
        <w:rPr>
          <w:rFonts w:ascii="Arial" w:hAnsi="Arial"/>
          <w:color w:val="000000"/>
          <w:sz w:val="20"/>
        </w:rPr>
        <w:t>Tabela H.2 – Resposta acumulada por regime, subgrupos que excluem combustíveis</w:t>
      </w:r>
    </w:p>
    <w:tbl>
      <w:tblPr>
        <w:tblW w:type="auto" w:w="0"/>
        <w:jc w:val="center"/>
        <w:tblLook w:firstColumn="1" w:firstRow="1" w:lastColumn="0" w:lastRow="0" w:noHBand="0" w:noVBand="1" w:val="04A0"/>
      </w:tblPr>
      <w:tblGrid>
        <w:gridCol w:w="1881"/>
        <w:gridCol w:w="1881"/>
        <w:gridCol w:w="1881"/>
        <w:gridCol w:w="1881"/>
        <w:gridCol w:w="1881"/>
      </w:tblGrid>
      <w:tr>
        <w:tc>
          <w:tcPr>
            <w:tcW w:type="dxa" w:w="2835"/>
            <w:tcBorders>
              <w:top w:val="single" w:sz="12" w:color="000000"/>
              <w:bottom w:val="single" w:sz="6" w:color="000000"/>
            </w:tcBorders>
          </w:tcPr>
          <w:p>
            <w:pPr>
              <w:spacing w:after="20" w:line="240" w:lineRule="auto"/>
              <w:ind w:firstLine="0"/>
            </w:pPr>
            <w:r>
              <w:rPr>
                <w:rFonts w:ascii="Arial" w:hAnsi="Arial"/>
                <w:b/>
                <w:color w:val="000000"/>
                <w:sz w:val="18"/>
              </w:rPr>
              <w:t>Subgrupo</w:t>
            </w:r>
          </w:p>
        </w:tc>
        <w:tc>
          <w:tcPr>
            <w:tcW w:type="dxa" w:w="680"/>
            <w:tcBorders>
              <w:top w:val="single" w:sz="12" w:color="000000"/>
              <w:bottom w:val="single" w:sz="6" w:color="000000"/>
            </w:tcBorders>
          </w:tcPr>
          <w:p>
            <w:pPr>
              <w:spacing w:after="20" w:line="240" w:lineRule="auto"/>
              <w:ind w:firstLine="0"/>
            </w:pPr>
            <w:r>
              <w:rPr>
                <w:rFonts w:ascii="Arial" w:hAnsi="Arial"/>
                <w:b/>
                <w:color w:val="000000"/>
                <w:sz w:val="18"/>
              </w:rPr>
              <w:t>h</w:t>
            </w:r>
          </w:p>
        </w:tc>
        <w:tc>
          <w:tcPr>
            <w:tcW w:type="dxa" w:w="1928"/>
            <w:tcBorders>
              <w:top w:val="single" w:sz="12" w:color="000000"/>
              <w:bottom w:val="single" w:sz="6" w:color="000000"/>
            </w:tcBorders>
          </w:tcPr>
          <w:p>
            <w:pPr>
              <w:spacing w:after="20" w:line="240" w:lineRule="auto"/>
              <w:ind w:firstLine="0"/>
            </w:pPr>
            <w:r>
              <w:rPr>
                <w:rFonts w:ascii="Arial" w:hAnsi="Arial"/>
                <w:b/>
                <w:color w:val="000000"/>
                <w:sz w:val="18"/>
              </w:rPr>
              <w:t>Regime anterior</w:t>
            </w:r>
          </w:p>
        </w:tc>
        <w:tc>
          <w:tcPr>
            <w:tcW w:type="dxa" w:w="1928"/>
            <w:tcBorders>
              <w:top w:val="single" w:sz="12" w:color="000000"/>
              <w:bottom w:val="single" w:sz="6" w:color="000000"/>
            </w:tcBorders>
          </w:tcPr>
          <w:p>
            <w:pPr>
              <w:spacing w:after="20" w:line="240" w:lineRule="auto"/>
              <w:ind w:firstLine="0"/>
            </w:pPr>
            <w:r>
              <w:rPr>
                <w:rFonts w:ascii="Arial" w:hAnsi="Arial"/>
                <w:b/>
                <w:color w:val="000000"/>
                <w:sz w:val="18"/>
              </w:rPr>
              <w:t>Regime posterior</w:t>
            </w:r>
          </w:p>
        </w:tc>
        <w:tc>
          <w:tcPr>
            <w:tcW w:type="dxa" w:w="1701"/>
            <w:tcBorders>
              <w:top w:val="single" w:sz="12" w:color="000000"/>
              <w:bottom w:val="single" w:sz="6" w:color="000000"/>
            </w:tcBorders>
          </w:tcPr>
          <w:p>
            <w:pPr>
              <w:spacing w:after="20" w:line="240" w:lineRule="auto"/>
              <w:ind w:firstLine="0"/>
            </w:pPr>
            <w:r>
              <w:rPr>
                <w:rFonts w:ascii="Arial" w:hAnsi="Arial"/>
                <w:b/>
                <w:color w:val="000000"/>
                <w:sz w:val="18"/>
              </w:rPr>
              <w:t>Wald (p)</w:t>
            </w:r>
          </w:p>
        </w:tc>
      </w:tr>
      <w:tr>
        <w:tc>
          <w:tcPr>
            <w:tcW w:type="dxa" w:w="2835"/>
          </w:tcPr>
          <w:p>
            <w:pPr>
              <w:spacing w:after="20" w:line="240" w:lineRule="auto"/>
              <w:ind w:firstLine="0"/>
              <w:jc w:val="left"/>
            </w:pPr>
            <w:r>
              <w:rPr>
                <w:rFonts w:ascii="Arial" w:hAnsi="Arial"/>
                <w:color w:val="000000"/>
                <w:sz w:val="18"/>
              </w:rPr>
              <w:t>Comercializáveis</w:t>
            </w:r>
          </w:p>
        </w:tc>
        <w:tc>
          <w:tcPr>
            <w:tcW w:type="dxa" w:w="680"/>
          </w:tcPr>
          <w:p>
            <w:pPr>
              <w:spacing w:after="20" w:line="240" w:lineRule="auto"/>
              <w:ind w:firstLine="0"/>
              <w:jc w:val="center"/>
            </w:pPr>
            <w:r>
              <w:rPr>
                <w:rFonts w:ascii="Arial" w:hAnsi="Arial"/>
                <w:color w:val="000000"/>
                <w:sz w:val="18"/>
              </w:rPr>
              <w:t>0</w:t>
            </w:r>
          </w:p>
        </w:tc>
        <w:tc>
          <w:tcPr>
            <w:tcW w:type="dxa" w:w="1928"/>
          </w:tcPr>
          <w:p>
            <w:pPr>
              <w:spacing w:after="20" w:line="240" w:lineRule="auto"/>
              <w:ind w:firstLine="0"/>
              <w:jc w:val="center"/>
            </w:pPr>
            <w:r>
              <w:rPr>
                <w:rFonts w:ascii="Arial" w:hAnsi="Arial"/>
                <w:color w:val="000000"/>
                <w:sz w:val="18"/>
              </w:rPr>
              <w:t>0,052*</w:t>
            </w:r>
          </w:p>
        </w:tc>
        <w:tc>
          <w:tcPr>
            <w:tcW w:type="dxa" w:w="1928"/>
          </w:tcPr>
          <w:p>
            <w:pPr>
              <w:spacing w:after="20" w:line="240" w:lineRule="auto"/>
              <w:ind w:firstLine="0"/>
              <w:jc w:val="center"/>
            </w:pPr>
            <w:r>
              <w:rPr>
                <w:rFonts w:ascii="Arial" w:hAnsi="Arial"/>
                <w:color w:val="000000"/>
                <w:sz w:val="18"/>
              </w:rPr>
              <w:t>0,101</w:t>
            </w:r>
          </w:p>
        </w:tc>
        <w:tc>
          <w:tcPr>
            <w:tcW w:type="dxa" w:w="1701"/>
          </w:tcPr>
          <w:p>
            <w:pPr>
              <w:spacing w:after="20" w:line="240" w:lineRule="auto"/>
              <w:ind w:firstLine="0"/>
              <w:jc w:val="center"/>
            </w:pPr>
            <w:r>
              <w:rPr>
                <w:rFonts w:ascii="Arial" w:hAnsi="Arial"/>
                <w:color w:val="000000"/>
                <w:sz w:val="18"/>
              </w:rPr>
              <w:t>0,482</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1</w:t>
            </w:r>
          </w:p>
        </w:tc>
        <w:tc>
          <w:tcPr>
            <w:tcW w:type="dxa" w:w="1928"/>
          </w:tcPr>
          <w:p>
            <w:pPr>
              <w:spacing w:after="20" w:line="240" w:lineRule="auto"/>
              <w:ind w:firstLine="0"/>
              <w:jc w:val="center"/>
            </w:pPr>
            <w:r>
              <w:rPr>
                <w:rFonts w:ascii="Arial" w:hAnsi="Arial"/>
                <w:color w:val="000000"/>
                <w:sz w:val="18"/>
              </w:rPr>
              <w:t>0,128**</w:t>
            </w:r>
          </w:p>
        </w:tc>
        <w:tc>
          <w:tcPr>
            <w:tcW w:type="dxa" w:w="1928"/>
          </w:tcPr>
          <w:p>
            <w:pPr>
              <w:spacing w:after="20" w:line="240" w:lineRule="auto"/>
              <w:ind w:firstLine="0"/>
              <w:jc w:val="center"/>
            </w:pPr>
            <w:r>
              <w:rPr>
                <w:rFonts w:ascii="Arial" w:hAnsi="Arial"/>
                <w:color w:val="000000"/>
                <w:sz w:val="18"/>
              </w:rPr>
              <w:t>0,215**</w:t>
            </w:r>
          </w:p>
        </w:tc>
        <w:tc>
          <w:tcPr>
            <w:tcW w:type="dxa" w:w="1701"/>
          </w:tcPr>
          <w:p>
            <w:pPr>
              <w:spacing w:after="20" w:line="240" w:lineRule="auto"/>
              <w:ind w:firstLine="0"/>
              <w:jc w:val="center"/>
            </w:pPr>
            <w:r>
              <w:rPr>
                <w:rFonts w:ascii="Arial" w:hAnsi="Arial"/>
                <w:color w:val="000000"/>
                <w:sz w:val="18"/>
              </w:rPr>
              <w:t>0,471</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3</w:t>
            </w:r>
          </w:p>
        </w:tc>
        <w:tc>
          <w:tcPr>
            <w:tcW w:type="dxa" w:w="1928"/>
          </w:tcPr>
          <w:p>
            <w:pPr>
              <w:spacing w:after="20" w:line="240" w:lineRule="auto"/>
              <w:ind w:firstLine="0"/>
              <w:jc w:val="center"/>
            </w:pPr>
            <w:r>
              <w:rPr>
                <w:rFonts w:ascii="Arial" w:hAnsi="Arial"/>
                <w:color w:val="000000"/>
                <w:sz w:val="18"/>
              </w:rPr>
              <w:t>0,253**</w:t>
            </w:r>
          </w:p>
        </w:tc>
        <w:tc>
          <w:tcPr>
            <w:tcW w:type="dxa" w:w="1928"/>
          </w:tcPr>
          <w:p>
            <w:pPr>
              <w:spacing w:after="20" w:line="240" w:lineRule="auto"/>
              <w:ind w:firstLine="0"/>
              <w:jc w:val="center"/>
            </w:pPr>
            <w:r>
              <w:rPr>
                <w:rFonts w:ascii="Arial" w:hAnsi="Arial"/>
                <w:color w:val="000000"/>
                <w:sz w:val="18"/>
              </w:rPr>
              <w:t>0,183</w:t>
            </w:r>
          </w:p>
        </w:tc>
        <w:tc>
          <w:tcPr>
            <w:tcW w:type="dxa" w:w="1701"/>
          </w:tcPr>
          <w:p>
            <w:pPr>
              <w:spacing w:after="20" w:line="240" w:lineRule="auto"/>
              <w:ind w:firstLine="0"/>
              <w:jc w:val="center"/>
            </w:pPr>
            <w:r>
              <w:rPr>
                <w:rFonts w:ascii="Arial" w:hAnsi="Arial"/>
                <w:color w:val="000000"/>
                <w:sz w:val="18"/>
              </w:rPr>
              <w:t>0,729</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6</w:t>
            </w:r>
          </w:p>
        </w:tc>
        <w:tc>
          <w:tcPr>
            <w:tcW w:type="dxa" w:w="1928"/>
          </w:tcPr>
          <w:p>
            <w:pPr>
              <w:spacing w:after="20" w:line="240" w:lineRule="auto"/>
              <w:ind w:firstLine="0"/>
              <w:jc w:val="center"/>
            </w:pPr>
            <w:r>
              <w:rPr>
                <w:rFonts w:ascii="Arial" w:hAnsi="Arial"/>
                <w:color w:val="000000"/>
                <w:sz w:val="18"/>
              </w:rPr>
              <w:t>0,168</w:t>
            </w:r>
          </w:p>
        </w:tc>
        <w:tc>
          <w:tcPr>
            <w:tcW w:type="dxa" w:w="1928"/>
          </w:tcPr>
          <w:p>
            <w:pPr>
              <w:spacing w:after="20" w:line="240" w:lineRule="auto"/>
              <w:ind w:firstLine="0"/>
              <w:jc w:val="center"/>
            </w:pPr>
            <w:r>
              <w:rPr>
                <w:rFonts w:ascii="Arial" w:hAnsi="Arial"/>
                <w:color w:val="000000"/>
                <w:sz w:val="18"/>
              </w:rPr>
              <w:t>0,234*</w:t>
            </w:r>
          </w:p>
        </w:tc>
        <w:tc>
          <w:tcPr>
            <w:tcW w:type="dxa" w:w="1701"/>
          </w:tcPr>
          <w:p>
            <w:pPr>
              <w:spacing w:after="20" w:line="240" w:lineRule="auto"/>
              <w:ind w:firstLine="0"/>
              <w:jc w:val="center"/>
            </w:pPr>
            <w:r>
              <w:rPr>
                <w:rFonts w:ascii="Arial" w:hAnsi="Arial"/>
                <w:color w:val="000000"/>
                <w:sz w:val="18"/>
              </w:rPr>
              <w:t>0,789</w:t>
            </w:r>
          </w:p>
        </w:tc>
      </w:tr>
      <w:tr>
        <w:tc>
          <w:tcPr>
            <w:tcW w:type="dxa" w:w="2835"/>
          </w:tcPr>
          <w:p>
            <w:pPr>
              <w:spacing w:after="20" w:line="240" w:lineRule="auto"/>
              <w:ind w:firstLine="0"/>
              <w:jc w:val="left"/>
            </w:pPr>
            <w:r>
              <w:rPr>
                <w:rFonts w:ascii="Arial" w:hAnsi="Arial"/>
                <w:color w:val="000000"/>
                <w:sz w:val="18"/>
              </w:rPr>
              <w:t>Não comercializáveis</w:t>
            </w:r>
          </w:p>
        </w:tc>
        <w:tc>
          <w:tcPr>
            <w:tcW w:type="dxa" w:w="680"/>
          </w:tcPr>
          <w:p>
            <w:pPr>
              <w:spacing w:after="20" w:line="240" w:lineRule="auto"/>
              <w:ind w:firstLine="0"/>
              <w:jc w:val="center"/>
            </w:pPr>
            <w:r>
              <w:rPr>
                <w:rFonts w:ascii="Arial" w:hAnsi="Arial"/>
                <w:color w:val="000000"/>
                <w:sz w:val="18"/>
              </w:rPr>
              <w:t>0</w:t>
            </w:r>
          </w:p>
        </w:tc>
        <w:tc>
          <w:tcPr>
            <w:tcW w:type="dxa" w:w="1928"/>
          </w:tcPr>
          <w:p>
            <w:pPr>
              <w:spacing w:after="20" w:line="240" w:lineRule="auto"/>
              <w:ind w:firstLine="0"/>
              <w:jc w:val="center"/>
            </w:pPr>
            <w:r>
              <w:rPr>
                <w:rFonts w:ascii="Arial" w:hAnsi="Arial"/>
                <w:color w:val="000000"/>
                <w:sz w:val="18"/>
              </w:rPr>
              <w:t>0,002</w:t>
            </w:r>
          </w:p>
        </w:tc>
        <w:tc>
          <w:tcPr>
            <w:tcW w:type="dxa" w:w="1928"/>
          </w:tcPr>
          <w:p>
            <w:pPr>
              <w:spacing w:after="20" w:line="240" w:lineRule="auto"/>
              <w:ind w:firstLine="0"/>
              <w:jc w:val="center"/>
            </w:pPr>
            <w:r>
              <w:rPr>
                <w:rFonts w:ascii="Arial" w:hAnsi="Arial"/>
                <w:color w:val="000000"/>
                <w:sz w:val="18"/>
              </w:rPr>
              <w:t>0,015</w:t>
            </w:r>
          </w:p>
        </w:tc>
        <w:tc>
          <w:tcPr>
            <w:tcW w:type="dxa" w:w="1701"/>
          </w:tcPr>
          <w:p>
            <w:pPr>
              <w:spacing w:after="20" w:line="240" w:lineRule="auto"/>
              <w:ind w:firstLine="0"/>
              <w:jc w:val="center"/>
            </w:pPr>
            <w:r>
              <w:rPr>
                <w:rFonts w:ascii="Arial" w:hAnsi="Arial"/>
                <w:color w:val="000000"/>
                <w:sz w:val="18"/>
              </w:rPr>
              <w:t>0,826</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1</w:t>
            </w:r>
          </w:p>
        </w:tc>
        <w:tc>
          <w:tcPr>
            <w:tcW w:type="dxa" w:w="1928"/>
          </w:tcPr>
          <w:p>
            <w:pPr>
              <w:spacing w:after="20" w:line="240" w:lineRule="auto"/>
              <w:ind w:firstLine="0"/>
              <w:jc w:val="center"/>
            </w:pPr>
            <w:r>
              <w:rPr>
                <w:rFonts w:ascii="Arial" w:hAnsi="Arial"/>
                <w:color w:val="000000"/>
                <w:sz w:val="18"/>
              </w:rPr>
              <w:t>0,001</w:t>
            </w:r>
          </w:p>
        </w:tc>
        <w:tc>
          <w:tcPr>
            <w:tcW w:type="dxa" w:w="1928"/>
          </w:tcPr>
          <w:p>
            <w:pPr>
              <w:spacing w:after="20" w:line="240" w:lineRule="auto"/>
              <w:ind w:firstLine="0"/>
              <w:jc w:val="center"/>
            </w:pPr>
            <w:r>
              <w:rPr>
                <w:rFonts w:ascii="Arial" w:hAnsi="Arial"/>
                <w:color w:val="000000"/>
                <w:sz w:val="18"/>
              </w:rPr>
              <w:t>0,060</w:t>
            </w:r>
          </w:p>
        </w:tc>
        <w:tc>
          <w:tcPr>
            <w:tcW w:type="dxa" w:w="1701"/>
          </w:tcPr>
          <w:p>
            <w:pPr>
              <w:spacing w:after="20" w:line="240" w:lineRule="auto"/>
              <w:ind w:firstLine="0"/>
              <w:jc w:val="center"/>
            </w:pPr>
            <w:r>
              <w:rPr>
                <w:rFonts w:ascii="Arial" w:hAnsi="Arial"/>
                <w:color w:val="000000"/>
                <w:sz w:val="18"/>
              </w:rPr>
              <w:t>0,589</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3</w:t>
            </w:r>
          </w:p>
        </w:tc>
        <w:tc>
          <w:tcPr>
            <w:tcW w:type="dxa" w:w="1928"/>
          </w:tcPr>
          <w:p>
            <w:pPr>
              <w:spacing w:after="20" w:line="240" w:lineRule="auto"/>
              <w:ind w:firstLine="0"/>
              <w:jc w:val="center"/>
            </w:pPr>
            <w:r>
              <w:rPr>
                <w:rFonts w:ascii="Arial" w:hAnsi="Arial"/>
                <w:color w:val="000000"/>
                <w:sz w:val="18"/>
              </w:rPr>
              <w:t>0,084</w:t>
            </w:r>
          </w:p>
        </w:tc>
        <w:tc>
          <w:tcPr>
            <w:tcW w:type="dxa" w:w="1928"/>
          </w:tcPr>
          <w:p>
            <w:pPr>
              <w:spacing w:after="20" w:line="240" w:lineRule="auto"/>
              <w:ind w:firstLine="0"/>
              <w:jc w:val="center"/>
            </w:pPr>
            <w:r>
              <w:rPr>
                <w:rFonts w:ascii="Arial" w:hAnsi="Arial"/>
                <w:color w:val="000000"/>
                <w:sz w:val="18"/>
              </w:rPr>
              <w:t>0,164</w:t>
            </w:r>
          </w:p>
        </w:tc>
        <w:tc>
          <w:tcPr>
            <w:tcW w:type="dxa" w:w="1701"/>
          </w:tcPr>
          <w:p>
            <w:pPr>
              <w:spacing w:after="20" w:line="240" w:lineRule="auto"/>
              <w:ind w:firstLine="0"/>
              <w:jc w:val="center"/>
            </w:pPr>
            <w:r>
              <w:rPr>
                <w:rFonts w:ascii="Arial" w:hAnsi="Arial"/>
                <w:color w:val="000000"/>
                <w:sz w:val="18"/>
              </w:rPr>
              <w:t>0,665</w:t>
            </w:r>
          </w:p>
        </w:tc>
      </w:tr>
      <w:tr>
        <w:tc>
          <w:tcPr>
            <w:tcW w:type="dxa" w:w="2835"/>
            <w:tcBorders>
              <w:bottom w:val="single" w:sz="12" w:color="000000"/>
            </w:tcBorders>
          </w:tcPr>
          <w:p>
            <w:pPr>
              <w:spacing w:after="20" w:line="240" w:lineRule="auto"/>
              <w:ind w:firstLine="0"/>
              <w:jc w:val="left"/>
            </w:pPr>
            <w:r>
              <w:rPr>
                <w:rFonts w:ascii="Arial" w:hAnsi="Arial"/>
                <w:color w:val="000000"/>
                <w:sz w:val="18"/>
              </w:rPr>
            </w:r>
          </w:p>
        </w:tc>
        <w:tc>
          <w:tcPr>
            <w:tcW w:type="dxa" w:w="680"/>
            <w:tcBorders>
              <w:bottom w:val="single" w:sz="12" w:color="000000"/>
            </w:tcBorders>
          </w:tcPr>
          <w:p>
            <w:pPr>
              <w:spacing w:after="20" w:line="240" w:lineRule="auto"/>
              <w:ind w:firstLine="0"/>
              <w:jc w:val="center"/>
            </w:pPr>
            <w:r>
              <w:rPr>
                <w:rFonts w:ascii="Arial" w:hAnsi="Arial"/>
                <w:color w:val="000000"/>
                <w:sz w:val="18"/>
              </w:rPr>
              <w:t>6</w:t>
            </w:r>
          </w:p>
        </w:tc>
        <w:tc>
          <w:tcPr>
            <w:tcW w:type="dxa" w:w="1928"/>
            <w:tcBorders>
              <w:bottom w:val="single" w:sz="12" w:color="000000"/>
            </w:tcBorders>
          </w:tcPr>
          <w:p>
            <w:pPr>
              <w:spacing w:after="20" w:line="240" w:lineRule="auto"/>
              <w:ind w:firstLine="0"/>
              <w:jc w:val="center"/>
            </w:pPr>
            <w:r>
              <w:rPr>
                <w:rFonts w:ascii="Arial" w:hAnsi="Arial"/>
                <w:color w:val="000000"/>
                <w:sz w:val="18"/>
              </w:rPr>
              <w:t>0,117</w:t>
            </w:r>
          </w:p>
        </w:tc>
        <w:tc>
          <w:tcPr>
            <w:tcW w:type="dxa" w:w="1928"/>
            <w:tcBorders>
              <w:bottom w:val="single" w:sz="12" w:color="000000"/>
            </w:tcBorders>
          </w:tcPr>
          <w:p>
            <w:pPr>
              <w:spacing w:after="20" w:line="240" w:lineRule="auto"/>
              <w:ind w:firstLine="0"/>
              <w:jc w:val="center"/>
            </w:pPr>
            <w:r>
              <w:rPr>
                <w:rFonts w:ascii="Arial" w:hAnsi="Arial"/>
                <w:color w:val="000000"/>
                <w:sz w:val="18"/>
              </w:rPr>
              <w:t>0,228</w:t>
            </w:r>
          </w:p>
        </w:tc>
        <w:tc>
          <w:tcPr>
            <w:tcW w:type="dxa" w:w="1701"/>
            <w:tcBorders>
              <w:bottom w:val="single" w:sz="12" w:color="000000"/>
            </w:tcBorders>
          </w:tcPr>
          <w:p>
            <w:pPr>
              <w:spacing w:after="20" w:line="240" w:lineRule="auto"/>
              <w:ind w:firstLine="0"/>
              <w:jc w:val="center"/>
            </w:pPr>
            <w:r>
              <w:rPr>
                <w:rFonts w:ascii="Arial" w:hAnsi="Arial"/>
                <w:color w:val="000000"/>
                <w:sz w:val="18"/>
              </w:rPr>
              <w:t>0,593</w:t>
            </w:r>
          </w:p>
        </w:tc>
      </w:tr>
    </w:tbl>
    <w:p>
      <w:pPr>
        <w:spacing w:line="240" w:lineRule="auto" w:after="0"/>
        <w:ind w:firstLine="0"/>
        <w:jc w:val="both"/>
      </w:pPr>
      <w:r>
        <w:rPr>
          <w:rFonts w:ascii="Arial" w:hAnsi="Arial"/>
          <w:color w:val="000000"/>
          <w:sz w:val="18"/>
        </w:rPr>
        <w:t>Nota: mesma especificação da Tabela 2, com os subgrupos como dependentes. Asteriscos indicam significância a 10% (*) e 5% (**). Combustíveis são classificados como preços monitorados e não integram nenhum dos dois subgrupos.</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Nenhum dos oito testes de igualdade entre regimes rejeita, e os p-valores situam-se entre 0,47 e 0,83. A leitura defensável é que o contraste entre regimes documentado no capítulo se concentra nos agregados que contêm combustível. Isso não invalida a decomposição da seção 4.5, que identifica parcela do efeito não atribuível ao canal dos combustíveis por construção algébrica, mas indica que essa parcela não é grande o bastante para produzir resposta diferencial estatisticamente detectável em subgrupos estimados separadamente, cujas séries são mais ruidosas que a do índice cheio.</w:t>
      </w:r>
    </w:p>
    <w:p>
      <w:r>
        <w:br w:type="page"/>
      </w:r>
    </w:p>
    <w:p>
      <w:pPr>
        <w:pStyle w:val="Heading1"/>
        <w:keepNext/>
        <w:spacing w:before="280" w:after="280" w:line="360" w:lineRule="auto"/>
        <w:ind w:firstLine="0"/>
        <w:jc w:val="center"/>
      </w:pPr>
      <w:r>
        <w:rPr>
          <w:rFonts w:ascii="Arial" w:hAnsi="Arial"/>
          <w:b/>
          <w:i w:val="0"/>
          <w:color w:val="000000"/>
          <w:sz w:val="28"/>
        </w:rPr>
        <w:t>APÊNDICE I – O REPASSE BRASILEIRO EM PERSPECTIVA INTERNACIONAL</w:t>
      </w:r>
    </w:p>
    <w:p>
      <w:pPr>
        <w:spacing w:line="360" w:lineRule="auto" w:after="0"/>
        <w:ind w:firstLine="709"/>
        <w:jc w:val="both"/>
      </w:pPr>
      <w:r>
        <w:rPr>
          <w:rFonts w:ascii="Arial" w:hAnsi="Arial"/>
          <w:color w:val="000000"/>
          <w:sz w:val="24"/>
        </w:rPr>
        <w:t>Este apêndice reporta os números do exercício comparado da seção 4.8. O repasse é calculado pela metodologia de Akcura (2025), como a razão entre a variação do preço de varejo e a variação da referência internacional defasada em um mês, entre agosto de 2020 e junho de 2022. Os preços de varejo são expressos em dólares por litro, de sorte que a variação cambial não integra o cálculo, e a referência é a gasolina convencional da Costa do Golfo dos Estados Unidos. A classificação da regra de preço e a existência de fundo de estabilização provêm da base de medidas de controle de preços do mesmo autor, nos anos de 2021 e 2022.</w:t>
      </w:r>
    </w:p>
    <w:p>
      <w:pPr>
        <w:spacing w:before="200" w:after="40" w:line="240" w:lineRule="auto"/>
        <w:ind w:firstLine="0"/>
      </w:pPr>
      <w:r>
        <w:rPr>
          <w:rFonts w:ascii="Arial" w:hAnsi="Arial"/>
          <w:color w:val="000000"/>
          <w:sz w:val="20"/>
        </w:rPr>
        <w:t>Tabela I.1 – Repasse do preço internacional ao varejo de gasolina, América Latina e Caribe, agosto de 2020 a junho de 2022</w:t>
      </w:r>
    </w:p>
    <w:tbl>
      <w:tblPr>
        <w:tblW w:type="auto" w:w="0"/>
        <w:jc w:val="center"/>
        <w:tblLook w:firstColumn="1" w:firstRow="1" w:lastColumn="0" w:lastRow="0" w:noHBand="0" w:noVBand="1" w:val="04A0"/>
      </w:tblPr>
      <w:tblGrid>
        <w:gridCol w:w="1881"/>
        <w:gridCol w:w="1881"/>
        <w:gridCol w:w="1881"/>
        <w:gridCol w:w="1881"/>
        <w:gridCol w:w="1881"/>
      </w:tblGrid>
      <w:tr>
        <w:tc>
          <w:tcPr>
            <w:tcW w:type="dxa" w:w="567"/>
            <w:tcBorders>
              <w:top w:val="single" w:sz="12" w:color="000000"/>
              <w:bottom w:val="single" w:sz="6" w:color="000000"/>
            </w:tcBorders>
          </w:tcPr>
          <w:p>
            <w:pPr>
              <w:spacing w:after="20" w:line="240" w:lineRule="auto"/>
              <w:ind w:firstLine="0"/>
            </w:pPr>
            <w:r>
              <w:rPr>
                <w:rFonts w:ascii="Arial" w:hAnsi="Arial"/>
                <w:b/>
                <w:color w:val="000000"/>
                <w:sz w:val="18"/>
              </w:rPr>
            </w:r>
          </w:p>
        </w:tc>
        <w:tc>
          <w:tcPr>
            <w:tcW w:type="dxa" w:w="3061"/>
            <w:tcBorders>
              <w:top w:val="single" w:sz="12" w:color="000000"/>
              <w:bottom w:val="single" w:sz="6" w:color="000000"/>
            </w:tcBorders>
          </w:tcPr>
          <w:p>
            <w:pPr>
              <w:spacing w:after="20" w:line="240" w:lineRule="auto"/>
              <w:ind w:firstLine="0"/>
            </w:pPr>
            <w:r>
              <w:rPr>
                <w:rFonts w:ascii="Arial" w:hAnsi="Arial"/>
                <w:b/>
                <w:color w:val="000000"/>
                <w:sz w:val="18"/>
              </w:rPr>
              <w:t>País</w:t>
            </w:r>
          </w:p>
        </w:tc>
        <w:tc>
          <w:tcPr>
            <w:tcW w:type="dxa" w:w="1361"/>
            <w:tcBorders>
              <w:top w:val="single" w:sz="12" w:color="000000"/>
              <w:bottom w:val="single" w:sz="6" w:color="000000"/>
            </w:tcBorders>
          </w:tcPr>
          <w:p>
            <w:pPr>
              <w:spacing w:after="20" w:line="240" w:lineRule="auto"/>
              <w:ind w:firstLine="0"/>
            </w:pPr>
            <w:r>
              <w:rPr>
                <w:rFonts w:ascii="Arial" w:hAnsi="Arial"/>
                <w:b/>
                <w:color w:val="000000"/>
                <w:sz w:val="18"/>
              </w:rPr>
              <w:t>Repasse</w:t>
            </w:r>
          </w:p>
        </w:tc>
        <w:tc>
          <w:tcPr>
            <w:tcW w:type="dxa" w:w="2041"/>
            <w:tcBorders>
              <w:top w:val="single" w:sz="12" w:color="000000"/>
              <w:bottom w:val="single" w:sz="6" w:color="000000"/>
            </w:tcBorders>
          </w:tcPr>
          <w:p>
            <w:pPr>
              <w:spacing w:after="20" w:line="240" w:lineRule="auto"/>
              <w:ind w:firstLine="0"/>
            </w:pPr>
            <w:r>
              <w:rPr>
                <w:rFonts w:ascii="Arial" w:hAnsi="Arial"/>
                <w:b/>
                <w:color w:val="000000"/>
                <w:sz w:val="18"/>
              </w:rPr>
              <w:t>Regra de preço</w:t>
            </w:r>
          </w:p>
        </w:tc>
        <w:tc>
          <w:tcPr>
            <w:tcW w:type="dxa" w:w="2041"/>
            <w:tcBorders>
              <w:top w:val="single" w:sz="12" w:color="000000"/>
              <w:bottom w:val="single" w:sz="6" w:color="000000"/>
            </w:tcBorders>
          </w:tcPr>
          <w:p>
            <w:pPr>
              <w:spacing w:after="20" w:line="240" w:lineRule="auto"/>
              <w:ind w:firstLine="0"/>
            </w:pPr>
            <w:r>
              <w:rPr>
                <w:rFonts w:ascii="Arial" w:hAnsi="Arial"/>
                <w:b/>
                <w:color w:val="000000"/>
                <w:sz w:val="18"/>
              </w:rPr>
              <w:t>Fundo de estab.</w:t>
            </w:r>
          </w:p>
        </w:tc>
      </w:tr>
      <w:tr>
        <w:tc>
          <w:tcPr>
            <w:tcW w:type="dxa" w:w="567"/>
          </w:tcPr>
          <w:p>
            <w:pPr>
              <w:spacing w:after="20" w:line="240" w:lineRule="auto"/>
              <w:ind w:firstLine="0"/>
              <w:jc w:val="left"/>
            </w:pPr>
            <w:r>
              <w:rPr>
                <w:rFonts w:ascii="Arial" w:hAnsi="Arial"/>
                <w:color w:val="000000"/>
                <w:sz w:val="18"/>
              </w:rPr>
              <w:t>1</w:t>
            </w:r>
          </w:p>
        </w:tc>
        <w:tc>
          <w:tcPr>
            <w:tcW w:type="dxa" w:w="3061"/>
          </w:tcPr>
          <w:p>
            <w:pPr>
              <w:spacing w:after="20" w:line="240" w:lineRule="auto"/>
              <w:ind w:firstLine="0"/>
              <w:jc w:val="center"/>
            </w:pPr>
            <w:r>
              <w:rPr>
                <w:rFonts w:ascii="Arial" w:hAnsi="Arial"/>
                <w:color w:val="000000"/>
                <w:sz w:val="18"/>
              </w:rPr>
              <w:t>Peru</w:t>
            </w:r>
          </w:p>
        </w:tc>
        <w:tc>
          <w:tcPr>
            <w:tcW w:type="dxa" w:w="1361"/>
          </w:tcPr>
          <w:p>
            <w:pPr>
              <w:spacing w:after="20" w:line="240" w:lineRule="auto"/>
              <w:ind w:firstLine="0"/>
              <w:jc w:val="center"/>
            </w:pPr>
            <w:r>
              <w:rPr>
                <w:rFonts w:ascii="Arial" w:hAnsi="Arial"/>
                <w:color w:val="000000"/>
                <w:sz w:val="18"/>
              </w:rPr>
              <w:t>1,243</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sim</w:t>
            </w:r>
          </w:p>
        </w:tc>
      </w:tr>
      <w:tr>
        <w:tc>
          <w:tcPr>
            <w:tcW w:type="dxa" w:w="567"/>
          </w:tcPr>
          <w:p>
            <w:pPr>
              <w:spacing w:after="20" w:line="240" w:lineRule="auto"/>
              <w:ind w:firstLine="0"/>
              <w:jc w:val="left"/>
            </w:pPr>
            <w:r>
              <w:rPr>
                <w:rFonts w:ascii="Arial" w:hAnsi="Arial"/>
                <w:color w:val="000000"/>
                <w:sz w:val="18"/>
              </w:rPr>
              <w:t>2</w:t>
            </w:r>
          </w:p>
        </w:tc>
        <w:tc>
          <w:tcPr>
            <w:tcW w:type="dxa" w:w="3061"/>
          </w:tcPr>
          <w:p>
            <w:pPr>
              <w:spacing w:after="20" w:line="240" w:lineRule="auto"/>
              <w:ind w:firstLine="0"/>
              <w:jc w:val="center"/>
            </w:pPr>
            <w:r>
              <w:rPr>
                <w:rFonts w:ascii="Arial" w:hAnsi="Arial"/>
                <w:color w:val="000000"/>
                <w:sz w:val="18"/>
              </w:rPr>
              <w:t>Panamá</w:t>
            </w:r>
          </w:p>
        </w:tc>
        <w:tc>
          <w:tcPr>
            <w:tcW w:type="dxa" w:w="1361"/>
          </w:tcPr>
          <w:p>
            <w:pPr>
              <w:spacing w:after="20" w:line="240" w:lineRule="auto"/>
              <w:ind w:firstLine="0"/>
              <w:jc w:val="center"/>
            </w:pPr>
            <w:r>
              <w:rPr>
                <w:rFonts w:ascii="Arial" w:hAnsi="Arial"/>
                <w:color w:val="000000"/>
                <w:sz w:val="18"/>
              </w:rPr>
              <w:t>1,113</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3</w:t>
            </w:r>
          </w:p>
        </w:tc>
        <w:tc>
          <w:tcPr>
            <w:tcW w:type="dxa" w:w="3061"/>
          </w:tcPr>
          <w:p>
            <w:pPr>
              <w:spacing w:after="20" w:line="240" w:lineRule="auto"/>
              <w:ind w:firstLine="0"/>
              <w:jc w:val="center"/>
            </w:pPr>
            <w:r>
              <w:rPr>
                <w:rFonts w:ascii="Arial" w:hAnsi="Arial"/>
                <w:color w:val="000000"/>
                <w:sz w:val="18"/>
              </w:rPr>
              <w:t>Brasil</w:t>
            </w:r>
          </w:p>
        </w:tc>
        <w:tc>
          <w:tcPr>
            <w:tcW w:type="dxa" w:w="1361"/>
          </w:tcPr>
          <w:p>
            <w:pPr>
              <w:spacing w:after="20" w:line="240" w:lineRule="auto"/>
              <w:ind w:firstLine="0"/>
              <w:jc w:val="center"/>
            </w:pPr>
            <w:r>
              <w:rPr>
                <w:rFonts w:ascii="Arial" w:hAnsi="Arial"/>
                <w:color w:val="000000"/>
                <w:sz w:val="18"/>
              </w:rPr>
              <w:t>0,959</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4</w:t>
            </w:r>
          </w:p>
        </w:tc>
        <w:tc>
          <w:tcPr>
            <w:tcW w:type="dxa" w:w="3061"/>
          </w:tcPr>
          <w:p>
            <w:pPr>
              <w:spacing w:after="20" w:line="240" w:lineRule="auto"/>
              <w:ind w:firstLine="0"/>
              <w:jc w:val="center"/>
            </w:pPr>
            <w:r>
              <w:rPr>
                <w:rFonts w:ascii="Arial" w:hAnsi="Arial"/>
                <w:color w:val="000000"/>
                <w:sz w:val="18"/>
              </w:rPr>
              <w:t>Belize</w:t>
            </w:r>
          </w:p>
        </w:tc>
        <w:tc>
          <w:tcPr>
            <w:tcW w:type="dxa" w:w="1361"/>
          </w:tcPr>
          <w:p>
            <w:pPr>
              <w:spacing w:after="20" w:line="240" w:lineRule="auto"/>
              <w:ind w:firstLine="0"/>
              <w:jc w:val="center"/>
            </w:pPr>
            <w:r>
              <w:rPr>
                <w:rFonts w:ascii="Arial" w:hAnsi="Arial"/>
                <w:color w:val="000000"/>
                <w:sz w:val="18"/>
              </w:rPr>
              <w:t>0,944</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5</w:t>
            </w:r>
          </w:p>
        </w:tc>
        <w:tc>
          <w:tcPr>
            <w:tcW w:type="dxa" w:w="3061"/>
          </w:tcPr>
          <w:p>
            <w:pPr>
              <w:spacing w:after="20" w:line="240" w:lineRule="auto"/>
              <w:ind w:firstLine="0"/>
              <w:jc w:val="center"/>
            </w:pPr>
            <w:r>
              <w:rPr>
                <w:rFonts w:ascii="Arial" w:hAnsi="Arial"/>
                <w:color w:val="000000"/>
                <w:sz w:val="18"/>
              </w:rPr>
              <w:t>Guatemala</w:t>
            </w:r>
          </w:p>
        </w:tc>
        <w:tc>
          <w:tcPr>
            <w:tcW w:type="dxa" w:w="1361"/>
          </w:tcPr>
          <w:p>
            <w:pPr>
              <w:spacing w:after="20" w:line="240" w:lineRule="auto"/>
              <w:ind w:firstLine="0"/>
              <w:jc w:val="center"/>
            </w:pPr>
            <w:r>
              <w:rPr>
                <w:rFonts w:ascii="Arial" w:hAnsi="Arial"/>
                <w:color w:val="000000"/>
                <w:sz w:val="18"/>
              </w:rPr>
              <w:t>0,935</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6</w:t>
            </w:r>
          </w:p>
        </w:tc>
        <w:tc>
          <w:tcPr>
            <w:tcW w:type="dxa" w:w="3061"/>
          </w:tcPr>
          <w:p>
            <w:pPr>
              <w:spacing w:after="20" w:line="240" w:lineRule="auto"/>
              <w:ind w:firstLine="0"/>
              <w:jc w:val="center"/>
            </w:pPr>
            <w:r>
              <w:rPr>
                <w:rFonts w:ascii="Arial" w:hAnsi="Arial"/>
                <w:color w:val="000000"/>
                <w:sz w:val="18"/>
              </w:rPr>
              <w:t>Jamaica</w:t>
            </w:r>
          </w:p>
        </w:tc>
        <w:tc>
          <w:tcPr>
            <w:tcW w:type="dxa" w:w="1361"/>
          </w:tcPr>
          <w:p>
            <w:pPr>
              <w:spacing w:after="20" w:line="240" w:lineRule="auto"/>
              <w:ind w:firstLine="0"/>
              <w:jc w:val="center"/>
            </w:pPr>
            <w:r>
              <w:rPr>
                <w:rFonts w:ascii="Arial" w:hAnsi="Arial"/>
                <w:color w:val="000000"/>
                <w:sz w:val="18"/>
              </w:rPr>
              <w:t>0,926</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7</w:t>
            </w:r>
          </w:p>
        </w:tc>
        <w:tc>
          <w:tcPr>
            <w:tcW w:type="dxa" w:w="3061"/>
          </w:tcPr>
          <w:p>
            <w:pPr>
              <w:spacing w:after="20" w:line="240" w:lineRule="auto"/>
              <w:ind w:firstLine="0"/>
              <w:jc w:val="center"/>
            </w:pPr>
            <w:r>
              <w:rPr>
                <w:rFonts w:ascii="Arial" w:hAnsi="Arial"/>
                <w:color w:val="000000"/>
                <w:sz w:val="18"/>
              </w:rPr>
              <w:t>Honduras</w:t>
            </w:r>
          </w:p>
        </w:tc>
        <w:tc>
          <w:tcPr>
            <w:tcW w:type="dxa" w:w="1361"/>
          </w:tcPr>
          <w:p>
            <w:pPr>
              <w:spacing w:after="20" w:line="240" w:lineRule="auto"/>
              <w:ind w:firstLine="0"/>
              <w:jc w:val="center"/>
            </w:pPr>
            <w:r>
              <w:rPr>
                <w:rFonts w:ascii="Arial" w:hAnsi="Arial"/>
                <w:color w:val="000000"/>
                <w:sz w:val="18"/>
              </w:rPr>
              <w:t>0,782</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8</w:t>
            </w:r>
          </w:p>
        </w:tc>
        <w:tc>
          <w:tcPr>
            <w:tcW w:type="dxa" w:w="3061"/>
          </w:tcPr>
          <w:p>
            <w:pPr>
              <w:spacing w:after="20" w:line="240" w:lineRule="auto"/>
              <w:ind w:firstLine="0"/>
              <w:jc w:val="center"/>
            </w:pPr>
            <w:r>
              <w:rPr>
                <w:rFonts w:ascii="Arial" w:hAnsi="Arial"/>
                <w:color w:val="000000"/>
                <w:sz w:val="18"/>
              </w:rPr>
              <w:t>Costa Rica</w:t>
            </w:r>
          </w:p>
        </w:tc>
        <w:tc>
          <w:tcPr>
            <w:tcW w:type="dxa" w:w="1361"/>
          </w:tcPr>
          <w:p>
            <w:pPr>
              <w:spacing w:after="20" w:line="240" w:lineRule="auto"/>
              <w:ind w:firstLine="0"/>
              <w:jc w:val="center"/>
            </w:pPr>
            <w:r>
              <w:rPr>
                <w:rFonts w:ascii="Arial" w:hAnsi="Arial"/>
                <w:color w:val="000000"/>
                <w:sz w:val="18"/>
              </w:rPr>
              <w:t>0,767</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9</w:t>
            </w:r>
          </w:p>
        </w:tc>
        <w:tc>
          <w:tcPr>
            <w:tcW w:type="dxa" w:w="3061"/>
          </w:tcPr>
          <w:p>
            <w:pPr>
              <w:spacing w:after="20" w:line="240" w:lineRule="auto"/>
              <w:ind w:firstLine="0"/>
              <w:jc w:val="center"/>
            </w:pPr>
            <w:r>
              <w:rPr>
                <w:rFonts w:ascii="Arial" w:hAnsi="Arial"/>
                <w:color w:val="000000"/>
                <w:sz w:val="18"/>
              </w:rPr>
              <w:t>Nicarágua</w:t>
            </w:r>
          </w:p>
        </w:tc>
        <w:tc>
          <w:tcPr>
            <w:tcW w:type="dxa" w:w="1361"/>
          </w:tcPr>
          <w:p>
            <w:pPr>
              <w:spacing w:after="20" w:line="240" w:lineRule="auto"/>
              <w:ind w:firstLine="0"/>
              <w:jc w:val="center"/>
            </w:pPr>
            <w:r>
              <w:rPr>
                <w:rFonts w:ascii="Arial" w:hAnsi="Arial"/>
                <w:color w:val="000000"/>
                <w:sz w:val="18"/>
              </w:rPr>
              <w:t>0,725</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10</w:t>
            </w:r>
          </w:p>
        </w:tc>
        <w:tc>
          <w:tcPr>
            <w:tcW w:type="dxa" w:w="3061"/>
          </w:tcPr>
          <w:p>
            <w:pPr>
              <w:spacing w:after="20" w:line="240" w:lineRule="auto"/>
              <w:ind w:firstLine="0"/>
              <w:jc w:val="center"/>
            </w:pPr>
            <w:r>
              <w:rPr>
                <w:rFonts w:ascii="Arial" w:hAnsi="Arial"/>
                <w:color w:val="000000"/>
                <w:sz w:val="18"/>
              </w:rPr>
              <w:t>El Salvador</w:t>
            </w:r>
          </w:p>
        </w:tc>
        <w:tc>
          <w:tcPr>
            <w:tcW w:type="dxa" w:w="1361"/>
          </w:tcPr>
          <w:p>
            <w:pPr>
              <w:spacing w:after="20" w:line="240" w:lineRule="auto"/>
              <w:ind w:firstLine="0"/>
              <w:jc w:val="center"/>
            </w:pPr>
            <w:r>
              <w:rPr>
                <w:rFonts w:ascii="Arial" w:hAnsi="Arial"/>
                <w:color w:val="000000"/>
                <w:sz w:val="18"/>
              </w:rPr>
              <w:t>0,650</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11</w:t>
            </w:r>
          </w:p>
        </w:tc>
        <w:tc>
          <w:tcPr>
            <w:tcW w:type="dxa" w:w="3061"/>
          </w:tcPr>
          <w:p>
            <w:pPr>
              <w:spacing w:after="20" w:line="240" w:lineRule="auto"/>
              <w:ind w:firstLine="0"/>
              <w:jc w:val="center"/>
            </w:pPr>
            <w:r>
              <w:rPr>
                <w:rFonts w:ascii="Arial" w:hAnsi="Arial"/>
                <w:color w:val="000000"/>
                <w:sz w:val="18"/>
              </w:rPr>
              <w:t>República Dominicana</w:t>
            </w:r>
          </w:p>
        </w:tc>
        <w:tc>
          <w:tcPr>
            <w:tcW w:type="dxa" w:w="1361"/>
          </w:tcPr>
          <w:p>
            <w:pPr>
              <w:spacing w:after="20" w:line="240" w:lineRule="auto"/>
              <w:ind w:firstLine="0"/>
              <w:jc w:val="center"/>
            </w:pPr>
            <w:r>
              <w:rPr>
                <w:rFonts w:ascii="Arial" w:hAnsi="Arial"/>
                <w:color w:val="000000"/>
                <w:sz w:val="18"/>
              </w:rPr>
              <w:t>0,637</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12</w:t>
            </w:r>
          </w:p>
        </w:tc>
        <w:tc>
          <w:tcPr>
            <w:tcW w:type="dxa" w:w="3061"/>
          </w:tcPr>
          <w:p>
            <w:pPr>
              <w:spacing w:after="20" w:line="240" w:lineRule="auto"/>
              <w:ind w:firstLine="0"/>
              <w:jc w:val="center"/>
            </w:pPr>
            <w:r>
              <w:rPr>
                <w:rFonts w:ascii="Arial" w:hAnsi="Arial"/>
                <w:color w:val="000000"/>
                <w:sz w:val="18"/>
              </w:rPr>
              <w:t>Chile</w:t>
            </w:r>
          </w:p>
        </w:tc>
        <w:tc>
          <w:tcPr>
            <w:tcW w:type="dxa" w:w="1361"/>
          </w:tcPr>
          <w:p>
            <w:pPr>
              <w:spacing w:after="20" w:line="240" w:lineRule="auto"/>
              <w:ind w:firstLine="0"/>
              <w:jc w:val="center"/>
            </w:pPr>
            <w:r>
              <w:rPr>
                <w:rFonts w:ascii="Arial" w:hAnsi="Arial"/>
                <w:color w:val="000000"/>
                <w:sz w:val="18"/>
              </w:rPr>
              <w:t>0,608</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sim</w:t>
            </w:r>
          </w:p>
        </w:tc>
      </w:tr>
      <w:tr>
        <w:tc>
          <w:tcPr>
            <w:tcW w:type="dxa" w:w="567"/>
          </w:tcPr>
          <w:p>
            <w:pPr>
              <w:spacing w:after="20" w:line="240" w:lineRule="auto"/>
              <w:ind w:firstLine="0"/>
              <w:jc w:val="left"/>
            </w:pPr>
            <w:r>
              <w:rPr>
                <w:rFonts w:ascii="Arial" w:hAnsi="Arial"/>
                <w:color w:val="000000"/>
                <w:sz w:val="18"/>
              </w:rPr>
              <w:t>13</w:t>
            </w:r>
          </w:p>
        </w:tc>
        <w:tc>
          <w:tcPr>
            <w:tcW w:type="dxa" w:w="3061"/>
          </w:tcPr>
          <w:p>
            <w:pPr>
              <w:spacing w:after="20" w:line="240" w:lineRule="auto"/>
              <w:ind w:firstLine="0"/>
              <w:jc w:val="center"/>
            </w:pPr>
            <w:r>
              <w:rPr>
                <w:rFonts w:ascii="Arial" w:hAnsi="Arial"/>
                <w:color w:val="000000"/>
                <w:sz w:val="18"/>
              </w:rPr>
              <w:t>Argentina</w:t>
            </w:r>
          </w:p>
        </w:tc>
        <w:tc>
          <w:tcPr>
            <w:tcW w:type="dxa" w:w="1361"/>
          </w:tcPr>
          <w:p>
            <w:pPr>
              <w:spacing w:after="20" w:line="240" w:lineRule="auto"/>
              <w:ind w:firstLine="0"/>
              <w:jc w:val="center"/>
            </w:pPr>
            <w:r>
              <w:rPr>
                <w:rFonts w:ascii="Arial" w:hAnsi="Arial"/>
                <w:color w:val="000000"/>
                <w:sz w:val="18"/>
              </w:rPr>
              <w:t>0,428</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14</w:t>
            </w:r>
          </w:p>
        </w:tc>
        <w:tc>
          <w:tcPr>
            <w:tcW w:type="dxa" w:w="3061"/>
          </w:tcPr>
          <w:p>
            <w:pPr>
              <w:spacing w:after="20" w:line="240" w:lineRule="auto"/>
              <w:ind w:firstLine="0"/>
              <w:jc w:val="center"/>
            </w:pPr>
            <w:r>
              <w:rPr>
                <w:rFonts w:ascii="Arial" w:hAnsi="Arial"/>
                <w:color w:val="000000"/>
                <w:sz w:val="18"/>
              </w:rPr>
              <w:t>México</w:t>
            </w:r>
          </w:p>
        </w:tc>
        <w:tc>
          <w:tcPr>
            <w:tcW w:type="dxa" w:w="1361"/>
          </w:tcPr>
          <w:p>
            <w:pPr>
              <w:spacing w:after="20" w:line="240" w:lineRule="auto"/>
              <w:ind w:firstLine="0"/>
              <w:jc w:val="center"/>
            </w:pPr>
            <w:r>
              <w:rPr>
                <w:rFonts w:ascii="Arial" w:hAnsi="Arial"/>
                <w:color w:val="000000"/>
                <w:sz w:val="18"/>
              </w:rPr>
              <w:t>0,346</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15</w:t>
            </w:r>
          </w:p>
        </w:tc>
        <w:tc>
          <w:tcPr>
            <w:tcW w:type="dxa" w:w="3061"/>
          </w:tcPr>
          <w:p>
            <w:pPr>
              <w:spacing w:after="20" w:line="240" w:lineRule="auto"/>
              <w:ind w:firstLine="0"/>
              <w:jc w:val="center"/>
            </w:pPr>
            <w:r>
              <w:rPr>
                <w:rFonts w:ascii="Arial" w:hAnsi="Arial"/>
                <w:color w:val="000000"/>
                <w:sz w:val="18"/>
              </w:rPr>
              <w:t>Equador</w:t>
            </w:r>
          </w:p>
        </w:tc>
        <w:tc>
          <w:tcPr>
            <w:tcW w:type="dxa" w:w="1361"/>
          </w:tcPr>
          <w:p>
            <w:pPr>
              <w:spacing w:after="20" w:line="240" w:lineRule="auto"/>
              <w:ind w:firstLine="0"/>
              <w:jc w:val="center"/>
            </w:pPr>
            <w:r>
              <w:rPr>
                <w:rFonts w:ascii="Arial" w:hAnsi="Arial"/>
                <w:color w:val="000000"/>
                <w:sz w:val="18"/>
              </w:rPr>
              <w:t>0,310</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Borders>
              <w:bottom w:val="single" w:sz="12" w:color="000000"/>
            </w:tcBorders>
          </w:tcPr>
          <w:p>
            <w:pPr>
              <w:spacing w:after="20" w:line="240" w:lineRule="auto"/>
              <w:ind w:firstLine="0"/>
              <w:jc w:val="left"/>
            </w:pPr>
            <w:r>
              <w:rPr>
                <w:rFonts w:ascii="Arial" w:hAnsi="Arial"/>
                <w:color w:val="000000"/>
                <w:sz w:val="18"/>
              </w:rPr>
              <w:t>16</w:t>
            </w:r>
          </w:p>
        </w:tc>
        <w:tc>
          <w:tcPr>
            <w:tcW w:type="dxa" w:w="3061"/>
            <w:tcBorders>
              <w:bottom w:val="single" w:sz="12" w:color="000000"/>
            </w:tcBorders>
          </w:tcPr>
          <w:p>
            <w:pPr>
              <w:spacing w:after="20" w:line="240" w:lineRule="auto"/>
              <w:ind w:firstLine="0"/>
              <w:jc w:val="center"/>
            </w:pPr>
            <w:r>
              <w:rPr>
                <w:rFonts w:ascii="Arial" w:hAnsi="Arial"/>
                <w:color w:val="000000"/>
                <w:sz w:val="18"/>
              </w:rPr>
              <w:t>Bolívia</w:t>
            </w:r>
          </w:p>
        </w:tc>
        <w:tc>
          <w:tcPr>
            <w:tcW w:type="dxa" w:w="1361"/>
            <w:tcBorders>
              <w:bottom w:val="single" w:sz="12" w:color="000000"/>
            </w:tcBorders>
          </w:tcPr>
          <w:p>
            <w:pPr>
              <w:spacing w:after="20" w:line="240" w:lineRule="auto"/>
              <w:ind w:firstLine="0"/>
              <w:jc w:val="center"/>
            </w:pPr>
            <w:r>
              <w:rPr>
                <w:rFonts w:ascii="Arial" w:hAnsi="Arial"/>
                <w:color w:val="000000"/>
                <w:sz w:val="18"/>
              </w:rPr>
              <w:t>0,003</w:t>
            </w:r>
          </w:p>
        </w:tc>
        <w:tc>
          <w:tcPr>
            <w:tcW w:type="dxa" w:w="2041"/>
            <w:tcBorders>
              <w:bottom w:val="single" w:sz="12" w:color="000000"/>
            </w:tcBorders>
          </w:tcPr>
          <w:p>
            <w:pPr>
              <w:spacing w:after="20" w:line="240" w:lineRule="auto"/>
              <w:ind w:firstLine="0"/>
              <w:jc w:val="center"/>
            </w:pPr>
            <w:r>
              <w:rPr>
                <w:rFonts w:ascii="Arial" w:hAnsi="Arial"/>
                <w:color w:val="000000"/>
                <w:sz w:val="18"/>
              </w:rPr>
              <w:t>regulado</w:t>
            </w:r>
          </w:p>
        </w:tc>
        <w:tc>
          <w:tcPr>
            <w:tcW w:type="dxa" w:w="2041"/>
            <w:tcBorders>
              <w:bottom w:val="single" w:sz="12" w:color="000000"/>
            </w:tcBorders>
          </w:tcPr>
          <w:p>
            <w:pPr>
              <w:spacing w:after="20" w:line="240" w:lineRule="auto"/>
              <w:ind w:firstLine="0"/>
              <w:jc w:val="center"/>
            </w:pPr>
            <w:r>
              <w:rPr>
                <w:rFonts w:ascii="Arial" w:hAnsi="Arial"/>
                <w:color w:val="000000"/>
                <w:sz w:val="18"/>
              </w:rPr>
              <w:t>não</w:t>
            </w:r>
          </w:p>
        </w:tc>
      </w:tr>
    </w:tbl>
    <w:p>
      <w:pPr>
        <w:spacing w:line="240" w:lineRule="auto" w:after="0"/>
        <w:ind w:firstLine="0"/>
        <w:jc w:val="both"/>
      </w:pPr>
      <w:r>
        <w:rPr>
          <w:rFonts w:ascii="Arial" w:hAnsi="Arial"/>
          <w:color w:val="000000"/>
          <w:sz w:val="18"/>
        </w:rPr>
        <w:t>Nota: repasse de 1,000 corresponde à transmissão integral da variação internacional ao preço de varejo. A Bolívia pratica preço congelado no período. A Colômbia não dispõe de série de preços utilizável nesta base e por isso não consta da tabela.</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A ordenação regional não se explica apenas pela classificação binária da regra de preço. O Peru, classificado como desregulado, apresenta o maior repasse da amostra ainda mantendo fundo de estabilização, ao passo que o Panamá, classificado como regulado, situa-se em segundo lugar. O que o quadro sustenta é a associação central, e não uma correspondência termo a termo: a Tabela I.2 mostra que a mediana dos países de preço desregulado supera em duas vezes e meia a dos países de preço regulado, e o Brasil situa-se acima do terceiro quartil do próprio grupo a que pertence.</w:t>
      </w:r>
    </w:p>
    <w:p>
      <w:pPr>
        <w:spacing w:before="200" w:after="40" w:line="240" w:lineRule="auto"/>
        <w:ind w:firstLine="0"/>
      </w:pPr>
      <w:r>
        <w:rPr>
          <w:rFonts w:ascii="Arial" w:hAnsi="Arial"/>
          <w:color w:val="000000"/>
          <w:sz w:val="20"/>
        </w:rPr>
        <w:t>Tabela I.2 – Distribuição do repasse por regra de preço, 65 economias</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2608"/>
            <w:tcBorders>
              <w:top w:val="single" w:sz="12" w:color="000000"/>
              <w:bottom w:val="single" w:sz="6" w:color="000000"/>
            </w:tcBorders>
          </w:tcPr>
          <w:p>
            <w:pPr>
              <w:spacing w:after="20" w:line="240" w:lineRule="auto"/>
              <w:ind w:firstLine="0"/>
            </w:pPr>
            <w:r>
              <w:rPr>
                <w:rFonts w:ascii="Arial" w:hAnsi="Arial"/>
                <w:b/>
                <w:color w:val="000000"/>
                <w:sz w:val="18"/>
              </w:rPr>
              <w:t>Grupo</w:t>
            </w:r>
          </w:p>
        </w:tc>
        <w:tc>
          <w:tcPr>
            <w:tcW w:type="dxa" w:w="794"/>
            <w:tcBorders>
              <w:top w:val="single" w:sz="12" w:color="000000"/>
              <w:bottom w:val="single" w:sz="6" w:color="000000"/>
            </w:tcBorders>
          </w:tcPr>
          <w:p>
            <w:pPr>
              <w:spacing w:after="20" w:line="240" w:lineRule="auto"/>
              <w:ind w:firstLine="0"/>
            </w:pPr>
            <w:r>
              <w:rPr>
                <w:rFonts w:ascii="Arial" w:hAnsi="Arial"/>
                <w:b/>
                <w:color w:val="000000"/>
                <w:sz w:val="18"/>
              </w:rPr>
              <w:t>n</w:t>
            </w:r>
          </w:p>
        </w:tc>
        <w:tc>
          <w:tcPr>
            <w:tcW w:type="dxa" w:w="1417"/>
            <w:tcBorders>
              <w:top w:val="single" w:sz="12" w:color="000000"/>
              <w:bottom w:val="single" w:sz="6" w:color="000000"/>
            </w:tcBorders>
          </w:tcPr>
          <w:p>
            <w:pPr>
              <w:spacing w:after="20" w:line="240" w:lineRule="auto"/>
              <w:ind w:firstLine="0"/>
            </w:pPr>
            <w:r>
              <w:rPr>
                <w:rFonts w:ascii="Arial" w:hAnsi="Arial"/>
                <w:b/>
                <w:color w:val="000000"/>
                <w:sz w:val="18"/>
              </w:rPr>
              <w:t>1º quartil</w:t>
            </w:r>
          </w:p>
        </w:tc>
        <w:tc>
          <w:tcPr>
            <w:tcW w:type="dxa" w:w="1417"/>
            <w:tcBorders>
              <w:top w:val="single" w:sz="12" w:color="000000"/>
              <w:bottom w:val="single" w:sz="6" w:color="000000"/>
            </w:tcBorders>
          </w:tcPr>
          <w:p>
            <w:pPr>
              <w:spacing w:after="20" w:line="240" w:lineRule="auto"/>
              <w:ind w:firstLine="0"/>
            </w:pPr>
            <w:r>
              <w:rPr>
                <w:rFonts w:ascii="Arial" w:hAnsi="Arial"/>
                <w:b/>
                <w:color w:val="000000"/>
                <w:sz w:val="18"/>
              </w:rPr>
              <w:t>Mediana</w:t>
            </w:r>
          </w:p>
        </w:tc>
        <w:tc>
          <w:tcPr>
            <w:tcW w:type="dxa" w:w="1417"/>
            <w:tcBorders>
              <w:top w:val="single" w:sz="12" w:color="000000"/>
              <w:bottom w:val="single" w:sz="6" w:color="000000"/>
            </w:tcBorders>
          </w:tcPr>
          <w:p>
            <w:pPr>
              <w:spacing w:after="20" w:line="240" w:lineRule="auto"/>
              <w:ind w:firstLine="0"/>
            </w:pPr>
            <w:r>
              <w:rPr>
                <w:rFonts w:ascii="Arial" w:hAnsi="Arial"/>
                <w:b/>
                <w:color w:val="000000"/>
                <w:sz w:val="18"/>
              </w:rPr>
              <w:t>3º quartil</w:t>
            </w:r>
          </w:p>
        </w:tc>
        <w:tc>
          <w:tcPr>
            <w:tcW w:type="dxa" w:w="1417"/>
            <w:tcBorders>
              <w:top w:val="single" w:sz="12" w:color="000000"/>
              <w:bottom w:val="single" w:sz="6" w:color="000000"/>
            </w:tcBorders>
          </w:tcPr>
          <w:p>
            <w:pPr>
              <w:spacing w:after="20" w:line="240" w:lineRule="auto"/>
              <w:ind w:firstLine="0"/>
            </w:pPr>
            <w:r>
              <w:rPr>
                <w:rFonts w:ascii="Arial" w:hAnsi="Arial"/>
                <w:b/>
                <w:color w:val="000000"/>
                <w:sz w:val="18"/>
              </w:rPr>
              <w:t>Média</w:t>
            </w:r>
          </w:p>
        </w:tc>
      </w:tr>
      <w:tr>
        <w:tc>
          <w:tcPr>
            <w:tcW w:type="dxa" w:w="2608"/>
          </w:tcPr>
          <w:p>
            <w:pPr>
              <w:spacing w:after="20" w:line="240" w:lineRule="auto"/>
              <w:ind w:firstLine="0"/>
              <w:jc w:val="left"/>
            </w:pPr>
            <w:r>
              <w:rPr>
                <w:rFonts w:ascii="Arial" w:hAnsi="Arial"/>
                <w:color w:val="000000"/>
                <w:sz w:val="18"/>
              </w:rPr>
              <w:t>Preço desregulado</w:t>
            </w:r>
          </w:p>
        </w:tc>
        <w:tc>
          <w:tcPr>
            <w:tcW w:type="dxa" w:w="794"/>
          </w:tcPr>
          <w:p>
            <w:pPr>
              <w:spacing w:after="20" w:line="240" w:lineRule="auto"/>
              <w:ind w:firstLine="0"/>
              <w:jc w:val="center"/>
            </w:pPr>
            <w:r>
              <w:rPr>
                <w:rFonts w:ascii="Arial" w:hAnsi="Arial"/>
                <w:color w:val="000000"/>
                <w:sz w:val="18"/>
              </w:rPr>
              <w:t>15</w:t>
            </w:r>
          </w:p>
        </w:tc>
        <w:tc>
          <w:tcPr>
            <w:tcW w:type="dxa" w:w="1417"/>
          </w:tcPr>
          <w:p>
            <w:pPr>
              <w:spacing w:after="20" w:line="240" w:lineRule="auto"/>
              <w:ind w:firstLine="0"/>
              <w:jc w:val="center"/>
            </w:pPr>
            <w:r>
              <w:rPr>
                <w:rFonts w:ascii="Arial" w:hAnsi="Arial"/>
                <w:color w:val="000000"/>
                <w:sz w:val="18"/>
              </w:rPr>
              <w:t>0,525</w:t>
            </w:r>
          </w:p>
        </w:tc>
        <w:tc>
          <w:tcPr>
            <w:tcW w:type="dxa" w:w="1417"/>
          </w:tcPr>
          <w:p>
            <w:pPr>
              <w:spacing w:after="20" w:line="240" w:lineRule="auto"/>
              <w:ind w:firstLine="0"/>
              <w:jc w:val="center"/>
            </w:pPr>
            <w:r>
              <w:rPr>
                <w:rFonts w:ascii="Arial" w:hAnsi="Arial"/>
                <w:color w:val="000000"/>
                <w:sz w:val="18"/>
              </w:rPr>
              <w:t>0,870</w:t>
            </w:r>
          </w:p>
        </w:tc>
        <w:tc>
          <w:tcPr>
            <w:tcW w:type="dxa" w:w="1417"/>
          </w:tcPr>
          <w:p>
            <w:pPr>
              <w:spacing w:after="20" w:line="240" w:lineRule="auto"/>
              <w:ind w:firstLine="0"/>
              <w:jc w:val="center"/>
            </w:pPr>
            <w:r>
              <w:rPr>
                <w:rFonts w:ascii="Arial" w:hAnsi="Arial"/>
                <w:color w:val="000000"/>
                <w:sz w:val="18"/>
              </w:rPr>
              <w:t>0,958</w:t>
            </w:r>
          </w:p>
        </w:tc>
        <w:tc>
          <w:tcPr>
            <w:tcW w:type="dxa" w:w="1417"/>
          </w:tcPr>
          <w:p>
            <w:pPr>
              <w:spacing w:after="20" w:line="240" w:lineRule="auto"/>
              <w:ind w:firstLine="0"/>
              <w:jc w:val="center"/>
            </w:pPr>
            <w:r>
              <w:rPr>
                <w:rFonts w:ascii="Arial" w:hAnsi="Arial"/>
                <w:color w:val="000000"/>
                <w:sz w:val="18"/>
              </w:rPr>
              <w:t>0,750</w:t>
            </w:r>
          </w:p>
        </w:tc>
      </w:tr>
      <w:tr>
        <w:tc>
          <w:tcPr>
            <w:tcW w:type="dxa" w:w="2608"/>
          </w:tcPr>
          <w:p>
            <w:pPr>
              <w:spacing w:after="20" w:line="240" w:lineRule="auto"/>
              <w:ind w:firstLine="0"/>
              <w:jc w:val="left"/>
            </w:pPr>
            <w:r>
              <w:rPr>
                <w:rFonts w:ascii="Arial" w:hAnsi="Arial"/>
                <w:color w:val="000000"/>
                <w:sz w:val="18"/>
              </w:rPr>
              <w:t>Preço regulado</w:t>
            </w:r>
          </w:p>
        </w:tc>
        <w:tc>
          <w:tcPr>
            <w:tcW w:type="dxa" w:w="794"/>
          </w:tcPr>
          <w:p>
            <w:pPr>
              <w:spacing w:after="20" w:line="240" w:lineRule="auto"/>
              <w:ind w:firstLine="0"/>
              <w:jc w:val="center"/>
            </w:pPr>
            <w:r>
              <w:rPr>
                <w:rFonts w:ascii="Arial" w:hAnsi="Arial"/>
                <w:color w:val="000000"/>
                <w:sz w:val="18"/>
              </w:rPr>
              <w:t>50</w:t>
            </w:r>
          </w:p>
        </w:tc>
        <w:tc>
          <w:tcPr>
            <w:tcW w:type="dxa" w:w="1417"/>
          </w:tcPr>
          <w:p>
            <w:pPr>
              <w:spacing w:after="20" w:line="240" w:lineRule="auto"/>
              <w:ind w:firstLine="0"/>
              <w:jc w:val="center"/>
            </w:pPr>
            <w:r>
              <w:rPr>
                <w:rFonts w:ascii="Arial" w:hAnsi="Arial"/>
                <w:color w:val="000000"/>
                <w:sz w:val="18"/>
              </w:rPr>
              <w:t>0,003</w:t>
            </w:r>
          </w:p>
        </w:tc>
        <w:tc>
          <w:tcPr>
            <w:tcW w:type="dxa" w:w="1417"/>
          </w:tcPr>
          <w:p>
            <w:pPr>
              <w:spacing w:after="20" w:line="240" w:lineRule="auto"/>
              <w:ind w:firstLine="0"/>
              <w:jc w:val="center"/>
            </w:pPr>
            <w:r>
              <w:rPr>
                <w:rFonts w:ascii="Arial" w:hAnsi="Arial"/>
                <w:color w:val="000000"/>
                <w:sz w:val="18"/>
              </w:rPr>
              <w:t>0,351</w:t>
            </w:r>
          </w:p>
        </w:tc>
        <w:tc>
          <w:tcPr>
            <w:tcW w:type="dxa" w:w="1417"/>
          </w:tcPr>
          <w:p>
            <w:pPr>
              <w:spacing w:after="20" w:line="240" w:lineRule="auto"/>
              <w:ind w:firstLine="0"/>
              <w:jc w:val="center"/>
            </w:pPr>
            <w:r>
              <w:rPr>
                <w:rFonts w:ascii="Arial" w:hAnsi="Arial"/>
                <w:color w:val="000000"/>
                <w:sz w:val="18"/>
              </w:rPr>
              <w:t>0,778</w:t>
            </w:r>
          </w:p>
        </w:tc>
        <w:tc>
          <w:tcPr>
            <w:tcW w:type="dxa" w:w="1417"/>
          </w:tcPr>
          <w:p>
            <w:pPr>
              <w:spacing w:after="20" w:line="240" w:lineRule="auto"/>
              <w:ind w:firstLine="0"/>
              <w:jc w:val="center"/>
            </w:pPr>
            <w:r>
              <w:rPr>
                <w:rFonts w:ascii="Arial" w:hAnsi="Arial"/>
                <w:color w:val="000000"/>
                <w:sz w:val="18"/>
              </w:rPr>
              <w:t>0,408</w:t>
            </w:r>
          </w:p>
        </w:tc>
      </w:tr>
      <w:tr>
        <w:tc>
          <w:tcPr>
            <w:tcW w:type="dxa" w:w="2608"/>
          </w:tcPr>
          <w:p>
            <w:pPr>
              <w:spacing w:after="20" w:line="240" w:lineRule="auto"/>
              <w:ind w:firstLine="0"/>
              <w:jc w:val="left"/>
            </w:pPr>
            <w:r>
              <w:rPr>
                <w:rFonts w:ascii="Arial" w:hAnsi="Arial"/>
                <w:color w:val="000000"/>
                <w:sz w:val="18"/>
              </w:rPr>
              <w:t>Todas as economias</w:t>
            </w:r>
          </w:p>
        </w:tc>
        <w:tc>
          <w:tcPr>
            <w:tcW w:type="dxa" w:w="794"/>
          </w:tcPr>
          <w:p>
            <w:pPr>
              <w:spacing w:after="20" w:line="240" w:lineRule="auto"/>
              <w:ind w:firstLine="0"/>
              <w:jc w:val="center"/>
            </w:pPr>
            <w:r>
              <w:rPr>
                <w:rFonts w:ascii="Arial" w:hAnsi="Arial"/>
                <w:color w:val="000000"/>
                <w:sz w:val="18"/>
              </w:rPr>
              <w:t>65</w:t>
            </w:r>
          </w:p>
        </w:tc>
        <w:tc>
          <w:tcPr>
            <w:tcW w:type="dxa" w:w="1417"/>
          </w:tcPr>
          <w:p>
            <w:pPr>
              <w:spacing w:after="20" w:line="240" w:lineRule="auto"/>
              <w:ind w:firstLine="0"/>
              <w:jc w:val="center"/>
            </w:pPr>
            <w:r>
              <w:rPr>
                <w:rFonts w:ascii="Arial" w:hAnsi="Arial"/>
                <w:color w:val="000000"/>
                <w:sz w:val="18"/>
              </w:rPr>
              <w:t>0,076</w:t>
            </w:r>
          </w:p>
        </w:tc>
        <w:tc>
          <w:tcPr>
            <w:tcW w:type="dxa" w:w="1417"/>
          </w:tcPr>
          <w:p>
            <w:pPr>
              <w:spacing w:after="20" w:line="240" w:lineRule="auto"/>
              <w:ind w:firstLine="0"/>
              <w:jc w:val="center"/>
            </w:pPr>
            <w:r>
              <w:rPr>
                <w:rFonts w:ascii="Arial" w:hAnsi="Arial"/>
                <w:color w:val="000000"/>
                <w:sz w:val="18"/>
              </w:rPr>
              <w:t>0,531</w:t>
            </w:r>
          </w:p>
        </w:tc>
        <w:tc>
          <w:tcPr>
            <w:tcW w:type="dxa" w:w="1417"/>
          </w:tcPr>
          <w:p>
            <w:pPr>
              <w:spacing w:after="20" w:line="240" w:lineRule="auto"/>
              <w:ind w:firstLine="0"/>
              <w:jc w:val="center"/>
            </w:pPr>
            <w:r>
              <w:rPr>
                <w:rFonts w:ascii="Arial" w:hAnsi="Arial"/>
                <w:color w:val="000000"/>
                <w:sz w:val="18"/>
              </w:rPr>
              <w:t>0,847</w:t>
            </w:r>
          </w:p>
        </w:tc>
        <w:tc>
          <w:tcPr>
            <w:tcW w:type="dxa" w:w="1417"/>
          </w:tcPr>
          <w:p>
            <w:pPr>
              <w:spacing w:after="20" w:line="240" w:lineRule="auto"/>
              <w:ind w:firstLine="0"/>
              <w:jc w:val="center"/>
            </w:pPr>
            <w:r>
              <w:rPr>
                <w:rFonts w:ascii="Arial" w:hAnsi="Arial"/>
                <w:color w:val="000000"/>
                <w:sz w:val="18"/>
              </w:rPr>
              <w:t>0,487</w:t>
            </w:r>
          </w:p>
        </w:tc>
      </w:tr>
      <w:tr>
        <w:tc>
          <w:tcPr>
            <w:tcW w:type="dxa" w:w="2608"/>
            <w:tcBorders>
              <w:bottom w:val="single" w:sz="12" w:color="000000"/>
            </w:tcBorders>
          </w:tcPr>
          <w:p>
            <w:pPr>
              <w:spacing w:after="20" w:line="240" w:lineRule="auto"/>
              <w:ind w:firstLine="0"/>
              <w:jc w:val="left"/>
            </w:pPr>
            <w:r>
              <w:rPr>
                <w:rFonts w:ascii="Arial" w:hAnsi="Arial"/>
                <w:color w:val="000000"/>
                <w:sz w:val="18"/>
              </w:rPr>
              <w:t>Brasil</w:t>
            </w:r>
          </w:p>
        </w:tc>
        <w:tc>
          <w:tcPr>
            <w:tcW w:type="dxa" w:w="794"/>
            <w:tcBorders>
              <w:bottom w:val="single" w:sz="12" w:color="000000"/>
            </w:tcBorders>
          </w:tcPr>
          <w:p>
            <w:pPr>
              <w:spacing w:after="20" w:line="240" w:lineRule="auto"/>
              <w:ind w:firstLine="0"/>
              <w:jc w:val="center"/>
            </w:pPr>
            <w:r>
              <w:rPr>
                <w:rFonts w:ascii="Arial" w:hAnsi="Arial"/>
                <w:color w:val="000000"/>
                <w:sz w:val="18"/>
              </w:rPr>
              <w:t>1</w:t>
            </w:r>
          </w:p>
        </w:tc>
        <w:tc>
          <w:tcPr>
            <w:tcW w:type="dxa" w:w="1417"/>
            <w:tcBorders>
              <w:bottom w:val="single" w:sz="12" w:color="000000"/>
            </w:tcBorders>
          </w:tcPr>
          <w:p>
            <w:pPr>
              <w:spacing w:after="20" w:line="240" w:lineRule="auto"/>
              <w:ind w:firstLine="0"/>
              <w:jc w:val="center"/>
            </w:pPr>
            <w:r>
              <w:rPr>
                <w:rFonts w:ascii="Arial" w:hAnsi="Arial"/>
                <w:color w:val="000000"/>
                <w:sz w:val="18"/>
              </w:rPr>
            </w:r>
          </w:p>
        </w:tc>
        <w:tc>
          <w:tcPr>
            <w:tcW w:type="dxa" w:w="1417"/>
            <w:tcBorders>
              <w:bottom w:val="single" w:sz="12" w:color="000000"/>
            </w:tcBorders>
          </w:tcPr>
          <w:p>
            <w:pPr>
              <w:spacing w:after="20" w:line="240" w:lineRule="auto"/>
              <w:ind w:firstLine="0"/>
              <w:jc w:val="center"/>
            </w:pPr>
            <w:r>
              <w:rPr>
                <w:rFonts w:ascii="Arial" w:hAnsi="Arial"/>
                <w:color w:val="000000"/>
                <w:sz w:val="18"/>
              </w:rPr>
              <w:t>0,959</w:t>
            </w:r>
          </w:p>
        </w:tc>
        <w:tc>
          <w:tcPr>
            <w:tcW w:type="dxa" w:w="1417"/>
            <w:tcBorders>
              <w:bottom w:val="single" w:sz="12" w:color="000000"/>
            </w:tcBorders>
          </w:tcPr>
          <w:p>
            <w:pPr>
              <w:spacing w:after="20" w:line="240" w:lineRule="auto"/>
              <w:ind w:firstLine="0"/>
              <w:jc w:val="center"/>
            </w:pPr>
            <w:r>
              <w:rPr>
                <w:rFonts w:ascii="Arial" w:hAnsi="Arial"/>
                <w:color w:val="000000"/>
                <w:sz w:val="18"/>
              </w:rPr>
            </w:r>
          </w:p>
        </w:tc>
        <w:tc>
          <w:tcPr>
            <w:tcW w:type="dxa" w:w="1417"/>
            <w:tcBorders>
              <w:bottom w:val="single" w:sz="12" w:color="000000"/>
            </w:tcBorders>
          </w:tcPr>
          <w:p>
            <w:pPr>
              <w:spacing w:after="20" w:line="240" w:lineRule="auto"/>
              <w:ind w:firstLine="0"/>
              <w:jc w:val="center"/>
            </w:pPr>
            <w:r>
              <w:rPr>
                <w:rFonts w:ascii="Arial" w:hAnsi="Arial"/>
                <w:color w:val="000000"/>
                <w:sz w:val="18"/>
              </w:rPr>
            </w:r>
          </w:p>
        </w:tc>
      </w:tr>
    </w:tbl>
    <w:p>
      <w:pPr>
        <w:spacing w:line="240" w:lineRule="auto" w:after="0"/>
        <w:ind w:firstLine="0"/>
        <w:jc w:val="both"/>
      </w:pPr>
      <w:r>
        <w:rPr>
          <w:rFonts w:ascii="Arial" w:hAnsi="Arial"/>
          <w:color w:val="000000"/>
          <w:sz w:val="18"/>
        </w:rPr>
        <w:t>Nota: o Brasil ocupa a oitava posição entre as 65 economias, o que corresponde ao percentil 89 da distribuição. A amostra restringe-se às economias com observação de preço de varejo em ambos os extremos da janela.</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Cabe uma observação final sobre o alcance deste exercício. A base de preços tem início em dezembro de 2015 e a classificação de política, em 2021, de modo que nenhuma das duas alcança o regime brasileiro anterior à paridade de importação. A comparação internacional situa a magnitude estimada para o regime posterior, e não substitui a datação da mudança conduzida no Capítulo 4. Registre-se, ainda, que a mesma base classifica o Brasil como economia de preço regulado no ano de 2023, e apenas nele, ao passo que o classifica como desregulado em 2021, 2022 e 2024. A oscilação coincide com o abandono da política de paridade de importação, anunciado em maio de 2023, e constitui reconhecimento externo de que a regra vigente naquele ano diferia da que a precedeu.</w:t>
      </w:r>
    </w:p>
    <w:p>
      <w:pPr>
        <w:pStyle w:val="Heading1"/>
        <w:keepNext/>
        <w:spacing w:before="280" w:after="280" w:line="360" w:lineRule="auto"/>
        <w:ind w:firstLine="0"/>
        <w:jc w:val="center"/>
      </w:pPr>
      <w:r>
        <w:rPr>
          <w:rFonts w:ascii="Arial" w:hAnsi="Arial"/>
          <w:b/>
          <w:i w:val="0"/>
          <w:color w:val="000000"/>
          <w:sz w:val="28"/>
        </w:rPr>
        <w:t>APÊNDICE J – ESTATÍSTICAS DESCRITIVAS, PESOS E RAIZ UNITÁRIA</w:t>
      </w:r>
    </w:p>
    <w:p>
      <w:pPr>
        <w:spacing w:before="0" w:after="0" w:line="360" w:lineRule="auto"/>
        <w:ind w:firstLine="709"/>
        <w:jc w:val="both"/>
      </w:pPr>
      <w:r>
        <w:rPr>
          <w:rFonts w:ascii="Arial" w:hAnsi="Arial"/>
          <w:color w:val="000000"/>
          <w:sz w:val="24"/>
        </w:rPr>
        <w:t>Este apêndice reúne três insumos que o corpo do trabalho utiliza e não reportava: as estatísticas descritivas das séries do modelo, os pesos da cesta empregados na decomposição entre primeira e segunda volta da seção 4.5.1, e os testes de raiz unitária. Nenhum deles altera resultado algum; todos são condição para que o leitor possa avaliá-los.</w:t>
      </w:r>
    </w:p>
    <w:p>
      <w:pPr>
        <w:keepNext/>
        <w:spacing w:before="240" w:after="60" w:line="240" w:lineRule="auto"/>
        <w:ind w:firstLine="0"/>
        <w:jc w:val="left"/>
      </w:pPr>
      <w:r>
        <w:rPr>
          <w:rFonts w:ascii="Arial" w:hAnsi="Arial"/>
          <w:color w:val="000000"/>
          <w:sz w:val="20"/>
        </w:rPr>
        <w:t>Tabela J.1 – Estatísticas descritivas das séries do modelo, jan/2003 a set/2025</w:t>
      </w:r>
    </w:p>
    <w:tbl>
      <w:tblPr>
        <w:tblW w:type="auto" w:w="0"/>
        <w:jc w:val="center"/>
        <w:tblLook w:firstColumn="1" w:firstRow="1" w:lastColumn="0" w:lastRow="0" w:noHBand="0" w:noVBand="1" w:val="04A0"/>
      </w:tblPr>
      <w:tblGrid>
        <w:gridCol w:w="3000"/>
        <w:gridCol w:w="700"/>
        <w:gridCol w:w="900"/>
        <w:gridCol w:w="900"/>
        <w:gridCol w:w="900"/>
        <w:gridCol w:w="900"/>
        <w:gridCol w:w="900"/>
      </w:tblGrid>
      <w:tr>
        <w:tc>
          <w:tcPr>
            <w:tcW w:type="dxa" w:w="3000"/>
            <w:tcBorders>
              <w:top w:val="single" w:sz="12" w:color="000000"/>
              <w:bottom w:val="single" w:sz="6" w:color="000000"/>
            </w:tcBorders>
          </w:tcPr>
          <w:p>
            <w:pPr>
              <w:spacing w:after="20" w:line="240" w:lineRule="auto"/>
              <w:ind w:firstLine="0"/>
            </w:pPr>
            <w:r>
              <w:rPr>
                <w:rFonts w:ascii="Arial" w:hAnsi="Arial"/>
                <w:b/>
                <w:color w:val="000000"/>
                <w:sz w:val="18"/>
              </w:rPr>
              <w:t>Série</w:t>
            </w:r>
          </w:p>
        </w:tc>
        <w:tc>
          <w:tcPr>
            <w:tcW w:type="dxa" w:w="700"/>
            <w:tcBorders>
              <w:top w:val="single" w:sz="12" w:color="000000"/>
              <w:bottom w:val="single" w:sz="6" w:color="000000"/>
            </w:tcBorders>
          </w:tcPr>
          <w:p>
            <w:pPr>
              <w:spacing w:after="20" w:line="240" w:lineRule="auto"/>
              <w:ind w:firstLine="0"/>
            </w:pPr>
            <w:r>
              <w:rPr>
                <w:rFonts w:ascii="Arial" w:hAnsi="Arial"/>
                <w:b/>
                <w:color w:val="000000"/>
                <w:sz w:val="18"/>
              </w:rPr>
              <w:t>Obs.</w:t>
            </w:r>
          </w:p>
        </w:tc>
        <w:tc>
          <w:tcPr>
            <w:tcW w:type="dxa" w:w="900"/>
            <w:tcBorders>
              <w:top w:val="single" w:sz="12" w:color="000000"/>
              <w:bottom w:val="single" w:sz="6" w:color="000000"/>
            </w:tcBorders>
          </w:tcPr>
          <w:p>
            <w:pPr>
              <w:spacing w:after="20" w:line="240" w:lineRule="auto"/>
              <w:ind w:firstLine="0"/>
            </w:pPr>
            <w:r>
              <w:rPr>
                <w:rFonts w:ascii="Arial" w:hAnsi="Arial"/>
                <w:b/>
                <w:color w:val="000000"/>
                <w:sz w:val="18"/>
              </w:rPr>
              <w:t>Média</w:t>
            </w:r>
          </w:p>
        </w:tc>
        <w:tc>
          <w:tcPr>
            <w:tcW w:type="dxa" w:w="900"/>
            <w:tcBorders>
              <w:top w:val="single" w:sz="12" w:color="000000"/>
              <w:bottom w:val="single" w:sz="6" w:color="000000"/>
            </w:tcBorders>
          </w:tcPr>
          <w:p>
            <w:pPr>
              <w:spacing w:after="20" w:line="240" w:lineRule="auto"/>
              <w:ind w:firstLine="0"/>
            </w:pPr>
            <w:r>
              <w:rPr>
                <w:rFonts w:ascii="Arial" w:hAnsi="Arial"/>
                <w:b/>
                <w:color w:val="000000"/>
                <w:sz w:val="18"/>
              </w:rPr>
              <w:t>D.P.</w:t>
            </w:r>
          </w:p>
        </w:tc>
        <w:tc>
          <w:tcPr>
            <w:tcW w:type="dxa" w:w="900"/>
            <w:tcBorders>
              <w:top w:val="single" w:sz="12" w:color="000000"/>
              <w:bottom w:val="single" w:sz="6" w:color="000000"/>
            </w:tcBorders>
          </w:tcPr>
          <w:p>
            <w:pPr>
              <w:spacing w:after="20" w:line="240" w:lineRule="auto"/>
              <w:ind w:firstLine="0"/>
            </w:pPr>
            <w:r>
              <w:rPr>
                <w:rFonts w:ascii="Arial" w:hAnsi="Arial"/>
                <w:b/>
                <w:color w:val="000000"/>
                <w:sz w:val="18"/>
              </w:rPr>
              <w:t>Mínimo</w:t>
            </w:r>
          </w:p>
        </w:tc>
        <w:tc>
          <w:tcPr>
            <w:tcW w:type="dxa" w:w="900"/>
            <w:tcBorders>
              <w:top w:val="single" w:sz="12" w:color="000000"/>
              <w:bottom w:val="single" w:sz="6" w:color="000000"/>
            </w:tcBorders>
          </w:tcPr>
          <w:p>
            <w:pPr>
              <w:spacing w:after="20" w:line="240" w:lineRule="auto"/>
              <w:ind w:firstLine="0"/>
            </w:pPr>
            <w:r>
              <w:rPr>
                <w:rFonts w:ascii="Arial" w:hAnsi="Arial"/>
                <w:b/>
                <w:color w:val="000000"/>
                <w:sz w:val="18"/>
              </w:rPr>
              <w:t>Mediana</w:t>
            </w:r>
          </w:p>
        </w:tc>
        <w:tc>
          <w:tcPr>
            <w:tcW w:type="dxa" w:w="900"/>
            <w:tcBorders>
              <w:top w:val="single" w:sz="12" w:color="000000"/>
              <w:bottom w:val="single" w:sz="6" w:color="000000"/>
            </w:tcBorders>
          </w:tcPr>
          <w:p>
            <w:pPr>
              <w:spacing w:after="20" w:line="240" w:lineRule="auto"/>
              <w:ind w:firstLine="0"/>
            </w:pPr>
            <w:r>
              <w:rPr>
                <w:rFonts w:ascii="Arial" w:hAnsi="Arial"/>
                <w:b/>
                <w:color w:val="000000"/>
                <w:sz w:val="18"/>
              </w:rPr>
              <w:t>Máximo</w:t>
            </w:r>
          </w:p>
        </w:tc>
      </w:tr>
      <w:tr>
        <w:tc>
          <w:tcPr>
            <w:tcW w:type="dxa" w:w="3000"/>
          </w:tcPr>
          <w:p>
            <w:pPr>
              <w:spacing w:after="20" w:line="240" w:lineRule="auto"/>
              <w:ind w:firstLine="0"/>
            </w:pPr>
            <w:r>
              <w:rPr>
                <w:rFonts w:ascii="Arial" w:hAnsi="Arial"/>
                <w:color w:val="000000"/>
                <w:sz w:val="18"/>
              </w:rPr>
              <w:t>Choque do petróleo (Brent, padronizado)</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0,028</w:t>
            </w:r>
          </w:p>
        </w:tc>
        <w:tc>
          <w:tcPr>
            <w:tcW w:type="dxa" w:w="900"/>
          </w:tcPr>
          <w:p>
            <w:pPr>
              <w:spacing w:after="20" w:line="240" w:lineRule="auto"/>
              <w:ind w:firstLine="0"/>
            </w:pPr>
            <w:r>
              <w:rPr>
                <w:rFonts w:ascii="Arial" w:hAnsi="Arial"/>
                <w:color w:val="000000"/>
                <w:sz w:val="18"/>
              </w:rPr>
              <w:t>1,000</w:t>
            </w:r>
          </w:p>
        </w:tc>
        <w:tc>
          <w:tcPr>
            <w:tcW w:type="dxa" w:w="900"/>
          </w:tcPr>
          <w:p>
            <w:pPr>
              <w:spacing w:after="20" w:line="240" w:lineRule="auto"/>
              <w:ind w:firstLine="0"/>
            </w:pPr>
            <w:r>
              <w:rPr>
                <w:rFonts w:ascii="Arial" w:hAnsi="Arial"/>
                <w:color w:val="000000"/>
                <w:sz w:val="18"/>
              </w:rPr>
              <w:t>-5,434</w:t>
            </w:r>
          </w:p>
        </w:tc>
        <w:tc>
          <w:tcPr>
            <w:tcW w:type="dxa" w:w="900"/>
          </w:tcPr>
          <w:p>
            <w:pPr>
              <w:spacing w:after="20" w:line="240" w:lineRule="auto"/>
              <w:ind w:firstLine="0"/>
            </w:pPr>
            <w:r>
              <w:rPr>
                <w:rFonts w:ascii="Arial" w:hAnsi="Arial"/>
                <w:color w:val="000000"/>
                <w:sz w:val="18"/>
              </w:rPr>
              <w:t>0,132</w:t>
            </w:r>
          </w:p>
        </w:tc>
        <w:tc>
          <w:tcPr>
            <w:tcW w:type="dxa" w:w="900"/>
          </w:tcPr>
          <w:p>
            <w:pPr>
              <w:spacing w:after="20" w:line="240" w:lineRule="auto"/>
              <w:ind w:firstLine="0"/>
            </w:pPr>
            <w:r>
              <w:rPr>
                <w:rFonts w:ascii="Arial" w:hAnsi="Arial"/>
                <w:color w:val="000000"/>
                <w:sz w:val="18"/>
              </w:rPr>
              <w:t>4,628</w:t>
            </w:r>
          </w:p>
        </w:tc>
      </w:tr>
      <w:tr>
        <w:tc>
          <w:tcPr>
            <w:tcW w:type="dxa" w:w="3000"/>
          </w:tcPr>
          <w:p>
            <w:pPr>
              <w:spacing w:after="20" w:line="240" w:lineRule="auto"/>
              <w:ind w:firstLine="0"/>
            </w:pPr>
            <w:r>
              <w:rPr>
                <w:rFonts w:ascii="Arial" w:hAnsi="Arial"/>
                <w:color w:val="000000"/>
                <w:sz w:val="18"/>
              </w:rPr>
              <w:t>IPCA Geral</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0,464</w:t>
            </w:r>
          </w:p>
        </w:tc>
        <w:tc>
          <w:tcPr>
            <w:tcW w:type="dxa" w:w="900"/>
          </w:tcPr>
          <w:p>
            <w:pPr>
              <w:spacing w:after="20" w:line="240" w:lineRule="auto"/>
              <w:ind w:firstLine="0"/>
            </w:pPr>
            <w:r>
              <w:rPr>
                <w:rFonts w:ascii="Arial" w:hAnsi="Arial"/>
                <w:color w:val="000000"/>
                <w:sz w:val="18"/>
              </w:rPr>
              <w:t>0,334</w:t>
            </w:r>
          </w:p>
        </w:tc>
        <w:tc>
          <w:tcPr>
            <w:tcW w:type="dxa" w:w="900"/>
          </w:tcPr>
          <w:p>
            <w:pPr>
              <w:spacing w:after="20" w:line="240" w:lineRule="auto"/>
              <w:ind w:firstLine="0"/>
            </w:pPr>
            <w:r>
              <w:rPr>
                <w:rFonts w:ascii="Arial" w:hAnsi="Arial"/>
                <w:color w:val="000000"/>
                <w:sz w:val="18"/>
              </w:rPr>
              <w:t>-0,682</w:t>
            </w:r>
          </w:p>
        </w:tc>
        <w:tc>
          <w:tcPr>
            <w:tcW w:type="dxa" w:w="900"/>
          </w:tcPr>
          <w:p>
            <w:pPr>
              <w:spacing w:after="20" w:line="240" w:lineRule="auto"/>
              <w:ind w:firstLine="0"/>
            </w:pPr>
            <w:r>
              <w:rPr>
                <w:rFonts w:ascii="Arial" w:hAnsi="Arial"/>
                <w:color w:val="000000"/>
                <w:sz w:val="18"/>
              </w:rPr>
              <w:t>0,439</w:t>
            </w:r>
          </w:p>
        </w:tc>
        <w:tc>
          <w:tcPr>
            <w:tcW w:type="dxa" w:w="900"/>
          </w:tcPr>
          <w:p>
            <w:pPr>
              <w:spacing w:after="20" w:line="240" w:lineRule="auto"/>
              <w:ind w:firstLine="0"/>
            </w:pPr>
            <w:r>
              <w:rPr>
                <w:rFonts w:ascii="Arial" w:hAnsi="Arial"/>
                <w:color w:val="000000"/>
                <w:sz w:val="18"/>
              </w:rPr>
              <w:t>1,607</w:t>
            </w:r>
          </w:p>
        </w:tc>
      </w:tr>
      <w:tr>
        <w:tc>
          <w:tcPr>
            <w:tcW w:type="dxa" w:w="3000"/>
          </w:tcPr>
          <w:p>
            <w:pPr>
              <w:spacing w:after="20" w:line="240" w:lineRule="auto"/>
              <w:ind w:firstLine="0"/>
            </w:pPr>
            <w:r>
              <w:rPr>
                <w:rFonts w:ascii="Arial" w:hAnsi="Arial"/>
                <w:color w:val="000000"/>
                <w:sz w:val="18"/>
              </w:rPr>
              <w:t>IPCA Transportes</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0,378</w:t>
            </w:r>
          </w:p>
        </w:tc>
        <w:tc>
          <w:tcPr>
            <w:tcW w:type="dxa" w:w="900"/>
          </w:tcPr>
          <w:p>
            <w:pPr>
              <w:spacing w:after="20" w:line="240" w:lineRule="auto"/>
              <w:ind w:firstLine="0"/>
            </w:pPr>
            <w:r>
              <w:rPr>
                <w:rFonts w:ascii="Arial" w:hAnsi="Arial"/>
                <w:color w:val="000000"/>
                <w:sz w:val="18"/>
              </w:rPr>
              <w:t>0,895</w:t>
            </w:r>
          </w:p>
        </w:tc>
        <w:tc>
          <w:tcPr>
            <w:tcW w:type="dxa" w:w="900"/>
          </w:tcPr>
          <w:p>
            <w:pPr>
              <w:spacing w:after="20" w:line="240" w:lineRule="auto"/>
              <w:ind w:firstLine="0"/>
            </w:pPr>
            <w:r>
              <w:rPr>
                <w:rFonts w:ascii="Arial" w:hAnsi="Arial"/>
                <w:color w:val="000000"/>
                <w:sz w:val="18"/>
              </w:rPr>
              <w:t>-4,615</w:t>
            </w:r>
          </w:p>
        </w:tc>
        <w:tc>
          <w:tcPr>
            <w:tcW w:type="dxa" w:w="900"/>
          </w:tcPr>
          <w:p>
            <w:pPr>
              <w:spacing w:after="20" w:line="240" w:lineRule="auto"/>
              <w:ind w:firstLine="0"/>
            </w:pPr>
            <w:r>
              <w:rPr>
                <w:rFonts w:ascii="Arial" w:hAnsi="Arial"/>
                <w:color w:val="000000"/>
                <w:sz w:val="18"/>
              </w:rPr>
              <w:t>0,334</w:t>
            </w:r>
          </w:p>
        </w:tc>
        <w:tc>
          <w:tcPr>
            <w:tcW w:type="dxa" w:w="900"/>
          </w:tcPr>
          <w:p>
            <w:pPr>
              <w:spacing w:after="20" w:line="240" w:lineRule="auto"/>
              <w:ind w:firstLine="0"/>
            </w:pPr>
            <w:r>
              <w:rPr>
                <w:rFonts w:ascii="Arial" w:hAnsi="Arial"/>
                <w:color w:val="000000"/>
                <w:sz w:val="18"/>
              </w:rPr>
              <w:t>3,739</w:t>
            </w:r>
          </w:p>
        </w:tc>
      </w:tr>
      <w:tr>
        <w:tc>
          <w:tcPr>
            <w:tcW w:type="dxa" w:w="3000"/>
          </w:tcPr>
          <w:p>
            <w:pPr>
              <w:spacing w:after="20" w:line="240" w:lineRule="auto"/>
              <w:ind w:firstLine="0"/>
            </w:pPr>
            <w:r>
              <w:rPr>
                <w:rFonts w:ascii="Arial" w:hAnsi="Arial"/>
                <w:color w:val="000000"/>
                <w:sz w:val="18"/>
              </w:rPr>
              <w:t>Gasolina na refinaria</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0,307</w:t>
            </w:r>
          </w:p>
        </w:tc>
        <w:tc>
          <w:tcPr>
            <w:tcW w:type="dxa" w:w="900"/>
          </w:tcPr>
          <w:p>
            <w:pPr>
              <w:spacing w:after="20" w:line="240" w:lineRule="auto"/>
              <w:ind w:firstLine="0"/>
            </w:pPr>
            <w:r>
              <w:rPr>
                <w:rFonts w:ascii="Arial" w:hAnsi="Arial"/>
                <w:color w:val="000000"/>
                <w:sz w:val="18"/>
              </w:rPr>
              <w:t>2,439</w:t>
            </w:r>
          </w:p>
        </w:tc>
        <w:tc>
          <w:tcPr>
            <w:tcW w:type="dxa" w:w="900"/>
          </w:tcPr>
          <w:p>
            <w:pPr>
              <w:spacing w:after="20" w:line="240" w:lineRule="auto"/>
              <w:ind w:firstLine="0"/>
            </w:pPr>
            <w:r>
              <w:rPr>
                <w:rFonts w:ascii="Arial" w:hAnsi="Arial"/>
                <w:color w:val="000000"/>
                <w:sz w:val="18"/>
              </w:rPr>
              <w:t>-19,077</w:t>
            </w:r>
          </w:p>
        </w:tc>
        <w:tc>
          <w:tcPr>
            <w:tcW w:type="dxa" w:w="900"/>
          </w:tcPr>
          <w:p>
            <w:pPr>
              <w:spacing w:after="20" w:line="240" w:lineRule="auto"/>
              <w:ind w:firstLine="0"/>
            </w:pPr>
            <w:r>
              <w:rPr>
                <w:rFonts w:ascii="Arial" w:hAnsi="Arial"/>
                <w:color w:val="000000"/>
                <w:sz w:val="18"/>
              </w:rPr>
              <w:t>0,083</w:t>
            </w:r>
          </w:p>
        </w:tc>
        <w:tc>
          <w:tcPr>
            <w:tcW w:type="dxa" w:w="900"/>
          </w:tcPr>
          <w:p>
            <w:pPr>
              <w:spacing w:after="20" w:line="240" w:lineRule="auto"/>
              <w:ind w:firstLine="0"/>
            </w:pPr>
            <w:r>
              <w:rPr>
                <w:rFonts w:ascii="Arial" w:hAnsi="Arial"/>
                <w:color w:val="000000"/>
                <w:sz w:val="18"/>
              </w:rPr>
              <w:t>9,488</w:t>
            </w:r>
          </w:p>
        </w:tc>
      </w:tr>
      <w:tr>
        <w:tc>
          <w:tcPr>
            <w:tcW w:type="dxa" w:w="3000"/>
          </w:tcPr>
          <w:p>
            <w:pPr>
              <w:spacing w:after="20" w:line="240" w:lineRule="auto"/>
              <w:ind w:firstLine="0"/>
            </w:pPr>
            <w:r>
              <w:rPr>
                <w:rFonts w:ascii="Arial" w:hAnsi="Arial"/>
                <w:color w:val="000000"/>
                <w:sz w:val="18"/>
              </w:rPr>
              <w:t>Gasolina ao consumidor</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0,397</w:t>
            </w:r>
          </w:p>
        </w:tc>
        <w:tc>
          <w:tcPr>
            <w:tcW w:type="dxa" w:w="900"/>
          </w:tcPr>
          <w:p>
            <w:pPr>
              <w:spacing w:after="20" w:line="240" w:lineRule="auto"/>
              <w:ind w:firstLine="0"/>
            </w:pPr>
            <w:r>
              <w:rPr>
                <w:rFonts w:ascii="Arial" w:hAnsi="Arial"/>
                <w:color w:val="000000"/>
                <w:sz w:val="18"/>
              </w:rPr>
              <w:t>2,524</w:t>
            </w:r>
          </w:p>
        </w:tc>
        <w:tc>
          <w:tcPr>
            <w:tcW w:type="dxa" w:w="900"/>
          </w:tcPr>
          <w:p>
            <w:pPr>
              <w:spacing w:after="20" w:line="240" w:lineRule="auto"/>
              <w:ind w:firstLine="0"/>
            </w:pPr>
            <w:r>
              <w:rPr>
                <w:rFonts w:ascii="Arial" w:hAnsi="Arial"/>
                <w:color w:val="000000"/>
                <w:sz w:val="18"/>
              </w:rPr>
              <w:t>-16,818</w:t>
            </w:r>
          </w:p>
        </w:tc>
        <w:tc>
          <w:tcPr>
            <w:tcW w:type="dxa" w:w="900"/>
          </w:tcPr>
          <w:p>
            <w:pPr>
              <w:spacing w:after="20" w:line="240" w:lineRule="auto"/>
              <w:ind w:firstLine="0"/>
            </w:pPr>
            <w:r>
              <w:rPr>
                <w:rFonts w:ascii="Arial" w:hAnsi="Arial"/>
                <w:color w:val="000000"/>
                <w:sz w:val="18"/>
              </w:rPr>
              <w:t>0,200</w:t>
            </w:r>
          </w:p>
        </w:tc>
        <w:tc>
          <w:tcPr>
            <w:tcW w:type="dxa" w:w="900"/>
          </w:tcPr>
          <w:p>
            <w:pPr>
              <w:spacing w:after="20" w:line="240" w:lineRule="auto"/>
              <w:ind w:firstLine="0"/>
            </w:pPr>
            <w:r>
              <w:rPr>
                <w:rFonts w:ascii="Arial" w:hAnsi="Arial"/>
                <w:color w:val="000000"/>
                <w:sz w:val="18"/>
              </w:rPr>
              <w:t>10,670</w:t>
            </w:r>
          </w:p>
        </w:tc>
      </w:tr>
      <w:tr>
        <w:tc>
          <w:tcPr>
            <w:tcW w:type="dxa" w:w="3000"/>
          </w:tcPr>
          <w:p>
            <w:pPr>
              <w:spacing w:after="20" w:line="240" w:lineRule="auto"/>
              <w:ind w:firstLine="0"/>
            </w:pPr>
            <w:r>
              <w:rPr>
                <w:rFonts w:ascii="Arial" w:hAnsi="Arial"/>
                <w:color w:val="000000"/>
                <w:sz w:val="18"/>
              </w:rPr>
              <w:t>Óleo diesel</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0,516</w:t>
            </w:r>
          </w:p>
        </w:tc>
        <w:tc>
          <w:tcPr>
            <w:tcW w:type="dxa" w:w="900"/>
          </w:tcPr>
          <w:p>
            <w:pPr>
              <w:spacing w:after="20" w:line="240" w:lineRule="auto"/>
              <w:ind w:firstLine="0"/>
            </w:pPr>
            <w:r>
              <w:rPr>
                <w:rFonts w:ascii="Arial" w:hAnsi="Arial"/>
                <w:color w:val="000000"/>
                <w:sz w:val="18"/>
              </w:rPr>
              <w:t>2,284</w:t>
            </w:r>
          </w:p>
        </w:tc>
        <w:tc>
          <w:tcPr>
            <w:tcW w:type="dxa" w:w="900"/>
          </w:tcPr>
          <w:p>
            <w:pPr>
              <w:spacing w:after="20" w:line="240" w:lineRule="auto"/>
              <w:ind w:firstLine="0"/>
            </w:pPr>
            <w:r>
              <w:rPr>
                <w:rFonts w:ascii="Arial" w:hAnsi="Arial"/>
                <w:color w:val="000000"/>
                <w:sz w:val="18"/>
              </w:rPr>
              <w:t>-6,914</w:t>
            </w:r>
          </w:p>
        </w:tc>
        <w:tc>
          <w:tcPr>
            <w:tcW w:type="dxa" w:w="900"/>
          </w:tcPr>
          <w:p>
            <w:pPr>
              <w:spacing w:after="20" w:line="240" w:lineRule="auto"/>
              <w:ind w:firstLine="0"/>
            </w:pPr>
            <w:r>
              <w:rPr>
                <w:rFonts w:ascii="Arial" w:hAnsi="Arial"/>
                <w:color w:val="000000"/>
                <w:sz w:val="18"/>
              </w:rPr>
              <w:t>0,110</w:t>
            </w:r>
          </w:p>
        </w:tc>
        <w:tc>
          <w:tcPr>
            <w:tcW w:type="dxa" w:w="900"/>
          </w:tcPr>
          <w:p>
            <w:pPr>
              <w:spacing w:after="20" w:line="240" w:lineRule="auto"/>
              <w:ind w:firstLine="0"/>
            </w:pPr>
            <w:r>
              <w:rPr>
                <w:rFonts w:ascii="Arial" w:hAnsi="Arial"/>
                <w:color w:val="000000"/>
                <w:sz w:val="18"/>
              </w:rPr>
              <w:t>12,795</w:t>
            </w:r>
          </w:p>
        </w:tc>
      </w:tr>
      <w:tr>
        <w:tc>
          <w:tcPr>
            <w:tcW w:type="dxa" w:w="3000"/>
          </w:tcPr>
          <w:p>
            <w:pPr>
              <w:spacing w:after="20" w:line="240" w:lineRule="auto"/>
              <w:ind w:firstLine="0"/>
            </w:pPr>
            <w:r>
              <w:rPr>
                <w:rFonts w:ascii="Arial" w:hAnsi="Arial"/>
                <w:color w:val="000000"/>
                <w:sz w:val="18"/>
              </w:rPr>
              <w:t>Etanol</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0,449</w:t>
            </w:r>
          </w:p>
        </w:tc>
        <w:tc>
          <w:tcPr>
            <w:tcW w:type="dxa" w:w="900"/>
          </w:tcPr>
          <w:p>
            <w:pPr>
              <w:spacing w:after="20" w:line="240" w:lineRule="auto"/>
              <w:ind w:firstLine="0"/>
            </w:pPr>
            <w:r>
              <w:rPr>
                <w:rFonts w:ascii="Arial" w:hAnsi="Arial"/>
                <w:color w:val="000000"/>
                <w:sz w:val="18"/>
              </w:rPr>
              <w:t>4,762</w:t>
            </w:r>
          </w:p>
        </w:tc>
        <w:tc>
          <w:tcPr>
            <w:tcW w:type="dxa" w:w="900"/>
          </w:tcPr>
          <w:p>
            <w:pPr>
              <w:spacing w:after="20" w:line="240" w:lineRule="auto"/>
              <w:ind w:firstLine="0"/>
            </w:pPr>
            <w:r>
              <w:rPr>
                <w:rFonts w:ascii="Arial" w:hAnsi="Arial"/>
                <w:color w:val="000000"/>
                <w:sz w:val="18"/>
              </w:rPr>
              <w:t>-14,514</w:t>
            </w:r>
          </w:p>
        </w:tc>
        <w:tc>
          <w:tcPr>
            <w:tcW w:type="dxa" w:w="900"/>
          </w:tcPr>
          <w:p>
            <w:pPr>
              <w:spacing w:after="20" w:line="240" w:lineRule="auto"/>
              <w:ind w:firstLine="0"/>
            </w:pPr>
            <w:r>
              <w:rPr>
                <w:rFonts w:ascii="Arial" w:hAnsi="Arial"/>
                <w:color w:val="000000"/>
                <w:sz w:val="18"/>
              </w:rPr>
              <w:t>0,608</w:t>
            </w:r>
          </w:p>
        </w:tc>
        <w:tc>
          <w:tcPr>
            <w:tcW w:type="dxa" w:w="900"/>
          </w:tcPr>
          <w:p>
            <w:pPr>
              <w:spacing w:after="20" w:line="240" w:lineRule="auto"/>
              <w:ind w:firstLine="0"/>
            </w:pPr>
            <w:r>
              <w:rPr>
                <w:rFonts w:ascii="Arial" w:hAnsi="Arial"/>
                <w:color w:val="000000"/>
                <w:sz w:val="18"/>
              </w:rPr>
              <w:t>12,151</w:t>
            </w:r>
          </w:p>
        </w:tc>
      </w:tr>
      <w:tr>
        <w:tc>
          <w:tcPr>
            <w:tcW w:type="dxa" w:w="3000"/>
          </w:tcPr>
          <w:p>
            <w:pPr>
              <w:spacing w:after="20" w:line="240" w:lineRule="auto"/>
              <w:ind w:firstLine="0"/>
            </w:pPr>
            <w:r>
              <w:rPr>
                <w:rFonts w:ascii="Arial" w:hAnsi="Arial"/>
                <w:color w:val="000000"/>
                <w:sz w:val="18"/>
              </w:rPr>
              <w:t>Câmbio (variação)</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0,164</w:t>
            </w:r>
          </w:p>
        </w:tc>
        <w:tc>
          <w:tcPr>
            <w:tcW w:type="dxa" w:w="900"/>
          </w:tcPr>
          <w:p>
            <w:pPr>
              <w:spacing w:after="20" w:line="240" w:lineRule="auto"/>
              <w:ind w:firstLine="0"/>
            </w:pPr>
            <w:r>
              <w:rPr>
                <w:rFonts w:ascii="Arial" w:hAnsi="Arial"/>
                <w:color w:val="000000"/>
                <w:sz w:val="18"/>
              </w:rPr>
              <w:t>3,612</w:t>
            </w:r>
          </w:p>
        </w:tc>
        <w:tc>
          <w:tcPr>
            <w:tcW w:type="dxa" w:w="900"/>
          </w:tcPr>
          <w:p>
            <w:pPr>
              <w:spacing w:after="20" w:line="240" w:lineRule="auto"/>
              <w:ind w:firstLine="0"/>
            </w:pPr>
            <w:r>
              <w:rPr>
                <w:rFonts w:ascii="Arial" w:hAnsi="Arial"/>
                <w:color w:val="000000"/>
                <w:sz w:val="18"/>
              </w:rPr>
              <w:t>-10,006</w:t>
            </w:r>
          </w:p>
        </w:tc>
        <w:tc>
          <w:tcPr>
            <w:tcW w:type="dxa" w:w="900"/>
          </w:tcPr>
          <w:p>
            <w:pPr>
              <w:spacing w:after="20" w:line="240" w:lineRule="auto"/>
              <w:ind w:firstLine="0"/>
            </w:pPr>
            <w:r>
              <w:rPr>
                <w:rFonts w:ascii="Arial" w:hAnsi="Arial"/>
                <w:color w:val="000000"/>
                <w:sz w:val="18"/>
              </w:rPr>
              <w:t>-0,198</w:t>
            </w:r>
          </w:p>
        </w:tc>
        <w:tc>
          <w:tcPr>
            <w:tcW w:type="dxa" w:w="900"/>
          </w:tcPr>
          <w:p>
            <w:pPr>
              <w:spacing w:after="20" w:line="240" w:lineRule="auto"/>
              <w:ind w:firstLine="0"/>
            </w:pPr>
            <w:r>
              <w:rPr>
                <w:rFonts w:ascii="Arial" w:hAnsi="Arial"/>
                <w:color w:val="000000"/>
                <w:sz w:val="18"/>
              </w:rPr>
              <w:t>18,850</w:t>
            </w:r>
          </w:p>
        </w:tc>
      </w:tr>
      <w:tr>
        <w:tc>
          <w:tcPr>
            <w:tcW w:type="dxa" w:w="3000"/>
          </w:tcPr>
          <w:p>
            <w:pPr>
              <w:spacing w:after="20" w:line="240" w:lineRule="auto"/>
              <w:ind w:firstLine="0"/>
            </w:pPr>
            <w:r>
              <w:rPr>
                <w:rFonts w:ascii="Arial" w:hAnsi="Arial"/>
                <w:color w:val="000000"/>
                <w:sz w:val="18"/>
              </w:rPr>
              <w:t>Atividade (variação)</w:t>
            </w:r>
          </w:p>
        </w:tc>
        <w:tc>
          <w:tcPr>
            <w:tcW w:type="dxa" w:w="700"/>
          </w:tcPr>
          <w:p>
            <w:pPr>
              <w:spacing w:after="20" w:line="240" w:lineRule="auto"/>
              <w:ind w:firstLine="0"/>
            </w:pPr>
            <w:r>
              <w:rPr>
                <w:rFonts w:ascii="Arial" w:hAnsi="Arial"/>
                <w:color w:val="000000"/>
                <w:sz w:val="18"/>
              </w:rPr>
              <w:t>272</w:t>
            </w:r>
          </w:p>
        </w:tc>
        <w:tc>
          <w:tcPr>
            <w:tcW w:type="dxa" w:w="900"/>
          </w:tcPr>
          <w:p>
            <w:pPr>
              <w:spacing w:after="20" w:line="240" w:lineRule="auto"/>
              <w:ind w:firstLine="0"/>
            </w:pPr>
            <w:r>
              <w:rPr>
                <w:rFonts w:ascii="Arial" w:hAnsi="Arial"/>
                <w:color w:val="000000"/>
                <w:sz w:val="18"/>
              </w:rPr>
              <w:t>0,159</w:t>
            </w:r>
          </w:p>
        </w:tc>
        <w:tc>
          <w:tcPr>
            <w:tcW w:type="dxa" w:w="900"/>
          </w:tcPr>
          <w:p>
            <w:pPr>
              <w:spacing w:after="20" w:line="240" w:lineRule="auto"/>
              <w:ind w:firstLine="0"/>
            </w:pPr>
            <w:r>
              <w:rPr>
                <w:rFonts w:ascii="Arial" w:hAnsi="Arial"/>
                <w:color w:val="000000"/>
                <w:sz w:val="18"/>
              </w:rPr>
              <w:t>1,171</w:t>
            </w:r>
          </w:p>
        </w:tc>
        <w:tc>
          <w:tcPr>
            <w:tcW w:type="dxa" w:w="900"/>
          </w:tcPr>
          <w:p>
            <w:pPr>
              <w:spacing w:after="20" w:line="240" w:lineRule="auto"/>
              <w:ind w:firstLine="0"/>
            </w:pPr>
            <w:r>
              <w:rPr>
                <w:rFonts w:ascii="Arial" w:hAnsi="Arial"/>
                <w:color w:val="000000"/>
                <w:sz w:val="18"/>
              </w:rPr>
              <w:t>-9,489</w:t>
            </w:r>
          </w:p>
        </w:tc>
        <w:tc>
          <w:tcPr>
            <w:tcW w:type="dxa" w:w="900"/>
          </w:tcPr>
          <w:p>
            <w:pPr>
              <w:spacing w:after="20" w:line="240" w:lineRule="auto"/>
              <w:ind w:firstLine="0"/>
            </w:pPr>
            <w:r>
              <w:rPr>
                <w:rFonts w:ascii="Arial" w:hAnsi="Arial"/>
                <w:color w:val="000000"/>
                <w:sz w:val="18"/>
              </w:rPr>
              <w:t>0,168</w:t>
            </w:r>
          </w:p>
        </w:tc>
        <w:tc>
          <w:tcPr>
            <w:tcW w:type="dxa" w:w="900"/>
          </w:tcPr>
          <w:p>
            <w:pPr>
              <w:spacing w:after="20" w:line="240" w:lineRule="auto"/>
              <w:ind w:firstLine="0"/>
            </w:pPr>
            <w:r>
              <w:rPr>
                <w:rFonts w:ascii="Arial" w:hAnsi="Arial"/>
                <w:color w:val="000000"/>
                <w:sz w:val="18"/>
              </w:rPr>
              <w:t>4,344</w:t>
            </w:r>
          </w:p>
        </w:tc>
      </w:tr>
      <w:tr>
        <w:tc>
          <w:tcPr>
            <w:tcW w:type="dxa" w:w="3000"/>
          </w:tcPr>
          <w:p>
            <w:pPr>
              <w:spacing w:after="20" w:line="240" w:lineRule="auto"/>
              <w:ind w:firstLine="0"/>
            </w:pPr>
            <w:r>
              <w:rPr>
                <w:rFonts w:ascii="Arial" w:hAnsi="Arial"/>
                <w:color w:val="000000"/>
                <w:sz w:val="18"/>
              </w:rPr>
              <w:t>Meta Selic (nível transformado)</w:t>
            </w:r>
          </w:p>
        </w:tc>
        <w:tc>
          <w:tcPr>
            <w:tcW w:type="dxa" w:w="700"/>
          </w:tcPr>
          <w:p>
            <w:pPr>
              <w:spacing w:after="20" w:line="240" w:lineRule="auto"/>
              <w:ind w:firstLine="0"/>
            </w:pPr>
            <w:r>
              <w:rPr>
                <w:rFonts w:ascii="Arial" w:hAnsi="Arial"/>
                <w:color w:val="000000"/>
                <w:sz w:val="18"/>
              </w:rPr>
              <w:t>273</w:t>
            </w:r>
          </w:p>
        </w:tc>
        <w:tc>
          <w:tcPr>
            <w:tcW w:type="dxa" w:w="900"/>
          </w:tcPr>
          <w:p>
            <w:pPr>
              <w:spacing w:after="20" w:line="240" w:lineRule="auto"/>
              <w:ind w:firstLine="0"/>
            </w:pPr>
            <w:r>
              <w:rPr>
                <w:rFonts w:ascii="Arial" w:hAnsi="Arial"/>
                <w:color w:val="000000"/>
                <w:sz w:val="18"/>
              </w:rPr>
              <w:t>10,868</w:t>
            </w:r>
          </w:p>
        </w:tc>
        <w:tc>
          <w:tcPr>
            <w:tcW w:type="dxa" w:w="900"/>
          </w:tcPr>
          <w:p>
            <w:pPr>
              <w:spacing w:after="20" w:line="240" w:lineRule="auto"/>
              <w:ind w:firstLine="0"/>
            </w:pPr>
            <w:r>
              <w:rPr>
                <w:rFonts w:ascii="Arial" w:hAnsi="Arial"/>
                <w:color w:val="000000"/>
                <w:sz w:val="18"/>
              </w:rPr>
              <w:t>4,151</w:t>
            </w:r>
          </w:p>
        </w:tc>
        <w:tc>
          <w:tcPr>
            <w:tcW w:type="dxa" w:w="900"/>
          </w:tcPr>
          <w:p>
            <w:pPr>
              <w:spacing w:after="20" w:line="240" w:lineRule="auto"/>
              <w:ind w:firstLine="0"/>
            </w:pPr>
            <w:r>
              <w:rPr>
                <w:rFonts w:ascii="Arial" w:hAnsi="Arial"/>
                <w:color w:val="000000"/>
                <w:sz w:val="18"/>
              </w:rPr>
              <w:t>1,980</w:t>
            </w:r>
          </w:p>
        </w:tc>
        <w:tc>
          <w:tcPr>
            <w:tcW w:type="dxa" w:w="900"/>
          </w:tcPr>
          <w:p>
            <w:pPr>
              <w:spacing w:after="20" w:line="240" w:lineRule="auto"/>
              <w:ind w:firstLine="0"/>
            </w:pPr>
            <w:r>
              <w:rPr>
                <w:rFonts w:ascii="Arial" w:hAnsi="Arial"/>
                <w:color w:val="000000"/>
                <w:sz w:val="18"/>
              </w:rPr>
              <w:t>10,885</w:t>
            </w:r>
          </w:p>
        </w:tc>
        <w:tc>
          <w:tcPr>
            <w:tcW w:type="dxa" w:w="900"/>
          </w:tcPr>
          <w:p>
            <w:pPr>
              <w:spacing w:after="20" w:line="240" w:lineRule="auto"/>
              <w:ind w:firstLine="0"/>
            </w:pPr>
            <w:r>
              <w:rPr>
                <w:rFonts w:ascii="Arial" w:hAnsi="Arial"/>
                <w:color w:val="000000"/>
                <w:sz w:val="18"/>
              </w:rPr>
              <w:t>23,507</w:t>
            </w:r>
          </w:p>
        </w:tc>
      </w:tr>
      <w:tr>
        <w:tc>
          <w:tcPr>
            <w:tcW w:type="dxa" w:w="3000"/>
            <w:tcBorders>
              <w:bottom w:val="single" w:sz="12" w:color="000000"/>
            </w:tcBorders>
          </w:tcPr>
          <w:p>
            <w:pPr>
              <w:spacing w:after="20" w:line="240" w:lineRule="auto"/>
              <w:ind w:firstLine="0"/>
            </w:pPr>
            <w:r>
              <w:rPr>
                <w:rFonts w:ascii="Arial" w:hAnsi="Arial"/>
                <w:color w:val="000000"/>
                <w:sz w:val="18"/>
              </w:rPr>
              <w:t>Expectativa de inflação (transformada)</w:t>
            </w:r>
          </w:p>
        </w:tc>
        <w:tc>
          <w:tcPr>
            <w:tcW w:type="dxa" w:w="700"/>
            <w:tcBorders>
              <w:bottom w:val="single" w:sz="12" w:color="000000"/>
            </w:tcBorders>
          </w:tcPr>
          <w:p>
            <w:pPr>
              <w:spacing w:after="20" w:line="240" w:lineRule="auto"/>
              <w:ind w:firstLine="0"/>
            </w:pPr>
            <w:r>
              <w:rPr>
                <w:rFonts w:ascii="Arial" w:hAnsi="Arial"/>
                <w:color w:val="000000"/>
                <w:sz w:val="18"/>
              </w:rPr>
              <w:t>273</w:t>
            </w:r>
          </w:p>
        </w:tc>
        <w:tc>
          <w:tcPr>
            <w:tcW w:type="dxa" w:w="900"/>
            <w:tcBorders>
              <w:bottom w:val="single" w:sz="12" w:color="000000"/>
            </w:tcBorders>
          </w:tcPr>
          <w:p>
            <w:pPr>
              <w:spacing w:after="20" w:line="240" w:lineRule="auto"/>
              <w:ind w:firstLine="0"/>
            </w:pPr>
            <w:r>
              <w:rPr>
                <w:rFonts w:ascii="Arial" w:hAnsi="Arial"/>
                <w:color w:val="000000"/>
                <w:sz w:val="18"/>
              </w:rPr>
              <w:t>4,893</w:t>
            </w:r>
          </w:p>
        </w:tc>
        <w:tc>
          <w:tcPr>
            <w:tcW w:type="dxa" w:w="900"/>
            <w:tcBorders>
              <w:bottom w:val="single" w:sz="12" w:color="000000"/>
            </w:tcBorders>
          </w:tcPr>
          <w:p>
            <w:pPr>
              <w:spacing w:after="20" w:line="240" w:lineRule="auto"/>
              <w:ind w:firstLine="0"/>
            </w:pPr>
            <w:r>
              <w:rPr>
                <w:rFonts w:ascii="Arial" w:hAnsi="Arial"/>
                <w:color w:val="000000"/>
                <w:sz w:val="18"/>
              </w:rPr>
              <w:t>1,146</w:t>
            </w:r>
          </w:p>
        </w:tc>
        <w:tc>
          <w:tcPr>
            <w:tcW w:type="dxa" w:w="900"/>
            <w:tcBorders>
              <w:bottom w:val="single" w:sz="12" w:color="000000"/>
            </w:tcBorders>
          </w:tcPr>
          <w:p>
            <w:pPr>
              <w:spacing w:after="20" w:line="240" w:lineRule="auto"/>
              <w:ind w:firstLine="0"/>
            </w:pPr>
            <w:r>
              <w:rPr>
                <w:rFonts w:ascii="Arial" w:hAnsi="Arial"/>
                <w:color w:val="000000"/>
                <w:sz w:val="18"/>
              </w:rPr>
              <w:t>2,469</w:t>
            </w:r>
          </w:p>
        </w:tc>
        <w:tc>
          <w:tcPr>
            <w:tcW w:type="dxa" w:w="900"/>
            <w:tcBorders>
              <w:bottom w:val="single" w:sz="12" w:color="000000"/>
            </w:tcBorders>
          </w:tcPr>
          <w:p>
            <w:pPr>
              <w:spacing w:after="20" w:line="240" w:lineRule="auto"/>
              <w:ind w:firstLine="0"/>
            </w:pPr>
            <w:r>
              <w:rPr>
                <w:rFonts w:ascii="Arial" w:hAnsi="Arial"/>
                <w:color w:val="000000"/>
                <w:sz w:val="18"/>
              </w:rPr>
              <w:t>4,746</w:t>
            </w:r>
          </w:p>
        </w:tc>
        <w:tc>
          <w:tcPr>
            <w:tcW w:type="dxa" w:w="900"/>
            <w:tcBorders>
              <w:bottom w:val="single" w:sz="12" w:color="000000"/>
            </w:tcBorders>
          </w:tcPr>
          <w:p>
            <w:pPr>
              <w:spacing w:after="20" w:line="240" w:lineRule="auto"/>
              <w:ind w:firstLine="0"/>
            </w:pPr>
            <w:r>
              <w:rPr>
                <w:rFonts w:ascii="Arial" w:hAnsi="Arial"/>
                <w:color w:val="000000"/>
                <w:sz w:val="18"/>
              </w:rPr>
              <w:t>11,083</w:t>
            </w:r>
          </w:p>
        </w:tc>
      </w:tr>
    </w:tbl>
    <w:p>
      <w:pPr>
        <w:spacing w:before="60" w:after="200" w:line="240" w:lineRule="auto"/>
        <w:ind w:firstLine="0"/>
        <w:jc w:val="both"/>
      </w:pPr>
      <w:r>
        <w:rPr>
          <w:rFonts w:ascii="Arial" w:hAnsi="Arial"/>
          <w:color w:val="000000"/>
          <w:sz w:val="18"/>
        </w:rPr>
        <w:t>Nota: séries na forma em que entram no modelo. As de preço são variações logarítmicas mensais, em pontos; o choque do petróleo é a variação logarítmica do Brent dividida pelo desvio-padrão da janela de referência, de modo que seu desvio-padrão é unitário por construção; meta Selic e expectativa de inflação estão em nível, na transformação 100·ln(1+r/100). Fonte: Elaboração própria.</w:t>
      </w:r>
    </w:p>
    <w:p>
      <w:pPr>
        <w:keepNext/>
        <w:spacing w:before="240" w:after="60" w:line="240" w:lineRule="auto"/>
        <w:ind w:firstLine="0"/>
        <w:jc w:val="left"/>
      </w:pPr>
      <w:r>
        <w:rPr>
          <w:rFonts w:ascii="Arial" w:hAnsi="Arial"/>
          <w:color w:val="000000"/>
          <w:sz w:val="20"/>
        </w:rPr>
        <w:t>Tabela J.2 – Pesos dos combustíveis na cesta do IPCA, três cenários</w:t>
      </w:r>
    </w:p>
    <w:tbl>
      <w:tblPr>
        <w:tblW w:type="auto" w:w="0"/>
        <w:jc w:val="center"/>
        <w:tblLook w:firstColumn="1" w:firstRow="1" w:lastColumn="0" w:lastRow="0" w:noHBand="0" w:noVBand="1" w:val="04A0"/>
      </w:tblPr>
      <w:tblGrid>
        <w:gridCol w:w="1800"/>
        <w:gridCol w:w="1500"/>
        <w:gridCol w:w="1500"/>
        <w:gridCol w:w="1500"/>
        <w:gridCol w:w="1500"/>
      </w:tblGrid>
      <w:tr>
        <w:tc>
          <w:tcPr>
            <w:tcW w:type="dxa" w:w="1800"/>
            <w:tcBorders>
              <w:top w:val="single" w:sz="12" w:color="000000"/>
              <w:bottom w:val="single" w:sz="6" w:color="000000"/>
            </w:tcBorders>
          </w:tcPr>
          <w:p>
            <w:pPr>
              <w:spacing w:after="20" w:line="240" w:lineRule="auto"/>
              <w:ind w:firstLine="0"/>
            </w:pPr>
            <w:r>
              <w:rPr>
                <w:rFonts w:ascii="Arial" w:hAnsi="Arial"/>
                <w:b/>
                <w:color w:val="000000"/>
                <w:sz w:val="18"/>
              </w:rPr>
              <w:t>Cenário</w:t>
            </w:r>
          </w:p>
        </w:tc>
        <w:tc>
          <w:tcPr>
            <w:tcW w:type="dxa" w:w="1500"/>
            <w:tcBorders>
              <w:top w:val="single" w:sz="12" w:color="000000"/>
              <w:bottom w:val="single" w:sz="6" w:color="000000"/>
            </w:tcBorders>
          </w:tcPr>
          <w:p>
            <w:pPr>
              <w:spacing w:after="20" w:line="240" w:lineRule="auto"/>
              <w:ind w:firstLine="0"/>
            </w:pPr>
            <w:r>
              <w:rPr>
                <w:rFonts w:ascii="Arial" w:hAnsi="Arial"/>
                <w:b/>
                <w:color w:val="000000"/>
                <w:sz w:val="18"/>
              </w:rPr>
              <w:t>Gasolina</w:t>
            </w:r>
          </w:p>
        </w:tc>
        <w:tc>
          <w:tcPr>
            <w:tcW w:type="dxa" w:w="1500"/>
            <w:tcBorders>
              <w:top w:val="single" w:sz="12" w:color="000000"/>
              <w:bottom w:val="single" w:sz="6" w:color="000000"/>
            </w:tcBorders>
          </w:tcPr>
          <w:p>
            <w:pPr>
              <w:spacing w:after="20" w:line="240" w:lineRule="auto"/>
              <w:ind w:firstLine="0"/>
            </w:pPr>
            <w:r>
              <w:rPr>
                <w:rFonts w:ascii="Arial" w:hAnsi="Arial"/>
                <w:b/>
                <w:color w:val="000000"/>
                <w:sz w:val="18"/>
              </w:rPr>
              <w:t>Etanol</w:t>
            </w:r>
          </w:p>
        </w:tc>
        <w:tc>
          <w:tcPr>
            <w:tcW w:type="dxa" w:w="1500"/>
            <w:tcBorders>
              <w:top w:val="single" w:sz="12" w:color="000000"/>
              <w:bottom w:val="single" w:sz="6" w:color="000000"/>
            </w:tcBorders>
          </w:tcPr>
          <w:p>
            <w:pPr>
              <w:spacing w:after="20" w:line="240" w:lineRule="auto"/>
              <w:ind w:firstLine="0"/>
            </w:pPr>
            <w:r>
              <w:rPr>
                <w:rFonts w:ascii="Arial" w:hAnsi="Arial"/>
                <w:b/>
                <w:color w:val="000000"/>
                <w:sz w:val="18"/>
              </w:rPr>
              <w:t>Diesel</w:t>
            </w:r>
          </w:p>
        </w:tc>
        <w:tc>
          <w:tcPr>
            <w:tcW w:type="dxa" w:w="1500"/>
            <w:tcBorders>
              <w:top w:val="single" w:sz="12" w:color="000000"/>
              <w:bottom w:val="single" w:sz="6" w:color="000000"/>
            </w:tcBorders>
          </w:tcPr>
          <w:p>
            <w:pPr>
              <w:spacing w:after="20" w:line="240" w:lineRule="auto"/>
              <w:ind w:firstLine="0"/>
            </w:pPr>
            <w:r>
              <w:rPr>
                <w:rFonts w:ascii="Arial" w:hAnsi="Arial"/>
                <w:b/>
                <w:color w:val="000000"/>
                <w:sz w:val="18"/>
              </w:rPr>
              <w:t>Soma</w:t>
            </w:r>
          </w:p>
        </w:tc>
      </w:tr>
      <w:tr>
        <w:tc>
          <w:tcPr>
            <w:tcW w:type="dxa" w:w="1800"/>
          </w:tcPr>
          <w:p>
            <w:pPr>
              <w:spacing w:after="20" w:line="240" w:lineRule="auto"/>
              <w:ind w:firstLine="0"/>
            </w:pPr>
            <w:r>
              <w:rPr>
                <w:rFonts w:ascii="Arial" w:hAnsi="Arial"/>
                <w:color w:val="000000"/>
                <w:sz w:val="18"/>
              </w:rPr>
              <w:t>Baixo</w:t>
            </w:r>
          </w:p>
        </w:tc>
        <w:tc>
          <w:tcPr>
            <w:tcW w:type="dxa" w:w="1500"/>
          </w:tcPr>
          <w:p>
            <w:pPr>
              <w:spacing w:after="20" w:line="240" w:lineRule="auto"/>
              <w:ind w:firstLine="0"/>
            </w:pPr>
            <w:r>
              <w:rPr>
                <w:rFonts w:ascii="Arial" w:hAnsi="Arial"/>
                <w:color w:val="000000"/>
                <w:sz w:val="18"/>
              </w:rPr>
              <w:t>0,0350</w:t>
            </w:r>
          </w:p>
        </w:tc>
        <w:tc>
          <w:tcPr>
            <w:tcW w:type="dxa" w:w="1500"/>
          </w:tcPr>
          <w:p>
            <w:pPr>
              <w:spacing w:after="20" w:line="240" w:lineRule="auto"/>
              <w:ind w:firstLine="0"/>
            </w:pPr>
            <w:r>
              <w:rPr>
                <w:rFonts w:ascii="Arial" w:hAnsi="Arial"/>
                <w:color w:val="000000"/>
                <w:sz w:val="18"/>
              </w:rPr>
              <w:t>0,0040</w:t>
            </w:r>
          </w:p>
        </w:tc>
        <w:tc>
          <w:tcPr>
            <w:tcW w:type="dxa" w:w="1500"/>
          </w:tcPr>
          <w:p>
            <w:pPr>
              <w:spacing w:after="20" w:line="240" w:lineRule="auto"/>
              <w:ind w:firstLine="0"/>
            </w:pPr>
            <w:r>
              <w:rPr>
                <w:rFonts w:ascii="Arial" w:hAnsi="Arial"/>
                <w:color w:val="000000"/>
                <w:sz w:val="18"/>
              </w:rPr>
              <w:t>0,0010</w:t>
            </w:r>
          </w:p>
        </w:tc>
        <w:tc>
          <w:tcPr>
            <w:tcW w:type="dxa" w:w="1500"/>
          </w:tcPr>
          <w:p>
            <w:pPr>
              <w:spacing w:after="20" w:line="240" w:lineRule="auto"/>
              <w:ind w:firstLine="0"/>
            </w:pPr>
            <w:r>
              <w:rPr>
                <w:rFonts w:ascii="Arial" w:hAnsi="Arial"/>
                <w:color w:val="000000"/>
                <w:sz w:val="18"/>
              </w:rPr>
              <w:t>0,0400</w:t>
            </w:r>
          </w:p>
        </w:tc>
      </w:tr>
      <w:tr>
        <w:tc>
          <w:tcPr>
            <w:tcW w:type="dxa" w:w="1800"/>
          </w:tcPr>
          <w:p>
            <w:pPr>
              <w:spacing w:after="20" w:line="240" w:lineRule="auto"/>
              <w:ind w:firstLine="0"/>
            </w:pPr>
            <w:r>
              <w:rPr>
                <w:rFonts w:ascii="Arial" w:hAnsi="Arial"/>
                <w:color w:val="000000"/>
                <w:sz w:val="18"/>
              </w:rPr>
              <w:t>Central</w:t>
            </w:r>
          </w:p>
        </w:tc>
        <w:tc>
          <w:tcPr>
            <w:tcW w:type="dxa" w:w="1500"/>
          </w:tcPr>
          <w:p>
            <w:pPr>
              <w:spacing w:after="20" w:line="240" w:lineRule="auto"/>
              <w:ind w:firstLine="0"/>
            </w:pPr>
            <w:r>
              <w:rPr>
                <w:rFonts w:ascii="Arial" w:hAnsi="Arial"/>
                <w:color w:val="000000"/>
                <w:sz w:val="18"/>
              </w:rPr>
              <w:t>0,0460</w:t>
            </w:r>
          </w:p>
        </w:tc>
        <w:tc>
          <w:tcPr>
            <w:tcW w:type="dxa" w:w="1500"/>
          </w:tcPr>
          <w:p>
            <w:pPr>
              <w:spacing w:after="20" w:line="240" w:lineRule="auto"/>
              <w:ind w:firstLine="0"/>
            </w:pPr>
            <w:r>
              <w:rPr>
                <w:rFonts w:ascii="Arial" w:hAnsi="Arial"/>
                <w:color w:val="000000"/>
                <w:sz w:val="18"/>
              </w:rPr>
              <w:t>0,0070</w:t>
            </w:r>
          </w:p>
        </w:tc>
        <w:tc>
          <w:tcPr>
            <w:tcW w:type="dxa" w:w="1500"/>
          </w:tcPr>
          <w:p>
            <w:pPr>
              <w:spacing w:after="20" w:line="240" w:lineRule="auto"/>
              <w:ind w:firstLine="0"/>
            </w:pPr>
            <w:r>
              <w:rPr>
                <w:rFonts w:ascii="Arial" w:hAnsi="Arial"/>
                <w:color w:val="000000"/>
                <w:sz w:val="18"/>
              </w:rPr>
              <w:t>0,0015</w:t>
            </w:r>
          </w:p>
        </w:tc>
        <w:tc>
          <w:tcPr>
            <w:tcW w:type="dxa" w:w="1500"/>
          </w:tcPr>
          <w:p>
            <w:pPr>
              <w:spacing w:after="20" w:line="240" w:lineRule="auto"/>
              <w:ind w:firstLine="0"/>
            </w:pPr>
            <w:r>
              <w:rPr>
                <w:rFonts w:ascii="Arial" w:hAnsi="Arial"/>
                <w:color w:val="000000"/>
                <w:sz w:val="18"/>
              </w:rPr>
              <w:t>0,0545</w:t>
            </w:r>
          </w:p>
        </w:tc>
      </w:tr>
      <w:tr>
        <w:tc>
          <w:tcPr>
            <w:tcW w:type="dxa" w:w="1800"/>
            <w:tcBorders>
              <w:bottom w:val="single" w:sz="12" w:color="000000"/>
            </w:tcBorders>
          </w:tcPr>
          <w:p>
            <w:pPr>
              <w:spacing w:after="20" w:line="240" w:lineRule="auto"/>
              <w:ind w:firstLine="0"/>
            </w:pPr>
            <w:r>
              <w:rPr>
                <w:rFonts w:ascii="Arial" w:hAnsi="Arial"/>
                <w:color w:val="000000"/>
                <w:sz w:val="18"/>
              </w:rPr>
              <w:t>Alto</w:t>
            </w:r>
          </w:p>
        </w:tc>
        <w:tc>
          <w:tcPr>
            <w:tcW w:type="dxa" w:w="1500"/>
            <w:tcBorders>
              <w:bottom w:val="single" w:sz="12" w:color="000000"/>
            </w:tcBorders>
          </w:tcPr>
          <w:p>
            <w:pPr>
              <w:spacing w:after="20" w:line="240" w:lineRule="auto"/>
              <w:ind w:firstLine="0"/>
            </w:pPr>
            <w:r>
              <w:rPr>
                <w:rFonts w:ascii="Arial" w:hAnsi="Arial"/>
                <w:color w:val="000000"/>
                <w:sz w:val="18"/>
              </w:rPr>
              <w:t>0,0550</w:t>
            </w:r>
          </w:p>
        </w:tc>
        <w:tc>
          <w:tcPr>
            <w:tcW w:type="dxa" w:w="1500"/>
            <w:tcBorders>
              <w:bottom w:val="single" w:sz="12" w:color="000000"/>
            </w:tcBorders>
          </w:tcPr>
          <w:p>
            <w:pPr>
              <w:spacing w:after="20" w:line="240" w:lineRule="auto"/>
              <w:ind w:firstLine="0"/>
            </w:pPr>
            <w:r>
              <w:rPr>
                <w:rFonts w:ascii="Arial" w:hAnsi="Arial"/>
                <w:color w:val="000000"/>
                <w:sz w:val="18"/>
              </w:rPr>
              <w:t>0,0120</w:t>
            </w:r>
          </w:p>
        </w:tc>
        <w:tc>
          <w:tcPr>
            <w:tcW w:type="dxa" w:w="1500"/>
            <w:tcBorders>
              <w:bottom w:val="single" w:sz="12" w:color="000000"/>
            </w:tcBorders>
          </w:tcPr>
          <w:p>
            <w:pPr>
              <w:spacing w:after="20" w:line="240" w:lineRule="auto"/>
              <w:ind w:firstLine="0"/>
            </w:pPr>
            <w:r>
              <w:rPr>
                <w:rFonts w:ascii="Arial" w:hAnsi="Arial"/>
                <w:color w:val="000000"/>
                <w:sz w:val="18"/>
              </w:rPr>
              <w:t>0,0030</w:t>
            </w:r>
          </w:p>
        </w:tc>
        <w:tc>
          <w:tcPr>
            <w:tcW w:type="dxa" w:w="1500"/>
            <w:tcBorders>
              <w:bottom w:val="single" w:sz="12" w:color="000000"/>
            </w:tcBorders>
          </w:tcPr>
          <w:p>
            <w:pPr>
              <w:spacing w:after="20" w:line="240" w:lineRule="auto"/>
              <w:ind w:firstLine="0"/>
            </w:pPr>
            <w:r>
              <w:rPr>
                <w:rFonts w:ascii="Arial" w:hAnsi="Arial"/>
                <w:color w:val="000000"/>
                <w:sz w:val="18"/>
              </w:rPr>
              <w:t>0,0700</w:t>
            </w:r>
          </w:p>
        </w:tc>
      </w:tr>
    </w:tbl>
    <w:p>
      <w:pPr>
        <w:spacing w:before="60" w:after="200" w:line="240" w:lineRule="auto"/>
        <w:ind w:firstLine="0"/>
        <w:jc w:val="both"/>
      </w:pPr>
      <w:r>
        <w:rPr>
          <w:rFonts w:ascii="Arial" w:hAnsi="Arial"/>
          <w:color w:val="000000"/>
          <w:sz w:val="18"/>
        </w:rPr>
        <w:t>Nota: pesos aproximados dos subitens na estrutura de ponderação do IPCA, que varia com as Pesquisas de Orçamentos Familiares ao longo da amostra. O cenário central corresponde à ordem de grandeza vigente no período posterior a 2017; os cenários baixo e alto delimitam a faixa reportada na seção 4.5.1. O diesel entra com peso quase nulo porque o consumidor final praticamente não o adquire, de modo que seu efeito sobre o IPCA é quase inteiramente de segunda volta, por frete. Fonte: Elaboração própria a partir das estruturas de ponderação do IBGE.</w:t>
      </w:r>
    </w:p>
    <w:p>
      <w:pPr>
        <w:keepNext/>
        <w:spacing w:before="240" w:after="60" w:line="240" w:lineRule="auto"/>
        <w:ind w:firstLine="0"/>
        <w:jc w:val="left"/>
      </w:pPr>
      <w:r>
        <w:rPr>
          <w:rFonts w:ascii="Arial" w:hAnsi="Arial"/>
          <w:color w:val="000000"/>
          <w:sz w:val="20"/>
        </w:rPr>
        <w:t>Tabela J.3 – Testes de raiz unitária nas séries do modelo</w:t>
      </w:r>
    </w:p>
    <w:tbl>
      <w:tblPr>
        <w:tblW w:type="auto" w:w="0"/>
        <w:jc w:val="center"/>
        <w:tblLook w:firstColumn="1" w:firstRow="1" w:lastColumn="0" w:lastRow="0" w:noHBand="0" w:noVBand="1" w:val="04A0"/>
      </w:tblPr>
      <w:tblGrid>
        <w:gridCol w:w="2500"/>
        <w:gridCol w:w="600"/>
        <w:gridCol w:w="800"/>
        <w:gridCol w:w="800"/>
        <w:gridCol w:w="500"/>
        <w:gridCol w:w="800"/>
        <w:gridCol w:w="900"/>
        <w:gridCol w:w="900"/>
      </w:tblGrid>
      <w:tr>
        <w:tc>
          <w:tcPr>
            <w:tcW w:type="dxa" w:w="2500"/>
            <w:tcBorders>
              <w:top w:val="single" w:sz="12" w:color="000000"/>
              <w:bottom w:val="single" w:sz="6" w:color="000000"/>
            </w:tcBorders>
          </w:tcPr>
          <w:p>
            <w:pPr>
              <w:spacing w:after="20" w:line="240" w:lineRule="auto"/>
              <w:ind w:firstLine="0"/>
            </w:pPr>
            <w:r>
              <w:rPr>
                <w:rFonts w:ascii="Arial" w:hAnsi="Arial"/>
                <w:b/>
                <w:color w:val="000000"/>
                <w:sz w:val="18"/>
              </w:rPr>
              <w:t>Série</w:t>
            </w:r>
          </w:p>
        </w:tc>
        <w:tc>
          <w:tcPr>
            <w:tcW w:type="dxa" w:w="600"/>
            <w:tcBorders>
              <w:top w:val="single" w:sz="12" w:color="000000"/>
              <w:bottom w:val="single" w:sz="6" w:color="000000"/>
            </w:tcBorders>
          </w:tcPr>
          <w:p>
            <w:pPr>
              <w:spacing w:after="20" w:line="240" w:lineRule="auto"/>
              <w:ind w:firstLine="0"/>
            </w:pPr>
            <w:r>
              <w:rPr>
                <w:rFonts w:ascii="Arial" w:hAnsi="Arial"/>
                <w:b/>
                <w:color w:val="000000"/>
                <w:sz w:val="18"/>
              </w:rPr>
              <w:t>Obs.</w:t>
            </w:r>
          </w:p>
        </w:tc>
        <w:tc>
          <w:tcPr>
            <w:tcW w:type="dxa" w:w="800"/>
            <w:tcBorders>
              <w:top w:val="single" w:sz="12" w:color="000000"/>
              <w:bottom w:val="single" w:sz="6" w:color="000000"/>
            </w:tcBorders>
          </w:tcPr>
          <w:p>
            <w:pPr>
              <w:spacing w:after="20" w:line="240" w:lineRule="auto"/>
              <w:ind w:firstLine="0"/>
            </w:pPr>
            <w:r>
              <w:rPr>
                <w:rFonts w:ascii="Arial" w:hAnsi="Arial"/>
                <w:b/>
                <w:color w:val="000000"/>
                <w:sz w:val="18"/>
              </w:rPr>
              <w:t>ADF</w:t>
            </w:r>
          </w:p>
        </w:tc>
        <w:tc>
          <w:tcPr>
            <w:tcW w:type="dxa" w:w="800"/>
            <w:tcBorders>
              <w:top w:val="single" w:sz="12" w:color="000000"/>
              <w:bottom w:val="single" w:sz="6" w:color="000000"/>
            </w:tcBorders>
          </w:tcPr>
          <w:p>
            <w:pPr>
              <w:spacing w:after="20" w:line="240" w:lineRule="auto"/>
              <w:ind w:firstLine="0"/>
            </w:pPr>
            <w:r>
              <w:rPr>
                <w:rFonts w:ascii="Arial" w:hAnsi="Arial"/>
                <w:b/>
                <w:color w:val="000000"/>
                <w:sz w:val="18"/>
              </w:rPr>
              <w:t>p (ADF)</w:t>
            </w:r>
          </w:p>
        </w:tc>
        <w:tc>
          <w:tcPr>
            <w:tcW w:type="dxa" w:w="500"/>
            <w:tcBorders>
              <w:top w:val="single" w:sz="12" w:color="000000"/>
              <w:bottom w:val="single" w:sz="6" w:color="000000"/>
            </w:tcBorders>
          </w:tcPr>
          <w:p>
            <w:pPr>
              <w:spacing w:after="20" w:line="240" w:lineRule="auto"/>
              <w:ind w:firstLine="0"/>
            </w:pPr>
            <w:r>
              <w:rPr>
                <w:rFonts w:ascii="Arial" w:hAnsi="Arial"/>
                <w:b/>
                <w:color w:val="000000"/>
                <w:sz w:val="18"/>
              </w:rPr>
              <w:t>Def.</w:t>
            </w:r>
          </w:p>
        </w:tc>
        <w:tc>
          <w:tcPr>
            <w:tcW w:type="dxa" w:w="800"/>
            <w:tcBorders>
              <w:top w:val="single" w:sz="12" w:color="000000"/>
              <w:bottom w:val="single" w:sz="6" w:color="000000"/>
            </w:tcBorders>
          </w:tcPr>
          <w:p>
            <w:pPr>
              <w:spacing w:after="20" w:line="240" w:lineRule="auto"/>
              <w:ind w:firstLine="0"/>
            </w:pPr>
            <w:r>
              <w:rPr>
                <w:rFonts w:ascii="Arial" w:hAnsi="Arial"/>
                <w:b/>
                <w:color w:val="000000"/>
                <w:sz w:val="18"/>
              </w:rPr>
              <w:t>KPSS</w:t>
            </w:r>
          </w:p>
        </w:tc>
        <w:tc>
          <w:tcPr>
            <w:tcW w:type="dxa" w:w="900"/>
            <w:tcBorders>
              <w:top w:val="single" w:sz="12" w:color="000000"/>
              <w:bottom w:val="single" w:sz="6" w:color="000000"/>
            </w:tcBorders>
          </w:tcPr>
          <w:p>
            <w:pPr>
              <w:spacing w:after="20" w:line="240" w:lineRule="auto"/>
              <w:ind w:firstLine="0"/>
            </w:pPr>
            <w:r>
              <w:rPr>
                <w:rFonts w:ascii="Arial" w:hAnsi="Arial"/>
                <w:b/>
                <w:color w:val="000000"/>
                <w:sz w:val="18"/>
              </w:rPr>
              <w:t>ADF rejeita</w:t>
            </w:r>
          </w:p>
        </w:tc>
        <w:tc>
          <w:tcPr>
            <w:tcW w:type="dxa" w:w="900"/>
            <w:tcBorders>
              <w:top w:val="single" w:sz="12" w:color="000000"/>
              <w:bottom w:val="single" w:sz="6" w:color="000000"/>
            </w:tcBorders>
          </w:tcPr>
          <w:p>
            <w:pPr>
              <w:spacing w:after="20" w:line="240" w:lineRule="auto"/>
              <w:ind w:firstLine="0"/>
            </w:pPr>
            <w:r>
              <w:rPr>
                <w:rFonts w:ascii="Arial" w:hAnsi="Arial"/>
                <w:b/>
                <w:color w:val="000000"/>
                <w:sz w:val="18"/>
              </w:rPr>
              <w:t>KPSS rejeita</w:t>
            </w:r>
          </w:p>
        </w:tc>
      </w:tr>
      <w:tr>
        <w:tc>
          <w:tcPr>
            <w:tcW w:type="dxa" w:w="2500"/>
          </w:tcPr>
          <w:p>
            <w:pPr>
              <w:spacing w:after="20" w:line="240" w:lineRule="auto"/>
              <w:ind w:firstLine="0"/>
            </w:pPr>
            <w:r>
              <w:rPr>
                <w:rFonts w:ascii="Arial" w:hAnsi="Arial"/>
                <w:color w:val="000000"/>
                <w:sz w:val="18"/>
              </w:rPr>
              <w:t>Choque do petróleo (Brent, padronizado)</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-11,46</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1</w:t>
            </w:r>
          </w:p>
        </w:tc>
        <w:tc>
          <w:tcPr>
            <w:tcW w:type="dxa" w:w="800"/>
          </w:tcPr>
          <w:p>
            <w:pPr>
              <w:spacing w:after="20" w:line="240" w:lineRule="auto"/>
              <w:ind w:firstLine="0"/>
            </w:pPr>
            <w:r>
              <w:rPr>
                <w:rFonts w:ascii="Arial" w:hAnsi="Arial"/>
                <w:color w:val="000000"/>
                <w:sz w:val="18"/>
              </w:rPr>
              <w:t>0,082</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IPCA Geral</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-9,16</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0</w:t>
            </w:r>
          </w:p>
        </w:tc>
        <w:tc>
          <w:tcPr>
            <w:tcW w:type="dxa" w:w="800"/>
          </w:tcPr>
          <w:p>
            <w:pPr>
              <w:spacing w:after="20" w:line="240" w:lineRule="auto"/>
              <w:ind w:firstLine="0"/>
            </w:pPr>
            <w:r>
              <w:rPr>
                <w:rFonts w:ascii="Arial" w:hAnsi="Arial"/>
                <w:color w:val="000000"/>
                <w:sz w:val="18"/>
              </w:rPr>
              <w:t>0,074</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IPCA Transportes</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-10,34</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0</w:t>
            </w:r>
          </w:p>
        </w:tc>
        <w:tc>
          <w:tcPr>
            <w:tcW w:type="dxa" w:w="800"/>
          </w:tcPr>
          <w:p>
            <w:pPr>
              <w:spacing w:after="20" w:line="240" w:lineRule="auto"/>
              <w:ind w:firstLine="0"/>
            </w:pPr>
            <w:r>
              <w:rPr>
                <w:rFonts w:ascii="Arial" w:hAnsi="Arial"/>
                <w:color w:val="000000"/>
                <w:sz w:val="18"/>
              </w:rPr>
              <w:t>0,058</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Gasolina na refinaria</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-5,93</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9</w:t>
            </w:r>
          </w:p>
        </w:tc>
        <w:tc>
          <w:tcPr>
            <w:tcW w:type="dxa" w:w="800"/>
          </w:tcPr>
          <w:p>
            <w:pPr>
              <w:spacing w:after="20" w:line="240" w:lineRule="auto"/>
              <w:ind w:firstLine="0"/>
            </w:pPr>
            <w:r>
              <w:rPr>
                <w:rFonts w:ascii="Arial" w:hAnsi="Arial"/>
                <w:color w:val="000000"/>
                <w:sz w:val="18"/>
              </w:rPr>
              <w:t>0,195</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Gasolina ao consumidor</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-9,93</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1</w:t>
            </w:r>
          </w:p>
        </w:tc>
        <w:tc>
          <w:tcPr>
            <w:tcW w:type="dxa" w:w="800"/>
          </w:tcPr>
          <w:p>
            <w:pPr>
              <w:spacing w:after="20" w:line="240" w:lineRule="auto"/>
              <w:ind w:firstLine="0"/>
            </w:pPr>
            <w:r>
              <w:rPr>
                <w:rFonts w:ascii="Arial" w:hAnsi="Arial"/>
                <w:color w:val="000000"/>
                <w:sz w:val="18"/>
              </w:rPr>
              <w:t>0,057</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Óleo diesel</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-6,79</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3</w:t>
            </w:r>
          </w:p>
        </w:tc>
        <w:tc>
          <w:tcPr>
            <w:tcW w:type="dxa" w:w="800"/>
          </w:tcPr>
          <w:p>
            <w:pPr>
              <w:spacing w:after="20" w:line="240" w:lineRule="auto"/>
              <w:ind w:firstLine="0"/>
            </w:pPr>
            <w:r>
              <w:rPr>
                <w:rFonts w:ascii="Arial" w:hAnsi="Arial"/>
                <w:color w:val="000000"/>
                <w:sz w:val="18"/>
              </w:rPr>
              <w:t>0,094</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Etanol</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-8,25</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6</w:t>
            </w:r>
          </w:p>
        </w:tc>
        <w:tc>
          <w:tcPr>
            <w:tcW w:type="dxa" w:w="800"/>
          </w:tcPr>
          <w:p>
            <w:pPr>
              <w:spacing w:after="20" w:line="240" w:lineRule="auto"/>
              <w:ind w:firstLine="0"/>
            </w:pPr>
            <w:r>
              <w:rPr>
                <w:rFonts w:ascii="Arial" w:hAnsi="Arial"/>
                <w:color w:val="000000"/>
                <w:sz w:val="18"/>
              </w:rPr>
              <w:t>0,025</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Câmbio (variação)</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-11,57</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0</w:t>
            </w:r>
          </w:p>
        </w:tc>
        <w:tc>
          <w:tcPr>
            <w:tcW w:type="dxa" w:w="800"/>
          </w:tcPr>
          <w:p>
            <w:pPr>
              <w:spacing w:after="20" w:line="240" w:lineRule="auto"/>
              <w:ind w:firstLine="0"/>
            </w:pPr>
            <w:r>
              <w:rPr>
                <w:rFonts w:ascii="Arial" w:hAnsi="Arial"/>
                <w:color w:val="000000"/>
                <w:sz w:val="18"/>
              </w:rPr>
              <w:t>0,413</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Atividade (variação)</w:t>
            </w:r>
          </w:p>
        </w:tc>
        <w:tc>
          <w:tcPr>
            <w:tcW w:type="dxa" w:w="6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-11,50</w:t>
            </w:r>
          </w:p>
        </w:tc>
        <w:tc>
          <w:tcPr>
            <w:tcW w:type="dxa" w:w="800"/>
          </w:tcPr>
          <w:p>
            <w:pPr>
              <w:spacing w:after="20" w:line="240" w:lineRule="auto"/>
              <w:ind w:firstLine="0"/>
            </w:pPr>
            <w:r>
              <w:rPr>
                <w:rFonts w:ascii="Arial" w:hAnsi="Arial"/>
                <w:color w:val="000000"/>
                <w:sz w:val="18"/>
              </w:rPr>
              <w:t>0,000</w:t>
            </w:r>
          </w:p>
        </w:tc>
        <w:tc>
          <w:tcPr>
            <w:tcW w:type="dxa" w:w="500"/>
          </w:tcPr>
          <w:p>
            <w:pPr>
              <w:spacing w:after="20" w:line="240" w:lineRule="auto"/>
              <w:ind w:firstLine="0"/>
            </w:pPr>
            <w:r>
              <w:rPr>
                <w:rFonts w:ascii="Arial" w:hAnsi="Arial"/>
                <w:color w:val="000000"/>
                <w:sz w:val="18"/>
              </w:rPr>
              <w:t>1</w:t>
            </w:r>
          </w:p>
        </w:tc>
        <w:tc>
          <w:tcPr>
            <w:tcW w:type="dxa" w:w="800"/>
          </w:tcPr>
          <w:p>
            <w:pPr>
              <w:spacing w:after="20" w:line="240" w:lineRule="auto"/>
              <w:ind w:firstLine="0"/>
            </w:pPr>
            <w:r>
              <w:rPr>
                <w:rFonts w:ascii="Arial" w:hAnsi="Arial"/>
                <w:color w:val="000000"/>
                <w:sz w:val="18"/>
              </w:rPr>
              <w:t>0,220</w:t>
            </w:r>
          </w:p>
        </w:tc>
        <w:tc>
          <w:tcPr>
            <w:tcW w:type="dxa" w:w="900"/>
          </w:tcPr>
          <w:p>
            <w:pPr>
              <w:spacing w:after="20" w:line="240" w:lineRule="auto"/>
              <w:ind w:firstLine="0"/>
            </w:pPr>
            <w:r>
              <w:rPr>
                <w:rFonts w:ascii="Arial" w:hAnsi="Arial"/>
                <w:color w:val="000000"/>
                <w:sz w:val="18"/>
              </w:rPr>
              <w:t>sim</w:t>
            </w:r>
          </w:p>
        </w:tc>
        <w:tc>
          <w:tcPr>
            <w:tcW w:type="dxa" w:w="900"/>
          </w:tcPr>
          <w:p>
            <w:pPr>
              <w:spacing w:after="20" w:line="240" w:lineRule="auto"/>
              <w:ind w:firstLine="0"/>
            </w:pPr>
            <w:r>
              <w:rPr>
                <w:rFonts w:ascii="Arial" w:hAnsi="Arial"/>
                <w:color w:val="000000"/>
                <w:sz w:val="18"/>
              </w:rPr>
              <w:t>não</w:t>
            </w:r>
          </w:p>
        </w:tc>
      </w:tr>
      <w:tr>
        <w:tc>
          <w:tcPr>
            <w:tcW w:type="dxa" w:w="2500"/>
          </w:tcPr>
          <w:p>
            <w:pPr>
              <w:spacing w:after="20" w:line="240" w:lineRule="auto"/>
              <w:ind w:firstLine="0"/>
            </w:pPr>
            <w:r>
              <w:rPr>
                <w:rFonts w:ascii="Arial" w:hAnsi="Arial"/>
                <w:color w:val="000000"/>
                <w:sz w:val="18"/>
              </w:rPr>
              <w:t>Meta Selic (nível transformado)</w:t>
            </w:r>
          </w:p>
        </w:tc>
        <w:tc>
          <w:tcPr>
            <w:tcW w:type="dxa" w:w="600"/>
          </w:tcPr>
          <w:p>
            <w:pPr>
              <w:spacing w:after="20" w:line="240" w:lineRule="auto"/>
              <w:ind w:firstLine="0"/>
            </w:pPr>
            <w:r>
              <w:rPr>
                <w:rFonts w:ascii="Arial" w:hAnsi="Arial"/>
                <w:color w:val="000000"/>
                <w:sz w:val="18"/>
              </w:rPr>
              <w:t>273</w:t>
            </w:r>
          </w:p>
        </w:tc>
        <w:tc>
          <w:tcPr>
            <w:tcW w:type="dxa" w:w="800"/>
          </w:tcPr>
          <w:p>
            <w:pPr>
              <w:spacing w:after="20" w:line="240" w:lineRule="auto"/>
              <w:ind w:firstLine="0"/>
            </w:pPr>
            <w:r>
              <w:rPr>
                <w:rFonts w:ascii="Arial" w:hAnsi="Arial"/>
                <w:color w:val="000000"/>
                <w:sz w:val="18"/>
              </w:rPr>
              <w:t>-2,72</w:t>
            </w:r>
          </w:p>
        </w:tc>
        <w:tc>
          <w:tcPr>
            <w:tcW w:type="dxa" w:w="800"/>
          </w:tcPr>
          <w:p>
            <w:pPr>
              <w:spacing w:after="20" w:line="240" w:lineRule="auto"/>
              <w:ind w:firstLine="0"/>
            </w:pPr>
            <w:r>
              <w:rPr>
                <w:rFonts w:ascii="Arial" w:hAnsi="Arial"/>
                <w:color w:val="000000"/>
                <w:sz w:val="18"/>
              </w:rPr>
              <w:t>0,070</w:t>
            </w:r>
          </w:p>
        </w:tc>
        <w:tc>
          <w:tcPr>
            <w:tcW w:type="dxa" w:w="500"/>
          </w:tcPr>
          <w:p>
            <w:pPr>
              <w:spacing w:after="20" w:line="240" w:lineRule="auto"/>
              <w:ind w:firstLine="0"/>
            </w:pPr>
            <w:r>
              <w:rPr>
                <w:rFonts w:ascii="Arial" w:hAnsi="Arial"/>
                <w:color w:val="000000"/>
                <w:sz w:val="18"/>
              </w:rPr>
              <w:t>6</w:t>
            </w:r>
          </w:p>
        </w:tc>
        <w:tc>
          <w:tcPr>
            <w:tcW w:type="dxa" w:w="800"/>
          </w:tcPr>
          <w:p>
            <w:pPr>
              <w:spacing w:after="20" w:line="240" w:lineRule="auto"/>
              <w:ind w:firstLine="0"/>
            </w:pPr>
            <w:r>
              <w:rPr>
                <w:rFonts w:ascii="Arial" w:hAnsi="Arial"/>
                <w:color w:val="000000"/>
                <w:sz w:val="18"/>
              </w:rPr>
              <w:t>0,946</w:t>
            </w:r>
          </w:p>
        </w:tc>
        <w:tc>
          <w:tcPr>
            <w:tcW w:type="dxa" w:w="900"/>
          </w:tcPr>
          <w:p>
            <w:pPr>
              <w:spacing w:after="20" w:line="240" w:lineRule="auto"/>
              <w:ind w:firstLine="0"/>
            </w:pPr>
            <w:r>
              <w:rPr>
                <w:rFonts w:ascii="Arial" w:hAnsi="Arial"/>
                <w:color w:val="000000"/>
                <w:sz w:val="18"/>
              </w:rPr>
              <w:t>não</w:t>
            </w:r>
          </w:p>
        </w:tc>
        <w:tc>
          <w:tcPr>
            <w:tcW w:type="dxa" w:w="900"/>
          </w:tcPr>
          <w:p>
            <w:pPr>
              <w:spacing w:after="20" w:line="240" w:lineRule="auto"/>
              <w:ind w:firstLine="0"/>
            </w:pPr>
            <w:r>
              <w:rPr>
                <w:rFonts w:ascii="Arial" w:hAnsi="Arial"/>
                <w:color w:val="000000"/>
                <w:sz w:val="18"/>
              </w:rPr>
              <w:t>sim</w:t>
            </w:r>
          </w:p>
        </w:tc>
      </w:tr>
      <w:tr>
        <w:tc>
          <w:tcPr>
            <w:tcW w:type="dxa" w:w="2500"/>
            <w:tcBorders>
              <w:bottom w:val="single" w:sz="12" w:color="000000"/>
            </w:tcBorders>
          </w:tcPr>
          <w:p>
            <w:pPr>
              <w:spacing w:after="20" w:line="240" w:lineRule="auto"/>
              <w:ind w:firstLine="0"/>
            </w:pPr>
            <w:r>
              <w:rPr>
                <w:rFonts w:ascii="Arial" w:hAnsi="Arial"/>
                <w:color w:val="000000"/>
                <w:sz w:val="18"/>
              </w:rPr>
              <w:t>Expectativa de inflação (transformada)</w:t>
            </w:r>
          </w:p>
        </w:tc>
        <w:tc>
          <w:tcPr>
            <w:tcW w:type="dxa" w:w="600"/>
            <w:tcBorders>
              <w:bottom w:val="single" w:sz="12" w:color="000000"/>
            </w:tcBorders>
          </w:tcPr>
          <w:p>
            <w:pPr>
              <w:spacing w:after="20" w:line="240" w:lineRule="auto"/>
              <w:ind w:firstLine="0"/>
            </w:pPr>
            <w:r>
              <w:rPr>
                <w:rFonts w:ascii="Arial" w:hAnsi="Arial"/>
                <w:color w:val="000000"/>
                <w:sz w:val="18"/>
              </w:rPr>
              <w:t>273</w:t>
            </w:r>
          </w:p>
        </w:tc>
        <w:tc>
          <w:tcPr>
            <w:tcW w:type="dxa" w:w="800"/>
            <w:tcBorders>
              <w:bottom w:val="single" w:sz="12" w:color="000000"/>
            </w:tcBorders>
          </w:tcPr>
          <w:p>
            <w:pPr>
              <w:spacing w:after="20" w:line="240" w:lineRule="auto"/>
              <w:ind w:firstLine="0"/>
            </w:pPr>
            <w:r>
              <w:rPr>
                <w:rFonts w:ascii="Arial" w:hAnsi="Arial"/>
                <w:color w:val="000000"/>
                <w:sz w:val="18"/>
              </w:rPr>
              <w:t>-5,33</w:t>
            </w:r>
          </w:p>
        </w:tc>
        <w:tc>
          <w:tcPr>
            <w:tcW w:type="dxa" w:w="800"/>
            <w:tcBorders>
              <w:bottom w:val="single" w:sz="12" w:color="000000"/>
            </w:tcBorders>
          </w:tcPr>
          <w:p>
            <w:pPr>
              <w:spacing w:after="20" w:line="240" w:lineRule="auto"/>
              <w:ind w:firstLine="0"/>
            </w:pPr>
            <w:r>
              <w:rPr>
                <w:rFonts w:ascii="Arial" w:hAnsi="Arial"/>
                <w:color w:val="000000"/>
                <w:sz w:val="18"/>
              </w:rPr>
              <w:t>0,000</w:t>
            </w:r>
          </w:p>
        </w:tc>
        <w:tc>
          <w:tcPr>
            <w:tcW w:type="dxa" w:w="500"/>
            <w:tcBorders>
              <w:bottom w:val="single" w:sz="12" w:color="000000"/>
            </w:tcBorders>
          </w:tcPr>
          <w:p>
            <w:pPr>
              <w:spacing w:after="20" w:line="240" w:lineRule="auto"/>
              <w:ind w:firstLine="0"/>
            </w:pPr>
            <w:r>
              <w:rPr>
                <w:rFonts w:ascii="Arial" w:hAnsi="Arial"/>
                <w:color w:val="000000"/>
                <w:sz w:val="18"/>
              </w:rPr>
              <w:t>1</w:t>
            </w:r>
          </w:p>
        </w:tc>
        <w:tc>
          <w:tcPr>
            <w:tcW w:type="dxa" w:w="800"/>
            <w:tcBorders>
              <w:bottom w:val="single" w:sz="12" w:color="000000"/>
            </w:tcBorders>
          </w:tcPr>
          <w:p>
            <w:pPr>
              <w:spacing w:after="20" w:line="240" w:lineRule="auto"/>
              <w:ind w:firstLine="0"/>
            </w:pPr>
            <w:r>
              <w:rPr>
                <w:rFonts w:ascii="Arial" w:hAnsi="Arial"/>
                <w:color w:val="000000"/>
                <w:sz w:val="18"/>
              </w:rPr>
              <w:t>0,437</w:t>
            </w:r>
          </w:p>
        </w:tc>
        <w:tc>
          <w:tcPr>
            <w:tcW w:type="dxa" w:w="900"/>
            <w:tcBorders>
              <w:bottom w:val="single" w:sz="12" w:color="000000"/>
            </w:tcBorders>
          </w:tcPr>
          <w:p>
            <w:pPr>
              <w:spacing w:after="20" w:line="240" w:lineRule="auto"/>
              <w:ind w:firstLine="0"/>
            </w:pPr>
            <w:r>
              <w:rPr>
                <w:rFonts w:ascii="Arial" w:hAnsi="Arial"/>
                <w:color w:val="000000"/>
                <w:sz w:val="18"/>
              </w:rPr>
              <w:t>sim</w:t>
            </w:r>
          </w:p>
        </w:tc>
        <w:tc>
          <w:tcPr>
            <w:tcW w:type="dxa" w:w="900"/>
            <w:tcBorders>
              <w:bottom w:val="single" w:sz="12" w:color="000000"/>
            </w:tcBorders>
          </w:tcPr>
          <w:p>
            <w:pPr>
              <w:spacing w:after="20" w:line="240" w:lineRule="auto"/>
              <w:ind w:firstLine="0"/>
            </w:pPr>
            <w:r>
              <w:rPr>
                <w:rFonts w:ascii="Arial" w:hAnsi="Arial"/>
                <w:color w:val="000000"/>
                <w:sz w:val="18"/>
              </w:rPr>
              <w:t>não</w:t>
            </w:r>
          </w:p>
        </w:tc>
      </w:tr>
    </w:tbl>
    <w:p>
      <w:pPr>
        <w:spacing w:before="60" w:after="200" w:line="240" w:lineRule="auto"/>
        <w:ind w:firstLine="0"/>
        <w:jc w:val="both"/>
      </w:pPr>
      <w:r>
        <w:rPr>
          <w:rFonts w:ascii="Arial" w:hAnsi="Arial"/>
          <w:color w:val="000000"/>
          <w:sz w:val="18"/>
        </w:rPr>
        <w:t>Nota: ADF com constante e defasagens por critério de Akaike; hipótese nula de raiz unitária. KPSS com constante e largura de banda automática; hipótese nula de estacionariedade, valor crítico de 5% igual a 0,463. As colunas finais indicam rejeição a 5%. Fonte: Elaboração própria.</w:t>
      </w:r>
    </w:p>
    <w:p>
      <w:pPr>
        <w:spacing w:before="0" w:after="0" w:line="360" w:lineRule="auto"/>
        <w:ind w:firstLine="709"/>
        <w:jc w:val="both"/>
      </w:pPr>
      <w:r>
        <w:rPr>
          <w:rFonts w:ascii="Arial" w:hAnsi="Arial"/>
          <w:color w:val="000000"/>
          <w:sz w:val="24"/>
        </w:rPr>
        <w:t>Os dois testes concordam em dez das onze séries: o ADF rejeita a raiz unitária e o KPSS não rejeita a estacionariedade, de modo que as séries, na forma em que entram no modelo, não apresentam problema de ordem de integração. A exceção é a meta Selic, única série que entra em nível: o ADF não rejeita a raiz unitária, com estatística de −2,72 e p de 0,070, e o KPSS rejeita a estacionariedade, com estatística de 0,946 contra valor crítico de 0,463. Os dois testes apontam, portanto, na mesma direção quanto a ela, que é a de persistência elevada.</w:t>
      </w:r>
    </w:p>
    <w:p>
      <w:pPr>
        <w:spacing w:before="0" w:after="0" w:line="360" w:lineRule="auto"/>
        <w:ind w:firstLine="709"/>
        <w:jc w:val="both"/>
      </w:pPr>
      <w:r>
        <w:rPr>
          <w:rFonts w:ascii="Arial" w:hAnsi="Arial"/>
          <w:color w:val="000000"/>
          <w:sz w:val="24"/>
        </w:rPr>
        <w:t>É precisamente esse o caso que motiva o procedimento adotado na seção 3.3. O aumento de defasagem de Montiel Olea e Plagborg-Møller (2021) assegura validade uniforme da inferência sobre o coeficiente do choque na presença de regressores persistentes, e dispensa tomar posição sobre a ordem de integração da meta Selic. A tabela não é, portanto, condição para a validade dos resultados: ela documenta que o único regressor que exigiria cuidado é justamente o que o procedimento adotado já cobre.</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Elementos pós-textuais</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