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60" w:line="36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1 INTRODUÇÃO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Conflitos armados no Oriente Médio e ameaças ao tráfego marítimo em rotas de escoamento recolocaram o preço do petróleo no centro da discussão econômica mundial, e com ele uma pergunta que a política monetária precisa responder rapidamente: quanto de um choque no preço internacional chega à inflação doméstica, e em quanto tempo. A pergunta é antiga, mas a urgência é recorrente, porque episódios dessa natureza voltam a ocorrer sem aviso e exigem que a autoridade monetária saiba, de antemão, qual repasse esperar.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A resposta encontrada é que ela mudou. No mês de um choque típico de petróleo, o repasse ao IPCA cheio passa de 0,005 ponto percentual antes de 2017 para 0,176 depois. E a mudança não é de intensidade: nas dezoito estimativas do regime anterior nenhuma é estatisticamente distinguível de zero, ao passo que todas as do regime posterior são. O repasse não era menor, era indetectável, e passou a ser sistemático.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A pergunta não tem resposta única. Ela depende de um elo que a literatura internacional raramente examina, porque nas economias que ela estuda esse elo é estável: a regra pela qual o preço internacional se converte em preço doméstico de combustível. Onde essa regra é de mercado, o repasse é uma característica razoavelmente permanente da economia. Onde ela é administrativa, o repasse é uma decisão, e pode mudar de um ano para o outro sem que nada mude na estrutura produtiva, na cesta de consumo ou no regime monetário.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Há uma razão adicional para que a pergunta importe no Brasil. O país conviveu com inflação alta e depois com hiperinflação até a estabilização de 1994, e adotou o regime de metas em 1999, de modo que a construção de credibilidade monetária é fenômeno recente e ainda em consolidação. Choi et al. (2018) documentam que o repasse do petróleo à inflação declina justamente com o ganho de credibilidade da autoridade monetária. O achado deste trabalho vai na direção oposta dessa força: o repasse aumenta em um período no qual o regime monetário não se deteriorou. A explicação, portanto, não pode estar na política monetária, e a candidata que sobra é a regra de formação de preços.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O Brasil é um caso dessa segunda espécie, e por isso oferece o que aquela literatura não tem. Entre 2011 e 2014, a Petrobras vendeu derivados sistematicamente abaixo da referência internacional, política cuja perda de receita Almeida, Oliveira e Losekann (2015) estimam em cerca de R$ 98 bilhões. Em 2016, a empresa adotou a política de paridade de importação, que vinculou o preço doméstico à cotação externa. Em pouco mais de uma década, portanto, a regra de transmissão mudou, e mudou por decisão administrativa, e não por alteração de mercado.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Dessa configuração decorrem duas lacunas na literatura, e é delas que este trabalho se ocupa.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A primeira é de objeto. Os trabalhos de referência sobre repasse do petróleo à inflação, como Choi et al. (2018), tratam o grau de regulação dos preços domésticos como característica fixa de cada país, medida por variável indicadora no painel. A opção é razoável nas economias examinadas, mas descarta justamente a variação que o caso brasileiro oferece. Duas perguntas resultam disso, e ambas interessam: quanto vale o repasse, magnitude que importa diretamente à condução da política monetária e que a literatura nacional ainda não estimou com este desenho, e se essa magnitude é estável, isto é, se o repasse é função da regra de preços vigente ou constitui parâmetro estrutural da economia. Estimar a primeira é condição para responder a segunda.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A segunda lacuna é de mecanismo. Afirmar que o petróleo alcança a inflação pelos combustíveis é intuitivo, e a literatura o afirma com frequência, mas raramente o mede. Medir exige separar duas coisas que costumam vir somadas: o efeito aritmético, que decorre de gasolina, diesel e etanol integrarem a cesta do IPCA, e o efeito econômico de segunda volta, que é o encarecimento dos demais preços por meio de frete, transporte e insumos. Sem essa separação não se pode dizer se o repasse observado é contabilidade de cesta ou propagação de custos, e a distinção importa: apenas a segunda justifica reação da política monetária.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O trabalho ocupa as duas lacunas com um único desenho. O repasse é estimado por projeções locais (JORDÀ, 2005), permitindo que o coeficiente do choque difira entre regimes de política de preços. A data que separa os regimes não é imposta pela cronologia institucional, e sim estimada pelos próprios dados, por teste que estima a data em vez de impô-la (ANDREWS, 1993), com valores críticos obtidos por reamostragem (HANSEN, 2000). E o efeito estimado é decomposto entre o canal dos combustíveis e o restante, e dentro daquele, entre primeira e segunda volta. A amostra é mensal e cobre de janeiro de 2003 a setembro de 2025. O desenho é submetido ainda a verificação com choque de oferta identificado externamente, a partir de anúncios da OPEP (KÄNZIG, 2021).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Os resultados sustentam quatro proposições. A transmissão aumentou de forma acentuada a partir de março de 2017, data que os dados identificam: no mês do choque, o repasse ao IPCA cheio passa de 0,005 para 0,176 ponto percentual. O repasse concentra-se nos dois primeiros meses após o choque. Transita majoritariamente pelos preços de combustíveis, que respondem por 3% do efeito no regime anterior e por 79% no posterior. E é majoritariamente de segunda volta a partir do terceiro mês, resultado que duas construções metodologicamente independentes confirmam.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A implicação de política é direta. A magnitude com que um choque internacional de petróleo atinge a inflação brasileira não é constante da economia, e sim atributo da regra de formação de preços vigente. Um choque como o de março de 2026 produz efeitos muito distintos conforme a regra em vigor no momento em que ocorre.</w:t>
      </w:r>
    </w:p>
    <w:p>
      <w:pPr>
        <w:spacing w:after="0" w:line="360" w:lineRule="auto"/>
        <w:ind w:firstLine="709"/>
        <w:jc w:val="both"/>
      </w:pPr>
      <w:r>
        <w:rPr>
          <w:rFonts w:ascii="Arial" w:hAnsi="Arial"/>
          <w:color w:val="000000"/>
          <w:sz w:val="24"/>
        </w:rPr>
        <w:t>Além desta introdução, o trabalho está organizado em quatro capítulos. O segundo apresenta o referencial teórico, cobrindo a literatura sobre repasse do petróleo à inflação, a crítica de identificação de Kilian (2009), a experiência brasileira de preços administrados e as ferramentas econométricas empregadas. O terceiro detalha os dados e a metodologia. O quarto apresenta e discute os resultados. O quinto conclui.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Arial" w:hAnsi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1 – Introdução</dc:title>
  <dc:subject/>
  <dc:creator>Pedro Minella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