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60" w:line="36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5 CONCLUSÃO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Este trabalho perguntou quanto de um choque no preço internacional do petróleo chega à inflação brasileira, quando esse efeito se materializa e por qual canal ele transita. A resposta que emerge é que nenhuma dessas três perguntas tem resposta única, porque todas dependem da regra pela qual o preço internacional se converte em preço doméstico de combustível. No Brasil essa regra mudou, e a mudança é o que torna a pergunta respondível.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O resultado central é que o repasse aumentou de forma acentuada a partir de março de 2017, data identificada pelos próprios dados por teste de quebra em ponto desconhecido, e não imposta pela cronologia institucional. No mês do choque, a resposta do IPCA cheio passa de 0,005 para 0,176 ponto percentual. A mudança, porém, não é apenas de intensidade. Nas dezoito estimativas do regime anterior não há um único coeficiente distinguível de zero, sequer ao nível de 10%, ao passo que as dezoito do regime posterior são todas significativas nos horizontes de impacto e de até três meses. O repasse não era menor: não era detectável, e passou a ser sistemático. É a diferença entre um preço que acompanha o mercado internacional de forma esporádica e discricionária e um preço que o segue por regra.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O efeito é rápido e concentrado. A decomposição da resposta acumulada em contribuições mensais mostra que os dois primeiros meses entregam integralmente o repasse verificado em três meses, e que entre o segundo e o décimo mês praticamente nenhuma série responde. Para a política monetária, isso significa que a janela de transmissão é estreita e se fecha cedo.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Quanto ao canal, a evidência é nítida. Os preços domésticos de combustíveis respondem por 0,003 ponto percentual do efeito sobre o IPCA em três meses no regime anterior, valor que não difere de zero, e por 0,249 ponto no regime posterior, significativo a menos de 1%. Em proporção do efeito total isso corresponde a 3% e 79%, leitura mais intuitiva mas menos precisa, porque o denominador do regime anterior é ele próprio impreciso. A paridade de importação não apenas elevou o repasse: elevou-o pela via prevista pela mudança institucional, e não por efeito difuso operando via câmbio ou expectativas. Dentro dessa parcela, a separação entre o efeito aritmético, que decorre de os combustíveis integrarem a cesta do IPCA, e o efeito econômico de segunda volta mostra que a composição do repasse se desloca com o tempo: no regime posterior a primeira volta responde por 63% do efeito no mês do choque, por 49% em três meses e por apenas 13% em seis. O efeito de composição da cesta é imediato e se esgota; o de custos é mais lento e persiste, situando-se em 0,158 ponto percentual no sexto mês. Duas construções sem elemento metodológico comum convergem para o mesmo número em três meses, 0,161 pela via aritmética e 0,163 pelos não comercializáveis, o que é a verificação mais forte disponível sem instrumento específico para o preço do combustível, ainda que nenhuma das duas alcance significância isolada naquele horizonte.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 contribuição do trabalho está menos em qualquer um desses números isoladamente e mais no que a convergência entre eles permite afirmar. As rejeições do teste de quebra concentram-se no horizonte de impacto; o p-valor ajustado por seleção sustenta-se apenas nesse horizonte; o canal dos combustíveis já responde por quase metade do repasse no mês do choque; e a resposta mensal é significativa no impacto e no mês seguinte, e em nenhum outro. Nenhum desses resultados depende dos demais, e todos delimitam o mesmo horizonte e o mesmo mecanismo. Some-se a isso que a elasticidade estimada para o regime posterior coincide com o parâmetro que o Banco Central do Brasil calibra pela estrutura de custos, ao passo que a do regime anterior está muito abaixo dele: um parâmetro de referência externo ao trabalho descreve com precisão um dos regimes e não descreveria o outro.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 implicação de política decorre disso. A magnitude com que um choque internacional de petróleo atinge a inflação brasileira não é constante da economia, e sim atributo da regra de formação de preços vigente. Um choque como o que o mercado internacional registrou em março de 2026 produziria efeitos bastante distintos sobre a inflação doméstica conforme a regra em vigor no momento em que ocorresse. Para quem conduz a política monetária, a consequência prática é que a calibragem do repasse precisa ser revista sempre que a regra de precificação mudar, e não tratada como parâmetro herdado de estimativas anteriores.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Três limitações delimitam o alcance dos resultados. A etapa que condiciona no preço do combustível não é causalmente identificada, por não se dispor de instrumento específico para esse preço, de modo que a leitura defensável é contábil e não causal. A data da quebra, embora estimada, é identificada com folga de anos e não de meses, e a faixa compatível com os dados se estende de abril de 2016 a fevereiro de 2021. E a conclusão sobre a mudança de regime apoia-se no horizonte de impacto, onde é robusta a todas as verificações realizadas, e não no horizonte de três meses, onde o teste de igualdade entre regimes é sensível ao número de defasagens adotado.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Cabe registrar ainda que a política de paridade de importação foi encerrada em maio de 2023, ao passo que a amostra se estende até setembro de 2025. Reestimado o modelo com a amostra encerrada na data do anúncio, o repasse no impacto sobe de 0,176 para 0,214, o que indica que as estimativas aqui reportadas são conservadoras: incorporar meses em que a política já não vigorava atenua o coeficiente.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Três extensões decorrem naturalmente. A primeira é instrumentar o preço doméstico de combustível pela própria cotação internacional do produto refinado, que sob a paridade de importação determina mecanicamente aquele preço, o que permitiria identificar causalmente o efeito de segunda volta que este trabalho só consegue medir de forma contábil. A segunda é examinar se altas e baixas do petróleo repassam com a mesma intensidade, questão que a literatura de preços de combustíveis trata sob a designação de foguetes e penas e que a mudança de regime documentada aqui torna particularmente interessante, já que uma regra mecânica não comporta a discricionariedade que produz assimetria. A terceira é reavaliar o período posterior a maio de 2023 quando houver observações suficientes para estimá-lo com precisão, o que permitirá verificar se o fim da paridade reverteu a transmissão ao patamar anterior ou apenas a reduziu. Essa terceira frente deixou de ser conjectural: o Fundo Monetário Internacional (2026) registra, na consulta do Artigo IV concluída em julho de 2026, que a Petrobras vem moderando o repasse de choques internacionais aos preços domésticos em linha com a estratégia comercial adotada em 2023, e que os ganhos fiscais associados ao petróleo têm sido largamente aplicados em medidas de contenção do preço de combustível. A avaliação de um organismo multilateral de que a regra vigente atenua a transmissão é, em si, indicação de que o objeto deste trabalho permanece ativo, e a elevação do preço internacional observada em 2026 oferecerá a variação necessária para estimá-lo.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O trabalho deixa, como resultado mais durável, uma advertência metodológica. Estimativas de repasse do petróleo à inflação obtidas em amostras longas, sem atenção à regra de formação de preços vigente em cada período, produzem médias que não descrevem nenhum dos regimes que atravessaram. A especificação de amostra completa deste mesmo conjunto de dados não rejeita a hipótese de ausência de efeito sobre o IPCA cheio, enquanto a especificação por regime rejeita a igualdade entre períodos nas seis séries examinadas. O objeto de interesse, portanto, não estava perdido nos dados: estava escondido pela agregação.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5 – Conclusão</dc:title>
  <dc:subject/>
  <dc:creator>Pedro Minella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