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Arial" w:hAnsi="Arial"/>
          <w:b/>
          <w:i w:val="0"/>
          <w:color w:val="000000"/>
          <w:sz w:val="24"/>
        </w:rPr>
        <w:t>IBMEC</w:t>
      </w:r>
    </w:p>
    <w:p>
      <w:pPr>
        <w:spacing w:line="360" w:lineRule="auto" w:before="0" w:after="0"/>
        <w:ind w:firstLine="0"/>
        <w:jc w:val="center"/>
      </w:pPr>
      <w:r>
        <w:rPr>
          <w:rFonts w:ascii="Arial" w:hAnsi="Arial"/>
          <w:b/>
          <w:i w:val="0"/>
          <w:color w:val="000000"/>
          <w:sz w:val="24"/>
        </w:rPr>
        <w:t>CURSO DE CIÊNCIAS ECONÔMICAS</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PEDRO MINELLA</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O REPASSE DO PREÇO INTERNACIONAL DO PETRÓLEO À INFLAÇÃO BRASILEIRA: O PAPEL DA REGRA DE FORMAÇÃO DE PREÇOS DE COMBUSTÍVEIS</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BRASÍLIA</w:t>
      </w:r>
    </w:p>
    <w:p>
      <w:pPr>
        <w:spacing w:line="360" w:lineRule="auto" w:before="0" w:after="0"/>
        <w:ind w:firstLine="0"/>
        <w:jc w:val="center"/>
      </w:pPr>
      <w:r>
        <w:rPr>
          <w:rFonts w:ascii="Arial" w:hAnsi="Arial"/>
          <w:b/>
          <w:i w:val="0"/>
          <w:color w:val="000000"/>
          <w:sz w:val="24"/>
        </w:rPr>
        <w:t>2026</w:t>
      </w:r>
    </w:p>
    <w:p>
      <w:r>
        <w:br w:type="page"/>
      </w:r>
    </w:p>
    <w:p>
      <w:pPr>
        <w:spacing w:line="360" w:lineRule="auto" w:before="0" w:after="0"/>
        <w:ind w:firstLine="0"/>
        <w:jc w:val="center"/>
      </w:pPr>
      <w:r>
        <w:rPr>
          <w:rFonts w:ascii="Arial" w:hAnsi="Arial"/>
          <w:b/>
          <w:i w:val="0"/>
          <w:color w:val="000000"/>
          <w:sz w:val="24"/>
        </w:rPr>
        <w:t>PEDRO MINELLA</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O REPASSE DO PREÇO INTERNACIONAL DO PETRÓLEO À INFLAÇÃO BRASILEIRA: O PAPEL DA REGRA DE FORMAÇÃO DE PREÇOS DE COMBUSTÍVEIS</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240" w:lineRule="auto"/>
        <w:ind w:left="4535"/>
        <w:jc w:val="both"/>
      </w:pPr>
      <w:r>
        <w:rPr>
          <w:rFonts w:ascii="Arial" w:hAnsi="Arial"/>
          <w:color w:val="000000"/>
          <w:sz w:val="24"/>
        </w:rPr>
        <w:t>Trabalho de Conclusão de Curso apresentado ao Curso de Ciências Econômicas da IBMEC, como requisito parcial para a obtenção do título de Bacharel em Ciências Econômicas.</w:t>
      </w:r>
    </w:p>
    <w:p>
      <w:pPr>
        <w:spacing w:line="360" w:lineRule="auto" w:before="0" w:after="0"/>
        <w:ind w:firstLine="0"/>
        <w:jc w:val="center"/>
      </w:pPr>
    </w:p>
    <w:p>
      <w:pPr>
        <w:spacing w:line="240" w:lineRule="auto"/>
        <w:ind w:left="4535"/>
      </w:pPr>
      <w:r>
        <w:rPr>
          <w:rFonts w:ascii="Arial" w:hAnsi="Arial"/>
          <w:color w:val="000000"/>
          <w:sz w:val="24"/>
        </w:rPr>
        <w:t>Orientador: Silvio Michael de Azevedo Costa</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BRASÍLIA</w:t>
      </w:r>
    </w:p>
    <w:p>
      <w:pPr>
        <w:spacing w:line="360" w:lineRule="auto" w:before="0" w:after="0"/>
        <w:ind w:firstLine="0"/>
        <w:jc w:val="center"/>
      </w:pPr>
      <w:r>
        <w:rPr>
          <w:rFonts w:ascii="Arial" w:hAnsi="Arial"/>
          <w:b/>
          <w:i w:val="0"/>
          <w:color w:val="000000"/>
          <w:sz w:val="24"/>
        </w:rPr>
        <w:t>2026</w:t>
      </w:r>
    </w:p>
    <w:p>
      <w:r>
        <w:br w:type="page"/>
      </w:r>
    </w:p>
    <w:p>
      <w:pPr>
        <w:spacing w:line="360" w:lineRule="auto" w:before="0" w:after="0"/>
        <w:ind w:firstLine="0"/>
        <w:jc w:val="center"/>
      </w:pPr>
      <w:r>
        <w:rPr>
          <w:rFonts w:ascii="Arial" w:hAnsi="Arial"/>
          <w:b/>
          <w:i w:val="0"/>
          <w:color w:val="000000"/>
          <w:sz w:val="24"/>
        </w:rPr>
        <w:t>PEDRO MINELLA</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O REPASSE DO PREÇO INTERNACIONAL DO PETRÓLEO À INFLAÇÃO BRASILEIRA: O PAPEL DA REGRA DE FORMAÇÃO DE PREÇOS DE COMBUSTÍVEIS</w:t>
      </w:r>
    </w:p>
    <w:p>
      <w:pPr>
        <w:spacing w:line="360" w:lineRule="auto" w:before="0" w:after="0"/>
        <w:ind w:firstLine="0"/>
        <w:jc w:val="center"/>
      </w:pPr>
    </w:p>
    <w:p>
      <w:pPr>
        <w:spacing w:line="240" w:lineRule="auto"/>
        <w:ind w:left="4535"/>
        <w:jc w:val="both"/>
      </w:pPr>
      <w:r>
        <w:rPr>
          <w:rFonts w:ascii="Arial" w:hAnsi="Arial"/>
          <w:color w:val="000000"/>
          <w:sz w:val="24"/>
        </w:rPr>
        <w:t>Trabalho de Conclusão de Curso apresentado ao Curso de Ciências Econômicas da IBMEC, como requisito parcial para a obtenção do título de Bacharel em Ciências Econômicas.</w:t>
      </w:r>
    </w:p>
    <w:p>
      <w:pPr>
        <w:spacing w:line="360" w:lineRule="auto" w:before="0" w:after="0"/>
        <w:ind w:firstLine="0"/>
        <w:jc w:val="center"/>
      </w:pPr>
    </w:p>
    <w:p>
      <w:pPr>
        <w:spacing w:line="360" w:lineRule="auto" w:before="0" w:after="0"/>
        <w:ind w:firstLine="0"/>
        <w:jc w:val="left"/>
      </w:pPr>
      <w:r>
        <w:rPr>
          <w:rFonts w:ascii="Arial" w:hAnsi="Arial"/>
          <w:b w:val="0"/>
          <w:i w:val="0"/>
          <w:color w:val="000000"/>
          <w:sz w:val="24"/>
        </w:rPr>
        <w:t>Aprovado em ____ de __________________ de ______.</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i w:val="0"/>
          <w:color w:val="000000"/>
          <w:sz w:val="24"/>
        </w:rPr>
        <w:t>BANCA EXAMINADORA</w:t>
      </w: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p>
    <w:p>
      <w:pPr>
        <w:spacing w:line="360" w:lineRule="auto" w:before="0" w:after="0"/>
        <w:ind w:firstLine="0"/>
        <w:jc w:val="center"/>
      </w:pPr>
      <w:r>
        <w:rPr>
          <w:rFonts w:ascii="Arial" w:hAnsi="Arial"/>
          <w:b w:val="0"/>
          <w:i w:val="0"/>
          <w:color w:val="000000"/>
          <w:sz w:val="24"/>
        </w:rPr>
        <w:t>____________________________________________________</w:t>
      </w:r>
    </w:p>
    <w:p>
      <w:pPr>
        <w:spacing w:line="360" w:lineRule="auto" w:before="0" w:after="0"/>
        <w:ind w:firstLine="0"/>
        <w:jc w:val="center"/>
      </w:pPr>
      <w:r>
        <w:rPr>
          <w:rFonts w:ascii="Arial" w:hAnsi="Arial"/>
          <w:b w:val="0"/>
          <w:i w:val="0"/>
          <w:color w:val="000000"/>
          <w:sz w:val="24"/>
        </w:rPr>
        <w:t>Silvio Michael de Azevedo Costa</w:t>
      </w:r>
    </w:p>
    <w:p>
      <w:pPr>
        <w:spacing w:line="360" w:lineRule="auto" w:before="0" w:after="480"/>
        <w:ind w:firstLine="0"/>
        <w:jc w:val="center"/>
      </w:pPr>
      <w:r>
        <w:rPr>
          <w:rFonts w:ascii="Arial" w:hAnsi="Arial"/>
          <w:b w:val="0"/>
          <w:i w:val="0"/>
          <w:color w:val="000000"/>
          <w:sz w:val="24"/>
        </w:rPr>
        <w:t>IBMEC (Orientador)</w:t>
      </w:r>
    </w:p>
    <w:p>
      <w:pPr>
        <w:spacing w:line="360" w:lineRule="auto" w:before="0" w:after="0"/>
        <w:ind w:firstLine="0"/>
        <w:jc w:val="center"/>
      </w:pPr>
      <w:r>
        <w:rPr>
          <w:rFonts w:ascii="Arial" w:hAnsi="Arial"/>
          <w:b w:val="0"/>
          <w:i w:val="0"/>
          <w:color w:val="000000"/>
          <w:sz w:val="24"/>
        </w:rPr>
        <w:t>____________________________________________________</w:t>
      </w:r>
    </w:p>
    <w:p>
      <w:pPr>
        <w:spacing w:line="360" w:lineRule="auto" w:before="0" w:after="0"/>
        <w:ind w:firstLine="0"/>
        <w:jc w:val="center"/>
      </w:pPr>
      <w:r>
        <w:rPr>
          <w:rFonts w:ascii="Arial" w:hAnsi="Arial"/>
          <w:b w:val="0"/>
          <w:i w:val="0"/>
          <w:color w:val="000000"/>
          <w:sz w:val="24"/>
        </w:rPr>
        <w:t>[NOME DO EXAMINADOR]</w:t>
      </w:r>
    </w:p>
    <w:p>
      <w:pPr>
        <w:spacing w:line="360" w:lineRule="auto" w:before="0" w:after="480"/>
        <w:ind w:firstLine="0"/>
        <w:jc w:val="center"/>
      </w:pPr>
      <w:r>
        <w:rPr>
          <w:rFonts w:ascii="Arial" w:hAnsi="Arial"/>
          <w:b w:val="0"/>
          <w:i w:val="0"/>
          <w:color w:val="000000"/>
          <w:sz w:val="24"/>
        </w:rPr>
        <w:t>IBMEC (Examinador)</w:t>
      </w:r>
    </w:p>
    <w:p>
      <w:pPr>
        <w:spacing w:line="360" w:lineRule="auto" w:before="0" w:after="0"/>
        <w:ind w:firstLine="0"/>
        <w:jc w:val="center"/>
      </w:pPr>
      <w:r>
        <w:rPr>
          <w:rFonts w:ascii="Arial" w:hAnsi="Arial"/>
          <w:b w:val="0"/>
          <w:i w:val="0"/>
          <w:color w:val="000000"/>
          <w:sz w:val="24"/>
        </w:rPr>
        <w:t>____________________________________________________</w:t>
      </w:r>
    </w:p>
    <w:p>
      <w:pPr>
        <w:spacing w:line="360" w:lineRule="auto" w:before="0" w:after="0"/>
        <w:ind w:firstLine="0"/>
        <w:jc w:val="center"/>
      </w:pPr>
      <w:r>
        <w:rPr>
          <w:rFonts w:ascii="Arial" w:hAnsi="Arial"/>
          <w:b w:val="0"/>
          <w:i w:val="0"/>
          <w:color w:val="000000"/>
          <w:sz w:val="24"/>
        </w:rPr>
        <w:t>[NOME DO EXAMINADOR]</w:t>
      </w:r>
    </w:p>
    <w:p>
      <w:pPr>
        <w:spacing w:line="360" w:lineRule="auto" w:before="0" w:after="480"/>
        <w:ind w:firstLine="0"/>
        <w:jc w:val="center"/>
      </w:pPr>
      <w:r>
        <w:rPr>
          <w:rFonts w:ascii="Arial" w:hAnsi="Arial"/>
          <w:b w:val="0"/>
          <w:i w:val="0"/>
          <w:color w:val="000000"/>
          <w:sz w:val="24"/>
        </w:rPr>
        <w:t>IBMEC (Examinador)</w:t>
      </w:r>
    </w:p>
    <w:p>
      <w:r>
        <w:br w:type="page"/>
      </w:r>
    </w:p>
    <w:p>
      <w:pPr>
        <w:spacing w:line="360" w:lineRule="auto" w:before="0" w:after="360"/>
        <w:ind w:firstLine="0"/>
        <w:jc w:val="center"/>
      </w:pPr>
      <w:r>
        <w:rPr>
          <w:rFonts w:ascii="Arial" w:hAnsi="Arial"/>
          <w:b/>
          <w:i w:val="0"/>
          <w:color w:val="000000"/>
          <w:sz w:val="24"/>
        </w:rPr>
        <w:t>RESUMO</w:t>
      </w:r>
    </w:p>
    <w:p>
      <w:pPr>
        <w:spacing w:line="360" w:lineRule="auto" w:before="0" w:after="0"/>
        <w:ind w:firstLine="709"/>
        <w:jc w:val="both"/>
      </w:pPr>
      <w:r>
        <w:rPr>
          <w:rFonts w:ascii="Arial" w:hAnsi="Arial"/>
          <w:b w:val="0"/>
          <w:i w:val="0"/>
          <w:color w:val="000000"/>
          <w:sz w:val="24"/>
        </w:rPr>
        <w:t>Este trabalho estima o repasse do preço internacional do petróleo à inflação brasileira e investiga se essa magnitude é estável ao longo do tempo. A hipótese central é que o repasse não constitui parâmetro estrutural da economia, e sim função da regra pela qual o preço internacional se converte em preço doméstico de combustível, regra que no Brasil mudou por decisão administrativa. Utiliza-se o método de projeções locais em dados mensais de janeiro de 2003 a setembro de 2025, permitindo que o coeficiente do choque difira entre regimes de política de preços, com a data de separação estimada pelos próprios dados por teste de quebra em ponto desconhecido e valores críticos obtidos por reamostragem. O efeito estimado é decomposto entre o canal dos combustíveis e o restante e, dentro daquele, entre o efeito aritmético decorrente da composição da cesta e o efeito econômico de segunda volta. Os resultados indicam que a transmissão aumentou de forma acentuada a partir de março de 2017, data identificada pelos dados: no mês do choque, o repasse ao índice cheio passa de 0,005 para 0,176 ponto percentual. Nos horizontes de impacto, de um e de três meses, nenhum dos dezoito coeficientes do regime anterior é estatisticamente distinguível de zero, ao passo que os dezoito do regime posterior são todos significativos. O repasse concentra-se nos dois primeiros meses, transita majoritariamente pelos preços de combustíveis, cujo canal carrega 0,003 ponto percentual em três meses no regime anterior, valor não distinguível de zero, contra 0,249 ponto no posterior, e torna-se majoritariamente de segunda volta a partir do terceiro mês. A implicação para a política monetária é que a calibragem do repasse precisa ser revista sempre que a regra de precificação se altere.</w:t>
      </w:r>
    </w:p>
    <w:p>
      <w:pPr>
        <w:spacing w:line="360" w:lineRule="auto" w:before="0" w:after="0"/>
        <w:ind w:firstLine="0"/>
        <w:jc w:val="center"/>
      </w:pPr>
    </w:p>
    <w:p>
      <w:pPr>
        <w:spacing w:line="360" w:lineRule="auto"/>
        <w:jc w:val="both"/>
      </w:pPr>
      <w:r>
        <w:rPr>
          <w:rFonts w:ascii="Arial" w:hAnsi="Arial"/>
          <w:b/>
          <w:color w:val="000000"/>
          <w:sz w:val="24"/>
        </w:rPr>
        <w:t xml:space="preserve">Palavras-chave: </w:t>
      </w:r>
      <w:r>
        <w:rPr>
          <w:rFonts w:ascii="Arial" w:hAnsi="Arial"/>
          <w:color w:val="000000"/>
          <w:sz w:val="24"/>
        </w:rPr>
        <w:t>repasse de preços; petróleo; inflação; projeções locais; quebra estrutural; paridade de importação.</w:t>
      </w:r>
    </w:p>
    <w:p>
      <w:r>
        <w:br w:type="page"/>
      </w:r>
    </w:p>
    <w:p>
      <w:pPr>
        <w:spacing w:line="360" w:lineRule="auto" w:before="0" w:after="360"/>
        <w:ind w:firstLine="0"/>
        <w:jc w:val="center"/>
      </w:pPr>
      <w:r>
        <w:rPr>
          <w:rFonts w:ascii="Arial" w:hAnsi="Arial"/>
          <w:b/>
          <w:i w:val="0"/>
          <w:color w:val="000000"/>
          <w:sz w:val="24"/>
        </w:rPr>
        <w:t>ABSTRACT</w:t>
      </w:r>
    </w:p>
    <w:p>
      <w:pPr>
        <w:spacing w:line="360" w:lineRule="auto" w:before="0" w:after="0"/>
        <w:ind w:firstLine="709"/>
        <w:jc w:val="both"/>
      </w:pPr>
      <w:r>
        <w:rPr>
          <w:rFonts w:ascii="Arial" w:hAnsi="Arial"/>
          <w:b w:val="0"/>
          <w:i w:val="0"/>
          <w:color w:val="000000"/>
          <w:sz w:val="24"/>
        </w:rPr>
        <w:t>This study estimates the pass-through of international oil prices to Brazilian inflation and investigates whether its magnitude is stable over time. The central hypothesis is that pass-through is not a structural parameter of the economy, but rather a function of the rule by which international prices are converted into domestic fuel prices, a rule that in Brazil changed by administrative decision. The local projections method is applied to monthly data from January 2003 to September 2025, allowing the shock coefficient to differ across price-policy regimes, with the separating date estimated from the data by a test for structural break at an unknown point, using bootstrap critical values. The estimated effect is decomposed between the fuel channel and the remainder and, within the former, between the arithmetic effect arising from basket composition and the economic second-round effect. Results indicate that transmission increased sharply from March 2017, a date identified by the data: in the month of the shock, pass-through to headline inflation rises from 0.005 to 0.176 percentage points, and no coefficient in the earlier regime is statistically distinguishable from zero, whereas all coefficients in the later regime are. Pass-through is concentrated in the first two months, operates mainly through domestic fuel prices, which account for 3% of the effect in the earlier regime and 79% in the later one, and becomes predominantly second-round from the third month onward. The implication for monetary policy is that pass-through calibration must be revised whenever the pricing rule changes.</w:t>
      </w:r>
    </w:p>
    <w:p>
      <w:pPr>
        <w:spacing w:line="360" w:lineRule="auto" w:before="0" w:after="0"/>
        <w:ind w:firstLine="0"/>
        <w:jc w:val="center"/>
      </w:pPr>
    </w:p>
    <w:p>
      <w:pPr>
        <w:spacing w:line="360" w:lineRule="auto"/>
        <w:jc w:val="both"/>
      </w:pPr>
      <w:r>
        <w:rPr>
          <w:rFonts w:ascii="Arial" w:hAnsi="Arial"/>
          <w:b/>
          <w:color w:val="000000"/>
          <w:sz w:val="24"/>
        </w:rPr>
        <w:t xml:space="preserve">Keywords: </w:t>
      </w:r>
      <w:r>
        <w:rPr>
          <w:rFonts w:ascii="Arial" w:hAnsi="Arial"/>
          <w:color w:val="000000"/>
          <w:sz w:val="24"/>
        </w:rPr>
        <w:t>price pass-through; oil; inflation; local projections; structural break; import parity pricing.</w:t>
      </w:r>
    </w:p>
    <w:p>
      <w:r>
        <w:br w:type="page"/>
      </w:r>
    </w:p>
    <w:p>
      <w:pPr>
        <w:spacing w:line="360" w:lineRule="auto" w:before="0" w:after="360"/>
        <w:ind w:firstLine="0"/>
        <w:jc w:val="center"/>
      </w:pPr>
      <w:r>
        <w:rPr>
          <w:rFonts w:ascii="Arial" w:hAnsi="Arial"/>
          <w:b/>
          <w:i w:val="0"/>
          <w:color w:val="000000"/>
          <w:sz w:val="24"/>
        </w:rPr>
        <w:t>LISTA DE FIGURAS</w:t>
      </w:r>
    </w:p>
    <w:p>
      <w:pPr>
        <w:spacing w:line="360" w:lineRule="auto"/>
        <w:jc w:val="left"/>
      </w:pPr>
      <w:r>
        <w:rPr>
          <w:rFonts w:ascii="Arial" w:hAnsi="Arial"/>
          <w:color w:val="000000"/>
          <w:sz w:val="24"/>
        </w:rPr>
        <w:t>Figura 1 – Preço doméstico da gasolina e referência internacional</w:t>
      </w:r>
    </w:p>
    <w:p>
      <w:pPr>
        <w:spacing w:line="360" w:lineRule="auto"/>
        <w:jc w:val="left"/>
      </w:pPr>
      <w:r>
        <w:rPr>
          <w:rFonts w:ascii="Arial" w:hAnsi="Arial"/>
          <w:color w:val="000000"/>
          <w:sz w:val="24"/>
        </w:rPr>
        <w:t>Figura 2 – Séries utilizadas, em nível e em escala logarítmica</w:t>
      </w:r>
    </w:p>
    <w:p>
      <w:pPr>
        <w:spacing w:line="360" w:lineRule="auto"/>
        <w:jc w:val="left"/>
      </w:pPr>
      <w:r>
        <w:rPr>
          <w:rFonts w:ascii="Arial" w:hAnsi="Arial"/>
          <w:color w:val="000000"/>
          <w:sz w:val="24"/>
        </w:rPr>
        <w:t>Figura 3 – Resposta do IPCA Geral por regime</w:t>
      </w:r>
    </w:p>
    <w:p>
      <w:pPr>
        <w:spacing w:line="360" w:lineRule="auto"/>
        <w:jc w:val="left"/>
      </w:pPr>
      <w:r>
        <w:rPr>
          <w:rFonts w:ascii="Arial" w:hAnsi="Arial"/>
          <w:color w:val="000000"/>
          <w:sz w:val="24"/>
        </w:rPr>
        <w:t>Figura 4 – Resposta do IPCA Transportes por regime</w:t>
      </w:r>
    </w:p>
    <w:p>
      <w:pPr>
        <w:spacing w:line="360" w:lineRule="auto"/>
        <w:jc w:val="left"/>
      </w:pPr>
      <w:r>
        <w:rPr>
          <w:rFonts w:ascii="Arial" w:hAnsi="Arial"/>
          <w:color w:val="000000"/>
          <w:sz w:val="24"/>
        </w:rPr>
        <w:t>Figura 5 – Resposta dos preços de combustíveis por regime</w:t>
      </w:r>
    </w:p>
    <w:p>
      <w:pPr>
        <w:spacing w:line="360" w:lineRule="auto"/>
        <w:jc w:val="left"/>
      </w:pPr>
      <w:r>
        <w:rPr>
          <w:rFonts w:ascii="Arial" w:hAnsi="Arial"/>
          <w:color w:val="000000"/>
          <w:sz w:val="24"/>
        </w:rPr>
        <w:t>Figura 6 – Distribuição temporal do repasse</w:t>
      </w:r>
    </w:p>
    <w:p>
      <w:pPr>
        <w:spacing w:line="360" w:lineRule="auto"/>
        <w:jc w:val="left"/>
      </w:pPr>
      <w:r>
        <w:rPr>
          <w:rFonts w:ascii="Arial" w:hAnsi="Arial"/>
          <w:color w:val="000000"/>
          <w:sz w:val="24"/>
        </w:rPr>
        <w:t>Figura 7 – Decomposição da resposta do IPCA Geral segundo o canal dos combustíveis</w:t>
      </w:r>
    </w:p>
    <w:p>
      <w:pPr>
        <w:spacing w:line="360" w:lineRule="auto"/>
        <w:jc w:val="left"/>
      </w:pPr>
      <w:r>
        <w:rPr>
          <w:rFonts w:ascii="Arial" w:hAnsi="Arial"/>
          <w:color w:val="000000"/>
          <w:sz w:val="24"/>
        </w:rPr>
        <w:t>Figura 8 – Os dois caminhos do choque e a inversão da composição</w:t>
      </w:r>
    </w:p>
    <w:p>
      <w:pPr>
        <w:spacing w:line="360" w:lineRule="auto"/>
        <w:jc w:val="left"/>
      </w:pPr>
      <w:r>
        <w:rPr>
          <w:rFonts w:ascii="Arial" w:hAnsi="Arial"/>
          <w:color w:val="000000"/>
          <w:sz w:val="24"/>
        </w:rPr>
        <w:t>Figura 9 – Primeira e segunda volta, e desfechos que excluem combustíveis</w:t>
      </w:r>
    </w:p>
    <w:p>
      <w:pPr>
        <w:spacing w:line="360" w:lineRule="auto"/>
        <w:jc w:val="left"/>
      </w:pPr>
      <w:r>
        <w:rPr>
          <w:rFonts w:ascii="Arial" w:hAnsi="Arial"/>
          <w:color w:val="000000"/>
          <w:sz w:val="24"/>
        </w:rPr>
        <w:t>Figura 10 – Perfil da estatística de quebra e ampliação do topo</w:t>
      </w:r>
    </w:p>
    <w:p>
      <w:pPr>
        <w:spacing w:line="360" w:lineRule="auto"/>
        <w:jc w:val="left"/>
      </w:pPr>
      <w:r>
        <w:rPr>
          <w:rFonts w:ascii="Arial" w:hAnsi="Arial"/>
          <w:color w:val="000000"/>
          <w:sz w:val="24"/>
        </w:rPr>
        <w:t>Figura 11 – Resposta no mês do choque sob os dois cortes</w:t>
      </w:r>
    </w:p>
    <w:p>
      <w:pPr>
        <w:spacing w:line="360" w:lineRule="auto"/>
        <w:jc w:val="left"/>
      </w:pPr>
      <w:r>
        <w:rPr>
          <w:rFonts w:ascii="Arial" w:hAnsi="Arial"/>
          <w:color w:val="000000"/>
          <w:sz w:val="24"/>
        </w:rPr>
        <w:t>Figura 12 – Composição dos choques do petróleo nos dois regimes</w:t>
      </w:r>
    </w:p>
    <w:p>
      <w:pPr>
        <w:spacing w:line="360" w:lineRule="auto"/>
        <w:jc w:val="left"/>
      </w:pPr>
      <w:r>
        <w:rPr>
          <w:rFonts w:ascii="Arial" w:hAnsi="Arial"/>
          <w:color w:val="000000"/>
          <w:sz w:val="24"/>
        </w:rPr>
        <w:t>Figura 13 – Contribuição dos choques de petróleo ao IPCA sob as duas regras, 2021 e 2022</w:t>
      </w:r>
    </w:p>
    <w:p>
      <w:pPr>
        <w:spacing w:line="360" w:lineRule="auto"/>
        <w:jc w:val="left"/>
      </w:pPr>
      <w:r>
        <w:rPr>
          <w:rFonts w:ascii="Arial" w:hAnsi="Arial"/>
          <w:color w:val="000000"/>
          <w:sz w:val="24"/>
        </w:rPr>
        <w:t>Figura 14 – O repasse brasileiro na distribuição internacional</w:t>
      </w:r>
    </w:p>
    <w:p>
      <w:pPr>
        <w:spacing w:line="360" w:lineRule="auto"/>
        <w:jc w:val="left"/>
      </w:pPr>
      <w:r>
        <w:rPr>
          <w:rFonts w:ascii="Arial" w:hAnsi="Arial"/>
          <w:color w:val="000000"/>
          <w:sz w:val="24"/>
        </w:rPr>
        <w:t>Figura A.1 – Séries em nível, janeiro de 2003 a setembro de 2025</w:t>
      </w:r>
    </w:p>
    <w:p>
      <w:pPr>
        <w:spacing w:line="360" w:lineRule="auto"/>
        <w:jc w:val="left"/>
      </w:pPr>
      <w:r>
        <w:rPr>
          <w:rFonts w:ascii="Arial" w:hAnsi="Arial"/>
          <w:color w:val="000000"/>
          <w:sz w:val="24"/>
        </w:rPr>
        <w:t>Figura B.1 – Séries em escala logarítmica</w:t>
      </w:r>
    </w:p>
    <w:p>
      <w:pPr>
        <w:spacing w:line="360" w:lineRule="auto"/>
        <w:jc w:val="left"/>
      </w:pPr>
      <w:r>
        <w:rPr>
          <w:rFonts w:ascii="Arial" w:hAnsi="Arial"/>
          <w:color w:val="000000"/>
          <w:sz w:val="24"/>
        </w:rPr>
        <w:t>Figura C.1 – Forma reduzida e conjuntos de Anderson-Rubin para o IPCA Geral</w:t>
      </w:r>
    </w:p>
    <w:p>
      <w:pPr>
        <w:spacing w:line="360" w:lineRule="auto"/>
        <w:jc w:val="left"/>
      </w:pPr>
      <w:r>
        <w:rPr>
          <w:rFonts w:ascii="Arial" w:hAnsi="Arial"/>
          <w:color w:val="000000"/>
          <w:sz w:val="24"/>
        </w:rPr>
        <w:t>Figura D.1 – Variação mensal do preço na refinaria e frequência de reajuste por regime</w:t>
      </w:r>
    </w:p>
    <w:p>
      <w:pPr>
        <w:spacing w:line="360" w:lineRule="auto"/>
        <w:jc w:val="left"/>
      </w:pPr>
      <w:r>
        <w:rPr>
          <w:rFonts w:ascii="Arial" w:hAnsi="Arial"/>
          <w:color w:val="000000"/>
          <w:sz w:val="24"/>
        </w:rPr>
        <w:t>Figura D.2 – Resíduos da equação de impacto da gasolina na refinaria, por regime</w:t>
      </w:r>
    </w:p>
    <w:p>
      <w:pPr>
        <w:spacing w:line="360" w:lineRule="auto"/>
        <w:jc w:val="left"/>
      </w:pPr>
      <w:r>
        <w:rPr>
          <w:rFonts w:ascii="Arial" w:hAnsi="Arial"/>
          <w:color w:val="000000"/>
          <w:sz w:val="24"/>
        </w:rPr>
        <w:t>Figura E.1 – Coeficiente do choque por número de defasagens</w:t>
      </w:r>
    </w:p>
    <w:p>
      <w:pPr>
        <w:spacing w:line="360" w:lineRule="auto"/>
        <w:jc w:val="left"/>
      </w:pPr>
      <w:r>
        <w:rPr>
          <w:rFonts w:ascii="Arial" w:hAnsi="Arial"/>
          <w:color w:val="000000"/>
          <w:sz w:val="24"/>
        </w:rPr>
        <w:t>Figura F.1 – Resposta acumulada por regime sob os dois cortes</w:t>
      </w:r>
    </w:p>
    <w:p>
      <w:r>
        <w:br w:type="page"/>
      </w:r>
    </w:p>
    <w:p>
      <w:pPr>
        <w:spacing w:line="360" w:lineRule="auto" w:before="0" w:after="360"/>
        <w:ind w:firstLine="0"/>
        <w:jc w:val="center"/>
      </w:pPr>
      <w:r>
        <w:rPr>
          <w:rFonts w:ascii="Arial" w:hAnsi="Arial"/>
          <w:b/>
          <w:i w:val="0"/>
          <w:color w:val="000000"/>
          <w:sz w:val="24"/>
        </w:rPr>
        <w:t>LISTA DE TABELAS E QUADROS</w:t>
      </w:r>
    </w:p>
    <w:p>
      <w:pPr>
        <w:spacing w:line="360" w:lineRule="auto"/>
        <w:jc w:val="left"/>
      </w:pPr>
      <w:r>
        <w:rPr>
          <w:rFonts w:ascii="Arial" w:hAnsi="Arial"/>
          <w:color w:val="000000"/>
          <w:sz w:val="24"/>
        </w:rPr>
        <w:t>Quadro 1 – Variáveis e fontes</w:t>
      </w:r>
    </w:p>
    <w:p>
      <w:pPr>
        <w:spacing w:line="360" w:lineRule="auto"/>
        <w:jc w:val="left"/>
      </w:pPr>
      <w:r>
        <w:rPr>
          <w:rFonts w:ascii="Arial" w:hAnsi="Arial"/>
          <w:color w:val="000000"/>
          <w:sz w:val="24"/>
        </w:rPr>
        <w:t>Tabela 1 – Resposta acumulada a um choque de um desvio-padrão no preço do petróleo, amostra completa</w:t>
      </w:r>
    </w:p>
    <w:p>
      <w:pPr>
        <w:spacing w:line="360" w:lineRule="auto"/>
        <w:jc w:val="left"/>
      </w:pPr>
      <w:r>
        <w:rPr>
          <w:rFonts w:ascii="Arial" w:hAnsi="Arial"/>
          <w:color w:val="000000"/>
          <w:sz w:val="24"/>
        </w:rPr>
        <w:t>Tabela 2 – Repasse do choque do petróleo antes e depois de março de 2017</w:t>
      </w:r>
    </w:p>
    <w:p>
      <w:pPr>
        <w:spacing w:line="360" w:lineRule="auto"/>
        <w:jc w:val="left"/>
      </w:pPr>
      <w:r>
        <w:rPr>
          <w:rFonts w:ascii="Arial" w:hAnsi="Arial"/>
          <w:color w:val="000000"/>
          <w:sz w:val="24"/>
        </w:rPr>
        <w:t>Tabela 3 – Decomposição da resposta acumulada em três meses, por mês de ocorrência</w:t>
      </w:r>
    </w:p>
    <w:p>
      <w:pPr>
        <w:spacing w:line="360" w:lineRule="auto"/>
        <w:jc w:val="left"/>
      </w:pPr>
      <w:r>
        <w:rPr>
          <w:rFonts w:ascii="Arial" w:hAnsi="Arial"/>
          <w:color w:val="000000"/>
          <w:sz w:val="24"/>
        </w:rPr>
        <w:t>Tabela 4 – Decomposição da resposta do IPCA Geral segundo o canal dos combustíveis, por regime</w:t>
      </w:r>
    </w:p>
    <w:p>
      <w:pPr>
        <w:spacing w:line="360" w:lineRule="auto"/>
        <w:jc w:val="left"/>
      </w:pPr>
      <w:r>
        <w:rPr>
          <w:rFonts w:ascii="Arial" w:hAnsi="Arial"/>
          <w:color w:val="000000"/>
          <w:sz w:val="24"/>
        </w:rPr>
        <w:t>Tabela 5 – Decomposição do repasse ao IPCA Geral em primeira e segunda volta</w:t>
      </w:r>
    </w:p>
    <w:p>
      <w:pPr>
        <w:spacing w:line="360" w:lineRule="auto"/>
        <w:jc w:val="left"/>
      </w:pPr>
      <w:r>
        <w:rPr>
          <w:rFonts w:ascii="Arial" w:hAnsi="Arial"/>
          <w:color w:val="000000"/>
          <w:sz w:val="24"/>
        </w:rPr>
        <w:t>Tabela 6 – Data de quebra estimada pelos dados</w:t>
      </w:r>
    </w:p>
    <w:p>
      <w:pPr>
        <w:spacing w:line="360" w:lineRule="auto"/>
        <w:jc w:val="left"/>
      </w:pPr>
      <w:r>
        <w:rPr>
          <w:rFonts w:ascii="Arial" w:hAnsi="Arial"/>
          <w:color w:val="000000"/>
          <w:sz w:val="24"/>
        </w:rPr>
        <w:t>Tabela 7 – Teste de autocorrelação residual da gasolina na refinaria, por subamostra</w:t>
      </w:r>
    </w:p>
    <w:p>
      <w:pPr>
        <w:spacing w:line="360" w:lineRule="auto"/>
        <w:jc w:val="left"/>
      </w:pPr>
      <w:r>
        <w:rPr>
          <w:rFonts w:ascii="Arial" w:hAnsi="Arial"/>
          <w:color w:val="000000"/>
          <w:sz w:val="24"/>
        </w:rPr>
        <w:t>Tabela G.1 – Estatística F de primeiro estágio, horizonte de impacto</w:t>
      </w:r>
    </w:p>
    <w:p>
      <w:pPr>
        <w:spacing w:line="360" w:lineRule="auto"/>
        <w:jc w:val="left"/>
      </w:pPr>
      <w:r>
        <w:rPr>
          <w:rFonts w:ascii="Arial" w:hAnsi="Arial"/>
          <w:color w:val="000000"/>
          <w:sz w:val="24"/>
        </w:rPr>
        <w:t>Tabela G.2 – Forma reduzida sobre a margem de refino da gasolina</w:t>
      </w:r>
    </w:p>
    <w:p>
      <w:pPr>
        <w:spacing w:line="360" w:lineRule="auto"/>
        <w:jc w:val="left"/>
      </w:pPr>
      <w:r>
        <w:rPr>
          <w:rFonts w:ascii="Arial" w:hAnsi="Arial"/>
          <w:color w:val="000000"/>
          <w:sz w:val="24"/>
        </w:rPr>
        <w:t>Tabela H.1 – Contribuição dos choques de petróleo ao IPCA, janeiro de 2021 a dezembro de 2022</w:t>
      </w:r>
    </w:p>
    <w:p>
      <w:pPr>
        <w:spacing w:line="360" w:lineRule="auto"/>
        <w:jc w:val="left"/>
      </w:pPr>
      <w:r>
        <w:rPr>
          <w:rFonts w:ascii="Arial" w:hAnsi="Arial"/>
          <w:color w:val="000000"/>
          <w:sz w:val="24"/>
        </w:rPr>
        <w:t>Tabela H.2 – Resposta acumulada por regime, subgrupos que excluem combustíveis</w:t>
      </w:r>
    </w:p>
    <w:p>
      <w:pPr>
        <w:spacing w:line="360" w:lineRule="auto"/>
        <w:jc w:val="left"/>
      </w:pPr>
      <w:r>
        <w:rPr>
          <w:rFonts w:ascii="Arial" w:hAnsi="Arial"/>
          <w:color w:val="000000"/>
          <w:sz w:val="24"/>
        </w:rPr>
        <w:t>Tabela I.1 – Repasse do preço internacional ao varejo de gasolina, América Latina e Caribe, agosto de 2020 a junho de 2022</w:t>
      </w:r>
    </w:p>
    <w:p>
      <w:pPr>
        <w:spacing w:line="360" w:lineRule="auto"/>
        <w:jc w:val="left"/>
      </w:pPr>
      <w:r>
        <w:rPr>
          <w:rFonts w:ascii="Arial" w:hAnsi="Arial"/>
          <w:color w:val="000000"/>
          <w:sz w:val="24"/>
        </w:rPr>
        <w:t>Tabela I.2 – Distribuição do repasse por regra de preço, 65 economias</w:t>
      </w:r>
    </w:p>
    <w:p>
      <w:r>
        <w:br w:type="page"/>
      </w:r>
    </w:p>
    <w:p>
      <w:pPr>
        <w:spacing w:line="360" w:lineRule="auto" w:before="0" w:after="360"/>
        <w:ind w:firstLine="0"/>
        <w:jc w:val="center"/>
      </w:pPr>
      <w:r>
        <w:rPr>
          <w:rFonts w:ascii="Arial" w:hAnsi="Arial"/>
          <w:b/>
          <w:i w:val="0"/>
          <w:color w:val="000000"/>
          <w:sz w:val="24"/>
        </w:rPr>
        <w:t>LISTA DE ABREVIATURAS E SIGLAS</w:t>
      </w:r>
    </w:p>
    <w:p>
      <w:pPr>
        <w:tabs>
          <w:tab w:pos="1701" w:val="left"/>
        </w:tabs>
        <w:spacing w:line="360" w:lineRule="auto"/>
        <w:jc w:val="left"/>
      </w:pPr>
      <w:r>
        <w:rPr>
          <w:rFonts w:ascii="Arial" w:hAnsi="Arial"/>
          <w:color w:val="000000"/>
          <w:sz w:val="24"/>
        </w:rPr>
        <w:t>ADF</w:t>
        <w:tab/>
        <w:t>Teste de Dickey-Fuller aumentado</w:t>
      </w:r>
    </w:p>
    <w:p>
      <w:pPr>
        <w:tabs>
          <w:tab w:pos="1701" w:val="left"/>
        </w:tabs>
        <w:spacing w:line="360" w:lineRule="auto"/>
        <w:jc w:val="left"/>
      </w:pPr>
      <w:r>
        <w:rPr>
          <w:rFonts w:ascii="Arial" w:hAnsi="Arial"/>
          <w:color w:val="000000"/>
          <w:sz w:val="24"/>
        </w:rPr>
        <w:t>ANP</w:t>
        <w:tab/>
        <w:t>Agência Nacional do Petróleo, Gás Natural e Biocombustíveis</w:t>
      </w:r>
    </w:p>
    <w:p>
      <w:pPr>
        <w:tabs>
          <w:tab w:pos="1701" w:val="left"/>
        </w:tabs>
        <w:spacing w:line="360" w:lineRule="auto"/>
        <w:jc w:val="left"/>
      </w:pPr>
      <w:r>
        <w:rPr>
          <w:rFonts w:ascii="Arial" w:hAnsi="Arial"/>
          <w:color w:val="000000"/>
          <w:sz w:val="24"/>
        </w:rPr>
        <w:t>AR</w:t>
        <w:tab/>
        <w:t>Anderson-Rubin</w:t>
      </w:r>
    </w:p>
    <w:p>
      <w:pPr>
        <w:tabs>
          <w:tab w:pos="1701" w:val="left"/>
        </w:tabs>
        <w:spacing w:line="360" w:lineRule="auto"/>
        <w:jc w:val="left"/>
      </w:pPr>
      <w:r>
        <w:rPr>
          <w:rFonts w:ascii="Arial" w:hAnsi="Arial"/>
          <w:color w:val="000000"/>
          <w:sz w:val="24"/>
        </w:rPr>
        <w:t>BCB</w:t>
        <w:tab/>
        <w:t>Banco Central do Brasil</w:t>
      </w:r>
    </w:p>
    <w:p>
      <w:pPr>
        <w:tabs>
          <w:tab w:pos="1701" w:val="left"/>
        </w:tabs>
        <w:spacing w:line="360" w:lineRule="auto"/>
        <w:jc w:val="left"/>
      </w:pPr>
      <w:r>
        <w:rPr>
          <w:rFonts w:ascii="Arial" w:hAnsi="Arial"/>
          <w:color w:val="000000"/>
          <w:sz w:val="24"/>
        </w:rPr>
        <w:t>Copom</w:t>
        <w:tab/>
        <w:t>Comitê de Política Monetária</w:t>
      </w:r>
    </w:p>
    <w:p>
      <w:pPr>
        <w:tabs>
          <w:tab w:pos="1701" w:val="left"/>
        </w:tabs>
        <w:spacing w:line="360" w:lineRule="auto"/>
        <w:jc w:val="left"/>
      </w:pPr>
      <w:r>
        <w:rPr>
          <w:rFonts w:ascii="Arial" w:hAnsi="Arial"/>
          <w:color w:val="000000"/>
          <w:sz w:val="24"/>
        </w:rPr>
        <w:t>EIA</w:t>
        <w:tab/>
        <w:t>U.S. Energy Information Administration</w:t>
      </w:r>
    </w:p>
    <w:p>
      <w:pPr>
        <w:tabs>
          <w:tab w:pos="1701" w:val="left"/>
        </w:tabs>
        <w:spacing w:line="360" w:lineRule="auto"/>
        <w:jc w:val="left"/>
      </w:pPr>
      <w:r>
        <w:rPr>
          <w:rFonts w:ascii="Arial" w:hAnsi="Arial"/>
          <w:color w:val="000000"/>
          <w:sz w:val="24"/>
        </w:rPr>
        <w:t>FWL</w:t>
        <w:tab/>
        <w:t>Frisch-Waugh-Lovell</w:t>
      </w:r>
    </w:p>
    <w:p>
      <w:pPr>
        <w:tabs>
          <w:tab w:pos="1701" w:val="left"/>
        </w:tabs>
        <w:spacing w:line="360" w:lineRule="auto"/>
        <w:jc w:val="left"/>
      </w:pPr>
      <w:r>
        <w:rPr>
          <w:rFonts w:ascii="Arial" w:hAnsi="Arial"/>
          <w:color w:val="000000"/>
          <w:sz w:val="24"/>
        </w:rPr>
        <w:t>HAC</w:t>
        <w:tab/>
        <w:t>Heteroskedasticity and Autocorrelation Consistent</w:t>
      </w:r>
    </w:p>
    <w:p>
      <w:pPr>
        <w:tabs>
          <w:tab w:pos="1701" w:val="left"/>
        </w:tabs>
        <w:spacing w:line="360" w:lineRule="auto"/>
        <w:jc w:val="left"/>
      </w:pPr>
      <w:r>
        <w:rPr>
          <w:rFonts w:ascii="Arial" w:hAnsi="Arial"/>
          <w:color w:val="000000"/>
          <w:sz w:val="24"/>
        </w:rPr>
        <w:t>IBC-Br</w:t>
        <w:tab/>
        <w:t>Índice de Atividade Econômica do Banco Central</w:t>
      </w:r>
    </w:p>
    <w:p>
      <w:pPr>
        <w:tabs>
          <w:tab w:pos="1701" w:val="left"/>
        </w:tabs>
        <w:spacing w:line="360" w:lineRule="auto"/>
        <w:jc w:val="left"/>
      </w:pPr>
      <w:r>
        <w:rPr>
          <w:rFonts w:ascii="Arial" w:hAnsi="Arial"/>
          <w:color w:val="000000"/>
          <w:sz w:val="24"/>
        </w:rPr>
        <w:t>IBGE</w:t>
        <w:tab/>
        <w:t>Instituto Brasileiro de Geografia e Estatística</w:t>
      </w:r>
    </w:p>
    <w:p>
      <w:pPr>
        <w:tabs>
          <w:tab w:pos="1701" w:val="left"/>
        </w:tabs>
        <w:spacing w:line="360" w:lineRule="auto"/>
        <w:jc w:val="left"/>
      </w:pPr>
      <w:r>
        <w:rPr>
          <w:rFonts w:ascii="Arial" w:hAnsi="Arial"/>
          <w:color w:val="000000"/>
          <w:sz w:val="24"/>
        </w:rPr>
        <w:t>IPCA</w:t>
        <w:tab/>
        <w:t>Índice Nacional de Preços ao Consumidor Amplo</w:t>
      </w:r>
    </w:p>
    <w:p>
      <w:pPr>
        <w:tabs>
          <w:tab w:pos="1701" w:val="left"/>
        </w:tabs>
        <w:spacing w:line="360" w:lineRule="auto"/>
        <w:jc w:val="left"/>
      </w:pPr>
      <w:r>
        <w:rPr>
          <w:rFonts w:ascii="Arial" w:hAnsi="Arial"/>
          <w:color w:val="000000"/>
          <w:sz w:val="24"/>
        </w:rPr>
        <w:t>LP</w:t>
        <w:tab/>
        <w:t>Local Projections (projeções locais)</w:t>
      </w:r>
    </w:p>
    <w:p>
      <w:pPr>
        <w:tabs>
          <w:tab w:pos="1701" w:val="left"/>
        </w:tabs>
        <w:spacing w:line="360" w:lineRule="auto"/>
        <w:jc w:val="left"/>
      </w:pPr>
      <w:r>
        <w:rPr>
          <w:rFonts w:ascii="Arial" w:hAnsi="Arial"/>
          <w:color w:val="000000"/>
          <w:sz w:val="24"/>
        </w:rPr>
        <w:t>LP-IV</w:t>
        <w:tab/>
        <w:t>Projeções locais com variável instrumental</w:t>
      </w:r>
    </w:p>
    <w:p>
      <w:pPr>
        <w:tabs>
          <w:tab w:pos="1701" w:val="left"/>
        </w:tabs>
        <w:spacing w:line="360" w:lineRule="auto"/>
        <w:jc w:val="left"/>
      </w:pPr>
      <w:r>
        <w:rPr>
          <w:rFonts w:ascii="Arial" w:hAnsi="Arial"/>
          <w:color w:val="000000"/>
          <w:sz w:val="24"/>
        </w:rPr>
        <w:t>OPEP</w:t>
        <w:tab/>
        <w:t>Organização dos Países Exportadores de Petróleo</w:t>
      </w:r>
    </w:p>
    <w:p>
      <w:pPr>
        <w:tabs>
          <w:tab w:pos="1701" w:val="left"/>
        </w:tabs>
        <w:spacing w:line="360" w:lineRule="auto"/>
        <w:jc w:val="left"/>
      </w:pPr>
      <w:r>
        <w:rPr>
          <w:rFonts w:ascii="Arial" w:hAnsi="Arial"/>
          <w:color w:val="000000"/>
          <w:sz w:val="24"/>
        </w:rPr>
        <w:t>PPI</w:t>
        <w:tab/>
        <w:t>Preço de Paridade de Importação</w:t>
      </w:r>
    </w:p>
    <w:p>
      <w:pPr>
        <w:tabs>
          <w:tab w:pos="1701" w:val="left"/>
        </w:tabs>
        <w:spacing w:line="360" w:lineRule="auto"/>
        <w:jc w:val="left"/>
      </w:pPr>
      <w:r>
        <w:rPr>
          <w:rFonts w:ascii="Arial" w:hAnsi="Arial"/>
          <w:color w:val="000000"/>
          <w:sz w:val="24"/>
        </w:rPr>
        <w:t>SGS</w:t>
        <w:tab/>
        <w:t>Sistema Gerenciador de Séries Temporais do Banco Central</w:t>
      </w:r>
    </w:p>
    <w:p>
      <w:pPr>
        <w:tabs>
          <w:tab w:pos="1701" w:val="left"/>
        </w:tabs>
        <w:spacing w:line="360" w:lineRule="auto"/>
        <w:jc w:val="left"/>
      </w:pPr>
      <w:r>
        <w:rPr>
          <w:rFonts w:ascii="Arial" w:hAnsi="Arial"/>
          <w:color w:val="000000"/>
          <w:sz w:val="24"/>
        </w:rPr>
        <w:t>2SLS</w:t>
        <w:tab/>
        <w:t>Mínimos quadrados em dois estágios</w:t>
      </w:r>
    </w:p>
    <w:p>
      <w:r>
        <w:br w:type="page"/>
      </w:r>
    </w:p>
    <w:p>
      <w:pPr>
        <w:spacing w:line="360" w:lineRule="auto" w:before="0" w:after="360"/>
        <w:ind w:firstLine="0"/>
        <w:jc w:val="center"/>
      </w:pPr>
      <w:r>
        <w:rPr>
          <w:rFonts w:ascii="Arial" w:hAnsi="Arial"/>
          <w:b/>
          <w:i w:val="0"/>
          <w:color w:val="000000"/>
          <w:sz w:val="24"/>
        </w:rPr>
        <w:t>SUMÁRIO</w:t>
      </w:r>
    </w:p>
    <w:p>
      <w:pPr>
        <w:spacing w:line="360" w:lineRule="auto"/>
      </w:pPr>
      <w:r>
        <w:fldChar w:fldCharType="begin"/>
        <w:instrText xml:space="preserve"> TOC \o "1-3" \h \z \u </w:instrText>
        <w:fldChar w:fldCharType="separate"/>
        <w:t>atualize este campo no Word (Ctrl+A, F9)</w:t>
        <w:fldChar w:fldCharType="end"/>
      </w:r>
    </w:p>
    <w:p>
      <w:pPr>
        <w:sectPr>
          <w:pgSz w:w="12240" w:h="15840"/>
          <w:pgMar w:top="1701" w:right="1134" w:bottom="1134" w:left="1701" w:header="720" w:footer="720" w:gutter="0"/>
          <w:cols w:space="720"/>
          <w:docGrid w:linePitch="360"/>
        </w:sectPr>
      </w:pP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REPASSE DO PREÇO INTERNACIONAL DO PETRÓLEO À INFLAÇÃO BRASILEIRA: O PAPEL DA REGRA DE FORMAÇÃO DE PREÇOS DE COMBUSTÍVEIS</dc:title>
  <dc:subject/>
  <dc:creator>Pedro Minella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