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07" w:lineRule="auto"/>
        <w:jc w:val="left"/>
      </w:pPr>
      <w:r>
        <w:rPr>
          <w:rFonts w:ascii="Arial" w:hAnsi="Arial"/>
          <w:b/>
          <w:i w:val="0"/>
          <w:color w:val="000000"/>
          <w:sz w:val="34"/>
        </w:rPr>
        <w:t>OS MÉTODOS DO TCC, EXPLICADOS</w:t>
      </w:r>
    </w:p>
    <w:p>
      <w:pPr>
        <w:spacing w:after="320" w:before="0" w:line="307" w:lineRule="auto"/>
        <w:jc w:val="left"/>
      </w:pPr>
      <w:r>
        <w:rPr>
          <w:rFonts w:ascii="Arial" w:hAnsi="Arial"/>
          <w:b w:val="0"/>
          <w:i/>
          <w:color w:val="5F6549"/>
          <w:sz w:val="23"/>
        </w:rPr>
        <w:t>Um guia dos procedimentos econométricos que estão acima do nível de graduação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Este material explica, em ordem de dependência lógica, cada procedimento do trabalho que um curso de graduação normalmente não cobre. A ordem não é a do TCC: é a ordem em que uma coisa precisa da anterior para fazer sentido.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Cada seção segue o mesmo formato. Primeiro o problema concreto que aparece nos seus dados. Depois a solução, com a intuição antes da fórmula. Por fim, uma caixa com o que responder se a banca perguntar. Os números das simulações foram gerados para este material e podem ser reproduzidos com o script que o acompanha.</w:t>
      </w:r>
    </w:p>
    <w:p>
      <w:pPr>
        <w:spacing w:before="180" w:after="20" w:line="288" w:lineRule="auto"/>
        <w:ind w:left="198" w:right="198"/>
        <w:shd w:val="clear" w:color="auto" w:fill="F2F0EB"/>
      </w:pPr>
      <w:r>
        <w:rPr>
          <w:rFonts w:ascii="Arial" w:hAnsi="Arial"/>
          <w:b/>
          <w:color w:val="9E3D25"/>
          <w:sz w:val="21"/>
        </w:rPr>
        <w:t>A ideia que organiza tudo</w:t>
      </w:r>
    </w:p>
    <w:p>
      <w:pPr>
        <w:spacing w:before="0" w:after="200" w:line="288" w:lineRule="auto"/>
        <w:ind w:left="198" w:right="198"/>
        <w:jc w:val="both"/>
        <w:shd w:val="clear" w:color="auto" w:fill="F2F0EB"/>
      </w:pPr>
      <w:r>
        <w:rPr>
          <w:rFonts w:ascii="Arial" w:hAnsi="Arial"/>
          <w:color w:val="000000"/>
          <w:sz w:val="21"/>
        </w:rPr>
        <w:t>Quase todo procedimento avançado do seu trabalho resolve UM problema: você acumula a inflação em janelas de h meses que se sobrepõem, e isso quebra a hipótese de erros independentes que a estatística de graduação assume o tempo todo. HAC, Newey-West, banda sup-t e bootstrap são todos consequências disso. Entenda a sobreposição e o resto decorre.</w:t>
      </w:r>
    </w:p>
    <w:p>
      <w:pPr>
        <w:pStyle w:val="Heading1"/>
        <w:spacing w:before="320" w:after="120"/>
        <w:jc w:val="left"/>
      </w:pPr>
      <w:r>
        <w:rPr>
          <w:rFonts w:ascii="Arial" w:hAnsi="Arial"/>
          <w:b/>
          <w:color w:val="000000"/>
          <w:sz w:val="28"/>
        </w:rPr>
        <w:t>1.  Projeção local: o que você está estimando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Num curso de graduação você aprende a rodar uma regressão e ler um coeficiente. A projeção local, proposta por Jordà em 2005, é uma sequência de regressões comuns, uma para cada horizonte de tempo que você quer investigar.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Para saber o efeito do choque sobre a inflação acumulada em três meses, você roda uma regressão cuja variável dependente é a inflação acumulada de t até t+3. Para o efeito em seis meses, roda outra, com a dependente acumulada até t+6. E assim por diante. Cada regressão dá um ponto da função de resposta.</w:t>
      </w:r>
    </w:p>
    <w:p>
      <w:pPr>
        <w:spacing w:before="160" w:after="160" w:line="276" w:lineRule="auto"/>
        <w:jc w:val="center"/>
      </w:pPr>
      <w:r>
        <w:rPr>
          <w:rFonts w:ascii="Consolas" w:hAnsi="Consolas"/>
          <w:color w:val="000000"/>
          <w:sz w:val="22"/>
        </w:rPr>
        <w:t>100·[ln P(t+h) − ln P(t−1)] = α + β(h)·choque(t) + controles + u(t,h)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alternativa clássica seria estimar um VAR e iterá-lo para frente. A diferença prática é importante. O VAR obtém todos os horizontes de um único modelo, o que é eficiente mas propaga qualquer erro de especificação para todos os horizontes de uma vez. A projeção local estima cada horizonte separadamente, o que gasta mais graus de liberdade mas isola os erros. Você paga precisão e compra robustez.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Há um preço escondido nessa escolha, e ele é a origem de metade deste material.</w:t>
      </w:r>
    </w:p>
    <w:p>
      <w:pPr>
        <w:pStyle w:val="Heading1"/>
        <w:spacing w:before="320" w:after="120"/>
        <w:jc w:val="left"/>
      </w:pPr>
      <w:r>
        <w:rPr>
          <w:rFonts w:ascii="Arial" w:hAnsi="Arial"/>
          <w:b/>
          <w:color w:val="000000"/>
          <w:sz w:val="28"/>
        </w:rPr>
        <w:t>2.  O problema de raiz: janelas que se sobrepõem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Repare no que a variável dependente é: a variação de preços entre t−1 e t+h. Para h = 6, a observação do mês de janeiro cobre de janeiro a julho. A observação de fevereiro cobre de fevereiro a agosto. As duas compartilham seis meses.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Isso significa que o erro da observação de janeiro e o erro da observação de fevereiro têm quase todos os mesmos ingredientes. Eles são correlacionados, e a correlação não é defeito do modelo, é aritmética da construção da variável.</w:t>
      </w:r>
    </w:p>
    <w:p>
      <w:pPr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33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janel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33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0" w:lineRule="auto"/>
        <w:jc w:val="center"/>
      </w:pPr>
      <w:r>
        <w:rPr>
          <w:rFonts w:ascii="Arial" w:hAnsi="Arial"/>
          <w:b/>
          <w:color w:val="000000"/>
          <w:sz w:val="19"/>
        </w:rPr>
        <w:t>Figura 1 – Por que os erros de uma projeção local são correlacionados por construção</w:t>
      </w:r>
    </w:p>
    <w:p>
      <w:pPr>
        <w:spacing w:after="220" w:line="240" w:lineRule="auto"/>
        <w:jc w:val="both"/>
      </w:pPr>
      <w:r>
        <w:rPr>
          <w:rFonts w:ascii="Arial" w:hAnsi="Arial"/>
          <w:color w:val="444444"/>
          <w:sz w:val="18"/>
        </w:rPr>
        <w:t>Cada barra do painel A é uma observação da regressão para h = 6. A observação de t = 0 e a de t = 3 compartilham metade dos meses. O painel B mostra o padrão de correlação que isso induz nos resíduos: ela existe até a defasagem h e zera depois.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consequência é séria e é fácil de enunciar. O erro-padrão que o software reporta por padrão supõe erros independentes. Com erros positivamente correlacionados, esse erro-padrão sai pequeno demais, a estatística t sai grande demais, e você rejeita hipóteses nulas que não deveria rejeitar. Você acharia significância onde não há.</w:t>
      </w:r>
    </w:p>
    <w:p>
      <w:pPr>
        <w:spacing w:before="180" w:after="20" w:line="288" w:lineRule="auto"/>
        <w:ind w:left="198" w:right="198"/>
        <w:shd w:val="clear" w:color="auto" w:fill="F2F0EB"/>
      </w:pPr>
      <w:r>
        <w:rPr>
          <w:rFonts w:ascii="Arial" w:hAnsi="Arial"/>
          <w:b/>
          <w:color w:val="9E3D25"/>
          <w:sz w:val="21"/>
        </w:rPr>
        <w:t>O que dizer na banca</w:t>
      </w:r>
    </w:p>
    <w:p>
      <w:pPr>
        <w:spacing w:before="0" w:after="200" w:line="288" w:lineRule="auto"/>
        <w:ind w:left="198" w:right="198"/>
        <w:jc w:val="both"/>
        <w:shd w:val="clear" w:color="auto" w:fill="F2F0EB"/>
      </w:pPr>
      <w:r>
        <w:rPr>
          <w:rFonts w:ascii="Arial" w:hAnsi="Arial"/>
          <w:color w:val="000000"/>
          <w:sz w:val="21"/>
        </w:rPr>
        <w:t>A correlação serial dos resíduos numa projeção local é induzida pela sobreposição das janelas de acumulação, não por má especificação. Ela tem ordem h por construção, e é por isso que o erro-padrão precisa ser corrigido e a banda de defasagens do corretor acompanha o horizonte.</w:t>
      </w:r>
    </w:p>
    <w:p>
      <w:pPr>
        <w:pStyle w:val="Heading1"/>
        <w:spacing w:before="320" w:after="120"/>
        <w:jc w:val="left"/>
      </w:pPr>
      <w:r>
        <w:rPr>
          <w:rFonts w:ascii="Arial" w:hAnsi="Arial"/>
          <w:b/>
          <w:color w:val="000000"/>
          <w:sz w:val="28"/>
        </w:rPr>
        <w:t>3.  HAC: o que é e o que não é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HAC é a sigla de heteroscedasticity and autocorrelation consistent. Traduzindo: um estimador de variância que continua válido mesmo quando os erros têm variância desigual e são correlacionados entre si.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Guarde uma coisa que confunde muita gente. HAC não muda o coeficiente. O β estimado continua sendo o de mínimos quadrados ordinários, exatamente o mesmo número. O que HAC corrige é o ERRO-PADRÃO daquele coeficiente, isto é, a medida de quão incerta a estimativa é.</w:t>
      </w:r>
    </w:p>
    <w:p>
      <w:pPr>
        <w:spacing w:before="180" w:after="20" w:line="288" w:lineRule="auto"/>
        <w:ind w:left="198" w:right="198"/>
        <w:shd w:val="clear" w:color="auto" w:fill="F2F0EB"/>
      </w:pPr>
      <w:r>
        <w:rPr>
          <w:rFonts w:ascii="Arial" w:hAnsi="Arial"/>
          <w:b/>
          <w:color w:val="9E3D25"/>
          <w:sz w:val="21"/>
        </w:rPr>
        <w:t>A analogia</w:t>
      </w:r>
    </w:p>
    <w:p>
      <w:pPr>
        <w:spacing w:before="0" w:after="200" w:line="288" w:lineRule="auto"/>
        <w:ind w:left="198" w:right="198"/>
        <w:jc w:val="both"/>
        <w:shd w:val="clear" w:color="auto" w:fill="F2F0EB"/>
      </w:pPr>
      <w:r>
        <w:rPr>
          <w:rFonts w:ascii="Arial" w:hAnsi="Arial"/>
          <w:color w:val="000000"/>
          <w:sz w:val="21"/>
        </w:rPr>
        <w:t>Imagine medir a altura de uma pessoa com uma trena. O valor medido é o coeficiente. A margem de erro da trena é o erro-padrão. HAC não remede a pessoa: ele reconhece que a sua trena é menos precisa do que a etiqueta dizia, e corrige a margem para cima.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Na prática, o erro-padrão HAC é quase sempre MAIOR que o convencional, e portanto mais conservador. Se o seu resultado sobrevive a ele, sobrevive a um teste mais duro.</w:t>
      </w:r>
    </w:p>
    <w:p>
      <w:pPr>
        <w:pStyle w:val="Heading1"/>
        <w:spacing w:before="320" w:after="120"/>
        <w:jc w:val="left"/>
      </w:pPr>
      <w:r>
        <w:rPr>
          <w:rFonts w:ascii="Arial" w:hAnsi="Arial"/>
          <w:b/>
          <w:color w:val="000000"/>
          <w:sz w:val="28"/>
        </w:rPr>
        <w:t>4.  Newey e West: um HAC específico, e por que esse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HAC é a família. Newey-West, de 1987, é o membro mais usado dela. A ideia é somar as autocovariâncias dos resíduos até uma certa defasagem, para capturar a correlação que a sobreposição criou.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Só que somar as autocovariâncias cruas tem um defeito grave: o resultado pode dar variância NEGATIVA, o que é impossível e trava o cálculo do erro-padrão. Newey e West resolveram isso com um sistema de pesos, o núcleo de Bartlett, que dá peso 1 à defasagem zero e vai reduzindo linearmente até zerar na banda escolhida.</w:t>
      </w:r>
    </w:p>
    <w:p>
      <w:pPr>
        <w:spacing w:before="160" w:after="160" w:line="276" w:lineRule="auto"/>
        <w:jc w:val="center"/>
      </w:pPr>
      <w:r>
        <w:rPr>
          <w:rFonts w:ascii="Consolas" w:hAnsi="Consolas"/>
          <w:color w:val="000000"/>
          <w:sz w:val="22"/>
        </w:rPr>
        <w:t>peso da defasagem j:   w(j) = 1 − j/(L+1)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Esse decaimento linear é o que garante matematicamente que a variância estimada seja sempre positiva. Não é escolha estética, é condição de existência.</w:t>
      </w:r>
    </w:p>
    <w:p>
      <w:pPr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17857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bartle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85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0" w:lineRule="auto"/>
        <w:jc w:val="center"/>
      </w:pPr>
      <w:r>
        <w:rPr>
          <w:rFonts w:ascii="Arial" w:hAnsi="Arial"/>
          <w:b/>
          <w:color w:val="000000"/>
          <w:sz w:val="19"/>
        </w:rPr>
        <w:t>Figura 2 – Como Newey e West ponderam as defasagens, e por que a banda cresce com o horizonte</w:t>
      </w:r>
    </w:p>
    <w:p>
      <w:pPr>
        <w:spacing w:after="220" w:line="240" w:lineRule="auto"/>
        <w:jc w:val="both"/>
      </w:pPr>
      <w:r>
        <w:rPr>
          <w:rFonts w:ascii="Arial" w:hAnsi="Arial"/>
          <w:color w:val="444444"/>
          <w:sz w:val="18"/>
        </w:rPr>
        <w:t>No painel A, o MQO comum ignora tudo além da defasagem zero, o que subestima a incerteza. Pesos iguais capturariam a correlação mas podem produzir variância negativa. Bartlett resolve os dois problemas. No painel B, a banda usada em cada horizonte do trabalho.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escolha da banda no seu trabalho é L = h + 1. A razão é direta: a sobreposição induz correlação até a defasagem h, então a banda precisa alcançar h. Somar um é a folga usual. Por isso a banda cresce com o horizonte, e não é um número fixo.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Há ainda a correção de amostra finita T/(T−K), em que T é o número de observações e K o de parâmetros estimados. Ela infla um pouco a variância para reconhecer que estimar K parâmetros consumiu informação. Com amostra grande a correção é irrelevante; com 272 meses e dezenas de indicadoras, não é.</w:t>
      </w:r>
    </w:p>
    <w:p>
      <w:pPr>
        <w:spacing w:before="180" w:after="20" w:line="288" w:lineRule="auto"/>
        <w:ind w:left="198" w:right="198"/>
        <w:shd w:val="clear" w:color="auto" w:fill="F2F0EB"/>
      </w:pPr>
      <w:r>
        <w:rPr>
          <w:rFonts w:ascii="Arial" w:hAnsi="Arial"/>
          <w:b/>
          <w:color w:val="9E3D25"/>
          <w:sz w:val="21"/>
        </w:rPr>
        <w:t>O que dizer na banca</w:t>
      </w:r>
    </w:p>
    <w:p>
      <w:pPr>
        <w:spacing w:before="0" w:after="200" w:line="288" w:lineRule="auto"/>
        <w:ind w:left="198" w:right="198"/>
        <w:jc w:val="both"/>
        <w:shd w:val="clear" w:color="auto" w:fill="F2F0EB"/>
      </w:pPr>
      <w:r>
        <w:rPr>
          <w:rFonts w:ascii="Arial" w:hAnsi="Arial"/>
          <w:color w:val="000000"/>
          <w:sz w:val="21"/>
        </w:rPr>
        <w:t>Newey-West é o estimador HAC com núcleo de Bartlett. O decaimento linear dos pesos garante que a matriz de variância seja positiva semidefinida, o que a soma crua das autocovariâncias não garante. A banda h+1 acompanha a ordem da autocorrelação induzida pela acumulação, e a correção T/(T−K) ajusta para os graus de liberdade consumidos.</w:t>
      </w:r>
    </w:p>
    <w:p>
      <w:pPr>
        <w:pStyle w:val="Heading1"/>
        <w:spacing w:before="320" w:after="120"/>
        <w:jc w:val="left"/>
      </w:pPr>
      <w:r>
        <w:rPr>
          <w:rFonts w:ascii="Arial" w:hAnsi="Arial"/>
          <w:b/>
          <w:color w:val="000000"/>
          <w:sz w:val="28"/>
        </w:rPr>
        <w:t>5.  Defasagem aumentada, e por que três e não uma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Os critérios de informação do seu trabalho indicam uma defasagem pelo bayesiano e duas pelo de Akaike. Você usa três. Isso parece contrariar os critérios, e a razão de usar três é boa o bastante para valer uma seção.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Montiel Olea e Plagborg-Møller mostraram, em 2021, que incluir uma defasagem a mais do que a necessária torna a inferência da projeção local válida de maneira UNIFORME. Uniforme aqui tem sentido técnico: vale independentemente de a série ser estacionária, quase não estacionária ou ter raiz unitária.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Isso importa porque séries macroeconômicas persistentes, como nível de preço e câmbio, vivem perto da fronteira da raiz unitária, e nessa vizinhança a distribuição da estatística t deixa de ser normal e os testes convencionais falham de forma imprevisível. A defasagem extra restaura a normalidade assintótica.</w:t>
      </w:r>
    </w:p>
    <w:p>
      <w:pPr>
        <w:spacing w:before="180" w:after="20" w:line="288" w:lineRule="auto"/>
        <w:ind w:left="198" w:right="198"/>
        <w:shd w:val="clear" w:color="auto" w:fill="F2F0EB"/>
      </w:pPr>
      <w:r>
        <w:rPr>
          <w:rFonts w:ascii="Arial" w:hAnsi="Arial"/>
          <w:b/>
          <w:color w:val="9E3D25"/>
          <w:sz w:val="21"/>
        </w:rPr>
        <w:t>O que dizer na banca</w:t>
      </w:r>
    </w:p>
    <w:p>
      <w:pPr>
        <w:spacing w:before="0" w:after="200" w:line="288" w:lineRule="auto"/>
        <w:ind w:left="198" w:right="198"/>
        <w:jc w:val="both"/>
        <w:shd w:val="clear" w:color="auto" w:fill="F2F0EB"/>
      </w:pPr>
      <w:r>
        <w:rPr>
          <w:rFonts w:ascii="Arial" w:hAnsi="Arial"/>
          <w:color w:val="000000"/>
          <w:sz w:val="21"/>
        </w:rPr>
        <w:t>O aumento de defasagem não busca ajuste, busca validade de inferência. Ele custa graus de liberdade e paga com robustez ao grau de persistência das séries, que é desconhecido e não é testável de forma confiável. Os critérios de informação selecionam para previsão; aqui o objetivo é inferência.</w:t>
      </w:r>
    </w:p>
    <w:p>
      <w:pPr>
        <w:pStyle w:val="Heading1"/>
        <w:spacing w:before="320" w:after="120"/>
        <w:jc w:val="left"/>
      </w:pPr>
      <w:r>
        <w:rPr>
          <w:rFonts w:ascii="Arial" w:hAnsi="Arial"/>
          <w:b/>
          <w:color w:val="000000"/>
          <w:sz w:val="28"/>
        </w:rPr>
        <w:t>6.  Banda pontual e banda simultânea: o problema do sup-t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Aqui está o procedimento que mais impressiona quem entende e que quase ninguém faz na graduação.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banda de confiança pontual de 90% tem a seguinte propriedade: para CADA horizonte isoladamente, ela contém o valor verdadeiro em 90% das amostras. Perfeito. O problema é que você não olha um horizonte isolado. Você olha a função de resposta inteira, com treze horizontes, e faz afirmações sobre o formato dela.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pergunta correta passa a ser outra: qual a probabilidade de a curva INTEIRA estar dentro da banda? E a resposta é muito menor que 90%.</w:t>
      </w:r>
    </w:p>
    <w:p>
      <w:pPr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733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_band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73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0" w:lineRule="auto"/>
        <w:jc w:val="center"/>
      </w:pPr>
      <w:r>
        <w:rPr>
          <w:rFonts w:ascii="Arial" w:hAnsi="Arial"/>
          <w:b/>
          <w:color w:val="000000"/>
          <w:sz w:val="19"/>
        </w:rPr>
        <w:t>Figura 3 – A mesma estimativa sob dois critérios, e o que cada banda realmente garante</w:t>
      </w:r>
    </w:p>
    <w:p>
      <w:pPr>
        <w:spacing w:after="220" w:line="240" w:lineRule="auto"/>
        <w:jc w:val="both"/>
      </w:pPr>
      <w:r>
        <w:rPr>
          <w:rFonts w:ascii="Arial" w:hAnsi="Arial"/>
          <w:color w:val="444444"/>
          <w:sz w:val="18"/>
        </w:rPr>
        <w:t>Simulação com 20 mil réplicas e correlação entre horizontes semelhante à do trabalho. A banda pontual de 90%, aplicada aos treze horizontes ao mesmo tempo, cobre a função inteira em apenas 51% das vezes. A banda simultânea corrige o multiplicador de 1,64 para 2,46 e restaura os 90% pretendidos.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número da simulação é o argumento: 51%. Se você usar a banda pontual para dizer que a resposta é positiva ao longo de toda a trajetória, você está fazendo uma afirmação com aproximadamente metade da confiança que imagina ter.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solução de Montiel Olea e Plagborg-Møller, de 2019, é o valor crítico do tipo sup-t. Em lugar de perguntar quão grande um t individual pode ser, pergunta-se quão grande o MAIOR dos treze pode ser, sob a hipótese nula. Esse valor sai da matriz de correlação entre os horizontes, que já está na covariância conjunta que você estimou.</w:t>
      </w:r>
    </w:p>
    <w:p>
      <w:pPr>
        <w:spacing w:before="160" w:after="160" w:line="276" w:lineRule="auto"/>
        <w:jc w:val="center"/>
      </w:pPr>
      <w:r>
        <w:rPr>
          <w:rFonts w:ascii="Consolas" w:hAnsi="Consolas"/>
          <w:color w:val="000000"/>
          <w:sz w:val="22"/>
        </w:rPr>
        <w:t>c tal que  P( máx sobre h de |t(h)| ≤ c ) = 0,90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Sublinhe uma coisa, porque é o que o trabalho afirma e é verdade: a banda simultânea NÃO é um segundo erro-padrão. É o mesmo erro-padrão HAC, multiplicado por um número maior. Muda o multiplicador, não a medida de incerteza.</w:t>
      </w:r>
    </w:p>
    <w:p>
      <w:pPr>
        <w:spacing w:before="180" w:after="20" w:line="288" w:lineRule="auto"/>
        <w:ind w:left="198" w:right="198"/>
        <w:shd w:val="clear" w:color="auto" w:fill="F2F0EB"/>
      </w:pPr>
      <w:r>
        <w:rPr>
          <w:rFonts w:ascii="Arial" w:hAnsi="Arial"/>
          <w:b/>
          <w:color w:val="9E3D25"/>
          <w:sz w:val="21"/>
        </w:rPr>
        <w:t>O que dizer na banca</w:t>
      </w:r>
    </w:p>
    <w:p>
      <w:pPr>
        <w:spacing w:before="0" w:after="200" w:line="288" w:lineRule="auto"/>
        <w:ind w:left="198" w:right="198"/>
        <w:jc w:val="both"/>
        <w:shd w:val="clear" w:color="auto" w:fill="F2F0EB"/>
      </w:pPr>
      <w:r>
        <w:rPr>
          <w:rFonts w:ascii="Arial" w:hAnsi="Arial"/>
          <w:color w:val="000000"/>
          <w:sz w:val="21"/>
        </w:rPr>
        <w:t>A banda pontual responde por um horizonte; a simultânea responde pela trajetória. Como o trabalho faz afirmações sobre o perfil temporal do repasse, e não sobre um único mês, o critério correto é o simultâneo. O valor crítico sup-t vem da distribuição do máximo dos treze t, obtida da matriz de correlação implicada pela covariância conjunta.</w:t>
      </w:r>
    </w:p>
    <w:p>
      <w:pPr>
        <w:pStyle w:val="Heading1"/>
        <w:spacing w:before="320" w:after="120"/>
        <w:jc w:val="left"/>
      </w:pPr>
      <w:r>
        <w:rPr>
          <w:rFonts w:ascii="Arial" w:hAnsi="Arial"/>
          <w:b/>
          <w:color w:val="000000"/>
          <w:sz w:val="28"/>
        </w:rPr>
        <w:t>7.  Teste de Wald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Esse é o mais simples do conjunto e sustenta a tabela principal. O teste de Wald compara duas estimativas e pergunta se a diferença entre elas é maior do que a incerteza permitiria por acaso.</w:t>
      </w:r>
    </w:p>
    <w:p>
      <w:pPr>
        <w:spacing w:before="160" w:after="160" w:line="276" w:lineRule="auto"/>
        <w:jc w:val="center"/>
      </w:pPr>
      <w:r>
        <w:rPr>
          <w:rFonts w:ascii="Consolas" w:hAnsi="Consolas"/>
          <w:color w:val="000000"/>
          <w:sz w:val="22"/>
        </w:rPr>
        <w:t>W = (diferença)² / variância da diferença   ~   χ²(1)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Duas observações que a banca pode cobrar. Primeiro, para uma única restrição, o Wald é exatamente o quadrado da estatística t, então não há informação nova, há apenas conveniência de notação. Segundo, e esse é o ponto que separa quem entendeu de quem decorou, o denominador é a variância DA DIFERENÇA, e não a soma das variâncias dos dois coeficientes.</w:t>
      </w:r>
    </w:p>
    <w:p>
      <w:pPr>
        <w:spacing w:before="160" w:after="160" w:line="276" w:lineRule="auto"/>
        <w:jc w:val="center"/>
      </w:pPr>
      <w:r>
        <w:rPr>
          <w:rFonts w:ascii="Consolas" w:hAnsi="Consolas"/>
          <w:color w:val="000000"/>
          <w:sz w:val="22"/>
        </w:rPr>
        <w:t>Var(A − B) = Var(A) + Var(B) − 2·Cov(A, B)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Se os dois coeficientes forem positivamente correlacionados, a covariância reduz a variância da diferença, e ignorá-la produziria um teste conservador demais. Como no seu caso os dois coeficientes vêm da MESMA regressão, eles são correlacionados por construção, e usar a covariância é obrigatório.</w:t>
      </w:r>
    </w:p>
    <w:p>
      <w:pPr>
        <w:pStyle w:val="Heading1"/>
        <w:spacing w:before="320" w:after="120"/>
        <w:jc w:val="left"/>
      </w:pPr>
      <w:r>
        <w:rPr>
          <w:rFonts w:ascii="Arial" w:hAnsi="Arial"/>
          <w:b/>
          <w:color w:val="000000"/>
          <w:sz w:val="28"/>
        </w:rPr>
        <w:t>8.  Quebra em data desconhecida: Andrews, e por que a qui-quadrado não vale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Você não impôs a data de mudança de regime, você a estimou. O procedimento é o de Andrews, de 1993: calcula-se a estatística de Wald para cada data candidata e toma-se o máximo. A data estimada é aquela que maximiza.</w:t>
      </w:r>
    </w:p>
    <w:p>
      <w:pPr>
        <w:spacing w:before="160" w:after="160" w:line="276" w:lineRule="auto"/>
        <w:jc w:val="center"/>
      </w:pPr>
      <w:r>
        <w:rPr>
          <w:rFonts w:ascii="Consolas" w:hAnsi="Consolas"/>
          <w:color w:val="000000"/>
          <w:sz w:val="22"/>
        </w:rPr>
        <w:t>τ* = arg max sobre τ no conjunto aparado de W(τ)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aparamento de 15% em cada cauda existe para que nenhuma das duas subamostras fique pequena demais para estimar o modelo.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E agora o ponto delicado, que é a coisa mais sofisticada do trabalho e a que mais provavelmente vai ser perguntada. Sob a hipótese nula de que NÃO existe quebra, a data τ simplesmente não existe. Ela não é um parâmetro do modelo verdadeiro. Esse é o chamado problema de Davies: um parâmetro não identificado sob a nula.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consequência é que a distribuição da estatística deixa de ser qui-quadrado. E não é uma diferença acadêmica pequena.</w:t>
      </w:r>
    </w:p>
    <w:p>
      <w:pPr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205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supwal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2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0" w:lineRule="auto"/>
        <w:jc w:val="center"/>
      </w:pPr>
      <w:r>
        <w:rPr>
          <w:rFonts w:ascii="Arial" w:hAnsi="Arial"/>
          <w:b/>
          <w:color w:val="000000"/>
          <w:sz w:val="19"/>
        </w:rPr>
        <w:t>Figura 4 – O que acontece quando se usa o valor crítico da qui-quadrado numa data escolhida pelo máximo</w:t>
      </w:r>
    </w:p>
    <w:p>
      <w:pPr>
        <w:spacing w:after="220" w:line="240" w:lineRule="auto"/>
        <w:jc w:val="both"/>
      </w:pPr>
      <w:r>
        <w:rPr>
          <w:rFonts w:ascii="Arial" w:hAnsi="Arial"/>
          <w:color w:val="444444"/>
          <w:sz w:val="18"/>
        </w:rPr>
        <w:t>Simulação com 4 mil réplicas de dados gerados SEM nenhuma quebra. Avaliada numa data fixa, a estatística segue a qui-quadrado e rejeita falsamente em 5,5% das vezes, como esperado. Tomando o máximo sobre as datas candidatas, a mesma regra rejeita 34,2% das vezes. O valor crítico correto seria 8,25, e não os 3,84 da qui-quadrado.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Leia os dois números de novo: 5,5% contra 34,2%. Se você usasse a qui-quadrado, encontraria quebra estrutural em um terço das séries que não têm quebra nenhuma. É a versão formal de uma intuição simples: procurar o maior valor entre cem candidatos e depois fingir que você olhou só um é trapaça estatística.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correção é a de Hansen, de 2000, com valores críticos obtidos por reamostragem com regressores fixos. Em cada réplica gerada sob a nula, refaz-se a busca inteira e guarda-se o máximo. A distribuição desses máximos é a referência correta.</w:t>
      </w:r>
    </w:p>
    <w:p>
      <w:pPr>
        <w:spacing w:before="180" w:after="20" w:line="288" w:lineRule="auto"/>
        <w:ind w:left="198" w:right="198"/>
        <w:shd w:val="clear" w:color="auto" w:fill="F2F0EB"/>
      </w:pPr>
      <w:r>
        <w:rPr>
          <w:rFonts w:ascii="Arial" w:hAnsi="Arial"/>
          <w:b/>
          <w:color w:val="9E3D25"/>
          <w:sz w:val="21"/>
        </w:rPr>
        <w:t>O que dizer na banca</w:t>
      </w:r>
    </w:p>
    <w:p>
      <w:pPr>
        <w:spacing w:before="0" w:after="200" w:line="288" w:lineRule="auto"/>
        <w:ind w:left="198" w:right="198"/>
        <w:jc w:val="both"/>
        <w:shd w:val="clear" w:color="auto" w:fill="F2F0EB"/>
      </w:pPr>
      <w:r>
        <w:rPr>
          <w:rFonts w:ascii="Arial" w:hAnsi="Arial"/>
          <w:color w:val="000000"/>
          <w:sz w:val="21"/>
        </w:rPr>
        <w:t>A distribuição assintótica do sup-Wald não é qui-quadrado porque a data de quebra não é identificada sob a hipótese nula, que é o problema de Davies. Usar a qui-quadrado sobre-rejeita de forma substancial, e por isso os valores críticos vêm da reamostragem com regressores fixos de Hansen (2000).</w:t>
      </w:r>
    </w:p>
    <w:p>
      <w:pPr>
        <w:pStyle w:val="Heading1"/>
        <w:spacing w:before="320" w:after="120"/>
        <w:jc w:val="left"/>
      </w:pPr>
      <w:r>
        <w:rPr>
          <w:rFonts w:ascii="Arial" w:hAnsi="Arial"/>
          <w:b/>
          <w:color w:val="000000"/>
          <w:sz w:val="28"/>
        </w:rPr>
        <w:t>9.  Bootstrap selvagem, pesos de Rademacher e alavancagem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Bootstrap é a ideia de gerar muitas amostras artificiais a partir da que você tem, para descobrir empiricamente a distribuição de uma estatística quando não se conhece a fórmula dela. É a ferramenta usada sempre que a teoria assintótica não serve.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bootstrap ingênuo sorteia observações com reposição, mas isso destrói a estrutura de heteroscedasticidade e a ordem temporal, que aqui importam. O bootstrap SELVAGEM resolve de outro jeito: mantém cada observação no seu lugar e apenas multiplica o resíduo por um número aleatório de média zero.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Os pesos de Rademacher são a escolha mais simples possível: multiplica-se cada resíduo por +1 ou por −1, com probabilidade de metade para cada. O sinal muda, o tamanho não. Davidson e Flachaire mostraram em 2008 que essa escolha binária costuma funcionar melhor que alternativas mais elaboradas.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No seu trabalho os pesos são aplicados em BLOCOS de doze meses, e não observação a observação. A razão volta ao capítulo 2 deste material: como os resíduos vizinhos são correlacionados, sortear sinais individualmente destruiria a dependência que precisa ser preservada. O bloco mantém pedaços contíguos da série intactos.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Por fim, a correção de alavancagem. Os resíduos de mínimos quadrados são sistematicamente menores que os erros verdadeiros, e o encolhimento é maior nos pontos de alta alavancagem, isto é, nas observações com valores extremos dos regressores. Dividir cada resíduo pela raiz de (1 − alavancagem) antes de reamostrar desfaz esse encolhimento.</w:t>
      </w:r>
    </w:p>
    <w:p>
      <w:pPr>
        <w:spacing w:before="180" w:after="20" w:line="288" w:lineRule="auto"/>
        <w:ind w:left="198" w:right="198"/>
        <w:shd w:val="clear" w:color="auto" w:fill="F2F0EB"/>
      </w:pPr>
      <w:r>
        <w:rPr>
          <w:rFonts w:ascii="Arial" w:hAnsi="Arial"/>
          <w:b/>
          <w:color w:val="9E3D25"/>
          <w:sz w:val="21"/>
        </w:rPr>
        <w:t>O que dizer na banca</w:t>
      </w:r>
    </w:p>
    <w:p>
      <w:pPr>
        <w:spacing w:before="0" w:after="200" w:line="288" w:lineRule="auto"/>
        <w:ind w:left="198" w:right="198"/>
        <w:jc w:val="both"/>
        <w:shd w:val="clear" w:color="auto" w:fill="F2F0EB"/>
      </w:pPr>
      <w:r>
        <w:rPr>
          <w:rFonts w:ascii="Arial" w:hAnsi="Arial"/>
          <w:color w:val="000000"/>
          <w:sz w:val="21"/>
        </w:rPr>
        <w:t>O bootstrap é empregado apenas onde não existe distribuição assintótica utilizável: valor crítico do teste de quebra, p-valor ajustado por seleção, testes conjuntos entre horizontes e o intervalo da parcela do canal, que é razão entre estimativas. Fora desses casos a inferência é analítica.</w:t>
      </w:r>
    </w:p>
    <w:p>
      <w:pPr>
        <w:pStyle w:val="Heading1"/>
        <w:spacing w:before="320" w:after="120"/>
        <w:jc w:val="left"/>
      </w:pPr>
      <w:r>
        <w:rPr>
          <w:rFonts w:ascii="Arial" w:hAnsi="Arial"/>
          <w:b/>
          <w:color w:val="000000"/>
          <w:sz w:val="28"/>
        </w:rPr>
        <w:t>10.  Inferência após seleção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Esse é o refinamento que separa um trabalho cuidadoso de um trabalho apenas competente, e vale a pena saber defender.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Você procurou a data que maximiza a estatística. Depois quer reportar um p-valor para a estatística naquela data. Mas a data foi escolhida JUSTAMENTE por ser a de maior estatística. Avaliar o valor máximo como se fosse um valor qualquer é circular.</w:t>
      </w:r>
    </w:p>
    <w:p>
      <w:pPr>
        <w:spacing w:before="180" w:after="20" w:line="288" w:lineRule="auto"/>
        <w:ind w:left="198" w:right="198"/>
        <w:shd w:val="clear" w:color="auto" w:fill="F2F0EB"/>
      </w:pPr>
      <w:r>
        <w:rPr>
          <w:rFonts w:ascii="Arial" w:hAnsi="Arial"/>
          <w:b/>
          <w:color w:val="9E3D25"/>
          <w:sz w:val="21"/>
        </w:rPr>
        <w:t>A analogia</w:t>
      </w:r>
    </w:p>
    <w:p>
      <w:pPr>
        <w:spacing w:before="0" w:after="200" w:line="288" w:lineRule="auto"/>
        <w:ind w:left="198" w:right="198"/>
        <w:jc w:val="both"/>
        <w:shd w:val="clear" w:color="auto" w:fill="F2F0EB"/>
      </w:pPr>
      <w:r>
        <w:rPr>
          <w:rFonts w:ascii="Arial" w:hAnsi="Arial"/>
          <w:color w:val="000000"/>
          <w:sz w:val="21"/>
        </w:rPr>
        <w:t>É como jogar cem moedas, encontrar a que deu mais caras, e depois calcular a probabilidade de aquela moeda específica dar tantas caras como se você a tivesse escolhido antes de jogar. A moeda parece viciada e não é. O que está viciado é o procedimento de escolha.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correção é conceitualmente elegante: em cada réplica do bootstrap, refaz-se a BUSCA INTEIRA sob a hipótese nula, e compara-se a estatística observada ao máximo daquela réplica. Assim a referência incorpora o fato de que houve busca, e o p-valor resultante é honesto.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trabalho ainda reporta a faixa de datas cuja estatística supera o valor crítico, em lugar de apresentar a data estimada como se fosse conhecida com precisão de mês. Isso é honestidade sobre a incerteza da própria data.</w:t>
      </w:r>
    </w:p>
    <w:p>
      <w:pPr>
        <w:pStyle w:val="Heading1"/>
        <w:spacing w:before="320" w:after="120"/>
        <w:jc w:val="left"/>
      </w:pPr>
      <w:r>
        <w:rPr>
          <w:rFonts w:ascii="Arial" w:hAnsi="Arial"/>
          <w:b/>
          <w:color w:val="000000"/>
          <w:sz w:val="28"/>
        </w:rPr>
        <w:t>11.  Frisch-Waugh-Lovell e as duas repartições do efeito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teorema de Frisch-Waugh-Lovell é um resultado de álgebra de regressão, e ele diz o seguinte: o coeficiente de uma variável numa regressão múltipla é idêntico ao coeficiente que você obteria removendo primeiro, das duas variáveis envolvidas, tudo o que os demais controles explicam.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Você usa isso para responder por onde o efeito passa. Estima-se o efeito total do choque. Depois estima-se o efeito quando os preços de combustíveis entram como controles. A diferença entre os dois é a parcela do efeito que transita por aqueles preços.</w:t>
      </w:r>
    </w:p>
    <w:p>
      <w:pPr>
        <w:spacing w:before="160" w:after="160" w:line="276" w:lineRule="auto"/>
        <w:jc w:val="center"/>
      </w:pPr>
      <w:r>
        <w:rPr>
          <w:rFonts w:ascii="Consolas" w:hAnsi="Consolas"/>
          <w:color w:val="000000"/>
          <w:sz w:val="22"/>
        </w:rPr>
        <w:t>canal(h) = β(h) − β_dir(h) = Σⱼ δⱼ(h)·bⱼ(h)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segunda igualdade é a graça do teorema: o canal pode ser lido de duas formas, como diferença entre coeficientes ou como soma dos produtos entre a resposta de cada combustível ao choque e o peso desse combustível na equação condicionada. As duas leituras têm de dar o mesmo número, e a sua rotina verifica isso numericamente.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Existe uma segunda repartição, INDEPENDENTE da primeira, e é comum confundi-las. Combustíveis são itens da própria cesta do IPCA. Então parte do efeito é pura aritmética de índice: o item subiu, e como ele tem peso na cesta, o índice sobe. Isso é a primeira volta, e não é comportamento econômico, é contabilidade. O que sobra, a segunda volta, é o encarecimento de frete, transporte e insumos que atinge preços que não são combustível.</w:t>
      </w:r>
    </w:p>
    <w:p>
      <w:pPr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849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_fw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8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0" w:lineRule="auto"/>
        <w:jc w:val="center"/>
      </w:pPr>
      <w:r>
        <w:rPr>
          <w:rFonts w:ascii="Arial" w:hAnsi="Arial"/>
          <w:b/>
          <w:color w:val="000000"/>
          <w:sz w:val="19"/>
        </w:rPr>
        <w:t>Figura 5 – As duas repartições do mesmo efeito total</w:t>
      </w:r>
    </w:p>
    <w:p>
      <w:pPr>
        <w:spacing w:after="220" w:line="240" w:lineRule="auto"/>
        <w:jc w:val="both"/>
      </w:pPr>
      <w:r>
        <w:rPr>
          <w:rFonts w:ascii="Arial" w:hAnsi="Arial"/>
          <w:color w:val="444444"/>
          <w:sz w:val="18"/>
        </w:rPr>
        <w:t>Atenção à leitura: as duas repartições são independentes e cada uma soma o efeito total. A primeira separa por onde o efeito passa; a segunda, que natureza ele tem. A segunda volta não é um pedaço do canal, é o total menos a contribuição aritmética da cesta.</w:t>
      </w:r>
    </w:p>
    <w:p>
      <w:pPr>
        <w:spacing w:before="180" w:after="20" w:line="288" w:lineRule="auto"/>
        <w:ind w:left="198" w:right="198"/>
        <w:shd w:val="clear" w:color="auto" w:fill="F2F0EB"/>
      </w:pPr>
      <w:r>
        <w:rPr>
          <w:rFonts w:ascii="Arial" w:hAnsi="Arial"/>
          <w:b/>
          <w:color w:val="9E3D25"/>
          <w:sz w:val="21"/>
        </w:rPr>
        <w:t>O que dizer na banca</w:t>
      </w:r>
    </w:p>
    <w:p>
      <w:pPr>
        <w:spacing w:before="0" w:after="200" w:line="288" w:lineRule="auto"/>
        <w:ind w:left="198" w:right="198"/>
        <w:jc w:val="both"/>
        <w:shd w:val="clear" w:color="auto" w:fill="F2F0EB"/>
      </w:pPr>
      <w:r>
        <w:rPr>
          <w:rFonts w:ascii="Arial" w:hAnsi="Arial"/>
          <w:color w:val="000000"/>
          <w:sz w:val="21"/>
        </w:rPr>
        <w:t>A decomposição de canal e a decomposição em voltas repartem o mesmo efeito total segundo critérios diferentes e não aninhados. A primeira responde por onde o efeito transita; a segunda, quanto dele é composição do índice e quanto é propagação de custos a preços que não são combustível.</w:t>
      </w:r>
    </w:p>
    <w:p>
      <w:pPr>
        <w:pStyle w:val="Heading1"/>
        <w:spacing w:before="320" w:after="120"/>
        <w:jc w:val="left"/>
      </w:pPr>
      <w:r>
        <w:rPr>
          <w:rFonts w:ascii="Arial" w:hAnsi="Arial"/>
          <w:b/>
          <w:color w:val="000000"/>
          <w:sz w:val="28"/>
        </w:rPr>
        <w:t>12.  Salkever: por que a dummy da pandemia é o que é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Salkever demonstrou, em 1976, um resultado que parece truque e é teorema. Incluir numa regressão uma variável indicadora que vale 1 para exatamente uma observação e 0 para todas as outras produz coeficientes IDÊNTICOS aos que você obteria simplesmente apagando aquela observação da amostra.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razão é intuitiva quando se percebe: aquela indicadora tem um parâmetro livre só para aquela observação, então ela sempre consegue ajustar o resíduo daquele ponto exatamente a zero. Um ponto com resíduo forçado a zero não influencia mais nada.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consequência para o seu trabalho é direta e você a documenta com honestidade: no horizonte de impacto, controlar os meses de pandemia com indicadoras é matematicamente equivalente a excluir aqueles meses. Não é uma escolha entre controlar e excluir; nesse horizonte as duas coisas são a mesma coisa, e você mostra que os números coincidem até a terceira casa.</w:t>
      </w:r>
    </w:p>
    <w:p>
      <w:pPr>
        <w:pStyle w:val="Heading1"/>
        <w:spacing w:before="320" w:after="120"/>
        <w:jc w:val="left"/>
      </w:pPr>
      <w:r>
        <w:rPr>
          <w:rFonts w:ascii="Arial" w:hAnsi="Arial"/>
          <w:b/>
          <w:color w:val="000000"/>
          <w:sz w:val="28"/>
        </w:rPr>
        <w:t>13.  Teulings e Zubanov: os choques que vêm depois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Numa projeção local com horizonte h, a variável dependente cobre de t−1 até t+h. Nesse intervalo podem ocorrer NOVOS choques de petróleo, posteriores ao que você está medindo.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Se esses choques subsequentes não entram como controles, o efeito deles é atribuído erroneamente ao choque original. Teulings e Zubanov mostraram em 2014 que isso gera viés e que a correção é simples: incluir os choques ocorridos dentro da janela como controles adicionais.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No seu trabalho a correção REFORÇA as conclusões, o que é o desfecho mais confortável possível: o número de horizontes em que a igualdade entre regimes é rejeitada sobe de 35 para 47, e o p-valor do IPCA Geral em três meses cai de 0,160 para 0,047.</w:t>
      </w:r>
    </w:p>
    <w:p>
      <w:pPr>
        <w:pStyle w:val="Heading1"/>
        <w:spacing w:before="320" w:after="120"/>
        <w:jc w:val="left"/>
      </w:pPr>
      <w:r>
        <w:rPr>
          <w:rFonts w:ascii="Arial" w:hAnsi="Arial"/>
          <w:b/>
          <w:color w:val="000000"/>
          <w:sz w:val="28"/>
        </w:rPr>
        <w:t>14.  Instrumento fraco, estatística F e Anderson-Rubin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Variável instrumental é a solução clássica para endogeneidade. Você precisa de uma variável que mova o regressor suspeito e que não afete o desfecho por nenhum outro caminho. A primeira condição é a relevância e é testável; a segunda é a exclusão e não é.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relevância se mede pela estatística F da regressão de primeiro estágio. A regra prática de Staiger e Stock diz que F abaixo de 10 caracteriza instrumento fraco. E instrumento fraco não é apenas impreciso: ele é ENVIESADO na direção do problema que deveria corrigir, o que é a pior combinação possível.</w:t>
      </w:r>
    </w:p>
    <w:p>
      <w:pPr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367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_iv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36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0" w:lineRule="auto"/>
        <w:jc w:val="center"/>
      </w:pPr>
      <w:r>
        <w:rPr>
          <w:rFonts w:ascii="Arial" w:hAnsi="Arial"/>
          <w:b/>
          <w:color w:val="000000"/>
          <w:sz w:val="19"/>
        </w:rPr>
        <w:t>Figura 6 – O que a força do instrumento faz com a sua conclusão</w:t>
      </w:r>
    </w:p>
    <w:p>
      <w:pPr>
        <w:spacing w:after="220" w:line="240" w:lineRule="auto"/>
        <w:jc w:val="both"/>
      </w:pPr>
      <w:r>
        <w:rPr>
          <w:rFonts w:ascii="Arial" w:hAnsi="Arial"/>
          <w:color w:val="444444"/>
          <w:sz w:val="18"/>
        </w:rPr>
        <w:t>Ilustração do comportamento qualitativo. Com F baixo, o conjunto de confiança de Anderson-Rubin, que permanece válido sob instrumento fraco, se alarga rapidamente e pode chegar a não excluir valor algum. Os pontos assinalados correspondem aos instrumentos testados e descartados no trabalho.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procedimento de Anderson e Rubin é a saída honesta. Ele constrói um conjunto de confiança que é válido independentemente da força do instrumento. O preço é que, com instrumento fraco, esse conjunto fica enorme, e pode literalmente ser toda a reta real, o que equivale a dizer que os dados não informam nada sobre o parâmetro.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É exatamente isso que aconteceu nos seus testes. As margens de refino deram F de 5,5 para a gasolina e 0,27 para o diesel, ambos bem abaixo de 10, e o conjunto de Anderson-Rubin não exclui o zero. Reportar isso, em vez de escondê-lo, é o comportamento correto.</w:t>
      </w:r>
    </w:p>
    <w:p>
      <w:pPr>
        <w:spacing w:before="180" w:after="20" w:line="288" w:lineRule="auto"/>
        <w:ind w:left="198" w:right="198"/>
        <w:shd w:val="clear" w:color="auto" w:fill="F2F0EB"/>
      </w:pPr>
      <w:r>
        <w:rPr>
          <w:rFonts w:ascii="Arial" w:hAnsi="Arial"/>
          <w:b/>
          <w:color w:val="9E3D25"/>
          <w:sz w:val="21"/>
        </w:rPr>
        <w:t>O que dizer na banca</w:t>
      </w:r>
    </w:p>
    <w:p>
      <w:pPr>
        <w:spacing w:before="0" w:after="200" w:line="288" w:lineRule="auto"/>
        <w:ind w:left="198" w:right="198"/>
        <w:jc w:val="both"/>
        <w:shd w:val="clear" w:color="auto" w:fill="F2F0EB"/>
      </w:pPr>
      <w:r>
        <w:rPr>
          <w:rFonts w:ascii="Arial" w:hAnsi="Arial"/>
          <w:color w:val="000000"/>
          <w:sz w:val="21"/>
        </w:rPr>
        <w:t>A identificação do trabalho não repousa sobre variável instrumental. Os instrumentos testados são reportados no apêndice com as respectivas estatísticas F, todas abaixo do limiar convencional, e a conclusão registrada é a de que nesta amostra não há instrumento externo com potência suficiente para inferência por dois estágios.</w:t>
      </w:r>
    </w:p>
    <w:p>
      <w:pPr>
        <w:pStyle w:val="Heading1"/>
        <w:spacing w:before="320" w:after="120"/>
        <w:jc w:val="left"/>
      </w:pPr>
      <w:r>
        <w:rPr>
          <w:rFonts w:ascii="Arial" w:hAnsi="Arial"/>
          <w:b/>
          <w:color w:val="000000"/>
          <w:sz w:val="28"/>
        </w:rPr>
        <w:t>15.  A identificação por diferença, que é o argumento central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Se a identificação não vem de instrumento, de onde vem? Da comparação entre regimes, e o argumento é mais forte do que parece à primeira vista.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objeto de interesse do trabalho não é o NÍVEL do repasse no regime posterior. É a DIFERENÇA entre os dois regimes. Suponha que o choque esteja correlacionado com determinantes omitidos da inflação, de modo que cada coeficiente carregue um viés. A diferença estimada fica:</w:t>
      </w:r>
    </w:p>
    <w:p>
      <w:pPr>
        <w:spacing w:before="160" w:after="160" w:line="276" w:lineRule="auto"/>
        <w:jc w:val="center"/>
      </w:pPr>
      <w:r>
        <w:rPr>
          <w:rFonts w:ascii="Consolas" w:hAnsi="Consolas"/>
          <w:color w:val="000000"/>
          <w:sz w:val="22"/>
        </w:rPr>
        <w:t>[β*_pós − β*_pré] = [β_pós − β_pré] + [viés_pós − viés_pré]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Se o viés for o MESMO nos dois regimes, os dois últimos termos se cancelam e a diferença é estimada de forma consistente, ainda que nenhum dos dois níveis seja. É a lógica que sustenta o estimador de diferenças em diferenças: a contaminação sobrevive em cada termo isolado e desaparece no contraste.</w:t>
      </w:r>
    </w:p>
    <w:p>
      <w:pPr>
        <w:spacing w:after="140" w:before="0" w:line="307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Portanto a hipótese necessária não é a exogeneidade do choque, que seria forte e implausível. É a estabilidade do viés entre os dois períodos, que é mais fraca. E, melhor ainda, ela é TESTÁVEL: o viés é comum quando o processo gerador do choque não muda na data de corte, e a seção 4.7.7 do TCC verifica isso, mostrando que a proporção de meses de alta passa de 59,8% para 54,4%, sem aglomeração de choques positivos após o corte.</w:t>
      </w:r>
    </w:p>
    <w:p>
      <w:pPr>
        <w:spacing w:before="180" w:after="20" w:line="288" w:lineRule="auto"/>
        <w:ind w:left="198" w:right="198"/>
        <w:shd w:val="clear" w:color="auto" w:fill="F2F0EB"/>
      </w:pPr>
      <w:r>
        <w:rPr>
          <w:rFonts w:ascii="Arial" w:hAnsi="Arial"/>
          <w:b/>
          <w:color w:val="9E3D25"/>
          <w:sz w:val="21"/>
        </w:rPr>
        <w:t>O que dizer na banca, e essa é a resposta mais importante do trabalho</w:t>
      </w:r>
    </w:p>
    <w:p>
      <w:pPr>
        <w:spacing w:before="0" w:after="200" w:line="288" w:lineRule="auto"/>
        <w:ind w:left="198" w:right="198"/>
        <w:jc w:val="both"/>
        <w:shd w:val="clear" w:color="auto" w:fill="F2F0EB"/>
      </w:pPr>
      <w:r>
        <w:rPr>
          <w:rFonts w:ascii="Arial" w:hAnsi="Arial"/>
          <w:color w:val="000000"/>
          <w:sz w:val="21"/>
        </w:rPr>
        <w:t>A estratégia não supõe que o choque de petróleo seja exógeno. Supõe que a endogeneidade, seja ela qual for, não se alterou na data de corte, o que é hipótese estritamente mais fraca. E essa hipótese tem conteúdo empírico: ela é testada pela composição dos choques, cujo resultado opera contra a explicação alternativa, já que o regime de maior repasse é justamente o que contém proporcionalmente menos choques de alta.</w:t>
      </w:r>
    </w:p>
    <w:p>
      <w:r>
        <w:br w:type="page"/>
      </w:r>
    </w:p>
    <w:p>
      <w:pPr>
        <w:pStyle w:val="Heading1"/>
        <w:spacing w:before="320" w:after="120"/>
        <w:jc w:val="left"/>
      </w:pPr>
      <w:r>
        <w:rPr>
          <w:rFonts w:ascii="Arial" w:hAnsi="Arial"/>
          <w:b/>
          <w:color w:val="000000"/>
          <w:sz w:val="28"/>
        </w:rPr>
        <w:t>Cola de uma página</w:t>
      </w:r>
    </w:p>
    <w:p>
      <w:pPr>
        <w:spacing w:after="200" w:before="0" w:line="307" w:lineRule="auto"/>
        <w:jc w:val="both"/>
      </w:pPr>
      <w:r>
        <w:rPr>
          <w:rFonts w:ascii="Arial" w:hAnsi="Arial"/>
          <w:b w:val="0"/>
          <w:i/>
          <w:color w:val="5F6549"/>
          <w:sz w:val="22"/>
        </w:rPr>
        <w:t>As perguntas mais prováveis e a resposta em duas linhas.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3175"/>
          </w:tcPr>
          <w:p>
            <w:pPr>
              <w:spacing w:after="60" w:before="60" w:line="269" w:lineRule="auto"/>
              <w:jc w:val="left"/>
            </w:pPr>
            <w:r/>
            <w:r>
              <w:rPr>
                <w:rFonts w:ascii="Arial" w:hAnsi="Arial"/>
                <w:b/>
                <w:color w:val="9E3D25"/>
                <w:sz w:val="19"/>
              </w:rPr>
              <w:t>Por que projeção local e não VAR?</w:t>
            </w:r>
          </w:p>
        </w:tc>
        <w:tc>
          <w:tcPr>
            <w:tcW w:type="dxa" w:w="5896"/>
          </w:tcPr>
          <w:p>
            <w:pPr>
              <w:spacing w:after="60" w:before="60" w:line="269" w:lineRule="auto"/>
              <w:jc w:val="both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LP estima um horizonte por vez e isola erros de especificação; o VAR propaga qualquer erro a todos os horizontes. Paga-se eficiência, compra-se robustez.</w:t>
            </w:r>
          </w:p>
        </w:tc>
      </w:tr>
      <w:tr>
        <w:tc>
          <w:tcPr>
            <w:tcW w:type="dxa" w:w="3175"/>
          </w:tcPr>
          <w:p>
            <w:pPr>
              <w:spacing w:after="60" w:before="60" w:line="269" w:lineRule="auto"/>
              <w:jc w:val="left"/>
            </w:pPr>
            <w:r/>
            <w:r>
              <w:rPr>
                <w:rFonts w:ascii="Arial" w:hAnsi="Arial"/>
                <w:b/>
                <w:color w:val="9E3D25"/>
                <w:sz w:val="19"/>
              </w:rPr>
              <w:t>O que é HAC?</w:t>
            </w:r>
          </w:p>
        </w:tc>
        <w:tc>
          <w:tcPr>
            <w:tcW w:type="dxa" w:w="5896"/>
          </w:tcPr>
          <w:p>
            <w:pPr>
              <w:spacing w:after="60" w:before="60" w:line="269" w:lineRule="auto"/>
              <w:jc w:val="both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Estimador de variância válido sob heteroscedasticidade e autocorrelação. Não muda o coeficiente, corrige o erro-padrão, quase sempre para cima.</w:t>
            </w:r>
          </w:p>
        </w:tc>
      </w:tr>
      <w:tr>
        <w:tc>
          <w:tcPr>
            <w:tcW w:type="dxa" w:w="3175"/>
          </w:tcPr>
          <w:p>
            <w:pPr>
              <w:spacing w:after="60" w:before="60" w:line="269" w:lineRule="auto"/>
              <w:jc w:val="left"/>
            </w:pPr>
            <w:r/>
            <w:r>
              <w:rPr>
                <w:rFonts w:ascii="Arial" w:hAnsi="Arial"/>
                <w:b/>
                <w:color w:val="9E3D25"/>
                <w:sz w:val="19"/>
              </w:rPr>
              <w:t>Por que Newey-West e não somar as autocovariâncias?</w:t>
            </w:r>
          </w:p>
        </w:tc>
        <w:tc>
          <w:tcPr>
            <w:tcW w:type="dxa" w:w="5896"/>
          </w:tcPr>
          <w:p>
            <w:pPr>
              <w:spacing w:after="60" w:before="60" w:line="269" w:lineRule="auto"/>
              <w:jc w:val="both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A soma crua pode dar variância negativa. O núcleo de Bartlett decai linearmente e garante positividade.</w:t>
            </w:r>
          </w:p>
        </w:tc>
      </w:tr>
      <w:tr>
        <w:tc>
          <w:tcPr>
            <w:tcW w:type="dxa" w:w="3175"/>
          </w:tcPr>
          <w:p>
            <w:pPr>
              <w:spacing w:after="60" w:before="60" w:line="269" w:lineRule="auto"/>
              <w:jc w:val="left"/>
            </w:pPr>
            <w:r/>
            <w:r>
              <w:rPr>
                <w:rFonts w:ascii="Arial" w:hAnsi="Arial"/>
                <w:b/>
                <w:color w:val="9E3D25"/>
                <w:sz w:val="19"/>
              </w:rPr>
              <w:t>Por que a banda é h+1?</w:t>
            </w:r>
          </w:p>
        </w:tc>
        <w:tc>
          <w:tcPr>
            <w:tcW w:type="dxa" w:w="5896"/>
          </w:tcPr>
          <w:p>
            <w:pPr>
              <w:spacing w:after="60" w:before="60" w:line="269" w:lineRule="auto"/>
              <w:jc w:val="both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A acumulação de h períodos induz autocorrelação de ordem h por construção. A banda precisa alcançá-la.</w:t>
            </w:r>
          </w:p>
        </w:tc>
      </w:tr>
      <w:tr>
        <w:tc>
          <w:tcPr>
            <w:tcW w:type="dxa" w:w="3175"/>
          </w:tcPr>
          <w:p>
            <w:pPr>
              <w:spacing w:after="60" w:before="60" w:line="269" w:lineRule="auto"/>
              <w:jc w:val="left"/>
            </w:pPr>
            <w:r/>
            <w:r>
              <w:rPr>
                <w:rFonts w:ascii="Arial" w:hAnsi="Arial"/>
                <w:b/>
                <w:color w:val="9E3D25"/>
                <w:sz w:val="19"/>
              </w:rPr>
              <w:t>Por que três defasagens se os critérios pedem uma ou duas?</w:t>
            </w:r>
          </w:p>
        </w:tc>
        <w:tc>
          <w:tcPr>
            <w:tcW w:type="dxa" w:w="5896"/>
          </w:tcPr>
          <w:p>
            <w:pPr>
              <w:spacing w:after="60" w:before="60" w:line="269" w:lineRule="auto"/>
              <w:jc w:val="both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Aumento de defasagem de Montiel Olea e Plagborg-Møller (2021): torna a inferência válida uniformemente, inclusive sob alta persistência.</w:t>
            </w:r>
          </w:p>
        </w:tc>
      </w:tr>
      <w:tr>
        <w:tc>
          <w:tcPr>
            <w:tcW w:type="dxa" w:w="3175"/>
          </w:tcPr>
          <w:p>
            <w:pPr>
              <w:spacing w:after="60" w:before="60" w:line="269" w:lineRule="auto"/>
              <w:jc w:val="left"/>
            </w:pPr>
            <w:r/>
            <w:r>
              <w:rPr>
                <w:rFonts w:ascii="Arial" w:hAnsi="Arial"/>
                <w:b/>
                <w:color w:val="9E3D25"/>
                <w:sz w:val="19"/>
              </w:rPr>
              <w:t>Qual a diferença entre banda pontual e sup-t?</w:t>
            </w:r>
          </w:p>
        </w:tc>
        <w:tc>
          <w:tcPr>
            <w:tcW w:type="dxa" w:w="5896"/>
          </w:tcPr>
          <w:p>
            <w:pPr>
              <w:spacing w:after="60" w:before="60" w:line="269" w:lineRule="auto"/>
              <w:jc w:val="both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É o mesmo erro-padrão com outro multiplicador. A pontual cobre um horizonte; a simultânea cobre a trajetória inteira.</w:t>
            </w:r>
          </w:p>
        </w:tc>
      </w:tr>
      <w:tr>
        <w:tc>
          <w:tcPr>
            <w:tcW w:type="dxa" w:w="3175"/>
          </w:tcPr>
          <w:p>
            <w:pPr>
              <w:spacing w:after="60" w:before="60" w:line="269" w:lineRule="auto"/>
              <w:jc w:val="left"/>
            </w:pPr>
            <w:r/>
            <w:r>
              <w:rPr>
                <w:rFonts w:ascii="Arial" w:hAnsi="Arial"/>
                <w:b/>
                <w:color w:val="9E3D25"/>
                <w:sz w:val="19"/>
              </w:rPr>
              <w:t>Por que a nula do teste de quebra não é qui-quadrado?</w:t>
            </w:r>
          </w:p>
        </w:tc>
        <w:tc>
          <w:tcPr>
            <w:tcW w:type="dxa" w:w="5896"/>
          </w:tcPr>
          <w:p>
            <w:pPr>
              <w:spacing w:after="60" w:before="60" w:line="269" w:lineRule="auto"/>
              <w:jc w:val="both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A data não é identificada sob a nula, que é o problema de Davies. Usar qui-quadrado sobre-rejeita de forma grave.</w:t>
            </w:r>
          </w:p>
        </w:tc>
      </w:tr>
      <w:tr>
        <w:tc>
          <w:tcPr>
            <w:tcW w:type="dxa" w:w="3175"/>
          </w:tcPr>
          <w:p>
            <w:pPr>
              <w:spacing w:after="60" w:before="60" w:line="269" w:lineRule="auto"/>
              <w:jc w:val="left"/>
            </w:pPr>
            <w:r/>
            <w:r>
              <w:rPr>
                <w:rFonts w:ascii="Arial" w:hAnsi="Arial"/>
                <w:b/>
                <w:color w:val="9E3D25"/>
                <w:sz w:val="19"/>
              </w:rPr>
              <w:t>Por que bootstrap em blocos?</w:t>
            </w:r>
          </w:p>
        </w:tc>
        <w:tc>
          <w:tcPr>
            <w:tcW w:type="dxa" w:w="5896"/>
          </w:tcPr>
          <w:p>
            <w:pPr>
              <w:spacing w:after="60" w:before="60" w:line="269" w:lineRule="auto"/>
              <w:jc w:val="both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Os resíduos vizinhos são correlacionados pela sobreposição das janelas; blocos preservam essa dependência.</w:t>
            </w:r>
          </w:p>
        </w:tc>
      </w:tr>
      <w:tr>
        <w:tc>
          <w:tcPr>
            <w:tcW w:type="dxa" w:w="3175"/>
          </w:tcPr>
          <w:p>
            <w:pPr>
              <w:spacing w:after="60" w:before="60" w:line="269" w:lineRule="auto"/>
              <w:jc w:val="left"/>
            </w:pPr>
            <w:r/>
            <w:r>
              <w:rPr>
                <w:rFonts w:ascii="Arial" w:hAnsi="Arial"/>
                <w:b/>
                <w:color w:val="9E3D25"/>
                <w:sz w:val="19"/>
              </w:rPr>
              <w:t>O que é p-valor ajustado por seleção?</w:t>
            </w:r>
          </w:p>
        </w:tc>
        <w:tc>
          <w:tcPr>
            <w:tcW w:type="dxa" w:w="5896"/>
          </w:tcPr>
          <w:p>
            <w:pPr>
              <w:spacing w:after="60" w:before="60" w:line="269" w:lineRule="auto"/>
              <w:jc w:val="both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Cada réplica refaz a busca inteira sob a nula, de modo que a referência incorpora o fato de ter havido busca.</w:t>
            </w:r>
          </w:p>
        </w:tc>
      </w:tr>
      <w:tr>
        <w:tc>
          <w:tcPr>
            <w:tcW w:type="dxa" w:w="3175"/>
          </w:tcPr>
          <w:p>
            <w:pPr>
              <w:spacing w:after="60" w:before="60" w:line="269" w:lineRule="auto"/>
              <w:jc w:val="left"/>
            </w:pPr>
            <w:r/>
            <w:r>
              <w:rPr>
                <w:rFonts w:ascii="Arial" w:hAnsi="Arial"/>
                <w:b/>
                <w:color w:val="9E3D25"/>
                <w:sz w:val="19"/>
              </w:rPr>
              <w:t>Controlar a pandemia por dummy é o mesmo que excluir?</w:t>
            </w:r>
          </w:p>
        </w:tc>
        <w:tc>
          <w:tcPr>
            <w:tcW w:type="dxa" w:w="5896"/>
          </w:tcPr>
          <w:p>
            <w:pPr>
              <w:spacing w:after="60" w:before="60" w:line="269" w:lineRule="auto"/>
              <w:jc w:val="both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No horizonte de impacto, sim, por Salkever (1976). O trabalho documenta a equivalência numérica.</w:t>
            </w:r>
          </w:p>
        </w:tc>
      </w:tr>
      <w:tr>
        <w:tc>
          <w:tcPr>
            <w:tcW w:type="dxa" w:w="3175"/>
          </w:tcPr>
          <w:p>
            <w:pPr>
              <w:spacing w:after="60" w:before="60" w:line="269" w:lineRule="auto"/>
              <w:jc w:val="left"/>
            </w:pPr>
            <w:r/>
            <w:r>
              <w:rPr>
                <w:rFonts w:ascii="Arial" w:hAnsi="Arial"/>
                <w:b/>
                <w:color w:val="9E3D25"/>
                <w:sz w:val="19"/>
              </w:rPr>
              <w:t>Por que não usou variável instrumental?</w:t>
            </w:r>
          </w:p>
        </w:tc>
        <w:tc>
          <w:tcPr>
            <w:tcW w:type="dxa" w:w="5896"/>
          </w:tcPr>
          <w:p>
            <w:pPr>
              <w:spacing w:after="60" w:before="60" w:line="269" w:lineRule="auto"/>
              <w:jc w:val="both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Foram testados e reportados. F entre 0,27 e 5,5, abaixo do limiar. Anderson-Rubin não exclui o zero.</w:t>
            </w:r>
          </w:p>
        </w:tc>
      </w:tr>
      <w:tr>
        <w:tc>
          <w:tcPr>
            <w:tcW w:type="dxa" w:w="3175"/>
          </w:tcPr>
          <w:p>
            <w:pPr>
              <w:spacing w:after="60" w:before="60" w:line="269" w:lineRule="auto"/>
              <w:jc w:val="left"/>
            </w:pPr>
            <w:r/>
            <w:r>
              <w:rPr>
                <w:rFonts w:ascii="Arial" w:hAnsi="Arial"/>
                <w:b/>
                <w:color w:val="9E3D25"/>
                <w:sz w:val="19"/>
              </w:rPr>
              <w:t>Então como identifica?</w:t>
            </w:r>
          </w:p>
        </w:tc>
        <w:tc>
          <w:tcPr>
            <w:tcW w:type="dxa" w:w="5896"/>
          </w:tcPr>
          <w:p>
            <w:pPr>
              <w:spacing w:after="60" w:before="60" w:line="269" w:lineRule="auto"/>
              <w:jc w:val="both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Pela diferença entre regimes. O viés cancela se for comum aos dois períodos, hipótese mais fraca que exogeneidade e que é testada na seção 4.7.7.</w:t>
            </w:r>
          </w:p>
        </w:tc>
      </w:tr>
    </w:tbl>
    <w:p/>
    <w:p>
      <w:pPr>
        <w:spacing w:after="140" w:before="0" w:line="307" w:lineRule="auto"/>
        <w:jc w:val="both"/>
      </w:pPr>
      <w:r>
        <w:rPr>
          <w:rFonts w:ascii="Arial" w:hAnsi="Arial"/>
          <w:b w:val="0"/>
          <w:i/>
          <w:color w:val="5F6549"/>
          <w:sz w:val="19"/>
        </w:rPr>
        <w:t>As referências completas de todos os trabalhos citados constam do TCC.</w:t>
      </w:r>
    </w:p>
    <w:sectPr w:rsidR="00FC693F" w:rsidRPr="0006063C" w:rsidSect="00034616">
      <w:pgSz w:w="12240" w:h="15840"/>
      <w:pgMar w:top="1417" w:right="124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40"/>
      <w:jc w:val="both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métodos do TCC, explicados</dc:title>
  <dc:subject/>
  <dc:creator>Pedro Franck Minella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