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Reunião com o orientador, 06/10/2026, 16h</w:t>
      </w:r>
    </w:p>
    <w:p>
      <w:r>
        <w:t>Material de preparação: o que você precisa saber de metodologia e de estatística para defender o trabalho, as perguntas que o professor Silvio tende a fazer (ele trabalha no FMI e no Banco Central, e conhece de perto Choi et al. e Baba e Lee, que são do FMI, e o boxe do BCB), e a ordem de leitura dos artigos.</w:t>
      </w:r>
    </w:p>
    <w:p>
      <w:pPr>
        <w:pStyle w:val="Heading1"/>
      </w:pPr>
      <w:r>
        <w:t>1. O trabalho em dois minutos</w:t>
      </w:r>
    </w:p>
    <w:p>
      <w:pPr>
        <w:pStyle w:val="ListBullet"/>
      </w:pPr>
      <w:r>
        <w:t>Pergunta: o repasse do petróleo à inflação brasileira é um parâmetro estável ou depende da regra que converte o preço internacional em preço doméstico? A regra mudou por decisão administrativa (contenção em 2011 a 2014; paridade de importação anunciada em 14/10/2016, encerrada em maio de 2023).</w:t>
      </w:r>
    </w:p>
    <w:p>
      <w:pPr>
        <w:pStyle w:val="ListBullet"/>
      </w:pPr>
      <w:r>
        <w:t>Dados: mensais, janeiro de 2003 a setembro de 2025. Choque: variação logarítmica mensal do Brent em dólares, padronizada (1 desvio-padrão = alta de 10,7% no barril). Seis dependentes: gasolina na refinaria (ANP, sem tributos), gasolina, diesel e etanol ao consumidor, IPCA e IPCA Transportes.</w:t>
      </w:r>
    </w:p>
    <w:p>
      <w:pPr>
        <w:pStyle w:val="ListBullet"/>
      </w:pPr>
      <w:r>
        <w:t>Método: projeções locais (uma regressão por horizonte, h de 0 a 12) com o coeficiente do choque diferente antes e depois de uma data; teste de Wald da igualdade; data estimada pelo teste de quebra de Andrews em versão multivariada, com valores críticos por bootstrap.</w:t>
      </w:r>
    </w:p>
    <w:p>
      <w:pPr>
        <w:pStyle w:val="ListBullet"/>
      </w:pPr>
      <w:r>
        <w:t>Achado: no mês do choque, o repasse ao IPCA passa de 0,005 para algo entre 0,088 e 0,176 p.p., conforme o tratamento da pandemia; nos horizontes 0, 1 e 3, nenhum dos 18 coeficientes do regime anterior é significativo e os 18 do posterior são. A amostra completa não rejeita efeito nulo sobre o IPCA (p = 0,194): a média esconde dois regimes.</w:t>
      </w:r>
    </w:p>
    <w:p>
      <w:pPr>
        <w:pStyle w:val="ListBullet"/>
      </w:pPr>
      <w:r>
        <w:t>Data: os dados situam a quebra em março de 2017 (estatística 58,1 contra crítico de 42,9 a 5%), mas a faixa compatível é larga (abril de 2016 a fevereiro de 2021). Impor outubro de 2016 (anúncio) reproduz o resultado.</w:t>
      </w:r>
    </w:p>
    <w:p>
      <w:pPr>
        <w:pStyle w:val="Heading1"/>
      </w:pPr>
      <w:r>
        <w:t>2. O que mudou hoje no texto (diga isso ao orientador)</w:t>
      </w:r>
    </w:p>
    <w:p>
      <w:r>
        <w:t>Revisei todas as referências contra os PDFs e corrigi o que estava distorcido. O detalhe está no arquivo Revisao_das_referencias_05out2026.docx. Os pontos que ele pode notar:</w:t>
      </w:r>
    </w:p>
    <w:p>
      <w:pPr>
        <w:pStyle w:val="ListBullet"/>
      </w:pPr>
      <w:r>
        <w:t>Cardoso e Severnini: o F de 84 a 422 era do volume de gasolina nas equações de saúde. Para o preço da gasolina, o F é cerca de 18, e abaixo de 10 nos subperíodos. Isso reforça o seu argumento: nem com um painel de 555 municípios o instrumento para preço é forte.</w:t>
      </w:r>
    </w:p>
    <w:p>
      <w:pPr>
        <w:pStyle w:val="ListBullet"/>
      </w:pPr>
      <w:r>
        <w:t>BCB (2022): os números foram reorganizados. Com pesos de 2021, o coeficiente vai de 39,8% (etanol constante) a 54,4% (etanol endógeno) e o impacto de 0,20 a 0,27 p.p. por 10%; o 47,2% é de 2022. A hipótese de fundo é que a refinaria acompanha integralmente o petróleo em reais.</w:t>
      </w:r>
    </w:p>
    <w:p>
      <w:pPr>
        <w:pStyle w:val="ListBullet"/>
      </w:pPr>
      <w:r>
        <w:t>Choi et al.: a regulação entra como subsídio médio em % do PIB, em corte transversal, não como variável indicadora; e a especificação deles não tem juros nem expectativas.</w:t>
      </w:r>
    </w:p>
    <w:p>
      <w:pPr>
        <w:pStyle w:val="ListBullet"/>
      </w:pPr>
      <w:r>
        <w:t>Baba e Lee: o “três vezes maior” não está no texto (o texto diz apenas que emergentes reagem mais); e eles medem efeitos de segunda ordem, não separam primeira e segunda.</w:t>
      </w:r>
    </w:p>
    <w:p>
      <w:pPr>
        <w:pStyle w:val="ListBullet"/>
      </w:pPr>
      <w:r>
        <w:t>Teulings e Zubanov: o viés que eles descrevem vem da omissão dos choques entre t e t+h, que no painel com efeitos fixos atenua a resposta; não vem da autocorrelação do choque. A autocorrelação é um motivo seu para aplicar a correção.</w:t>
      </w:r>
    </w:p>
    <w:p>
      <w:pPr>
        <w:pStyle w:val="ListBullet"/>
      </w:pPr>
      <w:r>
        <w:t>Akcura: você usa a medida dele adaptada (dólares e Costa do Golfo para todos), não a metodologia dele (moeda local e referência regional).</w:t>
      </w:r>
    </w:p>
    <w:p>
      <w:pPr>
        <w:pStyle w:val="ListBullet"/>
      </w:pPr>
      <w:r>
        <w:t>Três referências sem citação foram retiradas (Bobeica e Hartwig, FMI 2026, MacKinnon). O corpo continua com 40 páginas. Observação: o sumário não lista a seção K.6 (Dinâmica específica a cada regime); vale acrescentar à mão.</w:t>
      </w:r>
    </w:p>
    <w:p>
      <w:pPr>
        <w:pStyle w:val="Heading1"/>
      </w:pPr>
      <w:r>
        <w:t>3. A metodologia, na ordem em que você deve explicar</w:t>
      </w:r>
    </w:p>
    <w:p>
      <w:pPr>
        <w:pStyle w:val="Heading2"/>
      </w:pPr>
      <w:r>
        <w:t>3.1 A projeção local e o que o coeficiente mede</w:t>
      </w:r>
    </w:p>
    <w:p>
      <w:r>
        <w:t>Para cada horizonte h, regride-se 100·[ln P(t+h) − ln P(t−1)] no choque de t e em controles defasados. O coeficiente β(h) é a resposta acumulada do nível de preços h meses depois. Ao contrário do VAR, não se itera um modelo: cada horizonte é uma regressão própria, o que torna a resposta robusta a erro de especificação da dinâmica (Jordà, 2005), ao custo de variância maior (Teulings e Zubanov, 2014, formalizam a perda de eficiência).</w:t>
      </w:r>
    </w:p>
    <w:p>
      <w:r>
        <w:t>Controles: três defasagens da variação da variável dependente, do choque, do câmbio, da atividade, da meta Selic e da expectativa de inflação, todos defasados. Câmbio e expectativas entram só defasados porque respondem ao próprio choque no mês; incluí-los em t absorveria parte do efeito. As taxas entram como 100·ln(1 + r/100). Há 11 sazonais e 10 indicadoras de janela para março a dezembro de 2020.</w:t>
      </w:r>
    </w:p>
    <w:p>
      <w:r>
        <w:rPr>
          <w:b/>
        </w:rPr>
        <w:t>Pergunta provável: Por que não um VAR?</w:t>
      </w:r>
    </w:p>
    <w:p>
      <w:r>
        <w:rPr>
          <w:i/>
        </w:rPr>
        <w:t xml:space="preserve">Resposta: </w:t>
      </w:r>
      <w:r>
        <w:t>Porque a pergunta exige que só o coeficiente do choque mude entre regimes. Na projeção local isso é um termo de interação e a hipótese de igualdade é um Wald sobre dois coeficientes da mesma equação. No VAR, a mudança contaminaria toda a dinâmica iterada. O preço é a eficiência.</w:t>
      </w:r>
    </w:p>
    <w:p>
      <w:pPr>
        <w:pStyle w:val="Heading2"/>
      </w:pPr>
      <w:r>
        <w:t>3.2 O regime e o teste de Wald</w:t>
      </w:r>
    </w:p>
    <w:p>
      <w:r>
        <w:t>A especificação tem choque × 1{t &lt; τ} e choque × 1{t ≥ τ}, mais a indicadora 1{t ≥ τ} sozinha (para que a mudança de nível médio não seja atribuída ao choque). O teste é H0: β_pré(h) = β_pós(h). A variância usada é a da diferença, Var(β_pós) + Var(β_pré) − 2Cov, com a covariância entre os dois coeficientes vinda da mesma regressão.</w:t>
      </w:r>
    </w:p>
    <w:p>
      <w:r>
        <w:rPr>
          <w:b/>
        </w:rPr>
        <w:t>Pergunta provável: O restante da dinâmica é comum aos regimes. Isso não força o resultado?</w:t>
      </w:r>
    </w:p>
    <w:p>
      <w:r>
        <w:rPr>
          <w:i/>
        </w:rPr>
        <w:t xml:space="preserve">Resposta: </w:t>
      </w:r>
      <w:r>
        <w:t>Impor dinâmica comum é uma hipótese, e os dados a rejeitam (56 de 78 equações). O Apêndice K.6 deixa toda a dinâmica livre: a mudança persiste, mas surgem coeficientes anteriores pequenos nos combustíveis, de modo que a leitura defensável é repasse pequeno que ficou grande, não nulo que ficou positivo. Isso está na lista de limitações da conclusão.</w:t>
      </w:r>
    </w:p>
    <w:p>
      <w:pPr>
        <w:pStyle w:val="Heading2"/>
      </w:pPr>
      <w:r>
        <w:t>3.3 Erros-padrão: Newey-West, e o que Montiel Olea e Plagborg-Møller dizem</w:t>
      </w:r>
    </w:p>
    <w:p>
      <w:r>
        <w:t>A variável dependente acumula de t até t+h, então janelas vizinhas se sobrepõem e o resíduo é autocorrelacionado até a ordem h por construção. O TCC usa Newey-West (núcleo de Bartlett, banda h+1, correção T/(T−K)).</w:t>
      </w:r>
    </w:p>
    <w:p>
      <w:r>
        <w:t>Ponto que o orientador pode levantar: Montiel Olea e Plagborg-Møller (2021) provam que, com aumento de defasagem, o erro-padrão robusto só à heterocedasticidade (Eicker-Huber-White) já é válido, porque os escores da regressão, ao contrário dos resíduos, não são autocorrelacionados. Fiz o teste hoje com a especificação da Tabela 2: com EHW as conclusões não mudam. No impacto, o Wald do IPCA dá 0,001 nos dois; nos horizontes 0 a 3, a igualdade é rejeitada a 10% em 20 de 24 casos com os dois erros-padrão; em todos os 78 casos, 35 com Newey-West e 37 com EHW. O maior deslocamento é a gasolina ao consumidor em h = 3 (0,028 para 0,074).</w:t>
      </w:r>
    </w:p>
    <w:p>
      <w:r>
        <w:rPr>
          <w:b/>
        </w:rPr>
        <w:t>Pergunta provável: Se o EHW basta, por que Newey-West?</w:t>
      </w:r>
    </w:p>
    <w:p>
      <w:r>
        <w:rPr>
          <w:i/>
        </w:rPr>
        <w:t xml:space="preserve">Resposta: </w:t>
      </w:r>
      <w:r>
        <w:t>Newey-West continua válido e é a escolha da maior parte da literatura aplicada (Jordà, Ramey). Mantive por cautela, e a verificação com EHW dá as mesmas conclusões.</w:t>
      </w:r>
    </w:p>
    <w:p>
      <w:pPr>
        <w:pStyle w:val="Heading2"/>
      </w:pPr>
      <w:r>
        <w:t>3.4 Por que três defasagens: o aumento de defasagem</w:t>
      </w:r>
    </w:p>
    <w:p>
      <w:r>
        <w:t>Os critérios de informação dão uma (bayesiano) e duas (Akaike). Montiel Olea e Plagborg-Møller (2021) mostram que controlar por mais defasagens de todas as variáveis do que o modelo verdadeiro exigiria torna o intervalo de confiança uniformemente válido, tenham as séries raiz unitária ou não. A condição é que o horizonte seja curto em relação à amostra (h/T → 0); a validade só falha com raiz unitária e horizontes da ordem do tamanho da amostra. Aqui h ≤ 12 e T ≈ 270. O resultado também supõe um VAR de ordem finita e que se controle pelas defasagens de todas as variáveis do sistema. Eles recomendam escolher p de forma conservadora.</w:t>
      </w:r>
    </w:p>
    <w:p>
      <w:r>
        <w:t>Sensibilidade (Apêndice E e K.2): de uma a seis defasagens, o coeficiente do IPCA no impacto vai de 0,161 a 0,184 e a igualdade rejeita a menos de 1% em todas; em h = 3, os p-valores variam de 0,079 a 0,236. Por isso a conclusão se apoia no impacto.</w:t>
      </w:r>
    </w:p>
    <w:p>
      <w:r>
        <w:rPr>
          <w:b/>
        </w:rPr>
        <w:t>Pergunta provável: A meta Selic tem raiz unitária?</w:t>
      </w:r>
    </w:p>
    <w:p>
      <w:r>
        <w:rPr>
          <w:i/>
        </w:rPr>
        <w:t xml:space="preserve">Resposta: </w:t>
      </w:r>
      <w:r>
        <w:t>A estatística é −2,72, perto da fronteira. É justamente o caso que o aumento de defasagem cobre, então não preciso tomar posição sobre a ordem de integração.</w:t>
      </w:r>
    </w:p>
    <w:p>
      <w:pPr>
        <w:pStyle w:val="Heading2"/>
      </w:pPr>
      <w:r>
        <w:t>3.5 Bandas: pontual e sup-t</w:t>
      </w:r>
    </w:p>
    <w:p>
      <w:r>
        <w:t>A banda pontual de 90% (±1,645 EP) diz algo sobre cada horizonte isolado. Uma função avaliada em 13 horizontes julgada horizonte a horizonte tem cobertura conjunta bem abaixo de 90%. A banda sup-t (Montiel Olea e Plagborg-Møller, 2019) usa o mesmo erro-padrão com um valor crítico maior, o quantil do máximo de |t| entre horizontes, calculado a partir da correlação entre as estimativas. No TCC, os críticos ficam entre 2,150 e 2,362; 16 dos 18 coeficientes posteriores continuam significativos e nenhum anterior passa a ser.</w:t>
      </w:r>
    </w:p>
    <w:p>
      <w:pPr>
        <w:pStyle w:val="Heading2"/>
      </w:pPr>
      <w:r>
        <w:t>3.6 A data estimada: Andrews, Bai-Lumsdaine-Stock e Hansen</w:t>
      </w:r>
    </w:p>
    <w:p>
      <w:r>
        <w:t>Para cada mês candidato τ (descartando 15% em cada ponta) calcula-se a estatística de igualdade de repasse e toma-se o máximo. Sob H0 (sem quebra), τ não existe: é um parâmetro que só aparece sob a alternativa. Por isso a distribuição do máximo não é qui-quadrado (Andrews, 1993; é o chamado problema de Davies). A versão multivariada soma as estatísticas das séries e escolhe uma data comum, no espírito de Bai, Lumsdaine e Stock (1998), que mostram que a precisão sobre a data cresce com o número de séries que quebram juntas.</w:t>
      </w:r>
    </w:p>
    <w:p>
      <w:r>
        <w:t>Valor crítico: Hansen (2000) mostra que a distribuição assintótica dessas estatísticas muda quando a distribuição dos regressores muda ao longo da amostra (o que é plausível aqui) e propõe o bootstrap com regressores fixos. O TCC usa uma versão selvagem em blocos: mantém os regressores, gera y* = ajuste do modelo sem quebra + resíduo corrigido por alavancagem × peso de Rademacher (±1), com o mesmo sinal para blocos de 12 meses e o mesmo sorteio para todas as séries (preserva a autocorrelação e a correlação entre séries). Os resíduos vêm do modelo restrito, sob a nula, como recomendam Davidson e Flachaire (2008). São 299 réplicas; o menor p alcançável é 1/300.</w:t>
      </w:r>
    </w:p>
    <w:p>
      <w:r>
        <w:t>Inferência após seleção: se você escolhe a data que maximiza a estatística e depois testa nela, o p convencional é circular. O TCC refaz a busca inteira dentro de cada réplica e avalia a estatística na data que a réplica escolheu. Com isso, a mudança se sustenta no impacto para gasolina (0,003), diesel (0,003), refinaria (&lt; 0,004) e IPCA Transportes (0,013).</w:t>
      </w:r>
    </w:p>
    <w:p>
      <w:r>
        <w:rPr>
          <w:b/>
        </w:rPr>
        <w:t>Pergunta provável: A data é robusta?</w:t>
      </w:r>
    </w:p>
    <w:p>
      <w:r>
        <w:rPr>
          <w:i/>
        </w:rPr>
        <w:t xml:space="preserve">Resposta: </w:t>
      </w:r>
      <w:r>
        <w:t>A data pontual não é: com as indicadoras de pandemia o máximo cai em março de 2017; devolvendo os meses de 2020, desloca-se para fevereiro de 2021. Os dados delimitam uma faixa (abril de 2016 a fevereiro de 2021), não um mês. Por isso também imponho outubro de 2016, a data do anúncio, que é exógena e não sofre do problema de seleção, e o resultado se reproduz (IPCA no impacto 0,155 contra 0,176).</w:t>
      </w:r>
    </w:p>
    <w:p>
      <w:pPr>
        <w:pStyle w:val="Heading2"/>
      </w:pPr>
      <w:r>
        <w:t>3.7 Identificação: o argumento da diferença</w:t>
      </w:r>
    </w:p>
    <w:p>
      <w:r>
        <w:t>O choque não é aleatório: o Brent responde à economia mundial (Kilian, 2009). Se o choque está correlacionado com determinantes omitidos da inflação, cada coeficiente tem um viés v. A diferença estimada é [β_pós − β_pré] + [v_pós − v_pré]. Se o viés é o mesmo nos dois regimes, ele se cancela, como num diferenças em diferenças. A hipótese é mais fraca que exogeneidade: a endogeneidade não pode ter mudado na data de corte.</w:t>
      </w:r>
    </w:p>
    <w:p>
      <w:r>
        <w:t>O que pode violar isso: mudança na composição dos choques (oferta x demanda) exatamente na data. Evidências: (i) a proporção de meses de alta cai de 59,8% para 54,4%, contra a hipótese alternativa (mas isso não é o teste de composição de Kilian, como o próprio TCC diz); (ii) a parcela de meses sem reajuste na refinaria cai de 16,6% para zero, mudança de comportamento doméstico que composição de choque internacional não produz; (iii) a verificação com o choque de Känzig é inconclusiva.</w:t>
      </w:r>
    </w:p>
    <w:p>
      <w:r>
        <w:rPr>
          <w:b/>
        </w:rPr>
        <w:t>Pergunta provável: Por que o resultado com Känzig não confirma?</w:t>
      </w:r>
    </w:p>
    <w:p>
      <w:r>
        <w:rPr>
          <w:i/>
        </w:rPr>
        <w:t xml:space="preserve">Resposta: </w:t>
      </w:r>
      <w:r>
        <w:t>O instrumento genuinamente externo (surpresa de futuros em anúncios da OPEP) é diferente de zero em só 90 dos 270 meses; a forma reduzida tem p entre 0,302 e 0,979, e o F de primeiro estágio fica entre 2,9 e 6,8. O próprio Känzig (2021, p. 1101-02) aponta o problema de potência de usar a surpresa diretamente em projeções locais e por isso estima o choque num VAR. É falta de potência, e o conjunto de Anderson-Rubin, robusto a instrumento fraco, nunca exclui o zero.</w:t>
      </w:r>
    </w:p>
    <w:p>
      <w:r>
        <w:rPr>
          <w:b/>
        </w:rPr>
        <w:t>Pergunta provável: E os instrumentos de margem de refino?</w:t>
      </w:r>
    </w:p>
    <w:p>
      <w:r>
        <w:rPr>
          <w:i/>
        </w:rPr>
        <w:t xml:space="preserve">Resposta: </w:t>
      </w:r>
      <w:r>
        <w:t>A margem da gasolina tem F de 5,45 no regime posterior e 1,48 no anterior; a do diesel não tem primeiro estágio. Nenhum chega a 10. A identificação do trabalho não depende de instrumento.</w:t>
      </w:r>
    </w:p>
    <w:p>
      <w:pPr>
        <w:pStyle w:val="Heading2"/>
      </w:pPr>
      <w:r>
        <w:t>3.8 Verificações de robustez</w:t>
      </w:r>
    </w:p>
    <w:p>
      <w:pPr>
        <w:pStyle w:val="ListBullet"/>
      </w:pPr>
      <w:r>
        <w:t>Placebo: a mesma equação com a inflação de 1 a 3 meses antes do choque como dependente. Se o choque “prevê o passado”, há problema de identificação.</w:t>
      </w:r>
    </w:p>
    <w:p>
      <w:pPr>
        <w:pStyle w:val="ListBullet"/>
      </w:pPr>
      <w:r>
        <w:t>Teulings e Zubanov: inclui os choques de t+1 a t+h como controles. Leia com cuidado: no artigo, o viés vem da omissão desses choques (no painel com efeitos fixos, atenua a resposta). No seu caso, como o choque tem alguma autocorrelação, a correção muda o que β mede: sem ela, β inclui o efeito dos choques futuros previsíveis; com ela, β mede a resposta mantidos fixos os choques posteriores. Resultado: rejeições a 10% sobem de 35 para 47 horizontes e o p do IPCA em 3 meses cai de 0,160 para 0,047.</w:t>
      </w:r>
    </w:p>
    <w:p>
      <w:pPr>
        <w:pStyle w:val="ListBullet"/>
      </w:pPr>
      <w:r>
        <w:t>Pandemia: as 10 indicadoras de janela, em h = 0, equivalem a retirar os 10 meses (Salkever, 1976: uma indicadora por observação dá os mesmos coeficientes que excluir a observação). Lenza e Primiceri (2020) consideram aceitável descartar observações extremas para estimar parâmetros, embora prefiram modelar a volatilidade. Alternativa com o índice de rigor de Oxford: IPCA no impacto 0,088 (metade), contraste ainda significativo (p = 0,016). Por isso o texto reporta a faixa 0,088 a 0,176.</w:t>
      </w:r>
    </w:p>
    <w:p>
      <w:pPr>
        <w:pStyle w:val="ListBullet"/>
      </w:pPr>
      <w:r>
        <w:t>Assimetria (Apêndice K.4): coeficientes separados para altas e quedas em cada regime; a simetria não é rejeitada (p de 0,686, 0,587 e 0,770).</w:t>
      </w:r>
    </w:p>
    <w:p>
      <w:pPr>
        <w:pStyle w:val="ListBullet"/>
      </w:pPr>
      <w:r>
        <w:t>Fim da paridade em maio de 2023: seção 4.7.2 encerra a amostra nessa data.</w:t>
      </w:r>
    </w:p>
    <w:p>
      <w:pPr>
        <w:pStyle w:val="ListBullet"/>
      </w:pPr>
      <w:r>
        <w:t>Apêndice K.5, quatro verificações de especificação: (i) controle global defasado (CPI dos EUA ou commodities não energéticas do FMI): IPCA no impacto 0,005 contra 0,170, contraste mais nítido; (ii) indicadoras para episódios tributários (PIS/Cofins 2017, subvenção ao diesel 2018, desonerações 2022, reoneração 2023): repasse sobe um pouco, Tabela 2 é conservadora; (iii) segunda quebra: não há (p de 0,107 no segmento anterior e 0,615 no posterior); (iv) choque em reais: contraste sobrevive no impacto e em 1 mês (p de 0,006 e 0,004) e não em 3 meses (p de 0,391).</w:t>
      </w:r>
    </w:p>
    <w:p>
      <w:pPr>
        <w:pStyle w:val="ListBullet"/>
      </w:pPr>
      <w:r>
        <w:t>Apêndice K.6, dinâmica livre por regime: a dinâmica comum é rejeitada em 56 de 78 equações; a mudança persiste (no impacto, rejeita em 5 de 6 séries), mas nos combustíveis o regime anterior passa a ter repasse pequeno e significativo. O IPCA continua sem resposta antes (0,004, p = 0,857) e 0,203 depois.</w:t>
      </w:r>
    </w:p>
    <w:p>
      <w:pPr>
        <w:pStyle w:val="Heading2"/>
      </w:pPr>
      <w:r>
        <w:t>3.9 Decomposição, contrafactual e comparação internacional</w:t>
      </w:r>
    </w:p>
    <w:p>
      <w:pPr>
        <w:pStyle w:val="ListBullet"/>
      </w:pPr>
      <w:r>
        <w:t>Canal dos combustíveis: 0,003 p.p. em 3 meses no regime anterior e 0,249 no posterior (diferença 0,246, EP 0,053). A separação entre primeira volta (aritmética da cesta) e segunda volta (custos) é a parte frágil: a segunda volta não é significativa em h = 3 (p = 0,124).</w:t>
      </w:r>
    </w:p>
    <w:p>
      <w:pPr>
        <w:pStyle w:val="ListBullet"/>
      </w:pPr>
      <w:r>
        <w:t>Contrafactual 2021 e 2022: diferença de 3,35 p.p. (22% da inflação do biênio), mas com intervalo de 90% de −0,19 a 7,09 p.p. (p = 0,119) e em equilíbrio parcial. Não diga que a inflação “teria sido” 3,35 p.p. menor.</w:t>
      </w:r>
    </w:p>
    <w:p>
      <w:pPr>
        <w:pStyle w:val="ListBullet"/>
      </w:pPr>
      <w:r>
        <w:t>Comparação internacional: medida de Akcura adaptada (dólares, Costa do Golfo, agosto de 2020 a junho de 2022): mediana de 0,870 nos desregulados e 0,351 nos regulados; Brasil 0,959.</w:t>
      </w:r>
    </w:p>
    <w:p>
      <w:pPr>
        <w:pStyle w:val="ListBullet"/>
      </w:pPr>
      <w:r>
        <w:t>Comparação com o BCB (2022): sua elasticidade da gasolina ao consumidor no regime posterior é 0,199 no impacto e 0,390 no mês seguinte, perto do limite inferior da calibração (39,8%). Ressalvas: o BCB calibra participação de custo estática para o petróleo em reais; o seu número é elasticidade dinâmica ao Brent em dólares, com o câmbio controlado só por defasagens (o K.5 mostra o que muda com o choque em reais).</w:t>
      </w:r>
    </w:p>
    <w:p>
      <w:pPr>
        <w:pStyle w:val="Heading1"/>
      </w:pPr>
      <w:r>
        <w:t>4. Estatística que você precisa ter na ponta da língua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Conceito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é, em uma frase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Onde aparece no TCC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Viés x variância (eficiência)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Projeção local tem menos viés por má especificação e mais variância que o VAR.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Escolha do método (3.3).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Consistência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 estimador converge para o parâmetro quando a amostra cresce; não garante nada em amostra pequena.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Diferença entre regimes é consistente se o viés é comum.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Variável omitida e endogeneidade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o regressor se correlaciona com o erro, MQO é viesado; o sinal do viés depende da correlação.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Crítica de Kilian; argumento da diferença.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HAC / Newey-West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Erro-padrão que permite heterocedasticidade e autocorrelação; não muda o coeficiente, muda a incerteza.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Todos os erros-padrão.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EHW (HC)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Erro-padrão robusto só à heterocedasticidade; basta com aumento de defasagem (MOPM 2021).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Verificação feita hoje.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Raiz unitária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Choques permanentes; a estatística t deixa de ser normal perto da raiz unitária.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Meta Selic (−2,72); aumento de defasagem resolve.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Teste de Wald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Compara a distância entre estimativa e hipótese com a variância da estimativa; χ² com q restrições.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Igualdade entre regimes.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Testes simultâneos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Testar 13 horizontes um a um infla a chance de algum falso positivo; sup-t corrige.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Bandas uniformes.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Parâmetro não identificado sob H0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Quando a nula elimina um parâmetro (a data), a distribuição do teste não é a padrão.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Andrews (1993).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Bootstrap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Reamostragem para obter a distribuição de uma estatística sem fórmula; com B tal que α(B+1) seja inteiro, o teste é exato se a estatística for pivotal.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Valor crítico da quebra (B = 299).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Bootstrap selvagem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Mantém x fixo e troca o sinal do resíduo; preserva heterocedasticidade. Em blocos, preserva dependência.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Seção 3.5.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Inferência após seleção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Escolher a hipótese olhando os dados invalida o p convencional.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 ajustado por seleção.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Instrumento fraco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Correlação baixa com o endógeno: 2SLS viesado em direção ao MQO e intervalos errados; Anderson-Rubin continua válido.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Känzig e margens de refino.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Frisch-Waugh-Lovell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 coeficiente de x numa regressão múltipla é o da regressão dos resíduos de y nos resíduos de x.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Por que a indicadora por observação equivale a excluí-la.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Diferenças em diferenças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Viés comum a dois grupos (aqui, dois períodos) se cancela na diferença.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Identificação (3.4 do TCC).</w:t>
            </w:r>
          </w:p>
        </w:tc>
      </w:tr>
    </w:tbl>
    <w:p>
      <w:pPr>
        <w:pStyle w:val="Heading1"/>
      </w:pPr>
      <w:r>
        <w:t>5. Fragilidades que ele pode cobrar, e a resposta honesta</w:t>
      </w:r>
    </w:p>
    <w:p>
      <w:r>
        <w:rPr>
          <w:b/>
        </w:rPr>
        <w:t>Pergunta provável: O nível do repasse é identificado?</w:t>
      </w:r>
    </w:p>
    <w:p>
      <w:r>
        <w:rPr>
          <w:i/>
        </w:rPr>
        <w:t xml:space="preserve">Resposta: </w:t>
      </w:r>
      <w:r>
        <w:t>Não com a mesma força que a diferença. O nível depende de exogeneidade do Brent; a diferença só de viés estável. Por isso a comparação internacional é usada como aferição externa do nível.</w:t>
      </w:r>
    </w:p>
    <w:p>
      <w:r>
        <w:rPr>
          <w:b/>
        </w:rPr>
        <w:t>Pergunta provável: O resultado não vale em 3 meses?</w:t>
      </w:r>
    </w:p>
    <w:p>
      <w:r>
        <w:rPr>
          <w:i/>
        </w:rPr>
        <w:t xml:space="preserve">Resposta: </w:t>
      </w:r>
      <w:r>
        <w:t>Vale no impacto e em 1 mês; em 3 meses é sensível às defasagens (p de 0,079 a 0,236). A conclusão é sobre o impacto contemporâneo, e o texto diz isso.</w:t>
      </w:r>
    </w:p>
    <w:p>
      <w:r>
        <w:rPr>
          <w:b/>
        </w:rPr>
        <w:t>Pergunta provável: Uma quebra só?</w:t>
      </w:r>
    </w:p>
    <w:p>
      <w:r>
        <w:rPr>
          <w:i/>
        </w:rPr>
        <w:t xml:space="preserve">Resposta: </w:t>
      </w:r>
      <w:r>
        <w:t>A cronologia tem três fases (até 2010, contenção de 2011 a 2014, paridade). O Apêndice K.5 procura uma segunda quebra em cada segmento com o mesmo bootstrap ajustado por seleção e não encontra (p de 0,107 antes e 0,615 depois); os máximos nem caem em 2011 ou 2014.</w:t>
      </w:r>
    </w:p>
    <w:p>
      <w:r>
        <w:rPr>
          <w:b/>
        </w:rPr>
        <w:t>Pergunta provável: O regime posterior inclui depois de maio de 2023, quando a paridade acabou.</w:t>
      </w:r>
    </w:p>
    <w:p>
      <w:r>
        <w:rPr>
          <w:i/>
        </w:rPr>
        <w:t xml:space="preserve">Resposta: </w:t>
      </w:r>
      <w:r>
        <w:t>A seção 4.7.2 encerra a amostra no fim da política.</w:t>
      </w:r>
    </w:p>
    <w:p>
      <w:r>
        <w:rPr>
          <w:b/>
        </w:rPr>
        <w:t>Pergunta provável: Composição dos choques à la Kilian não foi testada.</w:t>
      </w:r>
    </w:p>
    <w:p>
      <w:r>
        <w:rPr>
          <w:i/>
        </w:rPr>
        <w:t xml:space="preserve">Resposta: </w:t>
      </w:r>
      <w:r>
        <w:t>Correto: a contagem de sinais não é esse teste. A defesa é a evidência institucional (meses sem reajuste de 16,6% para zero) e o argumento da diferença; Känzig é inconclusivo por potência.</w:t>
      </w:r>
    </w:p>
    <w:p>
      <w:r>
        <w:rPr>
          <w:b/>
        </w:rPr>
        <w:t>Pergunta provável: Por que o choque em dólares e não em reais?</w:t>
      </w:r>
    </w:p>
    <w:p>
      <w:r>
        <w:rPr>
          <w:i/>
        </w:rPr>
        <w:t xml:space="preserve">Resposta: </w:t>
      </w:r>
      <w:r>
        <w:t>Porque o Brent em dólares é o preço internacional que a regra toma como referência, e o câmbio entra como controle defasado. O Apêndice K.5 reestima com o Brent em reais: o contraste sobrevive no impacto e em 1 mês (p de 0,006 e 0,004) e deixa de rejeitar em 3 meses. A correlação entre o choque e o câmbio é parecida nos dois regimes (−0,368 e −0,314). A comparação com o BCB, que calibra em reais, guarda essa ressalva.</w:t>
      </w:r>
    </w:p>
    <w:p>
      <w:r>
        <w:rPr>
          <w:b/>
        </w:rPr>
        <w:t>Pergunta provável: A comparação com López et al. faz sentido?</w:t>
      </w:r>
    </w:p>
    <w:p>
      <w:r>
        <w:rPr>
          <w:i/>
        </w:rPr>
        <w:t xml:space="preserve">Resposta: </w:t>
      </w:r>
      <w:r>
        <w:t>Só como ordem de grandeza: eles estudam gás, e os 75% de efeitos indiretos vêm de um modelo DSGE, não da estimação.</w:t>
      </w:r>
    </w:p>
    <w:p>
      <w:pPr>
        <w:pStyle w:val="Heading1"/>
      </w:pPr>
      <w:r>
        <w:t>6. Ordem de leitura</w:t>
      </w:r>
    </w:p>
    <w:p>
      <w:pPr>
        <w:pStyle w:val="Heading2"/>
      </w:pPr>
      <w:r>
        <w:t>6.1 O mínimo antes da reunião (cerca de 3 horas, nesta ordem)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Texto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 que ler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 que extrair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Tempo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Choi et al. (2018), IMF WP/17/196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Resumo, seção 4 (dados anuais, equação com choques futuros) e seção 5 (fatores, Tabela de corte transversal)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Benchmark de 0,4 p.p.; como a regulação entra (subsídio em % do PIB); por que o repasse caiu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30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Montiel Olea e Plagborg-Møller (2021)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Resumo, introdução e seção 2 (p. 1 a 10 do arXiv); parágrafo “How should the VAR lag length p be chosen”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O que é aumento de defasagem; condição h/T → 0; por que EHW basta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35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Jordà (2005)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Introdução e seções I e II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Por que projeções locais; robustez x eficiência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20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Kilian (2009)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Introdução (p. 1053 a 1055) e conclusão (p. 1067 a 1069)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Os três choques; por que a composição pode gerar instabilidade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25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Andrews (1993) e Hansen (2000)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Andrews: resumo e introdução. Hansen: resumo e seção 5 (fixed regressor bootstrap)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Por que o sup-Wald não é qui-quadrado; por que bootstrap com regressores fixos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30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BCB (2022), boxe do RI de março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O boxe inteiro (5 páginas), incluindo o apêndice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Os números certos (39,8% a 54,4% em 2021) e a hipótese ∂r/∂x = 1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20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Teulings e Zubanov (2014)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Seção 2.2 (o viés e a Proposição 2)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De onde vem o viés e o que a correção muda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15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Davidson e Flachaire (2008)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Resumo e conclusão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Rademacher e resíduos sob a nula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10 min</w:t>
            </w:r>
          </w:p>
        </w:tc>
      </w:tr>
      <w:tr>
        <w:tc>
          <w:tcPr>
            <w:tcW w:type="dxa" w:w="39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Cardoso e Severnini (2023)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Tabela 1 e p. 21 a 24</w:t>
            </w:r>
          </w:p>
        </w:tc>
        <w:tc>
          <w:tcPr>
            <w:tcW w:type="dxa" w:w="3005"/>
          </w:tcPr>
          <w:p>
            <w:r>
              <w:rPr>
                <w:sz w:val="17"/>
              </w:rPr>
              <w:t>F do preço (18; abaixo de 10 nos subperíodos)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10 min</w:t>
            </w:r>
          </w:p>
        </w:tc>
      </w:tr>
    </w:tbl>
    <w:p>
      <w:pPr>
        <w:pStyle w:val="Heading2"/>
      </w:pPr>
      <w:r>
        <w:t>6.2 A ordem completa, depois da reunião</w:t>
      </w:r>
    </w:p>
    <w:p>
      <w:r>
        <w:t>A sequência vai da pergunta à identificação e depois ao método, de modo que cada bloco prepara o seguinte.</w:t>
      </w:r>
    </w:p>
    <w:p>
      <w:pPr>
        <w:pStyle w:val="ListNumber"/>
      </w:pPr>
      <w:r>
        <w:t>Bloco 1, a pergunta e a referência: Blanchard e Galí (2007); Choi et al. (2018); Gelos e Ustyugova (2017); Conflitti e Luciani (2019); Baba e Lee (2022); López et al. (2026).</w:t>
      </w:r>
    </w:p>
    <w:p>
      <w:pPr>
        <w:pStyle w:val="ListNumber"/>
      </w:pPr>
      <w:r>
        <w:t>Bloco 2, o que é um choque de petróleo: Hamilton (2003); Mork (1989); Kilian (2009); Ryan e Michieka (2025); Ramey (2016), seções de identificação e instrumentos externos; Känzig (2021).</w:t>
      </w:r>
    </w:p>
    <w:p>
      <w:pPr>
        <w:pStyle w:val="ListNumber"/>
      </w:pPr>
      <w:r>
        <w:t>Bloco 3, o caso brasileiro: Figueiredo e Ferreira (2002); Correa e Minella (2010); Almeida, Oliveira e Losekann (2015); Azevedo e Serigati (2015); BCB (2022); BCB (2026); Jesus Jr., Uchôa e Fernandes (2025); Cardoso e Severnini (2023).</w:t>
      </w:r>
    </w:p>
    <w:p>
      <w:pPr>
        <w:pStyle w:val="ListNumber"/>
      </w:pPr>
      <w:r>
        <w:t>Bloco 4, projeções locais e inferência: Jordà (2005); Newey e West (1987); Montiel Olea e Plagborg-Møller (2021); Montiel Olea e Plagborg-Møller (2019); Teulings e Zubanov (2014); Salkever (1976); Lenza e Primiceri (2020).</w:t>
      </w:r>
    </w:p>
    <w:p>
      <w:pPr>
        <w:pStyle w:val="ListNumber"/>
      </w:pPr>
      <w:r>
        <w:t>Bloco 5, quebra estrutural e bootstrap: Andrews (1993); Bai e Perron (1998); Bai, Lumsdaine e Stock (1998); Hansen (2000); Davidson e Flachaire (2008).</w:t>
      </w:r>
    </w:p>
    <w:p>
      <w:pPr>
        <w:pStyle w:val="ListNumber"/>
      </w:pPr>
      <w:r>
        <w:t>Bloco 6, instrumentos: Staiger e Stock (1997); Andrews, Stock e Sun (2019).</w:t>
      </w:r>
    </w:p>
    <w:p>
      <w:pPr>
        <w:pStyle w:val="ListNumber"/>
      </w:pPr>
      <w:r>
        <w:t>Bloco 7, varejo e comparação internacional: Bacon (1991); Borenstein, Cameron e Gilbert (1997); Shin, Yu e Greenwood-Nimmo (2014); Akcura (2025); Hale et al. (2021).</w:t>
      </w:r>
    </w:p>
    <w:p>
      <w:pPr>
        <w:pStyle w:val="Heading1"/>
      </w:pPr>
      <w:r>
        <w:t>7. Correções ao material antigo “Métodos do TCC explicados”</w:t>
      </w:r>
    </w:p>
    <w:p>
      <w:r>
        <w:t>Esse arquivo (setembro) tem cinco pontos que não batem com as fontes. Não leve para a reunião sem estas correções:</w:t>
      </w:r>
    </w:p>
    <w:p>
      <w:pPr>
        <w:pStyle w:val="ListBullet"/>
      </w:pPr>
      <w:r>
        <w:t>Seção 5 (defasagem aumentada): faltam duas condições. A validade uniforme vale para horizontes curtos em relação à amostra (h/T → 0) e exige controlar pelas defasagens de todas as variáveis. E o mesmo artigo mostra que, com aumento de defasagem, o erro-padrão HAC deixa de ser necessário.</w:t>
      </w:r>
    </w:p>
    <w:p>
      <w:pPr>
        <w:pStyle w:val="ListBullet"/>
      </w:pPr>
      <w:r>
        <w:t>Seções 3 e 4 (HAC): a autocorrelação dos resíduos existe, mas com aumento de defasagem os escores não são autocorrelacionados; por isso EHW basta. Newey-West continua válido (teste de hoje).</w:t>
      </w:r>
    </w:p>
    <w:p>
      <w:pPr>
        <w:pStyle w:val="ListBullet"/>
      </w:pPr>
      <w:r>
        <w:t>Seção 9 (bootstrap): o ponto central de Davidson e Flachaire é usar resíduos estimados sob a hipótese nula com pesos de Rademacher; a correção de alavancagem é secundária. E a versão em blocos é adaptação sua para dependência, não está no artigo deles.</w:t>
      </w:r>
    </w:p>
    <w:p>
      <w:pPr>
        <w:pStyle w:val="ListBullet"/>
      </w:pPr>
      <w:r>
        <w:t>Seção 13 (Teulings e Zubanov): o viés descrito por eles não é “efeito dos choques posteriores atribuído ao original” por autocorrelação; é a omissão desses choques que, no painel com efeitos fixos, distorce o efeito fixo e atenua a resposta. Com choque autocorrelacionado, a correção muda o que β mede.</w:t>
      </w:r>
    </w:p>
    <w:p>
      <w:pPr>
        <w:pStyle w:val="ListBullet"/>
      </w:pPr>
      <w:r>
        <w:t>Seção 14 (instrumento fraco): o F da margem do diesel no TCC é 0,25 (posterior) e 0,91 (anterior), não 0,27.</w:t>
      </w:r>
    </w:p>
    <w:p>
      <w:pPr>
        <w:pStyle w:val="ListBullet"/>
      </w:pPr>
      <w:r>
        <w:t>Seção 15 (identificação): a seção citada como 4.7.7 hoje é o Apêndice K.3, e a contagem de meses de alta não é o teste de composição de Kilian (o próprio TCC diz isso). Evite dizer que a hipótese é “testável”; diga que tem conteúdo empírico.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