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40" w:lineRule="auto"/>
        <w:jc w:val="center"/>
      </w:pPr>
      <w:r>
        <w:rPr>
          <w:rFonts w:ascii="Arial" w:hAnsi="Arial"/>
          <w:b/>
          <w:color w:val="000000"/>
          <w:sz w:val="25"/>
        </w:rPr>
        <w:t>Repasse do preço internacional do petróleo à inflação brasileira: o papel da regra de formação de preços</w:t>
      </w:r>
    </w:p>
    <w:p>
      <w:pPr>
        <w:spacing w:after="280" w:before="0" w:line="240" w:lineRule="auto"/>
        <w:jc w:val="center"/>
      </w:pPr>
      <w:r>
        <w:rPr>
          <w:rFonts w:ascii="Arial" w:hAnsi="Arial"/>
          <w:b w:val="0"/>
          <w:color w:val="000000"/>
          <w:sz w:val="20"/>
        </w:rPr>
        <w:t>Pedro Minella  ·  Ciências Econômicas  ·  IBMEC Brasília</w:t>
      </w:r>
    </w:p>
    <w:p>
      <w:pPr>
        <w:spacing w:after="140" w:before="0" w:line="240" w:lineRule="auto"/>
        <w:jc w:val="both"/>
      </w:pPr>
      <w:r>
        <w:rPr>
          <w:rFonts w:ascii="Arial" w:hAnsi="Arial"/>
          <w:b/>
          <w:color w:val="000000"/>
          <w:sz w:val="21"/>
        </w:rPr>
        <w:t xml:space="preserve">Pergunta. </w:t>
      </w:r>
      <w:r>
        <w:rPr>
          <w:rFonts w:ascii="Arial" w:hAnsi="Arial"/>
          <w:b w:val="0"/>
          <w:color w:val="000000"/>
          <w:sz w:val="21"/>
        </w:rPr>
        <w:t>Quanto de um choque no preço internacional do petróleo chega à inflação brasileira, e essa magnitude é estável ao longo do tempo? O trabalho argumenta que não é: ela depende da regra pela qual o preço internacional se converte em preço doméstico de combustível, regra que no Brasil mudou por decisão administrativa da Petrobras.</w:t>
      </w:r>
    </w:p>
    <w:p>
      <w:pPr>
        <w:spacing w:after="140" w:before="0" w:line="240" w:lineRule="auto"/>
        <w:jc w:val="both"/>
      </w:pPr>
      <w:r>
        <w:rPr>
          <w:rFonts w:ascii="Arial" w:hAnsi="Arial"/>
          <w:b/>
          <w:color w:val="000000"/>
          <w:sz w:val="21"/>
        </w:rPr>
        <w:t xml:space="preserve">Dados e método. </w:t>
      </w:r>
      <w:r>
        <w:rPr>
          <w:rFonts w:ascii="Arial" w:hAnsi="Arial"/>
          <w:b w:val="0"/>
          <w:color w:val="000000"/>
          <w:sz w:val="21"/>
        </w:rPr>
        <w:t>Séries mensais de janeiro de 2003 a setembro de 2025, com 273 observações. A estimação usa projeções locais (Jordà, 2005) com defasagem aumentada segundo Montiel Olea e Plagborg-Møller (2021), o que torna a inferência válida independentemente da ordem de integração das séries, e bandas simultâneas do tipo sup-t dos mesmos autores (2019), necessárias porque a resposta é avaliada em doze horizontes. A data de quebra não é imposta: é estimada por teste de ponto desconhecido (Andrews, 1993), com valores críticos obtidos por reamostragem de regressor fixo (Hansen, 2000), já que a aproximação assintótica sobre-rejeita nesse contexto. Inclui ainda a correção de Teulings e Zubanov (2014) para choques subsequentes.</w:t>
      </w:r>
    </w:p>
    <w:p>
      <w:pPr>
        <w:spacing w:after="140" w:before="0" w:line="240" w:lineRule="auto"/>
        <w:jc w:val="both"/>
      </w:pPr>
      <w:r>
        <w:rPr>
          <w:rFonts w:ascii="Arial" w:hAnsi="Arial"/>
          <w:b/>
          <w:color w:val="000000"/>
          <w:sz w:val="21"/>
        </w:rPr>
        <w:t xml:space="preserve">Resultado principal. </w:t>
      </w:r>
      <w:r>
        <w:rPr>
          <w:rFonts w:ascii="Arial" w:hAnsi="Arial"/>
          <w:b w:val="0"/>
          <w:color w:val="000000"/>
          <w:sz w:val="21"/>
        </w:rPr>
        <w:t>No mês do choque, o repasse ao IPCA cheio passa de 0,005 ponto percentual antes de março de 2017 para 0,176 depois. Nos horizontes de impacto, de um e de três meses, nenhum dos dezoito coeficientes do regime anterior é estatisticamente distinguível de zero, ao passo que os dezoito do regime posterior são todos significativos. O resultado se reproduz integralmente quando se impõe, em lugar da data estimada, a data do anúncio público da política de paridade de importação, em setembro de 2016.</w:t>
      </w:r>
    </w:p>
    <w:p>
      <w:pPr>
        <w:spacing w:after="140" w:before="0" w:line="240" w:lineRule="auto"/>
        <w:jc w:val="both"/>
      </w:pPr>
      <w:r>
        <w:rPr>
          <w:rFonts w:ascii="Arial" w:hAnsi="Arial"/>
          <w:b/>
          <w:color w:val="000000"/>
          <w:sz w:val="21"/>
        </w:rPr>
        <w:t xml:space="preserve">Contribuição. </w:t>
      </w:r>
      <w:r>
        <w:rPr>
          <w:rFonts w:ascii="Arial" w:hAnsi="Arial"/>
          <w:b w:val="0"/>
          <w:color w:val="000000"/>
          <w:sz w:val="21"/>
        </w:rPr>
        <w:t>A literatura internacional de referência trata o grau de regulação do preço doméstico como característica fixa de cada país, o que é razoável nas economias que examina, onde o combustível tem preço formado em mercado. O caso brasileiro oferece precisamente a variação que essas amostras não têm. Além disso, o trabalho decompõe o efeito por Frisch-Waugh-Lovell entre o canal dos combustíveis e o restante: em três meses, o canal carrega 0,003 ponto no regime anterior, valor não distinguível de zero, contra 0,249 ponto no posterior. Dentro dessa parcela, separa ainda o efeito aritmético, decorrente da composição da cesta, do efeito econômico de propagação aos demais preços.</w:t>
      </w:r>
    </w:p>
    <w:p>
      <w:pPr>
        <w:spacing w:after="140" w:before="0" w:line="240" w:lineRule="auto"/>
        <w:jc w:val="both"/>
      </w:pPr>
      <w:r>
        <w:rPr>
          <w:rFonts w:ascii="Arial" w:hAnsi="Arial"/>
          <w:b/>
          <w:color w:val="000000"/>
          <w:sz w:val="21"/>
        </w:rPr>
        <w:t xml:space="preserve">Execução. </w:t>
      </w:r>
      <w:r>
        <w:rPr>
          <w:rFonts w:ascii="Arial" w:hAnsi="Arial"/>
          <w:b w:val="0"/>
          <w:color w:val="000000"/>
          <w:sz w:val="21"/>
        </w:rPr>
        <w:t>A construção da base, toda a implementação em Python e a auditoria dos resultados foram feitas pelo autor. A estimação da matriz de covariância HAC foi conferida contra implementação de referência, e os coeficientes foram reproduzidos por reestimação independente.</w:t>
      </w:r>
    </w:p>
    <w:p>
      <w:pPr>
        <w:spacing w:after="140" w:before="0" w:line="240" w:lineRule="auto"/>
        <w:jc w:val="both"/>
      </w:pPr>
      <w:r>
        <w:rPr>
          <w:rFonts w:ascii="Arial" w:hAnsi="Arial"/>
          <w:b/>
          <w:color w:val="000000"/>
          <w:sz w:val="21"/>
        </w:rPr>
        <w:t xml:space="preserve">Relação com o 48º EBE. </w:t>
      </w:r>
      <w:r>
        <w:rPr>
          <w:rFonts w:ascii="Arial" w:hAnsi="Arial"/>
          <w:b w:val="0"/>
          <w:color w:val="000000"/>
          <w:sz w:val="21"/>
        </w:rPr>
        <w:t>O trabalho é econometria de séries temporais aplicada a dados brasileiros, com projeções locais, teste de quebra estrutural e inferência simultânea. É exatamente o conjunto de temas do encontro, e a participação seria a oportunidade de discutir o desenho de identificação com pesquisadores que trabalham com esses métodos.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40"/>
      <w:jc w:val="both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do TCC</dc:title>
  <dc:subject/>
  <dc:creator>Pedro Minella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