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Revisão das referências do TCC, artigo por artigo</w:t>
      </w:r>
    </w:p>
    <w:p>
      <w:r>
        <w:rPr>
          <w:b w:val="0"/>
          <w:i/>
        </w:rPr>
        <w:t>Pedro Minella. Revisão feita em 05/10/2026 contra o texto das fontes, sem presumir que o TCC estivesse certo.</w:t>
      </w:r>
    </w:p>
    <w:p>
      <w:pPr>
        <w:pStyle w:val="Heading1"/>
      </w:pPr>
      <w:r>
        <w:t>Como foi feita</w:t>
      </w:r>
    </w:p>
    <w:p>
      <w:pPr>
        <w:pStyle w:val="ListBullet"/>
      </w:pPr>
      <w:r>
        <w:t>Cada afirmação do TCC que cita um trabalho foi confrontada com o texto da fonte (PDF). Foram usadas as cópias já salvas em referencias/artigos_pdf, e baixadas as que faltavam para referencias/conferencia_05out2026/fontes (Choi et al. em versão IMF WP/17/196 pelo Internet Archive; López et al., ECB WP 2968, revisão de março de 2026; Akcura, World Bank PRWP 11153; Bai, Lumsdaine e Stock, cópia na página de J. Bai).</w:t>
      </w:r>
    </w:p>
    <w:p>
      <w:pPr>
        <w:pStyle w:val="ListBullet"/>
      </w:pPr>
      <w:r>
        <w:t>Veredito: CORRETO quando a fonte diz o que o TCC atribui a ela; IMPRECISO quando a ideia está certa mas há exagero, omissão relevante ou detalhe errado; INCORRETO quando a fonte não diz aquilo ou diz outra coisa; NÃO CONFERIDO quando o texto integral não estava acessível (indicado em cada caso).</w:t>
      </w:r>
    </w:p>
    <w:p>
      <w:pPr>
        <w:pStyle w:val="ListBullet"/>
      </w:pPr>
      <w:r>
        <w:t>Correções aplicadas ao mestre TCC_PEDRO_MINELLA.docx depois de backup (historico/3_versoes_e_backups/backups_do_TCC). Script: referencias/conferencia_05out2026/aplicar_correcoes.py. O corpo continua com 40 páginas (Introdução na p. 12, Referências na p. 52) e o sumário foi atualizado. Nenhum travessão foi introduzido.</w:t>
      </w:r>
    </w:p>
    <w:p>
      <w:pPr>
        <w:pStyle w:val="ListBullet"/>
      </w:pPr>
      <w:r>
        <w:t>Os números de parágrafo (§) são os índices de parágrafo do arquivo docx, os mesmos usados nas revisões anteriores.</w:t>
      </w:r>
    </w:p>
    <w:p>
      <w:pPr>
        <w:pStyle w:val="Heading1"/>
      </w:pPr>
      <w:r>
        <w:t>Resumo</w:t>
      </w:r>
    </w:p>
    <w:p>
      <w:pPr>
        <w:pStyle w:val="ListBullet"/>
      </w:pPr>
      <w:r>
        <w:t>Distorções relevantes corrigidas: Cardoso e Severnini (F de 84 a 422 não é do preço da gasolina, cujo F é cerca de 18 e abaixo de 10 nos subperíodos); Banco Central (2022) (os intervalos 0,20 a 0,27 p.p. e 39,8% a 47,2% misturavam anos e hipóteses); Choi et al. (não usam variável indicadora; não têm juros nem expectativas); Banco Central (2026) (não tem juros nem expectativas; e o §259 contradizia o §272 e o código); Baba e Lee (“três vezes” não está no texto; não separam primeira e segunda ordem); López et al. (frase sobre testabilidade inventada; resultado é de gás e do modelo DSGE); Akcura (o TCC não aplica a metodologia dele, adapta: ele usa moeda local e referências regionais); Teulings e Zubanov (o viés não vem da autocorrelação do choque).</w:t>
      </w:r>
    </w:p>
    <w:p>
      <w:pPr>
        <w:pStyle w:val="ListBullet"/>
      </w:pPr>
      <w:r>
        <w:t>Imprecisões corrigidas: Kilian (“demonstra” virou “argumenta”, “ajuda a explicar”); Ramey; Hansen; Davidson e Flachaire; Andrews, Stock e Sun; Montiel Olea e Plagborg-Møller (2021); Azevedo e Serigati; Figueiredo e Ferreira; Blanchard e Galí; Lenza e Primiceri (“autorizam”).</w:t>
      </w:r>
    </w:p>
    <w:p>
      <w:pPr>
        <w:pStyle w:val="ListBullet"/>
      </w:pPr>
      <w:r>
        <w:t>Referências corrigidas: Ryan e Michieka (publicado em 2025 no Journal of Comments and Replications in Economics, v. 4); BCB 2022 (título e páginas 58 a 62); BCB 2026 (páginas 66 a 70, versão em inglês); Jesus Jr. et al. (DOI).</w:t>
      </w:r>
    </w:p>
    <w:p>
      <w:pPr>
        <w:pStyle w:val="ListBullet"/>
      </w:pPr>
      <w:r>
        <w:t>Referências removidas por não serem citadas no texto (exigência da ABNT): Bobeica e Hartwig (2021), FMI (2026) e MacKinnon (2007). FMI (2026) também não pôde ser conferido (o site do FMI bloqueia acesso automatizado). Se quiser manter Bobeica e MacKinnon, há lugar natural para citá-los (ver o final), ao custo de cerca de uma linha cada.</w:t>
      </w:r>
    </w:p>
    <w:p>
      <w:pPr>
        <w:pStyle w:val="Heading1"/>
      </w:pPr>
      <w:r>
        <w:t>Quadro, artigo por artigo</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041"/>
          </w:tcPr>
          <w:p>
            <w:r>
              <w:rPr>
                <w:sz w:val="17"/>
              </w:rPr>
            </w:r>
            <w:r>
              <w:rPr>
                <w:b/>
                <w:sz w:val="17"/>
              </w:rPr>
              <w:t>Referência</w:t>
            </w:r>
          </w:p>
        </w:tc>
        <w:tc>
          <w:tcPr>
            <w:tcW w:type="dxa" w:w="1474"/>
          </w:tcPr>
          <w:p>
            <w:r>
              <w:rPr>
                <w:sz w:val="17"/>
              </w:rPr>
            </w:r>
            <w:r>
              <w:rPr>
                <w:b/>
                <w:sz w:val="17"/>
              </w:rPr>
              <w:t>Onde no TCC</w:t>
            </w:r>
          </w:p>
        </w:tc>
        <w:tc>
          <w:tcPr>
            <w:tcW w:type="dxa" w:w="5953"/>
          </w:tcPr>
          <w:p>
            <w:r>
              <w:rPr>
                <w:sz w:val="17"/>
              </w:rPr>
            </w:r>
            <w:r>
              <w:rPr>
                <w:b/>
                <w:sz w:val="17"/>
              </w:rPr>
              <w:t>O que a fonte diz</w:t>
            </w:r>
          </w:p>
        </w:tc>
        <w:tc>
          <w:tcPr>
            <w:tcW w:type="dxa" w:w="2948"/>
          </w:tcPr>
          <w:p>
            <w:r>
              <w:rPr>
                <w:sz w:val="17"/>
              </w:rPr>
            </w:r>
            <w:r>
              <w:rPr>
                <w:b/>
                <w:sz w:val="17"/>
              </w:rPr>
              <w:t>Veredito</w:t>
            </w:r>
          </w:p>
        </w:tc>
        <w:tc>
          <w:tcPr>
            <w:tcW w:type="dxa" w:w="2438"/>
          </w:tcPr>
          <w:p>
            <w:r>
              <w:rPr>
                <w:sz w:val="17"/>
              </w:rPr>
            </w:r>
            <w:r>
              <w:rPr>
                <w:b/>
                <w:sz w:val="17"/>
              </w:rPr>
              <w:t>O que foi feito</w:t>
            </w:r>
          </w:p>
        </w:tc>
      </w:tr>
      <w:tr>
        <w:tc>
          <w:tcPr>
            <w:tcW w:type="dxa" w:w="2041"/>
          </w:tcPr>
          <w:p>
            <w:r>
              <w:rPr>
                <w:sz w:val="17"/>
              </w:rPr>
              <w:t>Choi et al. (2018)</w:t>
            </w:r>
          </w:p>
        </w:tc>
        <w:tc>
          <w:tcPr>
            <w:tcW w:type="dxa" w:w="1474"/>
          </w:tcPr>
          <w:p>
            <w:r>
              <w:rPr>
                <w:sz w:val="17"/>
              </w:rPr>
              <w:t>§205, 207, 215, 244, 259, 290, 319</w:t>
            </w:r>
          </w:p>
        </w:tc>
        <w:tc>
          <w:tcPr>
            <w:tcW w:type="dxa" w:w="5953"/>
          </w:tcPr>
          <w:p>
            <w:r>
              <w:rPr>
                <w:sz w:val="17"/>
              </w:rPr>
              <w:t>Fonte: IMF WP/17/196 (versão de trabalho do artigo). 72 economias, 1970 a 2015, projeções locais, índice cheio; alta de 10% no petróleo eleva a inflação em cerca de 0,4 p.p. no ano (dados anuais). Usam os choques futuros como controles (Teulings e Zubanov) e bandas de 90%. O declínio do repasse ao longo do tempo é atribuído “in large part to a better conduct of monetary policy”. Na parte mensal (2000 a 2015), relacionam em corte transversal o coeficiente de cada país a fatores; subsídio a energia é o subsídio médio pós-impostos a derivados em % do PIB (Coady et al., 2015), variável contínua; transporte na cesta e subsídios são os fatores mais robustos. A especificação tem inflação defasada, efeitos fixos de país e de tempo e as interações; não há taxa de juros nem expectativas.</w:t>
            </w:r>
          </w:p>
        </w:tc>
        <w:tc>
          <w:tcPr>
            <w:tcW w:type="dxa" w:w="2948"/>
          </w:tcPr>
          <w:p>
            <w:r>
              <w:rPr>
                <w:sz w:val="17"/>
              </w:rPr>
              <w:t>§207 INCORRETO (“variável indicadora no painel”). §259 INCORRETO (atribuía a Choi a prática de taxas em nível). §205 IMPRECISO (credibilidade x condução da política). Demais CORRETOS.</w:t>
            </w:r>
          </w:p>
        </w:tc>
        <w:tc>
          <w:tcPr>
            <w:tcW w:type="dxa" w:w="2438"/>
          </w:tcPr>
          <w:p>
            <w:r>
              <w:rPr>
                <w:sz w:val="17"/>
              </w:rPr>
              <w:t>Corrigidos §205, §207 e §259.</w:t>
            </w:r>
          </w:p>
        </w:tc>
      </w:tr>
      <w:tr>
        <w:tc>
          <w:tcPr>
            <w:tcW w:type="dxa" w:w="2041"/>
          </w:tcPr>
          <w:p>
            <w:r>
              <w:rPr>
                <w:sz w:val="17"/>
              </w:rPr>
              <w:t>López et al. (2026)</w:t>
            </w:r>
          </w:p>
        </w:tc>
        <w:tc>
          <w:tcPr>
            <w:tcW w:type="dxa" w:w="1474"/>
          </w:tcPr>
          <w:p>
            <w:r>
              <w:rPr>
                <w:sz w:val="17"/>
              </w:rPr>
              <w:t>§245</w:t>
            </w:r>
          </w:p>
        </w:tc>
        <w:tc>
          <w:tcPr>
            <w:tcW w:type="dxa" w:w="5953"/>
          </w:tcPr>
          <w:p>
            <w:r>
              <w:rPr>
                <w:sz w:val="17"/>
              </w:rPr>
              <w:t>ECB WP 2968, revisado em março de 2026 (o ano 2026 é aceitável). Tema: choques de oferta de GÁS. BSVAR (jan/1997 a dez/2024): choque que eleva o gás em 10% eleva a inflação cheia em 0,6 p.p. após um ano. Os 75% de efeitos indiretos após três anos vêm do modelo NK-DSGE. Heterogeneidade entre países ligada à regulação do varejo de energia (Espanha, tarifa PVPC, transmissão rápida; França, mercado regulado), discutida por comparação, sem teste próprio.</w:t>
            </w:r>
          </w:p>
        </w:tc>
        <w:tc>
          <w:tcPr>
            <w:tcW w:type="dxa" w:w="2948"/>
          </w:tcPr>
          <w:p>
            <w:r>
              <w:rPr>
                <w:sz w:val="17"/>
              </w:rPr>
              <w:t>IMPRECISO na 1ª frase (não dizia que é gás nem que é do modelo). INCORRETO na 2ª: “porque na área do euro não há mudança de regra suficientemente nítida” não está no artigo.</w:t>
            </w:r>
          </w:p>
        </w:tc>
        <w:tc>
          <w:tcPr>
            <w:tcW w:type="dxa" w:w="2438"/>
          </w:tcPr>
          <w:p>
            <w:r>
              <w:rPr>
                <w:sz w:val="17"/>
              </w:rPr>
              <w:t>Corrigido §245; a frase sem respaldo foi retirada.</w:t>
            </w:r>
          </w:p>
        </w:tc>
      </w:tr>
      <w:tr>
        <w:tc>
          <w:tcPr>
            <w:tcW w:type="dxa" w:w="2041"/>
          </w:tcPr>
          <w:p>
            <w:r>
              <w:rPr>
                <w:sz w:val="17"/>
              </w:rPr>
              <w:t>Almeida, Oliveira e Losekann (2015)</w:t>
            </w:r>
          </w:p>
        </w:tc>
        <w:tc>
          <w:tcPr>
            <w:tcW w:type="dxa" w:w="1474"/>
          </w:tcPr>
          <w:p>
            <w:r>
              <w:rPr>
                <w:sz w:val="17"/>
              </w:rPr>
              <w:t>§206, 229, 341</w:t>
            </w:r>
          </w:p>
        </w:tc>
        <w:tc>
          <w:tcPr>
            <w:tcW w:type="dxa" w:w="5953"/>
          </w:tcPr>
          <w:p>
            <w:r>
              <w:rPr>
                <w:sz w:val="17"/>
              </w:rPr>
              <w:t>Tabela 2 (p. 540): perdas de receita com venda abaixo da referência internacional de R$ 97.897 milhões em 2011 a 2014 (gasolina, diesel, GLP). Além disso, R$ 21 bi de perdas com importação (Tabela 1).</w:t>
            </w:r>
          </w:p>
        </w:tc>
        <w:tc>
          <w:tcPr>
            <w:tcW w:type="dxa" w:w="2948"/>
          </w:tcPr>
          <w:p>
            <w:r>
              <w:rPr>
                <w:sz w:val="17"/>
              </w:rPr>
              <w:t>CORRETO.</w:t>
            </w:r>
          </w:p>
        </w:tc>
        <w:tc>
          <w:tcPr>
            <w:tcW w:type="dxa" w:w="2438"/>
          </w:tcPr>
          <w:p>
            <w:r>
              <w:rPr>
                <w:sz w:val="17"/>
              </w:rPr>
              <w:t>Sem alteração.</w:t>
            </w:r>
          </w:p>
        </w:tc>
      </w:tr>
      <w:tr>
        <w:tc>
          <w:tcPr>
            <w:tcW w:type="dxa" w:w="2041"/>
          </w:tcPr>
          <w:p>
            <w:r>
              <w:rPr>
                <w:sz w:val="17"/>
              </w:rPr>
              <w:t>Azevedo e Serigati (2015)</w:t>
            </w:r>
          </w:p>
        </w:tc>
        <w:tc>
          <w:tcPr>
            <w:tcW w:type="dxa" w:w="1474"/>
          </w:tcPr>
          <w:p>
            <w:r>
              <w:rPr>
                <w:sz w:val="17"/>
              </w:rPr>
              <w:t>§229, 341</w:t>
            </w:r>
          </w:p>
        </w:tc>
        <w:tc>
          <w:tcPr>
            <w:tcW w:type="dxa" w:w="5953"/>
          </w:tcPr>
          <w:p>
            <w:r>
              <w:rPr>
                <w:sz w:val="17"/>
              </w:rPr>
              <w:t>Resumo: “os preços tendem a desviar-se mais, quanto maior for seu peso no índice de preços”. Para derivados, a comparação é com o preço do petróleo no mercado internacional ajustado pelo câmbio (índices desde dez/1994), não com a paridade de importação; a ligação com o peso no IPCA é apresentada como “possível explicação”, com evidência gráfica, sem econometria.</w:t>
            </w:r>
          </w:p>
        </w:tc>
        <w:tc>
          <w:tcPr>
            <w:tcW w:type="dxa" w:w="2948"/>
          </w:tcPr>
          <w:p>
            <w:r>
              <w:rPr>
                <w:sz w:val="17"/>
              </w:rPr>
              <w:t>§229 IMPRECISO (“desvios em relação à paridade”). §341 CORRETO.</w:t>
            </w:r>
          </w:p>
        </w:tc>
        <w:tc>
          <w:tcPr>
            <w:tcW w:type="dxa" w:w="2438"/>
          </w:tcPr>
          <w:p>
            <w:r>
              <w:rPr>
                <w:sz w:val="17"/>
              </w:rPr>
              <w:t>Corrigido §229.</w:t>
            </w:r>
          </w:p>
        </w:tc>
      </w:tr>
      <w:tr>
        <w:tc>
          <w:tcPr>
            <w:tcW w:type="dxa" w:w="2041"/>
          </w:tcPr>
          <w:p>
            <w:r>
              <w:rPr>
                <w:sz w:val="17"/>
              </w:rPr>
              <w:t>Baba e Lee (2022)</w:t>
            </w:r>
          </w:p>
        </w:tc>
        <w:tc>
          <w:tcPr>
            <w:tcW w:type="dxa" w:w="1474"/>
          </w:tcPr>
          <w:p>
            <w:r>
              <w:rPr>
                <w:sz w:val="17"/>
              </w:rPr>
              <w:t>§219, 279, 290, 341</w:t>
            </w:r>
          </w:p>
        </w:tc>
        <w:tc>
          <w:tcPr>
            <w:tcW w:type="dxa" w:w="5953"/>
          </w:tcPr>
          <w:p>
            <w:r>
              <w:rPr>
                <w:sz w:val="17"/>
              </w:rPr>
              <w:t>IMF WP/22/173. Projeções locais em painel europeu; foco em efeitos de segunda ordem medidos em salários, núcleo e expectativas. Núcleo: 0,002 no 1º trimestre e 0,03 em três anos (p. 20). Amostra até 2019T4 para evitar a pandemia (p. 10). Bandas de 90%. Núcleo e expectativas “react more strongly in EEs than in AEs” (p. 22), sem razão numérica no texto; na Figura 19 a diferença em 9 trimestres é de cerca de 0,042 contra 0,016 (cerca de 2,6 vezes). Bancos centrais mais independentes associados a repasse menor ao núcleo e às expectativas; para salários, também expectativas ancoradas.</w:t>
            </w:r>
          </w:p>
        </w:tc>
        <w:tc>
          <w:tcPr>
            <w:tcW w:type="dxa" w:w="2948"/>
          </w:tcPr>
          <w:p>
            <w:r>
              <w:rPr>
                <w:sz w:val="17"/>
              </w:rPr>
              <w:t>§219 INCORRETO (“separam o efeito de primeira ordem... dos de segunda ordem”) e “cerca de três vezes” sem respaldo no texto. §341 IMPRECISO (“três vezes”). §279 e §290 CORRETOS.</w:t>
            </w:r>
          </w:p>
        </w:tc>
        <w:tc>
          <w:tcPr>
            <w:tcW w:type="dxa" w:w="2438"/>
          </w:tcPr>
          <w:p>
            <w:r>
              <w:rPr>
                <w:sz w:val="17"/>
              </w:rPr>
              <w:t>Corrigidos §219 e §341.</w:t>
            </w:r>
          </w:p>
        </w:tc>
      </w:tr>
      <w:tr>
        <w:tc>
          <w:tcPr>
            <w:tcW w:type="dxa" w:w="2041"/>
          </w:tcPr>
          <w:p>
            <w:r>
              <w:rPr>
                <w:sz w:val="17"/>
              </w:rPr>
              <w:t>Gelos e Ustyugova (2017)</w:t>
            </w:r>
          </w:p>
        </w:tc>
        <w:tc>
          <w:tcPr>
            <w:tcW w:type="dxa" w:w="1474"/>
          </w:tcPr>
          <w:p>
            <w:r>
              <w:rPr>
                <w:sz w:val="17"/>
              </w:rPr>
              <w:t>§218</w:t>
            </w:r>
          </w:p>
        </w:tc>
        <w:tc>
          <w:tcPr>
            <w:tcW w:type="dxa" w:w="5953"/>
          </w:tcPr>
          <w:p>
            <w:r>
              <w:rPr>
                <w:sz w:val="17"/>
              </w:rPr>
              <w:t>Conferido na versão IMF WP/12/225: maior peso de alimentos, maior intensidade de combustíveis e inflação prévia alta tornam os efeitos mais persistentes; bancos centrais mais independentes e melhor governança contêm o impacto; metas de inflação com efeito modesto.</w:t>
            </w:r>
          </w:p>
        </w:tc>
        <w:tc>
          <w:tcPr>
            <w:tcW w:type="dxa" w:w="2948"/>
          </w:tcPr>
          <w:p>
            <w:r>
              <w:rPr>
                <w:sz w:val="17"/>
              </w:rPr>
              <w:t>CORRETO (conferido no WP, não na versão do JIMF).</w:t>
            </w:r>
          </w:p>
        </w:tc>
        <w:tc>
          <w:tcPr>
            <w:tcW w:type="dxa" w:w="2438"/>
          </w:tcPr>
          <w:p>
            <w:r>
              <w:rPr>
                <w:sz w:val="17"/>
              </w:rPr>
              <w:t>Sem alteração.</w:t>
            </w:r>
          </w:p>
        </w:tc>
      </w:tr>
      <w:tr>
        <w:tc>
          <w:tcPr>
            <w:tcW w:type="dxa" w:w="2041"/>
          </w:tcPr>
          <w:p>
            <w:r>
              <w:rPr>
                <w:sz w:val="17"/>
              </w:rPr>
              <w:t>Conflitti e Luciani (2019)</w:t>
            </w:r>
          </w:p>
        </w:tc>
        <w:tc>
          <w:tcPr>
            <w:tcW w:type="dxa" w:w="1474"/>
          </w:tcPr>
          <w:p>
            <w:r>
              <w:rPr>
                <w:sz w:val="17"/>
              </w:rPr>
              <w:t>§220</w:t>
            </w:r>
          </w:p>
        </w:tc>
        <w:tc>
          <w:tcPr>
            <w:tcW w:type="dxa" w:w="5953"/>
          </w:tcPr>
          <w:p>
            <w:r>
              <w:rPr>
                <w:sz w:val="17"/>
              </w:rPr>
              <w:t>Resumo: “the oil price passes through core inflation only via its effect on the whole economy”; efeito pequeno, significativo e duradouro.</w:t>
            </w:r>
          </w:p>
        </w:tc>
        <w:tc>
          <w:tcPr>
            <w:tcW w:type="dxa" w:w="2948"/>
          </w:tcPr>
          <w:p>
            <w:r>
              <w:rPr>
                <w:sz w:val="17"/>
              </w:rPr>
              <w:t>CORRETO.</w:t>
            </w:r>
          </w:p>
        </w:tc>
        <w:tc>
          <w:tcPr>
            <w:tcW w:type="dxa" w:w="2438"/>
          </w:tcPr>
          <w:p>
            <w:r>
              <w:rPr>
                <w:sz w:val="17"/>
              </w:rPr>
              <w:t>Sem alteração.</w:t>
            </w:r>
          </w:p>
        </w:tc>
      </w:tr>
      <w:tr>
        <w:tc>
          <w:tcPr>
            <w:tcW w:type="dxa" w:w="2041"/>
          </w:tcPr>
          <w:p>
            <w:r>
              <w:rPr>
                <w:sz w:val="17"/>
              </w:rPr>
              <w:t>Blanchard e Galí (2007)</w:t>
            </w:r>
          </w:p>
        </w:tc>
        <w:tc>
          <w:tcPr>
            <w:tcW w:type="dxa" w:w="1474"/>
          </w:tcPr>
          <w:p>
            <w:r>
              <w:rPr>
                <w:sz w:val="17"/>
              </w:rPr>
              <w:t>§217</w:t>
            </w:r>
          </w:p>
        </w:tc>
        <w:tc>
          <w:tcPr>
            <w:tcW w:type="dxa" w:w="5953"/>
          </w:tcPr>
          <w:p>
            <w:r>
              <w:rPr>
                <w:sz w:val="17"/>
              </w:rPr>
              <w:t>Quatro hipóteses (boa sorte, menor participação do petróleo, mercados de trabalho flexíveis, melhor política monetária); concluem que as quatro tiveram papel importante.</w:t>
            </w:r>
          </w:p>
        </w:tc>
        <w:tc>
          <w:tcPr>
            <w:tcW w:type="dxa" w:w="2948"/>
          </w:tcPr>
          <w:p>
            <w:r>
              <w:rPr>
                <w:sz w:val="17"/>
              </w:rPr>
              <w:t>IMPRECISO: “as quatro dizem respeito à economia que recebe o choque” não vale para a “boa sorte” (ausência de choques simultâneos).</w:t>
            </w:r>
          </w:p>
        </w:tc>
        <w:tc>
          <w:tcPr>
            <w:tcW w:type="dxa" w:w="2438"/>
          </w:tcPr>
          <w:p>
            <w:r>
              <w:rPr>
                <w:sz w:val="17"/>
              </w:rPr>
              <w:t>Corrigido §217.</w:t>
            </w:r>
          </w:p>
        </w:tc>
      </w:tr>
      <w:tr>
        <w:tc>
          <w:tcPr>
            <w:tcW w:type="dxa" w:w="2041"/>
          </w:tcPr>
          <w:p>
            <w:r>
              <w:rPr>
                <w:sz w:val="17"/>
              </w:rPr>
              <w:t>Kilian (2009)</w:t>
            </w:r>
          </w:p>
        </w:tc>
        <w:tc>
          <w:tcPr>
            <w:tcW w:type="dxa" w:w="1474"/>
          </w:tcPr>
          <w:p>
            <w:r>
              <w:rPr>
                <w:sz w:val="17"/>
              </w:rPr>
              <w:t>§223, 266, 284, 384</w:t>
            </w:r>
          </w:p>
        </w:tc>
        <w:tc>
          <w:tcPr>
            <w:tcW w:type="dxa" w:w="5953"/>
          </w:tcPr>
          <w:p>
            <w:r>
              <w:rPr>
                <w:sz w:val="17"/>
              </w:rPr>
              <w:t>Três choques (oferta, demanda agregada por commodities, demanda específica do petróleo/precaucional). Preço real: custo de aquisição do petróleo importado pelas refinarias, deflacionado pelo CPI dos EUA (p. 1058). Sobre a instabilidade: a evidência “helps us understand” por que regressões de agregados no petróleo são instáveis (p. 1067).</w:t>
            </w:r>
          </w:p>
        </w:tc>
        <w:tc>
          <w:tcPr>
            <w:tcW w:type="dxa" w:w="2948"/>
          </w:tcPr>
          <w:p>
            <w:r>
              <w:rPr>
                <w:sz w:val="17"/>
              </w:rPr>
              <w:t>§223 e §384 IMPRECISOS (“demonstra”, “explicam”). §266 e §284 CORRETOS.</w:t>
            </w:r>
          </w:p>
        </w:tc>
        <w:tc>
          <w:tcPr>
            <w:tcW w:type="dxa" w:w="2438"/>
          </w:tcPr>
          <w:p>
            <w:r>
              <w:rPr>
                <w:sz w:val="17"/>
              </w:rPr>
              <w:t>Corrigidos §223 e §384.</w:t>
            </w:r>
          </w:p>
        </w:tc>
      </w:tr>
      <w:tr>
        <w:tc>
          <w:tcPr>
            <w:tcW w:type="dxa" w:w="2041"/>
          </w:tcPr>
          <w:p>
            <w:r>
              <w:rPr>
                <w:sz w:val="17"/>
              </w:rPr>
              <w:t>Ryan e Michieka</w:t>
            </w:r>
          </w:p>
        </w:tc>
        <w:tc>
          <w:tcPr>
            <w:tcW w:type="dxa" w:w="1474"/>
          </w:tcPr>
          <w:p>
            <w:r>
              <w:rPr>
                <w:sz w:val="17"/>
              </w:rPr>
              <w:t>§224 e referência</w:t>
            </w:r>
          </w:p>
        </w:tc>
        <w:tc>
          <w:tcPr>
            <w:tcW w:type="dxa" w:w="5953"/>
          </w:tcPr>
          <w:p>
            <w:r>
              <w:rPr>
                <w:sz w:val="17"/>
              </w:rPr>
              <w:t>Replicação com dados até março de 2024; confirmam e, com inferência robusta à heterocedasticidade condicional, reforçam as conclusões. Publicado: Journal of Comments and Replications in Economics, v. 4, n. 2025-8, 2025, DOI 10.18718/81781.47 (a cópia local é o preprint arXiv de 2024).</w:t>
            </w:r>
          </w:p>
        </w:tc>
        <w:tc>
          <w:tcPr>
            <w:tcW w:type="dxa" w:w="2948"/>
          </w:tcPr>
          <w:p>
            <w:r>
              <w:rPr>
                <w:sz w:val="17"/>
              </w:rPr>
              <w:t>Conteúdo CORRETO; ano e nome da revista INCORRETOS.</w:t>
            </w:r>
          </w:p>
        </w:tc>
        <w:tc>
          <w:tcPr>
            <w:tcW w:type="dxa" w:w="2438"/>
          </w:tcPr>
          <w:p>
            <w:r>
              <w:rPr>
                <w:sz w:val="17"/>
              </w:rPr>
              <w:t>Corrigidos texto (2025) e referência.</w:t>
            </w:r>
          </w:p>
        </w:tc>
      </w:tr>
      <w:tr>
        <w:tc>
          <w:tcPr>
            <w:tcW w:type="dxa" w:w="2041"/>
          </w:tcPr>
          <w:p>
            <w:r>
              <w:rPr>
                <w:sz w:val="17"/>
              </w:rPr>
              <w:t>Känzig (2021)</w:t>
            </w:r>
          </w:p>
        </w:tc>
        <w:tc>
          <w:tcPr>
            <w:tcW w:type="dxa" w:w="1474"/>
          </w:tcPr>
          <w:p>
            <w:r>
              <w:rPr>
                <w:sz w:val="17"/>
              </w:rPr>
              <w:t>§225, 290, 494, 578</w:t>
            </w:r>
          </w:p>
        </w:tc>
        <w:tc>
          <w:tcPr>
            <w:tcW w:type="dxa" w:w="5953"/>
          </w:tcPr>
          <w:p>
            <w:r>
              <w:rPr>
                <w:sz w:val="17"/>
              </w:rPr>
              <w:t>Surpresas de futuros em anúncios da OPEP ✓. Figuras com bandas de 68% e 90% (p. 1106). O próprio autor aponta problema de potência em usar a surpresa diretamente em projeções locais (p. 1101-02) e por isso estima o choque num VAR.</w:t>
            </w:r>
          </w:p>
        </w:tc>
        <w:tc>
          <w:tcPr>
            <w:tcW w:type="dxa" w:w="2948"/>
          </w:tcPr>
          <w:p>
            <w:r>
              <w:rPr>
                <w:sz w:val="17"/>
              </w:rPr>
              <w:t>CORRETO; em §290 “bandas de 90%” é verdadeiro mas incompleto (há também 68%).</w:t>
            </w:r>
          </w:p>
        </w:tc>
        <w:tc>
          <w:tcPr>
            <w:tcW w:type="dxa" w:w="2438"/>
          </w:tcPr>
          <w:p>
            <w:r>
              <w:rPr>
                <w:sz w:val="17"/>
              </w:rPr>
              <w:t>Sem alteração (limite de páginas). Use o argumento de potência do próprio Känzig na reunião.</w:t>
            </w:r>
          </w:p>
        </w:tc>
      </w:tr>
      <w:tr>
        <w:tc>
          <w:tcPr>
            <w:tcW w:type="dxa" w:w="2041"/>
          </w:tcPr>
          <w:p>
            <w:r>
              <w:rPr>
                <w:sz w:val="17"/>
              </w:rPr>
              <w:t>Ramey (2016)</w:t>
            </w:r>
          </w:p>
        </w:tc>
        <w:tc>
          <w:tcPr>
            <w:tcW w:type="dxa" w:w="1474"/>
          </w:tcPr>
          <w:p>
            <w:r>
              <w:rPr>
                <w:sz w:val="17"/>
              </w:rPr>
              <w:t>§225, 290</w:t>
            </w:r>
          </w:p>
        </w:tc>
        <w:tc>
          <w:tcPr>
            <w:tcW w:type="dxa" w:w="5953"/>
          </w:tcPr>
          <w:p>
            <w:r>
              <w:rPr>
                <w:sz w:val="17"/>
              </w:rPr>
              <w:t>Bandas de 90% nas figuras ✓. Discute relevância de instrumentos externos e mostra F de primeiro estágio baixos para vários choques em parte das amostras (ex.: gastos do governo, Fig. 4).</w:t>
            </w:r>
          </w:p>
        </w:tc>
        <w:tc>
          <w:tcPr>
            <w:tcW w:type="dxa" w:w="2948"/>
          </w:tcPr>
          <w:p>
            <w:r>
              <w:rPr>
                <w:sz w:val="17"/>
              </w:rPr>
              <w:t>§225 IMPRECISO (“problemas de potência que costumam acompanhá-las”).</w:t>
            </w:r>
          </w:p>
        </w:tc>
        <w:tc>
          <w:tcPr>
            <w:tcW w:type="dxa" w:w="2438"/>
          </w:tcPr>
          <w:p>
            <w:r>
              <w:rPr>
                <w:sz w:val="17"/>
              </w:rPr>
              <w:t>Corrigido §225.</w:t>
            </w:r>
          </w:p>
        </w:tc>
      </w:tr>
      <w:tr>
        <w:tc>
          <w:tcPr>
            <w:tcW w:type="dxa" w:w="2041"/>
          </w:tcPr>
          <w:p>
            <w:r>
              <w:rPr>
                <w:sz w:val="17"/>
              </w:rPr>
              <w:t>Hamilton (2003)</w:t>
            </w:r>
          </w:p>
        </w:tc>
        <w:tc>
          <w:tcPr>
            <w:tcW w:type="dxa" w:w="1474"/>
          </w:tcPr>
          <w:p>
            <w:r>
              <w:rPr>
                <w:sz w:val="17"/>
              </w:rPr>
              <w:t>§226, 587, 595</w:t>
            </w:r>
          </w:p>
        </w:tc>
        <w:tc>
          <w:tcPr>
            <w:tcW w:type="dxa" w:w="5953"/>
          </w:tcPr>
          <w:p>
            <w:r>
              <w:rPr>
                <w:sz w:val="17"/>
              </w:rPr>
              <w:t>Resumo: relação não linear entre petróleo e PIB; altas importam muito mais que quedas.</w:t>
            </w:r>
          </w:p>
        </w:tc>
        <w:tc>
          <w:tcPr>
            <w:tcW w:type="dxa" w:w="2948"/>
          </w:tcPr>
          <w:p>
            <w:r>
              <w:rPr>
                <w:sz w:val="17"/>
              </w:rPr>
              <w:t>CORRETO.</w:t>
            </w:r>
          </w:p>
        </w:tc>
        <w:tc>
          <w:tcPr>
            <w:tcW w:type="dxa" w:w="2438"/>
          </w:tcPr>
          <w:p>
            <w:r>
              <w:rPr>
                <w:sz w:val="17"/>
              </w:rPr>
              <w:t>Sem alteração.</w:t>
            </w:r>
          </w:p>
        </w:tc>
      </w:tr>
      <w:tr>
        <w:tc>
          <w:tcPr>
            <w:tcW w:type="dxa" w:w="2041"/>
          </w:tcPr>
          <w:p>
            <w:r>
              <w:rPr>
                <w:sz w:val="17"/>
              </w:rPr>
              <w:t>Mork (1989); Bacon (1991); Borenstein, Cameron e Gilbert (1997); Shin, Yu e Greenwood-Nimmo (2014)</w:t>
            </w:r>
          </w:p>
        </w:tc>
        <w:tc>
          <w:tcPr>
            <w:tcW w:type="dxa" w:w="1474"/>
          </w:tcPr>
          <w:p>
            <w:r>
              <w:rPr>
                <w:sz w:val="17"/>
              </w:rPr>
              <w:t>§226</w:t>
            </w:r>
          </w:p>
        </w:tc>
        <w:tc>
          <w:tcPr>
            <w:tcW w:type="dxa" w:w="5953"/>
          </w:tcPr>
          <w:p>
            <w:r>
              <w:rPr>
                <w:sz w:val="17"/>
              </w:rPr>
              <w:t>Afirmações genéricas (assimetria na atividade; foguetes e penas no varejo; forma funcional NARDL) compatíveis com títulos e resumos conhecidos.</w:t>
            </w:r>
          </w:p>
        </w:tc>
        <w:tc>
          <w:tcPr>
            <w:tcW w:type="dxa" w:w="2948"/>
          </w:tcPr>
          <w:p>
            <w:r>
              <w:rPr>
                <w:sz w:val="17"/>
              </w:rPr>
              <w:t>NÃO CONFERIDO no texto integral (PDFs não disponíveis).</w:t>
            </w:r>
          </w:p>
        </w:tc>
        <w:tc>
          <w:tcPr>
            <w:tcW w:type="dxa" w:w="2438"/>
          </w:tcPr>
          <w:p>
            <w:r>
              <w:rPr>
                <w:sz w:val="17"/>
              </w:rPr>
              <w:t>Sem alteração.</w:t>
            </w:r>
          </w:p>
        </w:tc>
      </w:tr>
      <w:tr>
        <w:tc>
          <w:tcPr>
            <w:tcW w:type="dxa" w:w="2041"/>
          </w:tcPr>
          <w:p>
            <w:r>
              <w:rPr>
                <w:sz w:val="17"/>
              </w:rPr>
              <w:t>Figueiredo e Ferreira (2002)</w:t>
            </w:r>
          </w:p>
        </w:tc>
        <w:tc>
          <w:tcPr>
            <w:tcW w:type="dxa" w:w="1474"/>
          </w:tcPr>
          <w:p>
            <w:r>
              <w:rPr>
                <w:sz w:val="17"/>
              </w:rPr>
              <w:t>§230</w:t>
            </w:r>
          </w:p>
        </w:tc>
        <w:tc>
          <w:tcPr>
            <w:tcW w:type="dxa" w:w="5953"/>
          </w:tcPr>
          <w:p>
            <w:r>
              <w:rPr>
                <w:sz w:val="17"/>
              </w:rPr>
              <w:t>Período 1995 a 2002: administrados sobem bem mais que livres; comportamento inercial; petróleo entre cinco fatores; na regressão, o IGP-DI é o determinante de maior relevância.</w:t>
            </w:r>
          </w:p>
        </w:tc>
        <w:tc>
          <w:tcPr>
            <w:tcW w:type="dxa" w:w="2948"/>
          </w:tcPr>
          <w:p>
            <w:r>
              <w:rPr>
                <w:sz w:val="17"/>
              </w:rPr>
              <w:t>IMPRECISO (“nos primeiros anos do regime de metas”: a série começa em 1995).</w:t>
            </w:r>
          </w:p>
        </w:tc>
        <w:tc>
          <w:tcPr>
            <w:tcW w:type="dxa" w:w="2438"/>
          </w:tcPr>
          <w:p>
            <w:r>
              <w:rPr>
                <w:sz w:val="17"/>
              </w:rPr>
              <w:t>Corrigido §230.</w:t>
            </w:r>
          </w:p>
        </w:tc>
      </w:tr>
      <w:tr>
        <w:tc>
          <w:tcPr>
            <w:tcW w:type="dxa" w:w="2041"/>
          </w:tcPr>
          <w:p>
            <w:r>
              <w:rPr>
                <w:sz w:val="17"/>
              </w:rPr>
              <w:t>Banco Central do Brasil (2022)</w:t>
            </w:r>
          </w:p>
        </w:tc>
        <w:tc>
          <w:tcPr>
            <w:tcW w:type="dxa" w:w="1474"/>
          </w:tcPr>
          <w:p>
            <w:r>
              <w:rPr>
                <w:sz w:val="17"/>
              </w:rPr>
              <w:t>§231, 370 e referência</w:t>
            </w:r>
          </w:p>
        </w:tc>
        <w:tc>
          <w:tcPr>
            <w:tcW w:type="dxa" w:w="5953"/>
          </w:tcPr>
          <w:p>
            <w:r>
              <w:rPr>
                <w:sz w:val="17"/>
              </w:rPr>
              <w:t>Boxe “Repasse do preço do petróleo em reais para a inflação e mensuração de riscos”, RI mar/2022, p. 58 a 62. Choque: petróleo EM REAIS. Hipótese ∂r/∂x = 1 (refinaria acompanha integralmente o petróleo em reais, p. 62). Com pesos de 2021: coeficiente 39,8% (etanol constante) a 54,4% (etanol endógeno), impacto no IPCA de 0,20 a 0,27 p.p. por 10%. Com pesos de 2022: 47,2% a 66,1% e 0,31 a 0,43 p.p. Só canal direto via gasolina.</w:t>
            </w:r>
          </w:p>
        </w:tc>
        <w:tc>
          <w:tcPr>
            <w:tcW w:type="dxa" w:w="2948"/>
          </w:tcPr>
          <w:p>
            <w:r>
              <w:rPr>
                <w:sz w:val="17"/>
              </w:rPr>
              <w:t>INCORRETO: o TCC combinava 0,20 a 0,27 p.p. (2021, duas hipóteses) com 39,8% a 47,2% (uma hipótese, dois anos). Título e páginas da referência errados.</w:t>
            </w:r>
          </w:p>
        </w:tc>
        <w:tc>
          <w:tcPr>
            <w:tcW w:type="dxa" w:w="2438"/>
          </w:tcPr>
          <w:p>
            <w:r>
              <w:rPr>
                <w:sz w:val="17"/>
              </w:rPr>
              <w:t>Corrigidos §231, §370 e a referência. A conclusão do §370 (0,390 próximo do limite inferior, 39,8%) continua válida.</w:t>
            </w:r>
          </w:p>
        </w:tc>
      </w:tr>
      <w:tr>
        <w:tc>
          <w:tcPr>
            <w:tcW w:type="dxa" w:w="2041"/>
          </w:tcPr>
          <w:p>
            <w:r>
              <w:rPr>
                <w:sz w:val="17"/>
              </w:rPr>
              <w:t>Banco Central do Brasil (2026)</w:t>
            </w:r>
          </w:p>
        </w:tc>
        <w:tc>
          <w:tcPr>
            <w:tcW w:type="dxa" w:w="1474"/>
          </w:tcPr>
          <w:p>
            <w:r>
              <w:rPr>
                <w:sz w:val="17"/>
              </w:rPr>
              <w:t>§232, 259 e referência</w:t>
            </w:r>
          </w:p>
        </w:tc>
        <w:tc>
          <w:tcPr>
            <w:tcW w:type="dxa" w:w="5953"/>
          </w:tcPr>
          <w:p>
            <w:r>
              <w:rPr>
                <w:sz w:val="17"/>
              </w:rPr>
              <w:t>Boxe do Monetary Policy Report de mar/2026, p. 66 a 70. Projeções locais, jul/2006 a dez/2025, erros-padrão robustos à heterocedasticidade, IC de 90%. Controles: câmbio, IC-Br, índice de pressão nas cadeias, hiato de desemprego. Não há juros nem expectativas. Nota 4: a estimativa empírica “captures an average effect over the sample, which may encompass different institutional regimes”.</w:t>
            </w:r>
          </w:p>
        </w:tc>
        <w:tc>
          <w:tcPr>
            <w:tcW w:type="dxa" w:w="2948"/>
          </w:tcPr>
          <w:p>
            <w:r>
              <w:rPr>
                <w:sz w:val="17"/>
              </w:rPr>
              <w:t>§232 CORRETO. §259 INCORRETO (atribuía ao BCB taxas em nível; além disso, contradizia o §272 e o código, em que as taxas entram como 100·ln(1+r/100)).</w:t>
            </w:r>
          </w:p>
        </w:tc>
        <w:tc>
          <w:tcPr>
            <w:tcW w:type="dxa" w:w="2438"/>
          </w:tcPr>
          <w:p>
            <w:r>
              <w:rPr>
                <w:sz w:val="17"/>
              </w:rPr>
              <w:t>Corrigidos §259 e a referência. A nota 4 do boxe é um bom argumento a favor da sua tese.</w:t>
            </w:r>
          </w:p>
        </w:tc>
      </w:tr>
      <w:tr>
        <w:tc>
          <w:tcPr>
            <w:tcW w:type="dxa" w:w="2041"/>
          </w:tcPr>
          <w:p>
            <w:r>
              <w:rPr>
                <w:sz w:val="17"/>
              </w:rPr>
              <w:t>Correa e Minella (2010)</w:t>
            </w:r>
          </w:p>
        </w:tc>
        <w:tc>
          <w:tcPr>
            <w:tcW w:type="dxa" w:w="1474"/>
          </w:tcPr>
          <w:p>
            <w:r>
              <w:rPr>
                <w:sz w:val="17"/>
              </w:rPr>
              <w:t>§234</w:t>
            </w:r>
          </w:p>
        </w:tc>
        <w:tc>
          <w:tcPr>
            <w:tcW w:type="dxa" w:w="5953"/>
          </w:tcPr>
          <w:p>
            <w:r>
              <w:rPr>
                <w:sz w:val="17"/>
              </w:rPr>
              <w:t>Curva de Phillips com limiar; repasse cambial maior com economia em expansão, depreciação acima do limiar e menor volatilidade.</w:t>
            </w:r>
          </w:p>
        </w:tc>
        <w:tc>
          <w:tcPr>
            <w:tcW w:type="dxa" w:w="2948"/>
          </w:tcPr>
          <w:p>
            <w:r>
              <w:rPr>
                <w:sz w:val="17"/>
              </w:rPr>
              <w:t>CORRETO.</w:t>
            </w:r>
          </w:p>
        </w:tc>
        <w:tc>
          <w:tcPr>
            <w:tcW w:type="dxa" w:w="2438"/>
          </w:tcPr>
          <w:p>
            <w:r>
              <w:rPr>
                <w:sz w:val="17"/>
              </w:rPr>
              <w:t>Sem alteração.</w:t>
            </w:r>
          </w:p>
        </w:tc>
      </w:tr>
      <w:tr>
        <w:tc>
          <w:tcPr>
            <w:tcW w:type="dxa" w:w="2041"/>
          </w:tcPr>
          <w:p>
            <w:r>
              <w:rPr>
                <w:sz w:val="17"/>
              </w:rPr>
              <w:t>Jesus Jr., Uchôa e Fernandes (2025)</w:t>
            </w:r>
          </w:p>
        </w:tc>
        <w:tc>
          <w:tcPr>
            <w:tcW w:type="dxa" w:w="1474"/>
          </w:tcPr>
          <w:p>
            <w:r>
              <w:rPr>
                <w:sz w:val="17"/>
              </w:rPr>
              <w:t>§239 e referência</w:t>
            </w:r>
          </w:p>
        </w:tc>
        <w:tc>
          <w:tcPr>
            <w:tcW w:type="dxa" w:w="5953"/>
          </w:tcPr>
          <w:p>
            <w:r>
              <w:rPr>
                <w:sz w:val="17"/>
              </w:rPr>
              <w:t>Resumo: VAR com restrição de sinal, dados semanais de 2004 a 2022, políticas da Petrobras sob diferentes orientações políticas; preço abaixo da referência eleva satisfação e pouco afeta a inflação, com custo para a empresa.</w:t>
            </w:r>
          </w:p>
        </w:tc>
        <w:tc>
          <w:tcPr>
            <w:tcW w:type="dxa" w:w="2948"/>
          </w:tcPr>
          <w:p>
            <w:r>
              <w:rPr>
                <w:sz w:val="17"/>
              </w:rPr>
              <w:t>CORRETO no que o resumo permite conferir; “data imposta pela cronologia” NÃO CONFERIDO no texto integral (acesso pago).</w:t>
            </w:r>
          </w:p>
        </w:tc>
        <w:tc>
          <w:tcPr>
            <w:tcW w:type="dxa" w:w="2438"/>
          </w:tcPr>
          <w:p>
            <w:r>
              <w:rPr>
                <w:sz w:val="17"/>
              </w:rPr>
              <w:t>Acrescentado DOI 10.1016/j.jcomm.2025.100499.</w:t>
            </w:r>
          </w:p>
        </w:tc>
      </w:tr>
      <w:tr>
        <w:tc>
          <w:tcPr>
            <w:tcW w:type="dxa" w:w="2041"/>
          </w:tcPr>
          <w:p>
            <w:r>
              <w:rPr>
                <w:sz w:val="17"/>
              </w:rPr>
              <w:t>Jordà (2005)</w:t>
            </w:r>
          </w:p>
        </w:tc>
        <w:tc>
          <w:tcPr>
            <w:tcW w:type="dxa" w:w="1474"/>
          </w:tcPr>
          <w:p>
            <w:r>
              <w:rPr>
                <w:sz w:val="17"/>
              </w:rPr>
              <w:t>§209, 241, 269</w:t>
            </w:r>
          </w:p>
        </w:tc>
        <w:tc>
          <w:tcPr>
            <w:tcW w:type="dxa" w:w="5953"/>
          </w:tcPr>
          <w:p>
            <w:r>
              <w:rPr>
                <w:sz w:val="17"/>
              </w:rPr>
              <w:t>Projeções locais mais robustas à má especificação; inferência simples; acomodam não linearidades. A perda de eficiência é formalizada por Teulings e Zubanov (2014, Proposição 1), não é tema central de Jordà.</w:t>
            </w:r>
          </w:p>
        </w:tc>
        <w:tc>
          <w:tcPr>
            <w:tcW w:type="dxa" w:w="2948"/>
          </w:tcPr>
          <w:p>
            <w:r>
              <w:rPr>
                <w:sz w:val="17"/>
              </w:rPr>
              <w:t>CORRETO; “o custo é perda de eficiência” sem fonte explícita.</w:t>
            </w:r>
          </w:p>
        </w:tc>
        <w:tc>
          <w:tcPr>
            <w:tcW w:type="dxa" w:w="2438"/>
          </w:tcPr>
          <w:p>
            <w:r>
              <w:rPr>
                <w:sz w:val="17"/>
              </w:rPr>
              <w:t>Sem alteração (sugestão no final).</w:t>
            </w:r>
          </w:p>
        </w:tc>
      </w:tr>
      <w:tr>
        <w:tc>
          <w:tcPr>
            <w:tcW w:type="dxa" w:w="2041"/>
          </w:tcPr>
          <w:p>
            <w:r>
              <w:rPr>
                <w:sz w:val="17"/>
              </w:rPr>
              <w:t>Montiel Olea e Plagborg-Møller (2021)</w:t>
            </w:r>
          </w:p>
        </w:tc>
        <w:tc>
          <w:tcPr>
            <w:tcW w:type="dxa" w:w="1474"/>
          </w:tcPr>
          <w:p>
            <w:r>
              <w:rPr>
                <w:sz w:val="17"/>
              </w:rPr>
              <w:t>§243, 273, 573, 584</w:t>
            </w:r>
          </w:p>
        </w:tc>
        <w:tc>
          <w:tcPr>
            <w:tcW w:type="dxa" w:w="5953"/>
          </w:tcPr>
          <w:p>
            <w:r>
              <w:rPr>
                <w:sz w:val="17"/>
              </w:rPr>
              <w:t>Aumento de defasagem: controlar por mais defasagens de todas as variáveis do sistema do que o modelo verdadeiro exigiria. Inferência uniformemente válida sobre a persistência e sobre horizontes com h/T → 0 (só falha com raiz unitária e horizonte da ordem da amostra). Com aumento de defasagem, basta o erro-padrão robusto à heterocedasticidade (EHW); HAC não é necessário. Recomendam escolher p de forma conservadora.</w:t>
            </w:r>
          </w:p>
        </w:tc>
        <w:tc>
          <w:tcPr>
            <w:tcW w:type="dxa" w:w="2948"/>
          </w:tcPr>
          <w:p>
            <w:r>
              <w:rPr>
                <w:sz w:val="17"/>
              </w:rPr>
              <w:t>§243 IMPRECISO (“defasagens adicionais da variável dependente”). §273 e §573 CORRETOS para h ≤ 12 e T ≈ 270, mas sem a ressalva de horizonte.</w:t>
            </w:r>
          </w:p>
        </w:tc>
        <w:tc>
          <w:tcPr>
            <w:tcW w:type="dxa" w:w="2438"/>
          </w:tcPr>
          <w:p>
            <w:r>
              <w:rPr>
                <w:sz w:val="17"/>
              </w:rPr>
              <w:t>Corrigido §243. Teste feito hoje: com EHW as conclusões não mudam (referencias/conferencia_05out2026/comparacao_NW_EHW.csv).</w:t>
            </w:r>
          </w:p>
        </w:tc>
      </w:tr>
      <w:tr>
        <w:tc>
          <w:tcPr>
            <w:tcW w:type="dxa" w:w="2041"/>
          </w:tcPr>
          <w:p>
            <w:r>
              <w:rPr>
                <w:sz w:val="17"/>
              </w:rPr>
              <w:t>Montiel Olea e Plagborg-Møller (2019)</w:t>
            </w:r>
          </w:p>
        </w:tc>
        <w:tc>
          <w:tcPr>
            <w:tcW w:type="dxa" w:w="1474"/>
          </w:tcPr>
          <w:p>
            <w:r>
              <w:rPr>
                <w:sz w:val="17"/>
              </w:rPr>
              <w:t>§243, 289</w:t>
            </w:r>
          </w:p>
        </w:tc>
        <w:tc>
          <w:tcPr>
            <w:tcW w:type="dxa" w:w="5953"/>
          </w:tcPr>
          <w:p>
            <w:r>
              <w:rPr>
                <w:sz w:val="17"/>
              </w:rPr>
              <w:t>Banda sup-t: mesmo erro-padrão pontual, menor valor crítico que garante cobertura simultânea.</w:t>
            </w:r>
          </w:p>
        </w:tc>
        <w:tc>
          <w:tcPr>
            <w:tcW w:type="dxa" w:w="2948"/>
          </w:tcPr>
          <w:p>
            <w:r>
              <w:rPr>
                <w:sz w:val="17"/>
              </w:rPr>
              <w:t>CORRETO.</w:t>
            </w:r>
          </w:p>
        </w:tc>
        <w:tc>
          <w:tcPr>
            <w:tcW w:type="dxa" w:w="2438"/>
          </w:tcPr>
          <w:p>
            <w:r>
              <w:rPr>
                <w:sz w:val="17"/>
              </w:rPr>
              <w:t>Sem alteração.</w:t>
            </w:r>
          </w:p>
        </w:tc>
      </w:tr>
      <w:tr>
        <w:tc>
          <w:tcPr>
            <w:tcW w:type="dxa" w:w="2041"/>
          </w:tcPr>
          <w:p>
            <w:r>
              <w:rPr>
                <w:sz w:val="17"/>
              </w:rPr>
              <w:t>Teulings e Zubanov (2014)</w:t>
            </w:r>
          </w:p>
        </w:tc>
        <w:tc>
          <w:tcPr>
            <w:tcW w:type="dxa" w:w="1474"/>
          </w:tcPr>
          <w:p>
            <w:r>
              <w:rPr>
                <w:sz w:val="17"/>
              </w:rPr>
              <w:t>§244, 310, 584</w:t>
            </w:r>
          </w:p>
        </w:tc>
        <w:tc>
          <w:tcPr>
            <w:tcW w:type="dxa" w:w="5953"/>
          </w:tcPr>
          <w:p>
            <w:r>
              <w:rPr>
                <w:sz w:val="17"/>
              </w:rPr>
              <w:t>Seção 2.2 e Proposição 2: o viés surge porque os choques entre t e t+h ficam fora da regressão, seus efeitos vão ao erro e, no painel com efeitos fixos, enviesam o efeito fixo e atenuam a resposta; cresce com o horizonte. No exemplo, as crises chegam ao acaso: o viés não depende de autocorrelação do choque. Correção: incluir esses choques como controles.</w:t>
            </w:r>
          </w:p>
        </w:tc>
        <w:tc>
          <w:tcPr>
            <w:tcW w:type="dxa" w:w="2948"/>
          </w:tcPr>
          <w:p>
            <w:r>
              <w:rPr>
                <w:sz w:val="17"/>
              </w:rPr>
              <w:t>§244 INCORRETO quanto ao mecanismo (“viés que surge quando o choque é autocorrelacionado”). §310 e §584 CORRETOS (a autocorrelação aparece como justificativa do próprio TCC).</w:t>
            </w:r>
          </w:p>
        </w:tc>
        <w:tc>
          <w:tcPr>
            <w:tcW w:type="dxa" w:w="2438"/>
          </w:tcPr>
          <w:p>
            <w:r>
              <w:rPr>
                <w:sz w:val="17"/>
              </w:rPr>
              <w:t>Corrigido §244, mantendo a autocorrelação como motivo adicional do TCC.</w:t>
            </w:r>
          </w:p>
        </w:tc>
      </w:tr>
      <w:tr>
        <w:tc>
          <w:tcPr>
            <w:tcW w:type="dxa" w:w="2041"/>
          </w:tcPr>
          <w:p>
            <w:r>
              <w:rPr>
                <w:sz w:val="17"/>
              </w:rPr>
              <w:t>Andrews (1993)</w:t>
            </w:r>
          </w:p>
        </w:tc>
        <w:tc>
          <w:tcPr>
            <w:tcW w:type="dxa" w:w="1474"/>
          </w:tcPr>
          <w:p>
            <w:r>
              <w:rPr>
                <w:sz w:val="17"/>
              </w:rPr>
              <w:t>§209, 247, 296, 373</w:t>
            </w:r>
          </w:p>
        </w:tc>
        <w:tc>
          <w:tcPr>
            <w:tcW w:type="dxa" w:w="5953"/>
          </w:tcPr>
          <w:p>
            <w:r>
              <w:rPr>
                <w:sz w:val="17"/>
              </w:rPr>
              <w:t>Distribuição não padrão porque o ponto de quebra só aparece sob a alternativa (resumo, p. 821).</w:t>
            </w:r>
          </w:p>
        </w:tc>
        <w:tc>
          <w:tcPr>
            <w:tcW w:type="dxa" w:w="2948"/>
          </w:tcPr>
          <w:p>
            <w:r>
              <w:rPr>
                <w:sz w:val="17"/>
              </w:rPr>
              <w:t>CORRETO.</w:t>
            </w:r>
          </w:p>
        </w:tc>
        <w:tc>
          <w:tcPr>
            <w:tcW w:type="dxa" w:w="2438"/>
          </w:tcPr>
          <w:p>
            <w:r>
              <w:rPr>
                <w:sz w:val="17"/>
              </w:rPr>
              <w:t>Sem alteração.</w:t>
            </w:r>
          </w:p>
        </w:tc>
      </w:tr>
      <w:tr>
        <w:tc>
          <w:tcPr>
            <w:tcW w:type="dxa" w:w="2041"/>
          </w:tcPr>
          <w:p>
            <w:r>
              <w:rPr>
                <w:sz w:val="17"/>
              </w:rPr>
              <w:t>Bai e Perron (1998)</w:t>
            </w:r>
          </w:p>
        </w:tc>
        <w:tc>
          <w:tcPr>
            <w:tcW w:type="dxa" w:w="1474"/>
          </w:tcPr>
          <w:p>
            <w:r>
              <w:rPr>
                <w:sz w:val="17"/>
              </w:rPr>
              <w:t>§247</w:t>
            </w:r>
          </w:p>
        </w:tc>
        <w:tc>
          <w:tcPr>
            <w:tcW w:type="dxa" w:w="5953"/>
          </w:tcPr>
          <w:p>
            <w:r>
              <w:rPr>
                <w:sz w:val="17"/>
              </w:rPr>
              <w:t>Múltiplas quebras (título e objeto do artigo).</w:t>
            </w:r>
          </w:p>
        </w:tc>
        <w:tc>
          <w:tcPr>
            <w:tcW w:type="dxa" w:w="2948"/>
          </w:tcPr>
          <w:p>
            <w:r>
              <w:rPr>
                <w:sz w:val="17"/>
              </w:rPr>
              <w:t>CORRETO.</w:t>
            </w:r>
          </w:p>
        </w:tc>
        <w:tc>
          <w:tcPr>
            <w:tcW w:type="dxa" w:w="2438"/>
          </w:tcPr>
          <w:p>
            <w:r>
              <w:rPr>
                <w:sz w:val="17"/>
              </w:rPr>
              <w:t>Sem alteração.</w:t>
            </w:r>
          </w:p>
        </w:tc>
      </w:tr>
      <w:tr>
        <w:tc>
          <w:tcPr>
            <w:tcW w:type="dxa" w:w="2041"/>
          </w:tcPr>
          <w:p>
            <w:r>
              <w:rPr>
                <w:sz w:val="17"/>
              </w:rPr>
              <w:t>Bai, Lumsdaine e Stock (1998)</w:t>
            </w:r>
          </w:p>
        </w:tc>
        <w:tc>
          <w:tcPr>
            <w:tcW w:type="dxa" w:w="1474"/>
          </w:tcPr>
          <w:p>
            <w:r>
              <w:rPr>
                <w:sz w:val="17"/>
              </w:rPr>
              <w:t>§248, 298</w:t>
            </w:r>
          </w:p>
        </w:tc>
        <w:tc>
          <w:tcPr>
            <w:tcW w:type="dxa" w:w="5953"/>
          </w:tcPr>
          <w:p>
            <w:r>
              <w:rPr>
                <w:sz w:val="17"/>
              </w:rPr>
              <w:t>Resumo (p. 395): a largura do intervalo para a data de quebra é inversamente relacionada ao número de séries com quebra comum. Observação: o TCC soma estatísticas F por série (“no espírito de”), não usa o estimador conjunto do artigo.</w:t>
            </w:r>
          </w:p>
        </w:tc>
        <w:tc>
          <w:tcPr>
            <w:tcW w:type="dxa" w:w="2948"/>
          </w:tcPr>
          <w:p>
            <w:r>
              <w:rPr>
                <w:sz w:val="17"/>
              </w:rPr>
              <w:t>CORRETO.</w:t>
            </w:r>
          </w:p>
        </w:tc>
        <w:tc>
          <w:tcPr>
            <w:tcW w:type="dxa" w:w="2438"/>
          </w:tcPr>
          <w:p>
            <w:r>
              <w:rPr>
                <w:sz w:val="17"/>
              </w:rPr>
              <w:t>Sem alteração.</w:t>
            </w:r>
          </w:p>
        </w:tc>
      </w:tr>
      <w:tr>
        <w:tc>
          <w:tcPr>
            <w:tcW w:type="dxa" w:w="2041"/>
          </w:tcPr>
          <w:p>
            <w:r>
              <w:rPr>
                <w:sz w:val="17"/>
              </w:rPr>
              <w:t>Hansen (2000)</w:t>
            </w:r>
          </w:p>
        </w:tc>
        <w:tc>
          <w:tcPr>
            <w:tcW w:type="dxa" w:w="1474"/>
          </w:tcPr>
          <w:p>
            <w:r>
              <w:rPr>
                <w:sz w:val="17"/>
              </w:rPr>
              <w:t>§209, 249, 373</w:t>
            </w:r>
          </w:p>
        </w:tc>
        <w:tc>
          <w:tcPr>
            <w:tcW w:type="dxa" w:w="5953"/>
          </w:tcPr>
          <w:p>
            <w:r>
              <w:rPr>
                <w:sz w:val="17"/>
              </w:rPr>
              <w:t>As distribuições assintóticas de SupF e afins não são invariantes a mudança estrutural na distribuição dos regressores; o SupF pode sobre-rejeitar ou sub-rejeitar conforme o caso (Teorema 3). Em simulações com erros heterocedásticos, o teste assintótico rejeita de 21% a 71% a 10% nominal. Propõe o bootstrap com regressores fixos.</w:t>
            </w:r>
          </w:p>
        </w:tc>
        <w:tc>
          <w:tcPr>
            <w:tcW w:type="dxa" w:w="2948"/>
          </w:tcPr>
          <w:p>
            <w:r>
              <w:rPr>
                <w:sz w:val="17"/>
              </w:rPr>
              <w:t>IMPRECISO (“sobre-rejeita substancialmente quando os regressores não são estacionários ou quando há heterogeneidade na amostra”).</w:t>
            </w:r>
          </w:p>
        </w:tc>
        <w:tc>
          <w:tcPr>
            <w:tcW w:type="dxa" w:w="2438"/>
          </w:tcPr>
          <w:p>
            <w:r>
              <w:rPr>
                <w:sz w:val="17"/>
              </w:rPr>
              <w:t>Corrigido §249.</w:t>
            </w:r>
          </w:p>
        </w:tc>
      </w:tr>
      <w:tr>
        <w:tc>
          <w:tcPr>
            <w:tcW w:type="dxa" w:w="2041"/>
          </w:tcPr>
          <w:p>
            <w:r>
              <w:rPr>
                <w:sz w:val="17"/>
              </w:rPr>
              <w:t>Davidson e Flachaire (2008)</w:t>
            </w:r>
          </w:p>
        </w:tc>
        <w:tc>
          <w:tcPr>
            <w:tcW w:type="dxa" w:w="1474"/>
          </w:tcPr>
          <w:p>
            <w:r>
              <w:rPr>
                <w:sz w:val="17"/>
              </w:rPr>
              <w:t>§249, 292</w:t>
            </w:r>
          </w:p>
        </w:tc>
        <w:tc>
          <w:tcPr>
            <w:tcW w:type="dxa" w:w="5953"/>
          </w:tcPr>
          <w:p>
            <w:r>
              <w:rPr>
                <w:sz w:val="17"/>
              </w:rPr>
              <w:t>Recomendação: bootstrap selvagem com pesos de Rademacher (F2) e resíduos restritos (estimados sob a hipótese nula); nas simulações nunca pior que as alternativas e em geral bem melhor. Correção HC3 dos resíduos usada no caso-base, com ganho pequeno e não universal. Tratam erros independentes.</w:t>
            </w:r>
          </w:p>
        </w:tc>
        <w:tc>
          <w:tcPr>
            <w:tcW w:type="dxa" w:w="2948"/>
          </w:tcPr>
          <w:p>
            <w:r>
              <w:rPr>
                <w:sz w:val="17"/>
              </w:rPr>
              <w:t>§249 IMPRECISO (omitia o essencial, resíduos sob a nula, e superestimava a alavancagem). §292 aceitável. O código do teste de quebra usa resíduos do modelo sem quebra, ou seja, sob a nula (conferido em onda3_3_data_comum.py).</w:t>
            </w:r>
          </w:p>
        </w:tc>
        <w:tc>
          <w:tcPr>
            <w:tcW w:type="dxa" w:w="2438"/>
          </w:tcPr>
          <w:p>
            <w:r>
              <w:rPr>
                <w:sz w:val="17"/>
              </w:rPr>
              <w:t>Corrigido §249. A versão em blocos é adaptação sua para dependência, não está em D&amp;F.</w:t>
            </w:r>
          </w:p>
        </w:tc>
      </w:tr>
      <w:tr>
        <w:tc>
          <w:tcPr>
            <w:tcW w:type="dxa" w:w="2041"/>
          </w:tcPr>
          <w:p>
            <w:r>
              <w:rPr>
                <w:sz w:val="17"/>
              </w:rPr>
              <w:t>Staiger e Stock (1997)</w:t>
            </w:r>
          </w:p>
        </w:tc>
        <w:tc>
          <w:tcPr>
            <w:tcW w:type="dxa" w:w="1474"/>
          </w:tcPr>
          <w:p>
            <w:r>
              <w:rPr>
                <w:sz w:val="17"/>
              </w:rPr>
              <w:t>§250</w:t>
            </w:r>
          </w:p>
        </w:tc>
        <w:tc>
          <w:tcPr>
            <w:tcW w:type="dxa" w:w="5953"/>
          </w:tcPr>
          <w:p>
            <w:r>
              <w:rPr>
                <w:sz w:val="17"/>
              </w:rPr>
              <w:t>Teoria assintótica com instrumentos fracos (correlação local a zero).</w:t>
            </w:r>
          </w:p>
        </w:tc>
        <w:tc>
          <w:tcPr>
            <w:tcW w:type="dxa" w:w="2948"/>
          </w:tcPr>
          <w:p>
            <w:r>
              <w:rPr>
                <w:sz w:val="17"/>
              </w:rPr>
              <w:t>CORRETO.</w:t>
            </w:r>
          </w:p>
        </w:tc>
        <w:tc>
          <w:tcPr>
            <w:tcW w:type="dxa" w:w="2438"/>
          </w:tcPr>
          <w:p>
            <w:r>
              <w:rPr>
                <w:sz w:val="17"/>
              </w:rPr>
              <w:t>Sem alteração.</w:t>
            </w:r>
          </w:p>
        </w:tc>
      </w:tr>
      <w:tr>
        <w:tc>
          <w:tcPr>
            <w:tcW w:type="dxa" w:w="2041"/>
          </w:tcPr>
          <w:p>
            <w:r>
              <w:rPr>
                <w:sz w:val="17"/>
              </w:rPr>
              <w:t>Andrews, Stock e Sun (2019)</w:t>
            </w:r>
          </w:p>
        </w:tc>
        <w:tc>
          <w:tcPr>
            <w:tcW w:type="dxa" w:w="1474"/>
          </w:tcPr>
          <w:p>
            <w:r>
              <w:rPr>
                <w:sz w:val="17"/>
              </w:rPr>
              <w:t>§250</w:t>
            </w:r>
          </w:p>
        </w:tc>
        <w:tc>
          <w:tcPr>
            <w:tcW w:type="dxa" w:w="5953"/>
          </w:tcPr>
          <w:p>
            <w:r>
              <w:rPr>
                <w:sz w:val="17"/>
              </w:rPr>
              <w:t>Recomendam medir a força pelo F efetivo de Montiel Olea e Pflueger e, com um único instrumento, reportar sempre o intervalo de Anderson-Rubin, “regardless of the value of the first-stage F”.</w:t>
            </w:r>
          </w:p>
        </w:tc>
        <w:tc>
          <w:tcPr>
            <w:tcW w:type="dxa" w:w="2948"/>
          </w:tcPr>
          <w:p>
            <w:r>
              <w:rPr>
                <w:sz w:val="17"/>
              </w:rPr>
              <w:t>IMPRECISO (“em lugar de regras de bolso baseadas na estatística F”).</w:t>
            </w:r>
          </w:p>
        </w:tc>
        <w:tc>
          <w:tcPr>
            <w:tcW w:type="dxa" w:w="2438"/>
          </w:tcPr>
          <w:p>
            <w:r>
              <w:rPr>
                <w:sz w:val="17"/>
              </w:rPr>
              <w:t>Corrigido §250.</w:t>
            </w:r>
          </w:p>
        </w:tc>
      </w:tr>
      <w:tr>
        <w:tc>
          <w:tcPr>
            <w:tcW w:type="dxa" w:w="2041"/>
          </w:tcPr>
          <w:p>
            <w:r>
              <w:rPr>
                <w:sz w:val="17"/>
              </w:rPr>
              <w:t>Lenza e Primiceri (2020)</w:t>
            </w:r>
          </w:p>
        </w:tc>
        <w:tc>
          <w:tcPr>
            <w:tcW w:type="dxa" w:w="1474"/>
          </w:tcPr>
          <w:p>
            <w:r>
              <w:rPr>
                <w:sz w:val="17"/>
              </w:rPr>
              <w:t>§251, 393</w:t>
            </w:r>
          </w:p>
        </w:tc>
        <w:tc>
          <w:tcPr>
            <w:tcW w:type="dxa" w:w="5953"/>
          </w:tcPr>
          <w:p>
            <w:r>
              <w:rPr>
                <w:sz w:val="17"/>
              </w:rPr>
              <w:t>Sem tratar a volatilidade da pandemia, “the error bands of the impulse responses explode”; descartar as observações “may be acceptable” para estimar parâmetros, mas é inadequado para previsão. A proposta principal deles é modelar o aumento de volatilidade.</w:t>
            </w:r>
          </w:p>
        </w:tc>
        <w:tc>
          <w:tcPr>
            <w:tcW w:type="dxa" w:w="2948"/>
          </w:tcPr>
          <w:p>
            <w:r>
              <w:rPr>
                <w:sz w:val="17"/>
              </w:rPr>
              <w:t>§251 CORRETO. §393 IMPRECISO (“autorizam”).</w:t>
            </w:r>
          </w:p>
        </w:tc>
        <w:tc>
          <w:tcPr>
            <w:tcW w:type="dxa" w:w="2438"/>
          </w:tcPr>
          <w:p>
            <w:r>
              <w:rPr>
                <w:sz w:val="17"/>
              </w:rPr>
              <w:t>Corrigido §393.</w:t>
            </w:r>
          </w:p>
        </w:tc>
      </w:tr>
      <w:tr>
        <w:tc>
          <w:tcPr>
            <w:tcW w:type="dxa" w:w="2041"/>
          </w:tcPr>
          <w:p>
            <w:r>
              <w:rPr>
                <w:sz w:val="17"/>
              </w:rPr>
              <w:t>Salkever (1976)</w:t>
            </w:r>
          </w:p>
        </w:tc>
        <w:tc>
          <w:tcPr>
            <w:tcW w:type="dxa" w:w="1474"/>
          </w:tcPr>
          <w:p>
            <w:r>
              <w:rPr>
                <w:sz w:val="17"/>
              </w:rPr>
              <w:t>§251, 392</w:t>
            </w:r>
          </w:p>
        </w:tc>
        <w:tc>
          <w:tcPr>
            <w:tcW w:type="dxa" w:w="5953"/>
          </w:tcPr>
          <w:p>
            <w:r>
              <w:rPr>
                <w:sz w:val="17"/>
              </w:rPr>
              <w:t>Com uma indicadora por observação adicional, os coeficientes e variâncias dos demais regressores são idênticos aos da regressão só com as observações originais (p. 394).</w:t>
            </w:r>
          </w:p>
        </w:tc>
        <w:tc>
          <w:tcPr>
            <w:tcW w:type="dxa" w:w="2948"/>
          </w:tcPr>
          <w:p>
            <w:r>
              <w:rPr>
                <w:sz w:val="17"/>
              </w:rPr>
              <w:t>CORRETO.</w:t>
            </w:r>
          </w:p>
        </w:tc>
        <w:tc>
          <w:tcPr>
            <w:tcW w:type="dxa" w:w="2438"/>
          </w:tcPr>
          <w:p>
            <w:r>
              <w:rPr>
                <w:sz w:val="17"/>
              </w:rPr>
              <w:t>Sem alteração.</w:t>
            </w:r>
          </w:p>
        </w:tc>
      </w:tr>
      <w:tr>
        <w:tc>
          <w:tcPr>
            <w:tcW w:type="dxa" w:w="2041"/>
          </w:tcPr>
          <w:p>
            <w:r>
              <w:rPr>
                <w:sz w:val="17"/>
              </w:rPr>
              <w:t>Akcura (2025)</w:t>
            </w:r>
          </w:p>
        </w:tc>
        <w:tc>
          <w:tcPr>
            <w:tcW w:type="dxa" w:w="1474"/>
          </w:tcPr>
          <w:p>
            <w:r>
              <w:rPr>
                <w:sz w:val="17"/>
              </w:rPr>
              <w:t>§254, 414, 550, 649</w:t>
            </w:r>
          </w:p>
        </w:tc>
        <w:tc>
          <w:tcPr>
            <w:tcW w:type="dxa" w:w="5953"/>
          </w:tcPr>
          <w:p>
            <w:r>
              <w:rPr>
                <w:sz w:val="17"/>
              </w:rPr>
              <w:t>Até 125 economias, dez/2017 a dez/2023; regulados repassam muito menos que desregulados. Base de políticas anual para 2021, 2022 e 2023. Repasse = razão entre variações, com preços em MOEDA LOCAL e a referência Platts mais próxima de cada país (FOB ou CIF), defasada um mês (p. 8).</w:t>
            </w:r>
          </w:p>
        </w:tc>
        <w:tc>
          <w:tcPr>
            <w:tcW w:type="dxa" w:w="2948"/>
          </w:tcPr>
          <w:p>
            <w:r>
              <w:rPr>
                <w:sz w:val="17"/>
              </w:rPr>
              <w:t>§254 CORRETO, salvo “2021 em diante” (são 2021 a 2023). §414, §550, §649 INCORRETOS ao dizer que se aplica a metodologia dele: o TCC usa dólares e a Costa do Golfo para todos.</w:t>
            </w:r>
          </w:p>
        </w:tc>
        <w:tc>
          <w:tcPr>
            <w:tcW w:type="dxa" w:w="2438"/>
          </w:tcPr>
          <w:p>
            <w:r>
              <w:rPr>
                <w:sz w:val="17"/>
              </w:rPr>
              <w:t>Corrigidos §254, §414, §550 e §649 (medida adaptada, com as duas diferenças explícitas).</w:t>
            </w:r>
          </w:p>
        </w:tc>
      </w:tr>
      <w:tr>
        <w:tc>
          <w:tcPr>
            <w:tcW w:type="dxa" w:w="2041"/>
          </w:tcPr>
          <w:p>
            <w:r>
              <w:rPr>
                <w:sz w:val="17"/>
              </w:rPr>
              <w:t>Hale et al. (2021)</w:t>
            </w:r>
          </w:p>
        </w:tc>
        <w:tc>
          <w:tcPr>
            <w:tcW w:type="dxa" w:w="1474"/>
          </w:tcPr>
          <w:p>
            <w:r>
              <w:rPr>
                <w:sz w:val="17"/>
              </w:rPr>
              <w:t>§394</w:t>
            </w:r>
          </w:p>
        </w:tc>
        <w:tc>
          <w:tcPr>
            <w:tcW w:type="dxa" w:w="5953"/>
          </w:tcPr>
          <w:p>
            <w:r>
              <w:rPr>
                <w:sz w:val="17"/>
              </w:rPr>
              <w:t>Índice de rigor do OxCGRT.</w:t>
            </w:r>
          </w:p>
        </w:tc>
        <w:tc>
          <w:tcPr>
            <w:tcW w:type="dxa" w:w="2948"/>
          </w:tcPr>
          <w:p>
            <w:r>
              <w:rPr>
                <w:sz w:val="17"/>
              </w:rPr>
              <w:t>CORRETO.</w:t>
            </w:r>
          </w:p>
        </w:tc>
        <w:tc>
          <w:tcPr>
            <w:tcW w:type="dxa" w:w="2438"/>
          </w:tcPr>
          <w:p>
            <w:r>
              <w:rPr>
                <w:sz w:val="17"/>
              </w:rPr>
              <w:t>Sem alteração.</w:t>
            </w:r>
          </w:p>
        </w:tc>
      </w:tr>
      <w:tr>
        <w:tc>
          <w:tcPr>
            <w:tcW w:type="dxa" w:w="2041"/>
          </w:tcPr>
          <w:p>
            <w:r>
              <w:rPr>
                <w:sz w:val="17"/>
              </w:rPr>
              <w:t>Cardoso e Severnini (2023)</w:t>
            </w:r>
          </w:p>
        </w:tc>
        <w:tc>
          <w:tcPr>
            <w:tcW w:type="dxa" w:w="1474"/>
          </w:tcPr>
          <w:p>
            <w:r>
              <w:rPr>
                <w:sz w:val="17"/>
              </w:rPr>
              <w:t>§582</w:t>
            </w:r>
          </w:p>
        </w:tc>
        <w:tc>
          <w:tcPr>
            <w:tcW w:type="dxa" w:w="5953"/>
          </w:tcPr>
          <w:p>
            <w:r>
              <w:rPr>
                <w:sz w:val="17"/>
              </w:rPr>
              <w:t>Instrumentos: preço da Petrobras por estado (com tributos federais e transporte) e qualidade da cana (ATR, três regiões) ✓. 555 municípios, 2005 a 2016, 73.353 obs., EF de município, mês do ano e estado por ano ✓. F de Kleibergen-Paap para o PREÇO da gasolina: 18,03 (2005 a 2016), 7,65 (2005 a 2009) e 4,10 (2010 a 2016) (Tabela 1, p. 38). Os valores de 83,85 a 422,00 são para o VOLUME de gasolina nas equações de internação (Tabela 5, p. 42).</w:t>
            </w:r>
          </w:p>
        </w:tc>
        <w:tc>
          <w:tcPr>
            <w:tcW w:type="dxa" w:w="2948"/>
          </w:tcPr>
          <w:p>
            <w:r>
              <w:rPr>
                <w:sz w:val="17"/>
              </w:rPr>
              <w:t>INCORRETO (“instrumentos fortes para o preço da gasolina, com F entre 84 e 422”).</w:t>
            </w:r>
          </w:p>
        </w:tc>
        <w:tc>
          <w:tcPr>
            <w:tcW w:type="dxa" w:w="2438"/>
          </w:tcPr>
          <w:p>
            <w:r>
              <w:rPr>
                <w:sz w:val="17"/>
              </w:rPr>
              <w:t>Corrigido §582. O argumento do TCC fica mais forte: nem um painel municipal garante instrumento forte para o preço.</w:t>
            </w:r>
          </w:p>
        </w:tc>
      </w:tr>
      <w:tr>
        <w:tc>
          <w:tcPr>
            <w:tcW w:type="dxa" w:w="2041"/>
          </w:tcPr>
          <w:p>
            <w:r>
              <w:rPr>
                <w:sz w:val="17"/>
              </w:rPr>
              <w:t>Newey e West (1987)</w:t>
            </w:r>
          </w:p>
        </w:tc>
        <w:tc>
          <w:tcPr>
            <w:tcW w:type="dxa" w:w="1474"/>
          </w:tcPr>
          <w:p>
            <w:r>
              <w:rPr>
                <w:sz w:val="17"/>
              </w:rPr>
              <w:t>§288</w:t>
            </w:r>
          </w:p>
        </w:tc>
        <w:tc>
          <w:tcPr>
            <w:tcW w:type="dxa" w:w="5953"/>
          </w:tcPr>
          <w:p>
            <w:r>
              <w:rPr>
                <w:sz w:val="17"/>
              </w:rPr>
              <w:t>Estimador HAC com núcleo de Bartlett; banda h+1 é escolha do TCC.</w:t>
            </w:r>
          </w:p>
        </w:tc>
        <w:tc>
          <w:tcPr>
            <w:tcW w:type="dxa" w:w="2948"/>
          </w:tcPr>
          <w:p>
            <w:r>
              <w:rPr>
                <w:sz w:val="17"/>
              </w:rPr>
              <w:t>CORRETO.</w:t>
            </w:r>
          </w:p>
        </w:tc>
        <w:tc>
          <w:tcPr>
            <w:tcW w:type="dxa" w:w="2438"/>
          </w:tcPr>
          <w:p>
            <w:r>
              <w:rPr>
                <w:sz w:val="17"/>
              </w:rPr>
              <w:t>Sem alteração.</w:t>
            </w:r>
          </w:p>
        </w:tc>
      </w:tr>
      <w:tr>
        <w:tc>
          <w:tcPr>
            <w:tcW w:type="dxa" w:w="2041"/>
          </w:tcPr>
          <w:p>
            <w:r>
              <w:rPr>
                <w:sz w:val="17"/>
              </w:rPr>
              <w:t>Bobeica e Hartwig (2021); FMI (2026); MacKinnon (2007)</w:t>
            </w:r>
          </w:p>
        </w:tc>
        <w:tc>
          <w:tcPr>
            <w:tcW w:type="dxa" w:w="1474"/>
          </w:tcPr>
          <w:p>
            <w:r>
              <w:rPr>
                <w:sz w:val="17"/>
              </w:rPr>
              <w:t>lista de referências</w:t>
            </w:r>
          </w:p>
        </w:tc>
        <w:tc>
          <w:tcPr>
            <w:tcW w:type="dxa" w:w="5953"/>
          </w:tcPr>
          <w:p>
            <w:r>
              <w:rPr>
                <w:sz w:val="17"/>
              </w:rPr>
              <w:t>Não citados no texto.</w:t>
            </w:r>
          </w:p>
        </w:tc>
        <w:tc>
          <w:tcPr>
            <w:tcW w:type="dxa" w:w="2948"/>
          </w:tcPr>
          <w:p>
            <w:r>
              <w:rPr>
                <w:sz w:val="17"/>
              </w:rPr>
              <w:t>Problema de ABNT.</w:t>
            </w:r>
          </w:p>
        </w:tc>
        <w:tc>
          <w:tcPr>
            <w:tcW w:type="dxa" w:w="2438"/>
          </w:tcPr>
          <w:p>
            <w:r>
              <w:rPr>
                <w:sz w:val="17"/>
              </w:rPr>
              <w:t>Removidos da lista.</w:t>
            </w:r>
          </w:p>
        </w:tc>
      </w:tr>
    </w:tbl>
    <w:p>
      <w:pPr>
        <w:pStyle w:val="Heading1"/>
      </w:pPr>
      <w:r>
        <w:t>Sugestões não aplicadas (o corpo está no limite de 40 páginas)</w:t>
      </w:r>
    </w:p>
    <w:p>
      <w:pPr>
        <w:pStyle w:val="ListBullet"/>
      </w:pPr>
      <w:r>
        <w:t>§370: acrescentar que o choque do BCB é o petróleo em reais e o do TCC é o Brent em dólares, remetendo ao Apêndice K.5, que já reestima com o Brent em reais. É a principal ressalva que um leitor do BCB faria.</w:t>
      </w:r>
    </w:p>
    <w:p>
      <w:pPr>
        <w:pStyle w:val="ListBullet"/>
      </w:pPr>
      <w:r>
        <w:t>Sumário: a seção K.6 (Dinâmica específica a cada regime) existe no texto mas não aparece no sumário (problema anterior a esta revisão).</w:t>
      </w:r>
    </w:p>
    <w:p>
      <w:pPr>
        <w:pStyle w:val="ListBullet"/>
      </w:pPr>
      <w:r>
        <w:t>§273: qualificar “o intervalo é válido tenham os dados raiz unitária ou não” com “em horizontes curtos em relação à amostra”, que é a condição de Montiel Olea e Plagborg-Møller (2021).</w:t>
      </w:r>
    </w:p>
    <w:p>
      <w:pPr>
        <w:pStyle w:val="ListBullet"/>
      </w:pPr>
      <w:r>
        <w:t>§288: registrar que, com aumento de defasagem, o erro-padrão robusto só à heterocedasticidade já basta (Montiel Olea e Plagborg-Møller, 2021) e que o Newey-West dá as mesmas conclusões (teste anexo).</w:t>
      </w:r>
    </w:p>
    <w:p>
      <w:pPr>
        <w:pStyle w:val="ListBullet"/>
      </w:pPr>
      <w:r>
        <w:t>§290: Känzig (2021) reporta bandas de 68% e 90%.</w:t>
      </w:r>
    </w:p>
    <w:p>
      <w:pPr>
        <w:pStyle w:val="ListBullet"/>
      </w:pPr>
      <w:r>
        <w:t>§241: atribuir a perda de eficiência das projeções locais a Teulings e Zubanov (2014, Proposição 1).</w:t>
      </w:r>
    </w:p>
    <w:p>
      <w:pPr>
        <w:pStyle w:val="ListBullet"/>
      </w:pPr>
      <w:r>
        <w:t>Citar Bobeica e Hartwig (2021) no §251 (documentam que a pandemia altera de forma notável os parâmetros de curvas de Phillips e VARs da inflação na área do euro) e MacKinnon (2007) na nota da Tabela 6 (299 réplicas satisfazem a regra de α(B+1) inteiro), e então devolvê-los às referências.</w:t>
      </w:r>
    </w:p>
    <w:p>
      <w:pPr>
        <w:pStyle w:val="ListBullet"/>
      </w:pPr>
      <w:r>
        <w:t>Conferir se a base de preços de varejo (Global Fuel Prices Database, do Banco Mundial) deve constar das referências ao lado da base de medidas de controle de preços, já que os preços do §414 vêm dela.</w:t>
      </w:r>
    </w:p>
    <w:p>
      <w:pPr>
        <w:pStyle w:val="Heading1"/>
      </w:pPr>
      <w:r>
        <w:t>Arquivos</w:t>
      </w:r>
    </w:p>
    <w:p>
      <w:pPr>
        <w:pStyle w:val="ListBullet"/>
      </w:pPr>
      <w:r>
        <w:t>Backup do mestre antes desta revisão: historico/3_versoes_e_backups/backups_do_TCC/_backup_TCC_pre_revisao_referencias.docx.</w:t>
      </w:r>
    </w:p>
    <w:p>
      <w:pPr>
        <w:pStyle w:val="ListBullet"/>
      </w:pPr>
      <w:r>
        <w:t>Correções: referencias/conferencia_05out2026/aplicar_correcoes.py (cada troca exige que o trecho antigo apareça exatamente uma vez).</w:t>
      </w:r>
    </w:p>
    <w:p>
      <w:pPr>
        <w:pStyle w:val="ListBullet"/>
      </w:pPr>
      <w:r>
        <w:t>Fontes baixadas e textos extraídos: referencias/conferencia_05out2026/fontes e referencias/conferencia_05out2026/fontes/txt.</w:t>
      </w:r>
    </w:p>
    <w:p>
      <w:pPr>
        <w:pStyle w:val="ListBullet"/>
      </w:pPr>
      <w:r>
        <w:t>Comparação Newey-West x EHW: referencias/conferencia_05out2026/comparar_NW_EHW.py e comparacao_NW_EHW.csv.</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