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Roteiro de fala: apresentação de iniciação científica</w:t>
      </w:r>
    </w:p>
    <w:p>
      <w:r>
        <w:t>18 slides, tempo total previsto de 19 min 45 s, para uma apresentação de 20 minutos. O tempo de cada slide está entre parênteses; os números são os dos slides e do TCC.</w:t>
      </w:r>
    </w:p>
    <w:p>
      <w:pPr>
        <w:pStyle w:val="Heading2"/>
      </w:pPr>
      <w:r>
        <w:t>Capa  (30 s; acumulado 0:30)</w:t>
      </w:r>
    </w:p>
    <w:p>
      <w:r>
        <w:t>Boa tarde. Meu nome é Pedro Minella, sou aluno de Ciências Econômicas do Ibmec Brasília, e esta é a minha pesquisa de iniciação científica, orientada pelo professor Silvio Michael de Azevedo Costa. A pergunta do trabalho é simples: quanto de uma alta no preço internacional do petróleo chega à inflação brasileira, e em quanto tempo. A resposta curta é que depende da regra de preços dos combustíveis, e é isso que vou mostrar.</w:t>
      </w:r>
    </w:p>
    <w:p>
      <w:pPr>
        <w:pStyle w:val="Heading2"/>
      </w:pPr>
      <w:r>
        <w:t>01 Introdução  (75 s; acumulado 1:45)</w:t>
      </w:r>
    </w:p>
    <w:p>
      <w:r>
        <w:t>Por que essa pergunta importa? Primeiro, porque os conflitos no Oriente Médio recolocaram o petróleo no centro do debate, e o Banco Central precisa saber de antemão quanto de um choque vai virar inflação. Segundo, porque o choque é comum: em 51 dos 272 meses da amostra, a variação do Brent igualou ou superou um desvio-padrão, cerca de duas vezes por ano. Terceiro, porque no Brasil a regra mudou: a Petrobras vendeu abaixo da referência de 2011 a 2014 e adotou a paridade de importação em 2016, por decisão administrativa. E a literatura deixa duas lacunas: trata a regulação de preços como fixa em cada país e raramente mede quanto do efeito passa, de fato, pelos combustíveis. São essas duas lacunas que o trabalho ocupa.</w:t>
      </w:r>
    </w:p>
    <w:p>
      <w:pPr>
        <w:pStyle w:val="Heading2"/>
      </w:pPr>
      <w:r>
        <w:t>02 A pergunta  (45 s; acumulado 2:30)</w:t>
      </w:r>
    </w:p>
    <w:p>
      <w:r>
        <w:t>A pergunta tem duas dimensões: magnitude e velocidade. O gráfico mostra a gasolina na refinaria, em vermelho, e ao consumidor, em laranja, contra a gasolina do Golfo dos Estados Unidos e o Brent, todos em reais e com base 100 em 2003. Até 2016 a linha vermelha anda em degraus, descolada da referência. Depois, passa a acompanhá-la de perto.</w:t>
      </w:r>
    </w:p>
    <w:p>
      <w:pPr>
        <w:pStyle w:val="Heading2"/>
      </w:pPr>
      <w:r>
        <w:t>03 Por que o Brasil é um caso especial  (75 s; acumulado 3:45)</w:t>
      </w:r>
    </w:p>
    <w:p>
      <w:r>
        <w:t>Esta é a cronologia. De 2011 a 2014, contenção de preços, com perda de receita estimada em cerca de R$ 98 bilhões para a Petrobras. Em 14 de outubro de 2016, o anúncio da paridade de importação. Os dados, como vou mostrar, datam a mudança em março de 2017, cinco meses depois. Entre 2018 e 2022 houve intervenções pontuais, e em maio de 2023 a paridade terminou. O gráfico de baixo é a variação mensal do preço na refinaria: antes, o preço ficou parado em 16,6% dos meses, com variação mediana de 0,17%; depois, nenhum mês parado, e a variação mediana sobe para 4,27%. É o retrato de um preço administrado que vira um preço indexado.</w:t>
      </w:r>
    </w:p>
    <w:p>
      <w:pPr>
        <w:pStyle w:val="Heading2"/>
      </w:pPr>
      <w:r>
        <w:t>04 O que a literatura já sabe  (75 s; acumulado 5:00)</w:t>
      </w:r>
    </w:p>
    <w:p>
      <w:r>
        <w:t>O que a literatura já sabe. Primeiro, quanto chega: em 72 economias, Choi e coautores estimam que uma alta de 10% no petróleo eleva a inflação em cerca de 0,4 ponto no ano, e que esse repasse caiu com a melhora da política monetária. Segundo, nem todo choque é igual: Kilian mostra que choques de oferta, de demanda global e de demanda precaucional têm efeitos diferentes. Terceiro, a regra importa: em até 125 economias, Akcura mostra que países com preço regulado repassam muito menos. Mas esses trabalhos tratam a regulação como fixa em cada país. O Brasil permite ver a mesma economia antes e depois de uma mudança de regra.</w:t>
      </w:r>
    </w:p>
    <w:p>
      <w:pPr>
        <w:pStyle w:val="Heading2"/>
      </w:pPr>
      <w:r>
        <w:t>05 Dados e método  (75 s; acumulado 6:15)</w:t>
      </w:r>
    </w:p>
    <w:p>
      <w:r>
        <w:t>Os dados são mensais, de janeiro de 2003 a setembro de 2025, 273 meses. O choque é a variação do Brent em dólares, padronizada: um choque típico é uma alta de 10,7%. Estimo seis séries, da gasolina na refinaria ao IPCA cheio. O método tem quatro passos: medir o choque; localizar a mudança com um teste de quebra, cuja data é estimada pelos próprios dados; comparar os regimes com projeções locais; e rastrear o efeito da refinaria até o IPCA, separando o canal dos combustíveis.</w:t>
      </w:r>
    </w:p>
    <w:p>
      <w:pPr>
        <w:pStyle w:val="Heading2"/>
      </w:pPr>
      <w:r>
        <w:t>06 O modelo  (90 s; acumulado 7:45)</w:t>
      </w:r>
    </w:p>
    <w:p>
      <w:r>
        <w:t>Esta é a equação. À esquerda, quanto o nível de preços subiu h meses depois do choque. O coeficiente em verde é o repasse antes da mudança; o em vermelho, o repasse depois. O delta capta a mudança de nível entre os regimes, e os controles são três defasagens, câmbio, atividade, Selic, expectativa de inflação, sazonalidade e pandemia. Estimo uma regressão para cada horizonte, de 0 a 12 meses, nas seis séries. A data de corte é março de 2017, estimada pelos dados. E a pergunta central é o teste de Wald: o repasse antes é igual ao repasse depois? Se não for, a regra mudou o repasse.</w:t>
      </w:r>
    </w:p>
    <w:p>
      <w:pPr>
        <w:pStyle w:val="Heading2"/>
      </w:pPr>
      <w:r>
        <w:t>07 A data não foi escolhida, foi estimada  (75 s; acumulado 9:00)</w:t>
      </w:r>
    </w:p>
    <w:p>
      <w:r>
        <w:t>Como chegamos a março de 2017? Calculei a estatística de quebra para cada data candidata. O máximo é em março de 2017, com 58,1, contra um valor crítico de 42,9 a 5%. A faixa cinza mostra as datas compatíveis com os dados, de abril de 2016 a fevereiro de 2021. Ou seja, a data não é precisa ao mês, mas a mudança é clara. E se eu impuser a data do anúncio, outubro de 2016, o resultado se repete.</w:t>
      </w:r>
    </w:p>
    <w:p>
      <w:pPr>
        <w:pStyle w:val="Heading2"/>
      </w:pPr>
      <w:r>
        <w:t>08 O resultado central  (90 s; acumulado 10:30)</w:t>
      </w:r>
    </w:p>
    <w:p>
      <w:r>
        <w:t>Este é o resultado central. No mês do choque, o repasse ao IPCA era de 0,005 ponto percentual antes da mudança. Depois, fica entre 0,088 e 0,176, conforme o tratamento da pandemia. Mais importante que o número é o padrão: antes da paridade, nenhuma das 18 estimativas, que são seis séries em três horizontes, se distingue de zero. Depois, as 18 são significativas. E há um ponto metodológico: se eu não separar os regimes, o teste conjunto não rejeita a ausência de efeito no IPCA, com p de 0,194. A média da amostra inteira esconde a mudança.</w:t>
      </w:r>
    </w:p>
    <w:p>
      <w:pPr>
        <w:pStyle w:val="Heading2"/>
      </w:pPr>
      <w:r>
        <w:t>09 O impacto no IPCA e no IPCA Transportes  (60 s; acumulado 11:30)</w:t>
      </w:r>
    </w:p>
    <w:p>
      <w:r>
        <w:t>Olhando o IPCA cheio e o grupo Transportes lado a lado. No IPCA cheio, o impacto passa de 0,005 para 0,176, e o teste de Wald rejeita a igualdade com p de 0,001. No IPCA Transportes, que contém os combustíveis, o efeito é maior: passa de 0,065 para 0,675, com p menor que 0,001. Nas duas séries, a curva verde fica colada no zero e a vermelha salta já no primeiro mês.</w:t>
      </w:r>
    </w:p>
    <w:p>
      <w:pPr>
        <w:pStyle w:val="Heading2"/>
      </w:pPr>
      <w:r>
        <w:t>10 Quando e por onde o efeito passa  (60 s; acumulado 12:30)</w:t>
      </w:r>
    </w:p>
    <w:p>
      <w:r>
        <w:t>Quando e por onde o efeito passa. Quando: rápido, quase toda a resposta aparece nos dois primeiros meses. Por onde: pelos combustíveis. Em três meses, o canal dos combustíveis carrega 0,003 ponto antes e 0,249 depois. O gráfico mostra a gasolina na refinaria e ao consumidor: depois da mudança, a refinaria responde forte já no mês do choque, e a bomba acompanha. No próximo slide, separo esse efeito em dois caminhos.</w:t>
      </w:r>
    </w:p>
    <w:p>
      <w:pPr>
        <w:pStyle w:val="Heading2"/>
      </w:pPr>
      <w:r>
        <w:t>11 Primeiro e segundo efeito  (60 s; acumulado 13:30)</w:t>
      </w:r>
    </w:p>
    <w:p>
      <w:r>
        <w:t>Dentro do canal dos combustíveis, há dois caminhos. O primeiro efeito é aritmético: gasolina, diesel e etanol estão na cesta do IPCA, então, se sobem, o índice sobe sem que nenhum outro preço mude. O segundo efeito é econômico: o combustível mais caro encarece frete e insumos, e preços que não são combustível também sobem. Calculo o primeiro efeito pelos pesos da cesta e estimo o segundo depois de tirar essa parcela do índice. No mês do choque, o primeiro efeito responde por 63% do total; em três meses, os dois se igualam; em seis meses, o segundo efeito já é 87%, e em doze, 80%. A ressalva: o segundo efeito não é significativo em três meses, com p de 0,124, e a significância depende do cenário de pesos. O que é firme é a trajetória: o efeito da cesta é imediato e se esgota; o de custos é mais lento e persiste.</w:t>
      </w:r>
    </w:p>
    <w:p>
      <w:pPr>
        <w:pStyle w:val="Heading2"/>
      </w:pPr>
      <w:r>
        <w:t>12 De que tamanho é isso  (90 s; acumulado 15:00)</w:t>
      </w:r>
    </w:p>
    <w:p>
      <w:r>
        <w:t>De que tamanho é isso? Fiz um exercício contrafactual: apliquei os choques de cada ano às duas regras e acumulei a contribuição ano a ano, reiniciando em janeiro, como o IPCA anual. Em 2021, a regra de paridade acrescentou 1,72 ponto, cerca de 18% do IPCA do ano, que foi de 10,06%. Em 2022, 1,15 ponto, cerca de 21% do IPCA de 5,79%. Em 2020, ano em que o petróleo despencou na pandemia, o sinal se inverte: pela conta, a paridade tirou 2,31 pontos do IPCA em relação à regra anterior. Mas esse é o número mais incerto: o modelo foi estimado sem os meses da pandemia e trata altas e quedas como iguais; com o índice de Oxford, seriam 0,63 ponto. Os intervalos são largos e o exercício é de equilíbrio parcial: mede a contribuição do petróleo, mantido o resto, e não diz qual teria sido a inflação.</w:t>
      </w:r>
    </w:p>
    <w:p>
      <w:pPr>
        <w:pStyle w:val="Heading2"/>
      </w:pPr>
      <w:r>
        <w:t>13 O Brasil no mapa  (60 s; acumulado 16:00)</w:t>
      </w:r>
    </w:p>
    <w:p>
      <w:r>
        <w:t>O Brasil no mapa. Com a base do Banco Mundial que acompanha o trabalho de Akcura, comparei 65 países na alta de abril de 2020 a junho de 2022, do vale ao pico do petróleo, a mesma janela daquele trabalho. Países com preço desregulado repassaram, na mediana, 0,798 da variação internacional; os regulados, 0,288, um repasse quase três vezes menor. O Brasil aparece com 0,868, entre os 25% maiores e em sexto na América Latina. É o mesmo mecanismo, agora entre países.</w:t>
      </w:r>
    </w:p>
    <w:p>
      <w:pPr>
        <w:pStyle w:val="Heading2"/>
      </w:pPr>
      <w:r>
        <w:t>14 O resultado à luz da literatura  (75 s; acumulado 17:15)</w:t>
      </w:r>
    </w:p>
    <w:p>
      <w:r>
        <w:t>Comparando com a literatura, em pontos por alta de 10% no petróleo. Antes da mudança, o Brasil era um caso extremo: Choi e coautores, com dados de 2000 a 2015, colocam o Brasil em último entre 71 economias. Depois, o Brasil se aproxima dos Estados Unidos: o IPCA sobe 0,33 ponto no pico, contra 0,4% no índice americano segundo Känzig. E no canal dos combustíveis, a estimativa de 0,23 em três meses cai dentro da calibração do Banco Central para 2021, de 0,20 a 0,27. Os métodos diferem, então é uma comparação de ordem de grandeza.</w:t>
      </w:r>
    </w:p>
    <w:p>
      <w:pPr>
        <w:pStyle w:val="Heading2"/>
      </w:pPr>
      <w:r>
        <w:t>15 Robustez  (75 s; acumulado 18:30)</w:t>
      </w:r>
    </w:p>
    <w:p>
      <w:r>
        <w:t>Robustez. Primeiro, a endogeneidade: o Brent responde à demanda mundial, que também afeta a inflação brasileira, então trato o choque como endógeno, e os coeficientes como associações condicionais. Se o viés for igual nos dois regimes, ele se cancela na diferença; é uma hipótese. O Brasil é tomador de preço, e a proporção de meses de alta até cai depois, de 59,8% para 54,4%. Segundo, a variável instrumental. Para o choque, a surpresa de oferta da OPEP, de Känzig, é instrumento fraco, com F entre 2,2 e 6,6. Para os combustíveis, a margem de refino do diesel é forte depois de 2017, com F entre 19 e 31 do primeiro mês em diante, embora fique em 6,9 no próprio mês do choque. Com ela, o efeito dos combustíveis sobre o IPCA aparece em um e dois meses, sem efeito sobre os demais preços em até seis meses. Por fim, outras especificações: com a data do anúncio, 0,155; até o fim da paridade, 0,214; com a pandemia por índice de rigor, 0,088; e controlando a inflação global, 0,170. Em todas, o contraste se mantém.</w:t>
      </w:r>
    </w:p>
    <w:p>
      <w:pPr>
        <w:pStyle w:val="Heading2"/>
      </w:pPr>
      <w:r>
        <w:t>16 Conclusão  (60 s; acumulado 19:30)</w:t>
      </w:r>
    </w:p>
    <w:p>
      <w:r>
        <w:t>Para concluir: o repasse não é um parâmetro constante nas economias; no Brasil, ele é consequência da regra de formação de preços. Quanto: no mês do choque, o repasse ao IPCA passou de 0,005 para algo entre 0,088 e 0,176 ponto. Quando: quase todo nos dois primeiros meses. Por onde: pelos combustíveis. A implicação é que a calibragem do repasse precisa ser revista sempre que a regra muda, e que médias de amostras longas podem esconder regimes diferentes.</w:t>
      </w:r>
    </w:p>
    <w:p>
      <w:pPr>
        <w:pStyle w:val="Heading2"/>
      </w:pPr>
      <w:r>
        <w:t>Obrigado  (15 s; acumulado 19:45)</w:t>
      </w:r>
    </w:p>
    <w:p>
      <w:r>
        <w:t>Obrigado. Fico à disposição para as perguntas.</w:t>
      </w:r>
    </w:p>
    <w:p>
      <w:r>
        <w:br w:type="page"/>
      </w:r>
    </w:p>
    <w:p>
      <w:pPr>
        <w:pStyle w:val="Heading1"/>
      </w:pPr>
      <w:r>
        <w:t>Perguntas prováveis da banca</w:t>
      </w:r>
    </w:p>
    <w:p>
      <w:r>
        <w:rPr>
          <w:b/>
        </w:rPr>
        <w:t>Por que usar o Brent e não o choque de Kilian?</w:t>
      </w:r>
    </w:p>
    <w:p>
      <w:r>
        <w:t>Porque o objeto é a transmissão do preço observado, que é a referência que a regra de precificação usa. A política da Petrobras toma a cotação internacional como parâmetro, e o Brent é a referência usual no Brasil. Kilian mede o custo do petróleo importado pelas refinarias dos EUA, adequado ao mercado americano.</w:t>
      </w:r>
    </w:p>
    <w:p>
      <w:r>
        <w:rPr>
          <w:b/>
        </w:rPr>
        <w:t>E se o resultado vier de mudança no tipo de choque (oferta ou demanda), e não da regra?</w:t>
      </w:r>
    </w:p>
    <w:p>
      <w:r>
        <w:t>O choque é tratado como endógeno, e a leitura do contraste supõe que a contaminação seja parecida antes e depois; nesse caso, ela se cancela. Além disso, a parcela de meses sem reajuste na refinaria cai de 16,6% para zero, mudança de comportamento do preço doméstico que a composição do choque internacional não produz. A surpresa de oferta de Känzig é instrumento fraco para o choque, com F de 2,2 a 6,6; para o diesel, a margem de refino é forte depois de 2017 e confirma o efeito dos combustíveis sobre o IPCA (seção 4.8).</w:t>
      </w:r>
    </w:p>
    <w:p>
      <w:r>
        <w:rPr>
          <w:b/>
        </w:rPr>
        <w:t>Por que estimar a data em vez de usar o anúncio de outubro de 2016?</w:t>
      </w:r>
    </w:p>
    <w:p>
      <w:r>
        <w:t>Porque o anúncio marca a decisão, não a implementação, que foi progressiva. Mas impondo outubro de 2016 o resultado se repete: os 18 coeficientes do regime posterior seguem significativos e nenhum do anterior, e o IPCA no impacto fica em 0,155, contra 0,176 com a data estimada.</w:t>
      </w:r>
    </w:p>
    <w:p>
      <w:r>
        <w:rPr>
          <w:b/>
        </w:rPr>
        <w:t>Fizeram teste de placebo?</w:t>
      </w:r>
    </w:p>
    <w:p>
      <w:r>
        <w:t>Sim. O choque de um mês não pode prever a inflação dos meses anteriores. Estimei a mesma equação com a inflação de um a três meses antes do choque: 17 dos 18 coeficientes não são significativos a 10%. A exceção, a refinaria um mês antes, com 0,644, cai para 0,350 e perde significância quando se inclui o choque daquele mês, porque o choque tem autocorrelação de 0,29.</w:t>
      </w:r>
    </w:p>
    <w:p>
      <w:r>
        <w:rPr>
          <w:b/>
        </w:rPr>
        <w:t>E o câmbio?</w:t>
      </w:r>
    </w:p>
    <w:p>
      <w:r>
        <w:t>O câmbio entra como controle, defasado. Não entra no mês do choque porque responde ao próprio choque de petróleo dentro do mês, e incluí-lo absorveria parte do efeito que se quer medir.</w:t>
      </w:r>
    </w:p>
    <w:p>
      <w:r>
        <w:rPr>
          <w:b/>
        </w:rPr>
        <w:t>Como a pandemia foi tratada? Por que dummies e não o índice de Oxford?</w:t>
      </w:r>
    </w:p>
    <w:p>
      <w:r>
        <w:t>Com uma dummy para cada mês de março a dezembro de 2020. No mês do choque, isso equivale a tirar esses meses da conta, porque neles o petróleo despencou e voltou por causa da pandemia. Testei o índice de rigor de Oxford no lugar das dummies: o impacto no IPCA cai para 0,088, o mesmo valor de não controlar nada, porque o índice quase não anda junto com o choque. E, com esses meses dentro, o teste de data passa a apontar fevereiro de 2021, ou seja, encontra a pandemia e não a mudança de regra. Por isso mantenho as dummies e reporto a faixa de 0,088 a 0,176; nas duas versões a diferença entre antes e depois é significativa, com p de 0,001 e 0,016.</w:t>
      </w:r>
    </w:p>
    <w:p>
      <w:r>
        <w:rPr>
          <w:b/>
        </w:rPr>
        <w:t>Por que erro-padrão de Newey-West?</w:t>
      </w:r>
    </w:p>
    <w:p>
      <w:r>
        <w:t>Porque a resposta acumulada sobrepõe janelas de meses, o que gera autocorrelação nos resíduos. O erro de Newey-West corrige isso. Comparado ao erro-padrão robusto simples, as conclusões são as mesmas: 35 e 37 rejeições em 78 testes.</w:t>
      </w:r>
    </w:p>
    <w:p>
      <w:r>
        <w:rPr>
          <w:b/>
        </w:rPr>
        <w:t>Por que três defasagens?</w:t>
      </w:r>
    </w:p>
    <w:p>
      <w:r>
        <w:t>Os critérios de informação indicam uma (bayesiano) ou duas (Akaike). Uso três seguindo o aumento de defasagem de Montiel Olea e Plagborg-Møller, que garante inferência válida mesmo com regressores persistentes, como a Selic.</w:t>
      </w:r>
    </w:p>
    <w:p>
      <w:r>
        <w:rPr>
          <w:b/>
        </w:rPr>
        <w:t>Por que a amostra começa em 2003?</w:t>
      </w:r>
    </w:p>
    <w:p>
      <w:r>
        <w:t>Para excluir a crise cambial de 2002 e ficar inteiramente no regime de metas já consolidado, de modo que a mudança documentada não se confunda com transição de regime monetário.</w:t>
      </w:r>
    </w:p>
    <w:p>
      <w:r>
        <w:rPr>
          <w:b/>
        </w:rPr>
        <w:t>Por que a comparação entre países usa abril de 2020 a junho de 2022?</w:t>
      </w:r>
    </w:p>
    <w:p>
      <w:r>
        <w:t>É a janela de alta do próprio Akcura, o segundo subperíodo daquele trabalho: começa em abril de 2020, quando o Brent caiu ao menor nível desde 1999, e termina em junho de 2022, no pico. Na região, os dois maiores repasses são de Panamá e Belize, que são regulados; por isso a leitura é a da mediana, e não país a país.</w:t>
      </w:r>
    </w:p>
    <w:p>
      <w:r>
        <w:rPr>
          <w:b/>
        </w:rPr>
        <w:t>O resultado se mantém com outro método, como um VAR?</w:t>
      </w:r>
    </w:p>
    <w:p>
      <w:r>
        <w:t>Sim, está no Apêndice K.7. Um VAR por regime com as mesmas variáveis, três defasagens e o petróleo ordenado primeiro chega ao mesmo padrão: o IPCA no impacto vai de 0,000 para 0,094 e, em três meses, de 0,028 para 0,335, com a banda de 90% do regime posterior acima de zero. Por unidade de choque, 0,295 contra 0,036 em três meses. Uso o VAR para confirmar o padrão, e não o número, porque ele não tem indicadoras de pandemia nem de mês.</w:t>
      </w:r>
    </w:p>
    <w:p>
      <w:r>
        <w:rPr>
          <w:b/>
        </w:rPr>
        <w:t>E as intervenções tributárias de 2017 a 2023?</w:t>
      </w:r>
    </w:p>
    <w:p>
      <w:r>
        <w:t>Com indicadoras para a alta de PIS/Cofins de 2017, a subvenção ao diesel de 2018 e as desonerações de 2022 e a reoneração de 2023, o impacto no IPCA sobe de 0,176 para 0,185. As intervenções atenuam o repasse, então a estimativa principal é conservadora.</w:t>
      </w:r>
    </w:p>
    <w:p>
      <w:r>
        <w:rPr>
          <w:b/>
        </w:rPr>
        <w:t>Pode haver uma segunda quebra, por exemplo em 2011?</w:t>
      </w:r>
    </w:p>
    <w:p>
      <w:r>
        <w:t>Procurei uma segunda quebra dentro de cada regime e não há: p de 0,107 no período anterior e de 0,615 no posterior.</w:t>
      </w:r>
    </w:p>
    <w:p>
      <w:r>
        <w:rPr>
          <w:b/>
        </w:rPr>
        <w:t>O repasse é igual para altas e quedas do petróleo?</w:t>
      </w:r>
    </w:p>
    <w:p>
      <w:r>
        <w:t>No IPCA, sim: 0,141 para altas e 0,207 para quedas no mês do choque, com p de 0,686 para a simetria. No diesel, não: sobe 4,118 com uma alta e 0,623 com uma queda, com p de 0,002, mas esse resultado é sensível ao tratamento da pandemia.</w:t>
      </w:r>
    </w:p>
    <w:p>
      <w:r>
        <w:rPr>
          <w:b/>
        </w:rPr>
        <w:t>E se o choque for medido em reais?</w:t>
      </w:r>
    </w:p>
    <w:p>
      <w:r>
        <w:t>O contraste se mantém no impacto e em um mês, com p de 0,006 e 0,004, mas não em três meses, com p de 0,391. Por isso a conclusão se apoia no impacto e no mês seguinte.</w:t>
      </w:r>
    </w:p>
    <w:p>
      <w:r>
        <w:rPr>
          <w:b/>
        </w:rPr>
        <w:t>E se mudar o número de defasagens?</w:t>
      </w:r>
    </w:p>
    <w:p>
      <w:r>
        <w:t>De uma a seis defasagens, o impacto no IPCA fica entre 0,161 e 0,184, e a igualdade entre regimes é rejeitada a menos de 1% em todas. Com a correção de Teulings e Zubanov, as rejeições sobem de 35 para 47.</w:t>
      </w:r>
    </w:p>
    <w:p>
      <w:r>
        <w:rPr>
          <w:b/>
        </w:rPr>
        <w:t>O exercício contrafactual diz que a inflação teria sido menor?</w:t>
      </w:r>
    </w:p>
    <w:p>
      <w:r>
        <w:t>Não. É equilíbrio parcial: mede quanto a contribuição dos choques de petróleo teria sido menor, mantido o resto. Com repasse menor, a política monetária e as expectativas teriam sido outras.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