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359375" w14:textId="77777777" w:rsidR="00A804E7" w:rsidRPr="00A804E7" w:rsidRDefault="00A804E7" w:rsidP="00A804E7">
      <w:pPr>
        <w:rPr>
          <w:rFonts w:ascii="Times New Roman" w:hAnsi="Times New Roman" w:cs="Times New Roman"/>
          <w:b/>
          <w:bCs/>
        </w:rPr>
      </w:pPr>
      <w:r w:rsidRPr="00A804E7">
        <w:rPr>
          <w:rFonts w:ascii="Times New Roman" w:hAnsi="Times New Roman" w:cs="Times New Roman"/>
          <w:b/>
          <w:bCs/>
        </w:rPr>
        <w:t>Código do VECM</w:t>
      </w:r>
    </w:p>
    <w:p w14:paraId="0D66E405" w14:textId="77777777" w:rsidR="00A804E7" w:rsidRPr="00A804E7" w:rsidRDefault="00A804E7" w:rsidP="00A804E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804E7">
        <w:rPr>
          <w:rFonts w:ascii="Times New Roman" w:hAnsi="Times New Roman" w:cs="Times New Roman"/>
        </w:rPr>
        <w:t xml:space="preserve">Leitura da mesma base de dados do Excel. </w:t>
      </w:r>
    </w:p>
    <w:p w14:paraId="3F46589A" w14:textId="77777777" w:rsidR="00A804E7" w:rsidRPr="00A804E7" w:rsidRDefault="00A804E7" w:rsidP="00A804E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804E7">
        <w:rPr>
          <w:rFonts w:ascii="Times New Roman" w:hAnsi="Times New Roman" w:cs="Times New Roman"/>
        </w:rPr>
        <w:t xml:space="preserve">Conversão da coluna de datas. </w:t>
      </w:r>
    </w:p>
    <w:p w14:paraId="08C1DC0C" w14:textId="77777777" w:rsidR="00A804E7" w:rsidRPr="00A804E7" w:rsidRDefault="00A804E7" w:rsidP="00A804E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804E7">
        <w:rPr>
          <w:rFonts w:ascii="Times New Roman" w:hAnsi="Times New Roman" w:cs="Times New Roman"/>
        </w:rPr>
        <w:t xml:space="preserve">Início da amostra em </w:t>
      </w:r>
      <w:r w:rsidRPr="00A804E7">
        <w:rPr>
          <w:rFonts w:ascii="Times New Roman" w:hAnsi="Times New Roman" w:cs="Times New Roman"/>
          <w:b/>
          <w:bCs/>
        </w:rPr>
        <w:t>2003</w:t>
      </w:r>
      <w:r w:rsidRPr="00A804E7">
        <w:rPr>
          <w:rFonts w:ascii="Times New Roman" w:hAnsi="Times New Roman" w:cs="Times New Roman"/>
        </w:rPr>
        <w:t xml:space="preserve">. </w:t>
      </w:r>
    </w:p>
    <w:p w14:paraId="10237282" w14:textId="77777777" w:rsidR="00A804E7" w:rsidRPr="00A804E7" w:rsidRDefault="00A804E7" w:rsidP="00A804E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804E7">
        <w:rPr>
          <w:rFonts w:ascii="Times New Roman" w:hAnsi="Times New Roman" w:cs="Times New Roman"/>
        </w:rPr>
        <w:t xml:space="preserve">Repetição do tratamento inicial para manter consistência com a análise do VAR. </w:t>
      </w:r>
    </w:p>
    <w:p w14:paraId="3AEC96E8" w14:textId="77777777" w:rsidR="00A804E7" w:rsidRPr="00A804E7" w:rsidRDefault="00A804E7" w:rsidP="00A804E7">
      <w:pPr>
        <w:rPr>
          <w:rFonts w:ascii="Times New Roman" w:hAnsi="Times New Roman" w:cs="Times New Roman"/>
          <w:b/>
          <w:bCs/>
        </w:rPr>
      </w:pPr>
      <w:r w:rsidRPr="00A804E7">
        <w:rPr>
          <w:rFonts w:ascii="Times New Roman" w:hAnsi="Times New Roman" w:cs="Times New Roman"/>
          <w:b/>
          <w:bCs/>
        </w:rPr>
        <w:t>Tratamento das séries</w:t>
      </w:r>
    </w:p>
    <w:p w14:paraId="2166062B" w14:textId="77777777" w:rsidR="00A804E7" w:rsidRPr="00A804E7" w:rsidRDefault="00A804E7" w:rsidP="00A804E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804E7">
        <w:rPr>
          <w:rFonts w:ascii="Times New Roman" w:hAnsi="Times New Roman" w:cs="Times New Roman"/>
        </w:rPr>
        <w:t xml:space="preserve">Padronização das mesmas variáveis usadas antes. </w:t>
      </w:r>
    </w:p>
    <w:p w14:paraId="620768D3" w14:textId="77777777" w:rsidR="00A804E7" w:rsidRPr="00A804E7" w:rsidRDefault="00A804E7" w:rsidP="00A804E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804E7">
        <w:rPr>
          <w:rFonts w:ascii="Times New Roman" w:hAnsi="Times New Roman" w:cs="Times New Roman"/>
        </w:rPr>
        <w:t xml:space="preserve">Reconstrução dos índices para séries que estavam em variação mensal. </w:t>
      </w:r>
    </w:p>
    <w:p w14:paraId="514D5240" w14:textId="77777777" w:rsidR="00A804E7" w:rsidRPr="00A804E7" w:rsidRDefault="00A804E7" w:rsidP="00A804E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804E7">
        <w:rPr>
          <w:rFonts w:ascii="Times New Roman" w:hAnsi="Times New Roman" w:cs="Times New Roman"/>
        </w:rPr>
        <w:t xml:space="preserve">Conversão das séries para </w:t>
      </w:r>
      <w:r w:rsidRPr="00A804E7">
        <w:rPr>
          <w:rFonts w:ascii="Times New Roman" w:hAnsi="Times New Roman" w:cs="Times New Roman"/>
          <w:b/>
          <w:bCs/>
        </w:rPr>
        <w:t>log-níveis</w:t>
      </w:r>
      <w:r w:rsidRPr="00A804E7">
        <w:rPr>
          <w:rFonts w:ascii="Times New Roman" w:hAnsi="Times New Roman" w:cs="Times New Roman"/>
        </w:rPr>
        <w:t xml:space="preserve">. </w:t>
      </w:r>
    </w:p>
    <w:p w14:paraId="1E5934CC" w14:textId="77777777" w:rsidR="00A804E7" w:rsidRPr="00A804E7" w:rsidRDefault="00A804E7" w:rsidP="00A804E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804E7">
        <w:rPr>
          <w:rFonts w:ascii="Times New Roman" w:hAnsi="Times New Roman" w:cs="Times New Roman"/>
        </w:rPr>
        <w:t xml:space="preserve">Cálculo adicional das primeiras diferenças do log para a parte de curto prazo. </w:t>
      </w:r>
    </w:p>
    <w:p w14:paraId="5F4B3DE4" w14:textId="77777777" w:rsidR="00A804E7" w:rsidRPr="00A804E7" w:rsidRDefault="00A804E7" w:rsidP="00A804E7">
      <w:pPr>
        <w:rPr>
          <w:rFonts w:ascii="Times New Roman" w:hAnsi="Times New Roman" w:cs="Times New Roman"/>
          <w:b/>
          <w:bCs/>
        </w:rPr>
      </w:pPr>
      <w:r w:rsidRPr="00A804E7">
        <w:rPr>
          <w:rFonts w:ascii="Times New Roman" w:hAnsi="Times New Roman" w:cs="Times New Roman"/>
          <w:b/>
          <w:bCs/>
        </w:rPr>
        <w:t>Ideia econométrica do VECM</w:t>
      </w:r>
    </w:p>
    <w:p w14:paraId="64922E1D" w14:textId="77777777" w:rsidR="00A804E7" w:rsidRPr="00A804E7" w:rsidRDefault="00A804E7" w:rsidP="00A804E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804E7">
        <w:rPr>
          <w:rFonts w:ascii="Times New Roman" w:hAnsi="Times New Roman" w:cs="Times New Roman"/>
        </w:rPr>
        <w:t xml:space="preserve">O VECM foi usado porque algumas séries mostraram sinais de </w:t>
      </w:r>
      <w:proofErr w:type="spellStart"/>
      <w:r w:rsidRPr="00A804E7">
        <w:rPr>
          <w:rFonts w:ascii="Times New Roman" w:hAnsi="Times New Roman" w:cs="Times New Roman"/>
          <w:b/>
          <w:bCs/>
        </w:rPr>
        <w:t>cointegração</w:t>
      </w:r>
      <w:proofErr w:type="spellEnd"/>
      <w:r w:rsidRPr="00A804E7">
        <w:rPr>
          <w:rFonts w:ascii="Times New Roman" w:hAnsi="Times New Roman" w:cs="Times New Roman"/>
        </w:rPr>
        <w:t xml:space="preserve">. </w:t>
      </w:r>
    </w:p>
    <w:p w14:paraId="57000A04" w14:textId="77777777" w:rsidR="00A804E7" w:rsidRPr="00A804E7" w:rsidRDefault="00A804E7" w:rsidP="00A804E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804E7">
        <w:rPr>
          <w:rFonts w:ascii="Times New Roman" w:hAnsi="Times New Roman" w:cs="Times New Roman"/>
        </w:rPr>
        <w:t xml:space="preserve">O modelo permite trabalhar ao mesmo tempo com: </w:t>
      </w:r>
    </w:p>
    <w:p w14:paraId="378D227B" w14:textId="77777777" w:rsidR="00A804E7" w:rsidRPr="00A804E7" w:rsidRDefault="00A804E7" w:rsidP="00A804E7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A804E7">
        <w:rPr>
          <w:rFonts w:ascii="Times New Roman" w:hAnsi="Times New Roman" w:cs="Times New Roman"/>
          <w:b/>
          <w:bCs/>
        </w:rPr>
        <w:t>curto prazo</w:t>
      </w:r>
      <w:r w:rsidRPr="00A804E7">
        <w:rPr>
          <w:rFonts w:ascii="Times New Roman" w:hAnsi="Times New Roman" w:cs="Times New Roman"/>
        </w:rPr>
        <w:t xml:space="preserve">, via diferenças </w:t>
      </w:r>
    </w:p>
    <w:p w14:paraId="3C709928" w14:textId="77777777" w:rsidR="00A804E7" w:rsidRPr="00A804E7" w:rsidRDefault="00A804E7" w:rsidP="00A804E7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A804E7">
        <w:rPr>
          <w:rFonts w:ascii="Times New Roman" w:hAnsi="Times New Roman" w:cs="Times New Roman"/>
          <w:b/>
          <w:bCs/>
        </w:rPr>
        <w:t>longo prazo</w:t>
      </w:r>
      <w:r w:rsidRPr="00A804E7">
        <w:rPr>
          <w:rFonts w:ascii="Times New Roman" w:hAnsi="Times New Roman" w:cs="Times New Roman"/>
        </w:rPr>
        <w:t xml:space="preserve">, via relação de </w:t>
      </w:r>
      <w:proofErr w:type="spellStart"/>
      <w:r w:rsidRPr="00A804E7">
        <w:rPr>
          <w:rFonts w:ascii="Times New Roman" w:hAnsi="Times New Roman" w:cs="Times New Roman"/>
        </w:rPr>
        <w:t>cointegração</w:t>
      </w:r>
      <w:proofErr w:type="spellEnd"/>
      <w:r w:rsidRPr="00A804E7">
        <w:rPr>
          <w:rFonts w:ascii="Times New Roman" w:hAnsi="Times New Roman" w:cs="Times New Roman"/>
        </w:rPr>
        <w:t xml:space="preserve"> </w:t>
      </w:r>
    </w:p>
    <w:p w14:paraId="46B07084" w14:textId="77777777" w:rsidR="00A804E7" w:rsidRPr="00A804E7" w:rsidRDefault="00A804E7" w:rsidP="00A804E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804E7">
        <w:rPr>
          <w:rFonts w:ascii="Times New Roman" w:hAnsi="Times New Roman" w:cs="Times New Roman"/>
        </w:rPr>
        <w:t xml:space="preserve">Assim, ele é mais apropriado quando as séries são </w:t>
      </w:r>
      <w:proofErr w:type="gramStart"/>
      <w:r w:rsidRPr="00A804E7">
        <w:rPr>
          <w:rFonts w:ascii="Times New Roman" w:hAnsi="Times New Roman" w:cs="Times New Roman"/>
        </w:rPr>
        <w:t>I(</w:t>
      </w:r>
      <w:proofErr w:type="gramEnd"/>
      <w:r w:rsidRPr="00A804E7">
        <w:rPr>
          <w:rFonts w:ascii="Times New Roman" w:hAnsi="Times New Roman" w:cs="Times New Roman"/>
        </w:rPr>
        <w:t xml:space="preserve">1) e </w:t>
      </w:r>
      <w:proofErr w:type="spellStart"/>
      <w:r w:rsidRPr="00A804E7">
        <w:rPr>
          <w:rFonts w:ascii="Times New Roman" w:hAnsi="Times New Roman" w:cs="Times New Roman"/>
        </w:rPr>
        <w:t>cointegradas</w:t>
      </w:r>
      <w:proofErr w:type="spellEnd"/>
      <w:r w:rsidRPr="00A804E7">
        <w:rPr>
          <w:rFonts w:ascii="Times New Roman" w:hAnsi="Times New Roman" w:cs="Times New Roman"/>
        </w:rPr>
        <w:t xml:space="preserve">. </w:t>
      </w:r>
    </w:p>
    <w:p w14:paraId="79D961C0" w14:textId="77777777" w:rsidR="00A804E7" w:rsidRPr="00A804E7" w:rsidRDefault="00A804E7" w:rsidP="00A804E7">
      <w:pPr>
        <w:rPr>
          <w:rFonts w:ascii="Times New Roman" w:hAnsi="Times New Roman" w:cs="Times New Roman"/>
          <w:b/>
          <w:bCs/>
        </w:rPr>
      </w:pPr>
      <w:r w:rsidRPr="00A804E7">
        <w:rPr>
          <w:rFonts w:ascii="Times New Roman" w:hAnsi="Times New Roman" w:cs="Times New Roman"/>
          <w:b/>
          <w:bCs/>
        </w:rPr>
        <w:t>Variáveis exógenas</w:t>
      </w:r>
    </w:p>
    <w:p w14:paraId="2387EEE0" w14:textId="77777777" w:rsidR="00A804E7" w:rsidRPr="00A804E7" w:rsidRDefault="00A804E7" w:rsidP="00A804E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804E7">
        <w:rPr>
          <w:rFonts w:ascii="Times New Roman" w:hAnsi="Times New Roman" w:cs="Times New Roman"/>
        </w:rPr>
        <w:t xml:space="preserve">Inclusão de: </w:t>
      </w:r>
    </w:p>
    <w:p w14:paraId="30E3BF0C" w14:textId="77777777" w:rsidR="00A804E7" w:rsidRPr="00A804E7" w:rsidRDefault="00A804E7" w:rsidP="00A804E7">
      <w:pPr>
        <w:numPr>
          <w:ilvl w:val="1"/>
          <w:numId w:val="4"/>
        </w:numPr>
        <w:rPr>
          <w:rFonts w:ascii="Times New Roman" w:hAnsi="Times New Roman" w:cs="Times New Roman"/>
        </w:rPr>
      </w:pPr>
      <w:proofErr w:type="spellStart"/>
      <w:r w:rsidRPr="00A804E7">
        <w:rPr>
          <w:rFonts w:ascii="Times New Roman" w:hAnsi="Times New Roman" w:cs="Times New Roman"/>
        </w:rPr>
        <w:t>dln_atividade</w:t>
      </w:r>
      <w:proofErr w:type="spellEnd"/>
      <w:r w:rsidRPr="00A804E7">
        <w:rPr>
          <w:rFonts w:ascii="Times New Roman" w:hAnsi="Times New Roman" w:cs="Times New Roman"/>
        </w:rPr>
        <w:t xml:space="preserve"> </w:t>
      </w:r>
    </w:p>
    <w:p w14:paraId="2C2507A0" w14:textId="77777777" w:rsidR="00A804E7" w:rsidRPr="00A804E7" w:rsidRDefault="00A804E7" w:rsidP="00A804E7">
      <w:pPr>
        <w:numPr>
          <w:ilvl w:val="1"/>
          <w:numId w:val="4"/>
        </w:numPr>
        <w:rPr>
          <w:rFonts w:ascii="Times New Roman" w:hAnsi="Times New Roman" w:cs="Times New Roman"/>
        </w:rPr>
      </w:pPr>
      <w:proofErr w:type="spellStart"/>
      <w:r w:rsidRPr="00A804E7">
        <w:rPr>
          <w:rFonts w:ascii="Times New Roman" w:hAnsi="Times New Roman" w:cs="Times New Roman"/>
        </w:rPr>
        <w:t>dummies</w:t>
      </w:r>
      <w:proofErr w:type="spellEnd"/>
      <w:r w:rsidRPr="00A804E7">
        <w:rPr>
          <w:rFonts w:ascii="Times New Roman" w:hAnsi="Times New Roman" w:cs="Times New Roman"/>
        </w:rPr>
        <w:t xml:space="preserve"> mensais </w:t>
      </w:r>
    </w:p>
    <w:p w14:paraId="23A25DEB" w14:textId="77777777" w:rsidR="00A804E7" w:rsidRPr="00A804E7" w:rsidRDefault="00A804E7" w:rsidP="00A804E7">
      <w:pPr>
        <w:numPr>
          <w:ilvl w:val="1"/>
          <w:numId w:val="4"/>
        </w:numPr>
        <w:rPr>
          <w:rFonts w:ascii="Times New Roman" w:hAnsi="Times New Roman" w:cs="Times New Roman"/>
        </w:rPr>
      </w:pPr>
      <w:proofErr w:type="spellStart"/>
      <w:r w:rsidRPr="00A804E7">
        <w:rPr>
          <w:rFonts w:ascii="Times New Roman" w:hAnsi="Times New Roman" w:cs="Times New Roman"/>
        </w:rPr>
        <w:t>dummies</w:t>
      </w:r>
      <w:proofErr w:type="spellEnd"/>
      <w:r w:rsidRPr="00A804E7">
        <w:rPr>
          <w:rFonts w:ascii="Times New Roman" w:hAnsi="Times New Roman" w:cs="Times New Roman"/>
        </w:rPr>
        <w:t xml:space="preserve"> da Covid </w:t>
      </w:r>
    </w:p>
    <w:p w14:paraId="26F9BD37" w14:textId="77777777" w:rsidR="00A804E7" w:rsidRPr="00A804E7" w:rsidRDefault="00A804E7" w:rsidP="00A804E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804E7">
        <w:rPr>
          <w:rFonts w:ascii="Times New Roman" w:hAnsi="Times New Roman" w:cs="Times New Roman"/>
        </w:rPr>
        <w:t xml:space="preserve">Essas variáveis foram colocadas como </w:t>
      </w:r>
      <w:r w:rsidRPr="00A804E7">
        <w:rPr>
          <w:rFonts w:ascii="Times New Roman" w:hAnsi="Times New Roman" w:cs="Times New Roman"/>
          <w:b/>
          <w:bCs/>
        </w:rPr>
        <w:t xml:space="preserve">exógenas fora da relação de </w:t>
      </w:r>
      <w:proofErr w:type="spellStart"/>
      <w:r w:rsidRPr="00A804E7">
        <w:rPr>
          <w:rFonts w:ascii="Times New Roman" w:hAnsi="Times New Roman" w:cs="Times New Roman"/>
          <w:b/>
          <w:bCs/>
        </w:rPr>
        <w:t>cointegração</w:t>
      </w:r>
      <w:proofErr w:type="spellEnd"/>
      <w:r w:rsidRPr="00A804E7">
        <w:rPr>
          <w:rFonts w:ascii="Times New Roman" w:hAnsi="Times New Roman" w:cs="Times New Roman"/>
        </w:rPr>
        <w:t xml:space="preserve">. </w:t>
      </w:r>
    </w:p>
    <w:p w14:paraId="55DCAD56" w14:textId="77777777" w:rsidR="00A804E7" w:rsidRPr="00A804E7" w:rsidRDefault="00A804E7" w:rsidP="00A804E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804E7">
        <w:rPr>
          <w:rFonts w:ascii="Times New Roman" w:hAnsi="Times New Roman" w:cs="Times New Roman"/>
        </w:rPr>
        <w:t xml:space="preserve">Isso significa que: </w:t>
      </w:r>
    </w:p>
    <w:p w14:paraId="0DF2AB97" w14:textId="77777777" w:rsidR="00A804E7" w:rsidRPr="00A804E7" w:rsidRDefault="00A804E7" w:rsidP="00A804E7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A804E7">
        <w:rPr>
          <w:rFonts w:ascii="Times New Roman" w:hAnsi="Times New Roman" w:cs="Times New Roman"/>
        </w:rPr>
        <w:t xml:space="preserve">influenciam a dinâmica de curto prazo </w:t>
      </w:r>
    </w:p>
    <w:p w14:paraId="31AD702F" w14:textId="77777777" w:rsidR="00A804E7" w:rsidRPr="00A804E7" w:rsidRDefault="00A804E7" w:rsidP="00A804E7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A804E7">
        <w:rPr>
          <w:rFonts w:ascii="Times New Roman" w:hAnsi="Times New Roman" w:cs="Times New Roman"/>
        </w:rPr>
        <w:t xml:space="preserve">não entram diretamente na relação de equilíbrio de longo prazo </w:t>
      </w:r>
    </w:p>
    <w:p w14:paraId="65B59AFB" w14:textId="77777777" w:rsidR="00A804E7" w:rsidRPr="00A804E7" w:rsidRDefault="00A804E7" w:rsidP="00A804E7">
      <w:pPr>
        <w:rPr>
          <w:rFonts w:ascii="Times New Roman" w:hAnsi="Times New Roman" w:cs="Times New Roman"/>
          <w:b/>
          <w:bCs/>
        </w:rPr>
      </w:pPr>
      <w:r w:rsidRPr="00A804E7">
        <w:rPr>
          <w:rFonts w:ascii="Times New Roman" w:hAnsi="Times New Roman" w:cs="Times New Roman"/>
          <w:b/>
          <w:bCs/>
        </w:rPr>
        <w:t>Estrutura dos sistemas VECM</w:t>
      </w:r>
    </w:p>
    <w:p w14:paraId="03077C35" w14:textId="77777777" w:rsidR="00A804E7" w:rsidRPr="00A804E7" w:rsidRDefault="00A804E7" w:rsidP="00A804E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804E7">
        <w:rPr>
          <w:rFonts w:ascii="Times New Roman" w:hAnsi="Times New Roman" w:cs="Times New Roman"/>
        </w:rPr>
        <w:t xml:space="preserve">Manutenção das mesmas combinações do VAR: </w:t>
      </w:r>
    </w:p>
    <w:p w14:paraId="5134BBBE" w14:textId="77777777" w:rsidR="00A804E7" w:rsidRPr="00A804E7" w:rsidRDefault="00A804E7" w:rsidP="00A804E7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A804E7">
        <w:rPr>
          <w:rFonts w:ascii="Times New Roman" w:hAnsi="Times New Roman" w:cs="Times New Roman"/>
        </w:rPr>
        <w:t xml:space="preserve">2 respostas </w:t>
      </w:r>
    </w:p>
    <w:p w14:paraId="6F135498" w14:textId="77777777" w:rsidR="00A804E7" w:rsidRPr="00A804E7" w:rsidRDefault="00A804E7" w:rsidP="00A804E7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A804E7">
        <w:rPr>
          <w:rFonts w:ascii="Times New Roman" w:hAnsi="Times New Roman" w:cs="Times New Roman"/>
        </w:rPr>
        <w:lastRenderedPageBreak/>
        <w:t xml:space="preserve">4 combustíveis </w:t>
      </w:r>
    </w:p>
    <w:p w14:paraId="53A143A1" w14:textId="77777777" w:rsidR="00A804E7" w:rsidRPr="00A804E7" w:rsidRDefault="00A804E7" w:rsidP="00A804E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804E7">
        <w:rPr>
          <w:rFonts w:ascii="Times New Roman" w:hAnsi="Times New Roman" w:cs="Times New Roman"/>
        </w:rPr>
        <w:t xml:space="preserve">Cada sistema endógeno foi formado por: </w:t>
      </w:r>
    </w:p>
    <w:p w14:paraId="6CAC4D6E" w14:textId="77777777" w:rsidR="00A804E7" w:rsidRPr="00A804E7" w:rsidRDefault="00A804E7" w:rsidP="00A804E7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A804E7">
        <w:rPr>
          <w:rFonts w:ascii="Times New Roman" w:hAnsi="Times New Roman" w:cs="Times New Roman"/>
        </w:rPr>
        <w:t xml:space="preserve">log do preço do barril </w:t>
      </w:r>
    </w:p>
    <w:p w14:paraId="29235BEA" w14:textId="77777777" w:rsidR="00A804E7" w:rsidRPr="00A804E7" w:rsidRDefault="00A804E7" w:rsidP="00A804E7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A804E7">
        <w:rPr>
          <w:rFonts w:ascii="Times New Roman" w:hAnsi="Times New Roman" w:cs="Times New Roman"/>
        </w:rPr>
        <w:t xml:space="preserve">log do câmbio </w:t>
      </w:r>
    </w:p>
    <w:p w14:paraId="4C89E9A9" w14:textId="77777777" w:rsidR="00A804E7" w:rsidRPr="00A804E7" w:rsidRDefault="00A804E7" w:rsidP="00A804E7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A804E7">
        <w:rPr>
          <w:rFonts w:ascii="Times New Roman" w:hAnsi="Times New Roman" w:cs="Times New Roman"/>
        </w:rPr>
        <w:t xml:space="preserve">log do combustível </w:t>
      </w:r>
    </w:p>
    <w:p w14:paraId="61D5E770" w14:textId="77777777" w:rsidR="00A804E7" w:rsidRPr="00A804E7" w:rsidRDefault="00A804E7" w:rsidP="00A804E7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A804E7">
        <w:rPr>
          <w:rFonts w:ascii="Times New Roman" w:hAnsi="Times New Roman" w:cs="Times New Roman"/>
        </w:rPr>
        <w:t xml:space="preserve">log da inflação de resposta </w:t>
      </w:r>
    </w:p>
    <w:p w14:paraId="661C94DE" w14:textId="77777777" w:rsidR="00A804E7" w:rsidRPr="00A804E7" w:rsidRDefault="00A804E7" w:rsidP="00A804E7">
      <w:pPr>
        <w:rPr>
          <w:rFonts w:ascii="Times New Roman" w:hAnsi="Times New Roman" w:cs="Times New Roman"/>
          <w:b/>
          <w:bCs/>
        </w:rPr>
      </w:pPr>
      <w:r w:rsidRPr="00A804E7">
        <w:rPr>
          <w:rFonts w:ascii="Times New Roman" w:hAnsi="Times New Roman" w:cs="Times New Roman"/>
          <w:b/>
          <w:bCs/>
        </w:rPr>
        <w:t>Escolha de defasagens</w:t>
      </w:r>
    </w:p>
    <w:p w14:paraId="7187F90A" w14:textId="77777777" w:rsidR="00A804E7" w:rsidRPr="00A804E7" w:rsidRDefault="00A804E7" w:rsidP="00A804E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A804E7">
        <w:rPr>
          <w:rFonts w:ascii="Times New Roman" w:hAnsi="Times New Roman" w:cs="Times New Roman"/>
        </w:rPr>
        <w:t xml:space="preserve">Seleção do número de defasagens da parte dinâmica. </w:t>
      </w:r>
    </w:p>
    <w:p w14:paraId="0869E029" w14:textId="77777777" w:rsidR="00A804E7" w:rsidRPr="00A804E7" w:rsidRDefault="00A804E7" w:rsidP="00A804E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A804E7">
        <w:rPr>
          <w:rFonts w:ascii="Times New Roman" w:hAnsi="Times New Roman" w:cs="Times New Roman"/>
        </w:rPr>
        <w:t xml:space="preserve">Uso de critérios como: </w:t>
      </w:r>
    </w:p>
    <w:p w14:paraId="60C92B2E" w14:textId="77777777" w:rsidR="00A804E7" w:rsidRPr="00A804E7" w:rsidRDefault="00A804E7" w:rsidP="00A804E7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A804E7">
        <w:rPr>
          <w:rFonts w:ascii="Times New Roman" w:hAnsi="Times New Roman" w:cs="Times New Roman"/>
        </w:rPr>
        <w:t xml:space="preserve">BIC </w:t>
      </w:r>
    </w:p>
    <w:p w14:paraId="208A7CF2" w14:textId="77777777" w:rsidR="00A804E7" w:rsidRPr="00A804E7" w:rsidRDefault="00A804E7" w:rsidP="00A804E7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A804E7">
        <w:rPr>
          <w:rFonts w:ascii="Times New Roman" w:hAnsi="Times New Roman" w:cs="Times New Roman"/>
        </w:rPr>
        <w:t xml:space="preserve">HQIC </w:t>
      </w:r>
    </w:p>
    <w:p w14:paraId="7BE825B4" w14:textId="77777777" w:rsidR="00A804E7" w:rsidRPr="00A804E7" w:rsidRDefault="00A804E7" w:rsidP="00A804E7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A804E7">
        <w:rPr>
          <w:rFonts w:ascii="Times New Roman" w:hAnsi="Times New Roman" w:cs="Times New Roman"/>
        </w:rPr>
        <w:t xml:space="preserve">AIC </w:t>
      </w:r>
    </w:p>
    <w:p w14:paraId="13FB69C6" w14:textId="77777777" w:rsidR="00A804E7" w:rsidRPr="00A804E7" w:rsidRDefault="00A804E7" w:rsidP="00A804E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A804E7">
        <w:rPr>
          <w:rFonts w:ascii="Times New Roman" w:hAnsi="Times New Roman" w:cs="Times New Roman"/>
        </w:rPr>
        <w:t xml:space="preserve">Preferência por critérios mais parcimoniosos para evitar </w:t>
      </w:r>
      <w:proofErr w:type="spellStart"/>
      <w:r w:rsidRPr="00A804E7">
        <w:rPr>
          <w:rFonts w:ascii="Times New Roman" w:hAnsi="Times New Roman" w:cs="Times New Roman"/>
        </w:rPr>
        <w:t>sobreparametrização</w:t>
      </w:r>
      <w:proofErr w:type="spellEnd"/>
      <w:r w:rsidRPr="00A804E7">
        <w:rPr>
          <w:rFonts w:ascii="Times New Roman" w:hAnsi="Times New Roman" w:cs="Times New Roman"/>
        </w:rPr>
        <w:t xml:space="preserve">. </w:t>
      </w:r>
    </w:p>
    <w:p w14:paraId="2F157C51" w14:textId="77777777" w:rsidR="00A804E7" w:rsidRPr="00A804E7" w:rsidRDefault="00A804E7" w:rsidP="00A804E7">
      <w:pPr>
        <w:rPr>
          <w:rFonts w:ascii="Times New Roman" w:hAnsi="Times New Roman" w:cs="Times New Roman"/>
          <w:b/>
          <w:bCs/>
        </w:rPr>
      </w:pPr>
      <w:r w:rsidRPr="00A804E7">
        <w:rPr>
          <w:rFonts w:ascii="Times New Roman" w:hAnsi="Times New Roman" w:cs="Times New Roman"/>
          <w:b/>
          <w:bCs/>
        </w:rPr>
        <w:t>Teste de Johansen</w:t>
      </w:r>
    </w:p>
    <w:p w14:paraId="664EE96B" w14:textId="77777777" w:rsidR="00A804E7" w:rsidRPr="00A804E7" w:rsidRDefault="00A804E7" w:rsidP="00A804E7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A804E7">
        <w:rPr>
          <w:rFonts w:ascii="Times New Roman" w:hAnsi="Times New Roman" w:cs="Times New Roman"/>
        </w:rPr>
        <w:t xml:space="preserve">Aplicação do Johansen em </w:t>
      </w:r>
      <w:r w:rsidRPr="00A804E7">
        <w:rPr>
          <w:rFonts w:ascii="Times New Roman" w:hAnsi="Times New Roman" w:cs="Times New Roman"/>
          <w:b/>
          <w:bCs/>
        </w:rPr>
        <w:t>log-níveis</w:t>
      </w:r>
      <w:r w:rsidRPr="00A804E7">
        <w:rPr>
          <w:rFonts w:ascii="Times New Roman" w:hAnsi="Times New Roman" w:cs="Times New Roman"/>
        </w:rPr>
        <w:t xml:space="preserve">. </w:t>
      </w:r>
    </w:p>
    <w:p w14:paraId="7C5D9E56" w14:textId="77777777" w:rsidR="00A804E7" w:rsidRPr="00A804E7" w:rsidRDefault="00A804E7" w:rsidP="00A804E7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A804E7">
        <w:rPr>
          <w:rFonts w:ascii="Times New Roman" w:hAnsi="Times New Roman" w:cs="Times New Roman"/>
        </w:rPr>
        <w:t xml:space="preserve">Verificação do </w:t>
      </w:r>
      <w:r w:rsidRPr="00A804E7">
        <w:rPr>
          <w:rFonts w:ascii="Times New Roman" w:hAnsi="Times New Roman" w:cs="Times New Roman"/>
          <w:b/>
          <w:bCs/>
        </w:rPr>
        <w:t xml:space="preserve">rank de </w:t>
      </w:r>
      <w:proofErr w:type="spellStart"/>
      <w:r w:rsidRPr="00A804E7">
        <w:rPr>
          <w:rFonts w:ascii="Times New Roman" w:hAnsi="Times New Roman" w:cs="Times New Roman"/>
          <w:b/>
          <w:bCs/>
        </w:rPr>
        <w:t>cointegração</w:t>
      </w:r>
      <w:proofErr w:type="spellEnd"/>
      <w:r w:rsidRPr="00A804E7">
        <w:rPr>
          <w:rFonts w:ascii="Times New Roman" w:hAnsi="Times New Roman" w:cs="Times New Roman"/>
        </w:rPr>
        <w:t xml:space="preserve">. </w:t>
      </w:r>
    </w:p>
    <w:p w14:paraId="2E903BBC" w14:textId="77777777" w:rsidR="00A804E7" w:rsidRPr="00A804E7" w:rsidRDefault="00A804E7" w:rsidP="00A804E7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A804E7">
        <w:rPr>
          <w:rFonts w:ascii="Times New Roman" w:hAnsi="Times New Roman" w:cs="Times New Roman"/>
        </w:rPr>
        <w:t xml:space="preserve">Identificação de quantos vetores de equilíbrio de longo prazo existem em cada sistema. </w:t>
      </w:r>
    </w:p>
    <w:p w14:paraId="6E5063C0" w14:textId="77777777" w:rsidR="00A804E7" w:rsidRPr="00A804E7" w:rsidRDefault="00A804E7" w:rsidP="00A804E7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A804E7">
        <w:rPr>
          <w:rFonts w:ascii="Times New Roman" w:hAnsi="Times New Roman" w:cs="Times New Roman"/>
        </w:rPr>
        <w:t xml:space="preserve">Quando o rank era zero: </w:t>
      </w:r>
    </w:p>
    <w:p w14:paraId="1D0FAF65" w14:textId="77777777" w:rsidR="00A804E7" w:rsidRPr="00A804E7" w:rsidRDefault="00A804E7" w:rsidP="00A804E7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A804E7">
        <w:rPr>
          <w:rFonts w:ascii="Times New Roman" w:hAnsi="Times New Roman" w:cs="Times New Roman"/>
        </w:rPr>
        <w:t xml:space="preserve">o modelo não era estimado como VECM </w:t>
      </w:r>
    </w:p>
    <w:p w14:paraId="7DC865DE" w14:textId="77777777" w:rsidR="00A804E7" w:rsidRPr="00A804E7" w:rsidRDefault="00A804E7" w:rsidP="00A804E7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A804E7">
        <w:rPr>
          <w:rFonts w:ascii="Times New Roman" w:hAnsi="Times New Roman" w:cs="Times New Roman"/>
        </w:rPr>
        <w:t xml:space="preserve">ele era registrado como sistema sem </w:t>
      </w:r>
      <w:proofErr w:type="spellStart"/>
      <w:r w:rsidRPr="00A804E7">
        <w:rPr>
          <w:rFonts w:ascii="Times New Roman" w:hAnsi="Times New Roman" w:cs="Times New Roman"/>
        </w:rPr>
        <w:t>cointegração</w:t>
      </w:r>
      <w:proofErr w:type="spellEnd"/>
      <w:r w:rsidRPr="00A804E7">
        <w:rPr>
          <w:rFonts w:ascii="Times New Roman" w:hAnsi="Times New Roman" w:cs="Times New Roman"/>
        </w:rPr>
        <w:t xml:space="preserve"> </w:t>
      </w:r>
    </w:p>
    <w:p w14:paraId="0BF8EDFD" w14:textId="77777777" w:rsidR="00A804E7" w:rsidRPr="00A804E7" w:rsidRDefault="00A804E7" w:rsidP="00A804E7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A804E7">
        <w:rPr>
          <w:rFonts w:ascii="Times New Roman" w:hAnsi="Times New Roman" w:cs="Times New Roman"/>
        </w:rPr>
        <w:t xml:space="preserve">Quando o rank era maior que zero: </w:t>
      </w:r>
    </w:p>
    <w:p w14:paraId="67CEAB98" w14:textId="77777777" w:rsidR="00A804E7" w:rsidRPr="00A804E7" w:rsidRDefault="00A804E7" w:rsidP="00A804E7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A804E7">
        <w:rPr>
          <w:rFonts w:ascii="Times New Roman" w:hAnsi="Times New Roman" w:cs="Times New Roman"/>
        </w:rPr>
        <w:t xml:space="preserve">o VECM era estimado </w:t>
      </w:r>
    </w:p>
    <w:p w14:paraId="7E99D842" w14:textId="77777777" w:rsidR="00A804E7" w:rsidRPr="00A804E7" w:rsidRDefault="00A804E7" w:rsidP="00A804E7">
      <w:pPr>
        <w:rPr>
          <w:rFonts w:ascii="Times New Roman" w:hAnsi="Times New Roman" w:cs="Times New Roman"/>
          <w:b/>
          <w:bCs/>
        </w:rPr>
      </w:pPr>
      <w:r w:rsidRPr="00A804E7">
        <w:rPr>
          <w:rFonts w:ascii="Times New Roman" w:hAnsi="Times New Roman" w:cs="Times New Roman"/>
          <w:b/>
          <w:bCs/>
        </w:rPr>
        <w:t>Especificação do modelo</w:t>
      </w:r>
    </w:p>
    <w:p w14:paraId="6F0A4759" w14:textId="77777777" w:rsidR="00A804E7" w:rsidRPr="00A804E7" w:rsidRDefault="00A804E7" w:rsidP="00A804E7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A804E7">
        <w:rPr>
          <w:rFonts w:ascii="Times New Roman" w:hAnsi="Times New Roman" w:cs="Times New Roman"/>
        </w:rPr>
        <w:t xml:space="preserve">Estimação do VECM com constante dentro da relação de </w:t>
      </w:r>
      <w:proofErr w:type="spellStart"/>
      <w:r w:rsidRPr="00A804E7">
        <w:rPr>
          <w:rFonts w:ascii="Times New Roman" w:hAnsi="Times New Roman" w:cs="Times New Roman"/>
        </w:rPr>
        <w:t>cointegração</w:t>
      </w:r>
      <w:proofErr w:type="spellEnd"/>
      <w:r w:rsidRPr="00A804E7">
        <w:rPr>
          <w:rFonts w:ascii="Times New Roman" w:hAnsi="Times New Roman" w:cs="Times New Roman"/>
        </w:rPr>
        <w:t xml:space="preserve">. </w:t>
      </w:r>
    </w:p>
    <w:p w14:paraId="78600668" w14:textId="77777777" w:rsidR="00A804E7" w:rsidRPr="00A804E7" w:rsidRDefault="00A804E7" w:rsidP="00A804E7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A804E7">
        <w:rPr>
          <w:rFonts w:ascii="Times New Roman" w:hAnsi="Times New Roman" w:cs="Times New Roman"/>
        </w:rPr>
        <w:t xml:space="preserve">Separação entre: </w:t>
      </w:r>
    </w:p>
    <w:p w14:paraId="16E2C556" w14:textId="77777777" w:rsidR="00A804E7" w:rsidRPr="00A804E7" w:rsidRDefault="00A804E7" w:rsidP="00A804E7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A804E7">
        <w:rPr>
          <w:rFonts w:ascii="Times New Roman" w:hAnsi="Times New Roman" w:cs="Times New Roman"/>
        </w:rPr>
        <w:t xml:space="preserve">parte de longo prazo </w:t>
      </w:r>
    </w:p>
    <w:p w14:paraId="14B929F8" w14:textId="77777777" w:rsidR="00A804E7" w:rsidRPr="00A804E7" w:rsidRDefault="00A804E7" w:rsidP="00A804E7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A804E7">
        <w:rPr>
          <w:rFonts w:ascii="Times New Roman" w:hAnsi="Times New Roman" w:cs="Times New Roman"/>
        </w:rPr>
        <w:t xml:space="preserve">parte de curto prazo </w:t>
      </w:r>
    </w:p>
    <w:p w14:paraId="1E8BCBA3" w14:textId="77777777" w:rsidR="00A804E7" w:rsidRPr="00A804E7" w:rsidRDefault="00A804E7" w:rsidP="00A804E7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A804E7">
        <w:rPr>
          <w:rFonts w:ascii="Times New Roman" w:hAnsi="Times New Roman" w:cs="Times New Roman"/>
        </w:rPr>
        <w:t xml:space="preserve">O modelo produz três blocos centrais de parâmetros: </w:t>
      </w:r>
    </w:p>
    <w:p w14:paraId="740FFD0F" w14:textId="77777777" w:rsidR="00A804E7" w:rsidRPr="00A804E7" w:rsidRDefault="00A804E7" w:rsidP="00A804E7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A804E7">
        <w:rPr>
          <w:rFonts w:ascii="Times New Roman" w:hAnsi="Times New Roman" w:cs="Times New Roman"/>
          <w:b/>
          <w:bCs/>
        </w:rPr>
        <w:lastRenderedPageBreak/>
        <w:t>beta</w:t>
      </w:r>
      <w:r w:rsidRPr="00A804E7">
        <w:rPr>
          <w:rFonts w:ascii="Times New Roman" w:hAnsi="Times New Roman" w:cs="Times New Roman"/>
        </w:rPr>
        <w:t xml:space="preserve"> </w:t>
      </w:r>
    </w:p>
    <w:p w14:paraId="246C2847" w14:textId="77777777" w:rsidR="00A804E7" w:rsidRPr="00A804E7" w:rsidRDefault="00A804E7" w:rsidP="00A804E7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A804E7">
        <w:rPr>
          <w:rFonts w:ascii="Times New Roman" w:hAnsi="Times New Roman" w:cs="Times New Roman"/>
          <w:b/>
          <w:bCs/>
        </w:rPr>
        <w:t>alpha</w:t>
      </w:r>
      <w:r w:rsidRPr="00A804E7">
        <w:rPr>
          <w:rFonts w:ascii="Times New Roman" w:hAnsi="Times New Roman" w:cs="Times New Roman"/>
        </w:rPr>
        <w:t xml:space="preserve"> </w:t>
      </w:r>
    </w:p>
    <w:p w14:paraId="64520122" w14:textId="77777777" w:rsidR="00A804E7" w:rsidRPr="00A804E7" w:rsidRDefault="00A804E7" w:rsidP="00A804E7">
      <w:pPr>
        <w:numPr>
          <w:ilvl w:val="1"/>
          <w:numId w:val="8"/>
        </w:numPr>
        <w:rPr>
          <w:rFonts w:ascii="Times New Roman" w:hAnsi="Times New Roman" w:cs="Times New Roman"/>
        </w:rPr>
      </w:pPr>
      <w:proofErr w:type="spellStart"/>
      <w:r w:rsidRPr="00A804E7">
        <w:rPr>
          <w:rFonts w:ascii="Times New Roman" w:hAnsi="Times New Roman" w:cs="Times New Roman"/>
          <w:b/>
          <w:bCs/>
        </w:rPr>
        <w:t>gamma</w:t>
      </w:r>
      <w:proofErr w:type="spellEnd"/>
      <w:r w:rsidRPr="00A804E7">
        <w:rPr>
          <w:rFonts w:ascii="Times New Roman" w:hAnsi="Times New Roman" w:cs="Times New Roman"/>
        </w:rPr>
        <w:t xml:space="preserve"> </w:t>
      </w:r>
    </w:p>
    <w:p w14:paraId="39027149" w14:textId="77777777" w:rsidR="00A804E7" w:rsidRPr="00A804E7" w:rsidRDefault="00A804E7" w:rsidP="00A804E7">
      <w:pPr>
        <w:rPr>
          <w:rFonts w:ascii="Times New Roman" w:hAnsi="Times New Roman" w:cs="Times New Roman"/>
          <w:b/>
          <w:bCs/>
        </w:rPr>
      </w:pPr>
      <w:r w:rsidRPr="00A804E7">
        <w:rPr>
          <w:rFonts w:ascii="Times New Roman" w:hAnsi="Times New Roman" w:cs="Times New Roman"/>
          <w:b/>
          <w:bCs/>
        </w:rPr>
        <w:t>Interpretação dos parâmetros</w:t>
      </w:r>
    </w:p>
    <w:p w14:paraId="2DC0C1A1" w14:textId="77777777" w:rsidR="00A804E7" w:rsidRPr="00A804E7" w:rsidRDefault="00A804E7" w:rsidP="00A804E7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A804E7">
        <w:rPr>
          <w:rFonts w:ascii="Times New Roman" w:hAnsi="Times New Roman" w:cs="Times New Roman"/>
          <w:b/>
          <w:bCs/>
        </w:rPr>
        <w:t>Beta</w:t>
      </w:r>
      <w:r w:rsidRPr="00A804E7">
        <w:rPr>
          <w:rFonts w:ascii="Times New Roman" w:hAnsi="Times New Roman" w:cs="Times New Roman"/>
        </w:rPr>
        <w:t xml:space="preserve">: </w:t>
      </w:r>
    </w:p>
    <w:p w14:paraId="56D11B99" w14:textId="77777777" w:rsidR="00A804E7" w:rsidRPr="00A804E7" w:rsidRDefault="00A804E7" w:rsidP="00A804E7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A804E7">
        <w:rPr>
          <w:rFonts w:ascii="Times New Roman" w:hAnsi="Times New Roman" w:cs="Times New Roman"/>
        </w:rPr>
        <w:t xml:space="preserve">representa os vetores de </w:t>
      </w:r>
      <w:proofErr w:type="spellStart"/>
      <w:r w:rsidRPr="00A804E7">
        <w:rPr>
          <w:rFonts w:ascii="Times New Roman" w:hAnsi="Times New Roman" w:cs="Times New Roman"/>
        </w:rPr>
        <w:t>cointegração</w:t>
      </w:r>
      <w:proofErr w:type="spellEnd"/>
      <w:r w:rsidRPr="00A804E7">
        <w:rPr>
          <w:rFonts w:ascii="Times New Roman" w:hAnsi="Times New Roman" w:cs="Times New Roman"/>
        </w:rPr>
        <w:t xml:space="preserve"> </w:t>
      </w:r>
    </w:p>
    <w:p w14:paraId="2F1C9BD1" w14:textId="77777777" w:rsidR="00A804E7" w:rsidRPr="00A804E7" w:rsidRDefault="00A804E7" w:rsidP="00A804E7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A804E7">
        <w:rPr>
          <w:rFonts w:ascii="Times New Roman" w:hAnsi="Times New Roman" w:cs="Times New Roman"/>
        </w:rPr>
        <w:t xml:space="preserve">mostra a relação de longo prazo entre as variáveis </w:t>
      </w:r>
    </w:p>
    <w:p w14:paraId="77927597" w14:textId="77777777" w:rsidR="00A804E7" w:rsidRPr="00A804E7" w:rsidRDefault="00A804E7" w:rsidP="00A804E7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A804E7">
        <w:rPr>
          <w:rFonts w:ascii="Times New Roman" w:hAnsi="Times New Roman" w:cs="Times New Roman"/>
          <w:b/>
          <w:bCs/>
        </w:rPr>
        <w:t>Alpha</w:t>
      </w:r>
      <w:r w:rsidRPr="00A804E7">
        <w:rPr>
          <w:rFonts w:ascii="Times New Roman" w:hAnsi="Times New Roman" w:cs="Times New Roman"/>
        </w:rPr>
        <w:t xml:space="preserve">: </w:t>
      </w:r>
    </w:p>
    <w:p w14:paraId="48B62BCC" w14:textId="77777777" w:rsidR="00A804E7" w:rsidRPr="00A804E7" w:rsidRDefault="00A804E7" w:rsidP="00A804E7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A804E7">
        <w:rPr>
          <w:rFonts w:ascii="Times New Roman" w:hAnsi="Times New Roman" w:cs="Times New Roman"/>
        </w:rPr>
        <w:t xml:space="preserve">mede a velocidade de ajuste ao equilíbrio </w:t>
      </w:r>
    </w:p>
    <w:p w14:paraId="0FBB1A63" w14:textId="77777777" w:rsidR="00A804E7" w:rsidRPr="00A804E7" w:rsidRDefault="00A804E7" w:rsidP="00A804E7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A804E7">
        <w:rPr>
          <w:rFonts w:ascii="Times New Roman" w:hAnsi="Times New Roman" w:cs="Times New Roman"/>
        </w:rPr>
        <w:t xml:space="preserve">indica quais variáveis corrigem desvios de longo prazo </w:t>
      </w:r>
    </w:p>
    <w:p w14:paraId="17F00350" w14:textId="77777777" w:rsidR="00A804E7" w:rsidRPr="00A804E7" w:rsidRDefault="00A804E7" w:rsidP="00A804E7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A804E7">
        <w:rPr>
          <w:rFonts w:ascii="Times New Roman" w:hAnsi="Times New Roman" w:cs="Times New Roman"/>
          <w:b/>
          <w:bCs/>
        </w:rPr>
        <w:t>Gamma</w:t>
      </w:r>
      <w:r w:rsidRPr="00A804E7">
        <w:rPr>
          <w:rFonts w:ascii="Times New Roman" w:hAnsi="Times New Roman" w:cs="Times New Roman"/>
        </w:rPr>
        <w:t xml:space="preserve">: </w:t>
      </w:r>
    </w:p>
    <w:p w14:paraId="6DBBC224" w14:textId="77777777" w:rsidR="00A804E7" w:rsidRPr="00A804E7" w:rsidRDefault="00A804E7" w:rsidP="00A804E7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A804E7">
        <w:rPr>
          <w:rFonts w:ascii="Times New Roman" w:hAnsi="Times New Roman" w:cs="Times New Roman"/>
        </w:rPr>
        <w:t xml:space="preserve">representa a dinâmica de curto prazo </w:t>
      </w:r>
    </w:p>
    <w:p w14:paraId="5713D41D" w14:textId="77777777" w:rsidR="00A804E7" w:rsidRPr="00A804E7" w:rsidRDefault="00A804E7" w:rsidP="00A804E7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A804E7">
        <w:rPr>
          <w:rFonts w:ascii="Times New Roman" w:hAnsi="Times New Roman" w:cs="Times New Roman"/>
        </w:rPr>
        <w:t xml:space="preserve">mostra como as diferenças defasadas afetam o sistema </w:t>
      </w:r>
    </w:p>
    <w:p w14:paraId="2EBD5240" w14:textId="77777777" w:rsidR="00A804E7" w:rsidRPr="00A804E7" w:rsidRDefault="00A804E7" w:rsidP="00A804E7">
      <w:pPr>
        <w:rPr>
          <w:rFonts w:ascii="Times New Roman" w:hAnsi="Times New Roman" w:cs="Times New Roman"/>
          <w:b/>
          <w:bCs/>
        </w:rPr>
      </w:pPr>
      <w:r w:rsidRPr="00A804E7">
        <w:rPr>
          <w:rFonts w:ascii="Times New Roman" w:hAnsi="Times New Roman" w:cs="Times New Roman"/>
          <w:b/>
          <w:bCs/>
        </w:rPr>
        <w:t>Testes de causalidade</w:t>
      </w:r>
    </w:p>
    <w:p w14:paraId="30092270" w14:textId="77777777" w:rsidR="00A804E7" w:rsidRPr="00A804E7" w:rsidRDefault="00A804E7" w:rsidP="00A804E7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A804E7">
        <w:rPr>
          <w:rFonts w:ascii="Times New Roman" w:hAnsi="Times New Roman" w:cs="Times New Roman"/>
        </w:rPr>
        <w:t xml:space="preserve">Aplicação de testes de Granger no contexto do VECM. </w:t>
      </w:r>
    </w:p>
    <w:p w14:paraId="697AFD93" w14:textId="77777777" w:rsidR="00A804E7" w:rsidRPr="00A804E7" w:rsidRDefault="00A804E7" w:rsidP="00A804E7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A804E7">
        <w:rPr>
          <w:rFonts w:ascii="Times New Roman" w:hAnsi="Times New Roman" w:cs="Times New Roman"/>
        </w:rPr>
        <w:t xml:space="preserve">Verificação se barril, câmbio e combustíveis ajudam a prever a inflação mesmo em um sistema com </w:t>
      </w:r>
      <w:proofErr w:type="spellStart"/>
      <w:r w:rsidRPr="00A804E7">
        <w:rPr>
          <w:rFonts w:ascii="Times New Roman" w:hAnsi="Times New Roman" w:cs="Times New Roman"/>
        </w:rPr>
        <w:t>cointegração</w:t>
      </w:r>
      <w:proofErr w:type="spellEnd"/>
      <w:r w:rsidRPr="00A804E7">
        <w:rPr>
          <w:rFonts w:ascii="Times New Roman" w:hAnsi="Times New Roman" w:cs="Times New Roman"/>
        </w:rPr>
        <w:t xml:space="preserve">. </w:t>
      </w:r>
    </w:p>
    <w:p w14:paraId="2E5ED6E8" w14:textId="77777777" w:rsidR="00A804E7" w:rsidRPr="00A804E7" w:rsidRDefault="00A804E7" w:rsidP="00A804E7">
      <w:pPr>
        <w:rPr>
          <w:rFonts w:ascii="Times New Roman" w:hAnsi="Times New Roman" w:cs="Times New Roman"/>
          <w:b/>
          <w:bCs/>
        </w:rPr>
      </w:pPr>
      <w:r w:rsidRPr="00A804E7">
        <w:rPr>
          <w:rFonts w:ascii="Times New Roman" w:hAnsi="Times New Roman" w:cs="Times New Roman"/>
          <w:b/>
          <w:bCs/>
        </w:rPr>
        <w:t>Diagnósticos dos resíduos</w:t>
      </w:r>
    </w:p>
    <w:p w14:paraId="07674858" w14:textId="77777777" w:rsidR="00A804E7" w:rsidRPr="00A804E7" w:rsidRDefault="00A804E7" w:rsidP="00A804E7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A804E7">
        <w:rPr>
          <w:rFonts w:ascii="Times New Roman" w:hAnsi="Times New Roman" w:cs="Times New Roman"/>
        </w:rPr>
        <w:t xml:space="preserve">Teste de </w:t>
      </w:r>
      <w:proofErr w:type="spellStart"/>
      <w:r w:rsidRPr="00A804E7">
        <w:rPr>
          <w:rFonts w:ascii="Times New Roman" w:hAnsi="Times New Roman" w:cs="Times New Roman"/>
        </w:rPr>
        <w:t>whiteness</w:t>
      </w:r>
      <w:proofErr w:type="spellEnd"/>
      <w:r w:rsidRPr="00A804E7">
        <w:rPr>
          <w:rFonts w:ascii="Times New Roman" w:hAnsi="Times New Roman" w:cs="Times New Roman"/>
        </w:rPr>
        <w:t xml:space="preserve"> para autocorrelação multivariada. </w:t>
      </w:r>
    </w:p>
    <w:p w14:paraId="204F0514" w14:textId="77777777" w:rsidR="00A804E7" w:rsidRPr="00A804E7" w:rsidRDefault="00A804E7" w:rsidP="00A804E7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A804E7">
        <w:rPr>
          <w:rFonts w:ascii="Times New Roman" w:hAnsi="Times New Roman" w:cs="Times New Roman"/>
        </w:rPr>
        <w:t xml:space="preserve">Teste de normalidade dos resíduos. </w:t>
      </w:r>
    </w:p>
    <w:p w14:paraId="12829115" w14:textId="77777777" w:rsidR="00A804E7" w:rsidRPr="00A804E7" w:rsidRDefault="00A804E7" w:rsidP="00A804E7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A804E7">
        <w:rPr>
          <w:rFonts w:ascii="Times New Roman" w:hAnsi="Times New Roman" w:cs="Times New Roman"/>
        </w:rPr>
        <w:t xml:space="preserve">Geração de gráficos dos resíduos. </w:t>
      </w:r>
    </w:p>
    <w:p w14:paraId="36048AAD" w14:textId="77777777" w:rsidR="00A804E7" w:rsidRPr="00A804E7" w:rsidRDefault="00A804E7" w:rsidP="00A804E7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A804E7">
        <w:rPr>
          <w:rFonts w:ascii="Times New Roman" w:hAnsi="Times New Roman" w:cs="Times New Roman"/>
        </w:rPr>
        <w:t xml:space="preserve">Avaliação da qualidade estatística do sistema estimado. </w:t>
      </w:r>
    </w:p>
    <w:p w14:paraId="6748E397" w14:textId="77777777" w:rsidR="00A804E7" w:rsidRPr="00A804E7" w:rsidRDefault="00A804E7" w:rsidP="00A804E7">
      <w:pPr>
        <w:rPr>
          <w:rFonts w:ascii="Times New Roman" w:hAnsi="Times New Roman" w:cs="Times New Roman"/>
          <w:b/>
          <w:bCs/>
        </w:rPr>
      </w:pPr>
      <w:r w:rsidRPr="00A804E7">
        <w:rPr>
          <w:rFonts w:ascii="Times New Roman" w:hAnsi="Times New Roman" w:cs="Times New Roman"/>
          <w:b/>
          <w:bCs/>
        </w:rPr>
        <w:t>Funções impulso-resposta</w:t>
      </w:r>
    </w:p>
    <w:p w14:paraId="72500267" w14:textId="77777777" w:rsidR="00A804E7" w:rsidRPr="00A804E7" w:rsidRDefault="00A804E7" w:rsidP="00A804E7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A804E7">
        <w:rPr>
          <w:rFonts w:ascii="Times New Roman" w:hAnsi="Times New Roman" w:cs="Times New Roman"/>
        </w:rPr>
        <w:t xml:space="preserve">Geração de </w:t>
      </w:r>
      <w:proofErr w:type="spellStart"/>
      <w:r w:rsidRPr="00A804E7">
        <w:rPr>
          <w:rFonts w:ascii="Times New Roman" w:hAnsi="Times New Roman" w:cs="Times New Roman"/>
        </w:rPr>
        <w:t>IRFs</w:t>
      </w:r>
      <w:proofErr w:type="spellEnd"/>
      <w:r w:rsidRPr="00A804E7">
        <w:rPr>
          <w:rFonts w:ascii="Times New Roman" w:hAnsi="Times New Roman" w:cs="Times New Roman"/>
        </w:rPr>
        <w:t xml:space="preserve"> para os modelos VECM. </w:t>
      </w:r>
    </w:p>
    <w:p w14:paraId="02790E80" w14:textId="77777777" w:rsidR="00A804E7" w:rsidRPr="00A804E7" w:rsidRDefault="00A804E7" w:rsidP="00A804E7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A804E7">
        <w:rPr>
          <w:rFonts w:ascii="Times New Roman" w:hAnsi="Times New Roman" w:cs="Times New Roman"/>
        </w:rPr>
        <w:t xml:space="preserve">Análise da resposta da inflação a choques em: </w:t>
      </w:r>
    </w:p>
    <w:p w14:paraId="792DF952" w14:textId="77777777" w:rsidR="00A804E7" w:rsidRPr="00A804E7" w:rsidRDefault="00A804E7" w:rsidP="00A804E7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A804E7">
        <w:rPr>
          <w:rFonts w:ascii="Times New Roman" w:hAnsi="Times New Roman" w:cs="Times New Roman"/>
        </w:rPr>
        <w:t xml:space="preserve">petróleo </w:t>
      </w:r>
    </w:p>
    <w:p w14:paraId="73C2C12A" w14:textId="77777777" w:rsidR="00A804E7" w:rsidRPr="00A804E7" w:rsidRDefault="00A804E7" w:rsidP="00A804E7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A804E7">
        <w:rPr>
          <w:rFonts w:ascii="Times New Roman" w:hAnsi="Times New Roman" w:cs="Times New Roman"/>
        </w:rPr>
        <w:t xml:space="preserve">câmbio </w:t>
      </w:r>
    </w:p>
    <w:p w14:paraId="11795B47" w14:textId="77777777" w:rsidR="00A804E7" w:rsidRPr="00A804E7" w:rsidRDefault="00A804E7" w:rsidP="00A804E7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A804E7">
        <w:rPr>
          <w:rFonts w:ascii="Times New Roman" w:hAnsi="Times New Roman" w:cs="Times New Roman"/>
        </w:rPr>
        <w:t xml:space="preserve">combustível </w:t>
      </w:r>
    </w:p>
    <w:p w14:paraId="77AF5F5F" w14:textId="77777777" w:rsidR="00A804E7" w:rsidRPr="00A804E7" w:rsidRDefault="00A804E7" w:rsidP="00A804E7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A804E7">
        <w:rPr>
          <w:rFonts w:ascii="Times New Roman" w:hAnsi="Times New Roman" w:cs="Times New Roman"/>
        </w:rPr>
        <w:t xml:space="preserve">Interpretação conjunta de: </w:t>
      </w:r>
    </w:p>
    <w:p w14:paraId="1DEAC2A3" w14:textId="77777777" w:rsidR="00A804E7" w:rsidRPr="00A804E7" w:rsidRDefault="00A804E7" w:rsidP="00A804E7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A804E7">
        <w:rPr>
          <w:rFonts w:ascii="Times New Roman" w:hAnsi="Times New Roman" w:cs="Times New Roman"/>
        </w:rPr>
        <w:lastRenderedPageBreak/>
        <w:t xml:space="preserve">impacto de curto prazo </w:t>
      </w:r>
    </w:p>
    <w:p w14:paraId="5239BC42" w14:textId="77777777" w:rsidR="00A804E7" w:rsidRPr="00A804E7" w:rsidRDefault="00A804E7" w:rsidP="00A804E7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A804E7">
        <w:rPr>
          <w:rFonts w:ascii="Times New Roman" w:hAnsi="Times New Roman" w:cs="Times New Roman"/>
        </w:rPr>
        <w:t xml:space="preserve">convergência ao equilíbrio de longo prazo </w:t>
      </w:r>
    </w:p>
    <w:p w14:paraId="0BF8100A" w14:textId="77777777" w:rsidR="00A804E7" w:rsidRPr="00A804E7" w:rsidRDefault="00A804E7" w:rsidP="00A804E7">
      <w:pPr>
        <w:rPr>
          <w:rFonts w:ascii="Times New Roman" w:hAnsi="Times New Roman" w:cs="Times New Roman"/>
          <w:b/>
          <w:bCs/>
        </w:rPr>
      </w:pPr>
      <w:r w:rsidRPr="00A804E7">
        <w:rPr>
          <w:rFonts w:ascii="Times New Roman" w:hAnsi="Times New Roman" w:cs="Times New Roman"/>
          <w:b/>
          <w:bCs/>
        </w:rPr>
        <w:t>Organização dos resultados</w:t>
      </w:r>
    </w:p>
    <w:p w14:paraId="468BFDDD" w14:textId="77777777" w:rsidR="00A804E7" w:rsidRPr="00A804E7" w:rsidRDefault="00A804E7" w:rsidP="00A804E7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A804E7">
        <w:rPr>
          <w:rFonts w:ascii="Times New Roman" w:hAnsi="Times New Roman" w:cs="Times New Roman"/>
        </w:rPr>
        <w:t xml:space="preserve">Salvamento de: </w:t>
      </w:r>
    </w:p>
    <w:p w14:paraId="0396E3E7" w14:textId="77777777" w:rsidR="00A804E7" w:rsidRPr="00A804E7" w:rsidRDefault="00A804E7" w:rsidP="00A804E7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A804E7">
        <w:rPr>
          <w:rFonts w:ascii="Times New Roman" w:hAnsi="Times New Roman" w:cs="Times New Roman"/>
        </w:rPr>
        <w:t xml:space="preserve">tabelas do Johansen </w:t>
      </w:r>
    </w:p>
    <w:p w14:paraId="4EB1B583" w14:textId="77777777" w:rsidR="00A804E7" w:rsidRPr="00A804E7" w:rsidRDefault="00A804E7" w:rsidP="00A804E7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A804E7">
        <w:rPr>
          <w:rFonts w:ascii="Times New Roman" w:hAnsi="Times New Roman" w:cs="Times New Roman"/>
        </w:rPr>
        <w:t xml:space="preserve">resumos dos modelos </w:t>
      </w:r>
    </w:p>
    <w:p w14:paraId="128D3CF5" w14:textId="77777777" w:rsidR="00A804E7" w:rsidRPr="00A804E7" w:rsidRDefault="00A804E7" w:rsidP="00A804E7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A804E7">
        <w:rPr>
          <w:rFonts w:ascii="Times New Roman" w:hAnsi="Times New Roman" w:cs="Times New Roman"/>
        </w:rPr>
        <w:t xml:space="preserve">matrizes alpha, beta e </w:t>
      </w:r>
      <w:proofErr w:type="spellStart"/>
      <w:r w:rsidRPr="00A804E7">
        <w:rPr>
          <w:rFonts w:ascii="Times New Roman" w:hAnsi="Times New Roman" w:cs="Times New Roman"/>
        </w:rPr>
        <w:t>gamma</w:t>
      </w:r>
      <w:proofErr w:type="spellEnd"/>
      <w:r w:rsidRPr="00A804E7">
        <w:rPr>
          <w:rFonts w:ascii="Times New Roman" w:hAnsi="Times New Roman" w:cs="Times New Roman"/>
        </w:rPr>
        <w:t xml:space="preserve"> </w:t>
      </w:r>
    </w:p>
    <w:p w14:paraId="4F6838BA" w14:textId="77777777" w:rsidR="00A804E7" w:rsidRPr="00A804E7" w:rsidRDefault="00A804E7" w:rsidP="00A804E7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A804E7">
        <w:rPr>
          <w:rFonts w:ascii="Times New Roman" w:hAnsi="Times New Roman" w:cs="Times New Roman"/>
        </w:rPr>
        <w:t xml:space="preserve">testes de causalidade </w:t>
      </w:r>
    </w:p>
    <w:p w14:paraId="6C551A79" w14:textId="77777777" w:rsidR="00A804E7" w:rsidRPr="00A804E7" w:rsidRDefault="00A804E7" w:rsidP="00A804E7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A804E7">
        <w:rPr>
          <w:rFonts w:ascii="Times New Roman" w:hAnsi="Times New Roman" w:cs="Times New Roman"/>
        </w:rPr>
        <w:t xml:space="preserve">diagnósticos </w:t>
      </w:r>
    </w:p>
    <w:p w14:paraId="17E58B2C" w14:textId="77777777" w:rsidR="00A804E7" w:rsidRPr="00A804E7" w:rsidRDefault="00A804E7" w:rsidP="00A804E7">
      <w:pPr>
        <w:numPr>
          <w:ilvl w:val="1"/>
          <w:numId w:val="13"/>
        </w:numPr>
        <w:rPr>
          <w:rFonts w:ascii="Times New Roman" w:hAnsi="Times New Roman" w:cs="Times New Roman"/>
        </w:rPr>
      </w:pPr>
      <w:proofErr w:type="spellStart"/>
      <w:r w:rsidRPr="00A804E7">
        <w:rPr>
          <w:rFonts w:ascii="Times New Roman" w:hAnsi="Times New Roman" w:cs="Times New Roman"/>
        </w:rPr>
        <w:t>IRFs</w:t>
      </w:r>
      <w:proofErr w:type="spellEnd"/>
      <w:r w:rsidRPr="00A804E7">
        <w:rPr>
          <w:rFonts w:ascii="Times New Roman" w:hAnsi="Times New Roman" w:cs="Times New Roman"/>
        </w:rPr>
        <w:t xml:space="preserve"> </w:t>
      </w:r>
    </w:p>
    <w:p w14:paraId="5C18CA29" w14:textId="77777777" w:rsidR="00A804E7" w:rsidRPr="00A804E7" w:rsidRDefault="00A804E7" w:rsidP="00A804E7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A804E7">
        <w:rPr>
          <w:rFonts w:ascii="Times New Roman" w:hAnsi="Times New Roman" w:cs="Times New Roman"/>
        </w:rPr>
        <w:t xml:space="preserve">Separação também dos casos em que não houve </w:t>
      </w:r>
      <w:proofErr w:type="spellStart"/>
      <w:r w:rsidRPr="00A804E7">
        <w:rPr>
          <w:rFonts w:ascii="Times New Roman" w:hAnsi="Times New Roman" w:cs="Times New Roman"/>
        </w:rPr>
        <w:t>cointegração</w:t>
      </w:r>
      <w:proofErr w:type="spellEnd"/>
      <w:r w:rsidRPr="00A804E7">
        <w:rPr>
          <w:rFonts w:ascii="Times New Roman" w:hAnsi="Times New Roman" w:cs="Times New Roman"/>
        </w:rPr>
        <w:t xml:space="preserve"> suficiente para estimar VECM. </w:t>
      </w:r>
    </w:p>
    <w:p w14:paraId="3E10630F" w14:textId="77777777" w:rsidR="00A804E7" w:rsidRPr="00A804E7" w:rsidRDefault="00A804E7" w:rsidP="00A804E7">
      <w:pPr>
        <w:rPr>
          <w:rFonts w:ascii="Times New Roman" w:hAnsi="Times New Roman" w:cs="Times New Roman"/>
          <w:b/>
          <w:bCs/>
        </w:rPr>
      </w:pPr>
      <w:r w:rsidRPr="00A804E7">
        <w:rPr>
          <w:rFonts w:ascii="Times New Roman" w:hAnsi="Times New Roman" w:cs="Times New Roman"/>
          <w:b/>
          <w:bCs/>
        </w:rPr>
        <w:t>Finalidade do VECM no trabalho</w:t>
      </w:r>
    </w:p>
    <w:p w14:paraId="15B4F9F6" w14:textId="77777777" w:rsidR="00A804E7" w:rsidRPr="00A804E7" w:rsidRDefault="00A804E7" w:rsidP="00A804E7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A804E7">
        <w:rPr>
          <w:rFonts w:ascii="Times New Roman" w:hAnsi="Times New Roman" w:cs="Times New Roman"/>
        </w:rPr>
        <w:t xml:space="preserve">Aprofundar a análise feita no VAR. </w:t>
      </w:r>
    </w:p>
    <w:p w14:paraId="5AE61F18" w14:textId="77777777" w:rsidR="00A804E7" w:rsidRPr="00A804E7" w:rsidRDefault="00A804E7" w:rsidP="00A804E7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A804E7">
        <w:rPr>
          <w:rFonts w:ascii="Times New Roman" w:hAnsi="Times New Roman" w:cs="Times New Roman"/>
        </w:rPr>
        <w:t xml:space="preserve">Captar não só o repasse de curto prazo, mas também a relação estrutural de longo prazo entre: </w:t>
      </w:r>
    </w:p>
    <w:p w14:paraId="4943B58F" w14:textId="77777777" w:rsidR="00A804E7" w:rsidRPr="00A804E7" w:rsidRDefault="00A804E7" w:rsidP="00A804E7">
      <w:pPr>
        <w:numPr>
          <w:ilvl w:val="1"/>
          <w:numId w:val="14"/>
        </w:numPr>
        <w:rPr>
          <w:rFonts w:ascii="Times New Roman" w:hAnsi="Times New Roman" w:cs="Times New Roman"/>
        </w:rPr>
      </w:pPr>
      <w:r w:rsidRPr="00A804E7">
        <w:rPr>
          <w:rFonts w:ascii="Times New Roman" w:hAnsi="Times New Roman" w:cs="Times New Roman"/>
        </w:rPr>
        <w:t xml:space="preserve">petróleo </w:t>
      </w:r>
    </w:p>
    <w:p w14:paraId="4599009F" w14:textId="77777777" w:rsidR="00A804E7" w:rsidRPr="00A804E7" w:rsidRDefault="00A804E7" w:rsidP="00A804E7">
      <w:pPr>
        <w:numPr>
          <w:ilvl w:val="1"/>
          <w:numId w:val="14"/>
        </w:numPr>
        <w:rPr>
          <w:rFonts w:ascii="Times New Roman" w:hAnsi="Times New Roman" w:cs="Times New Roman"/>
        </w:rPr>
      </w:pPr>
      <w:r w:rsidRPr="00A804E7">
        <w:rPr>
          <w:rFonts w:ascii="Times New Roman" w:hAnsi="Times New Roman" w:cs="Times New Roman"/>
        </w:rPr>
        <w:t xml:space="preserve">câmbio </w:t>
      </w:r>
    </w:p>
    <w:p w14:paraId="19B9AD27" w14:textId="77777777" w:rsidR="00A804E7" w:rsidRPr="00A804E7" w:rsidRDefault="00A804E7" w:rsidP="00A804E7">
      <w:pPr>
        <w:numPr>
          <w:ilvl w:val="1"/>
          <w:numId w:val="14"/>
        </w:numPr>
        <w:rPr>
          <w:rFonts w:ascii="Times New Roman" w:hAnsi="Times New Roman" w:cs="Times New Roman"/>
        </w:rPr>
      </w:pPr>
      <w:r w:rsidRPr="00A804E7">
        <w:rPr>
          <w:rFonts w:ascii="Times New Roman" w:hAnsi="Times New Roman" w:cs="Times New Roman"/>
        </w:rPr>
        <w:t xml:space="preserve">combustíveis </w:t>
      </w:r>
    </w:p>
    <w:p w14:paraId="03347F66" w14:textId="77777777" w:rsidR="00A804E7" w:rsidRPr="00A804E7" w:rsidRDefault="00A804E7" w:rsidP="00A804E7">
      <w:pPr>
        <w:numPr>
          <w:ilvl w:val="1"/>
          <w:numId w:val="14"/>
        </w:numPr>
        <w:rPr>
          <w:rFonts w:ascii="Times New Roman" w:hAnsi="Times New Roman" w:cs="Times New Roman"/>
        </w:rPr>
      </w:pPr>
      <w:r w:rsidRPr="00A804E7">
        <w:rPr>
          <w:rFonts w:ascii="Times New Roman" w:hAnsi="Times New Roman" w:cs="Times New Roman"/>
        </w:rPr>
        <w:t xml:space="preserve">inflação </w:t>
      </w:r>
    </w:p>
    <w:p w14:paraId="10081172" w14:textId="77777777" w:rsidR="00A804E7" w:rsidRPr="00A804E7" w:rsidRDefault="00A804E7" w:rsidP="00A804E7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A804E7">
        <w:rPr>
          <w:rFonts w:ascii="Times New Roman" w:hAnsi="Times New Roman" w:cs="Times New Roman"/>
        </w:rPr>
        <w:t xml:space="preserve">Tornar a análise econométrica mais consistente quando houver </w:t>
      </w:r>
      <w:proofErr w:type="spellStart"/>
      <w:r w:rsidRPr="00A804E7">
        <w:rPr>
          <w:rFonts w:ascii="Times New Roman" w:hAnsi="Times New Roman" w:cs="Times New Roman"/>
        </w:rPr>
        <w:t>cointegração</w:t>
      </w:r>
      <w:proofErr w:type="spellEnd"/>
      <w:r w:rsidRPr="00A804E7">
        <w:rPr>
          <w:rFonts w:ascii="Times New Roman" w:hAnsi="Times New Roman" w:cs="Times New Roman"/>
        </w:rPr>
        <w:t>.</w:t>
      </w:r>
    </w:p>
    <w:p w14:paraId="716FF06C" w14:textId="77777777" w:rsidR="00160963" w:rsidRPr="00A804E7" w:rsidRDefault="00160963">
      <w:pPr>
        <w:rPr>
          <w:rFonts w:ascii="Times New Roman" w:hAnsi="Times New Roman" w:cs="Times New Roman"/>
        </w:rPr>
      </w:pPr>
    </w:p>
    <w:sectPr w:rsidR="00160963" w:rsidRPr="00A804E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67E23"/>
    <w:multiLevelType w:val="multilevel"/>
    <w:tmpl w:val="94920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99066A"/>
    <w:multiLevelType w:val="multilevel"/>
    <w:tmpl w:val="76AA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BA6ABC"/>
    <w:multiLevelType w:val="multilevel"/>
    <w:tmpl w:val="E2D80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BF4AD0"/>
    <w:multiLevelType w:val="multilevel"/>
    <w:tmpl w:val="9E1C2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41067E"/>
    <w:multiLevelType w:val="multilevel"/>
    <w:tmpl w:val="70222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75208B"/>
    <w:multiLevelType w:val="multilevel"/>
    <w:tmpl w:val="590A4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3E0692"/>
    <w:multiLevelType w:val="multilevel"/>
    <w:tmpl w:val="90DA6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A25B0D"/>
    <w:multiLevelType w:val="multilevel"/>
    <w:tmpl w:val="859E8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CE15CF"/>
    <w:multiLevelType w:val="multilevel"/>
    <w:tmpl w:val="D7740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5119BD"/>
    <w:multiLevelType w:val="multilevel"/>
    <w:tmpl w:val="2A100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0A7DCC"/>
    <w:multiLevelType w:val="multilevel"/>
    <w:tmpl w:val="7DE0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E2731A"/>
    <w:multiLevelType w:val="multilevel"/>
    <w:tmpl w:val="E1AAE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5E1094"/>
    <w:multiLevelType w:val="multilevel"/>
    <w:tmpl w:val="45E4B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EA21F2"/>
    <w:multiLevelType w:val="multilevel"/>
    <w:tmpl w:val="FC54B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0842537">
    <w:abstractNumId w:val="12"/>
  </w:num>
  <w:num w:numId="2" w16cid:durableId="1275941921">
    <w:abstractNumId w:val="2"/>
  </w:num>
  <w:num w:numId="3" w16cid:durableId="392974416">
    <w:abstractNumId w:val="3"/>
  </w:num>
  <w:num w:numId="4" w16cid:durableId="1038554339">
    <w:abstractNumId w:val="7"/>
  </w:num>
  <w:num w:numId="5" w16cid:durableId="483159379">
    <w:abstractNumId w:val="10"/>
  </w:num>
  <w:num w:numId="6" w16cid:durableId="367149276">
    <w:abstractNumId w:val="8"/>
  </w:num>
  <w:num w:numId="7" w16cid:durableId="1567063779">
    <w:abstractNumId w:val="13"/>
  </w:num>
  <w:num w:numId="8" w16cid:durableId="1149397250">
    <w:abstractNumId w:val="0"/>
  </w:num>
  <w:num w:numId="9" w16cid:durableId="394284758">
    <w:abstractNumId w:val="5"/>
  </w:num>
  <w:num w:numId="10" w16cid:durableId="1926376497">
    <w:abstractNumId w:val="4"/>
  </w:num>
  <w:num w:numId="11" w16cid:durableId="1954633513">
    <w:abstractNumId w:val="1"/>
  </w:num>
  <w:num w:numId="12" w16cid:durableId="1473059082">
    <w:abstractNumId w:val="11"/>
  </w:num>
  <w:num w:numId="13" w16cid:durableId="516846642">
    <w:abstractNumId w:val="6"/>
  </w:num>
  <w:num w:numId="14" w16cid:durableId="146415902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A58"/>
    <w:rsid w:val="00160963"/>
    <w:rsid w:val="00660A58"/>
    <w:rsid w:val="00A46E4B"/>
    <w:rsid w:val="00A804E7"/>
    <w:rsid w:val="00DA4728"/>
    <w:rsid w:val="00E75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8C4E1F1-4AD3-4B2E-8626-9517A200F7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1609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1609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semiHidden/>
    <w:unhideWhenUsed/>
    <w:qFormat/>
    <w:rsid w:val="00160963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0A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0A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0A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0A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0A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0A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6096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0963"/>
    <w:rPr>
      <w:rFonts w:eastAsiaTheme="majorEastAsia" w:cstheme="majorBidi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160963"/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0A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0A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0A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0A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0A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0A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0A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0A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0A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0A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0A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0A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0A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0A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0A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0A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0A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564</Words>
  <Characters>3005</Characters>
  <Application>Microsoft Office Word</Application>
  <DocSecurity>0</DocSecurity>
  <Lines>108</Lines>
  <Paragraphs>103</Paragraphs>
  <ScaleCrop>false</ScaleCrop>
  <Company/>
  <LinksUpToDate>false</LinksUpToDate>
  <CharactersWithSpaces>3598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Franck Minella</dc:creator>
  <cp:keywords/>
  <dc:description/>
  <cp:lastModifiedBy>Pedro Franck Minella</cp:lastModifiedBy>
  <cp:revision>3</cp:revision>
  <dcterms:created xsi:type="dcterms:W3CDTF">2026-04-07T22:10:00Z</dcterms:created>
  <dcterms:modified xsi:type="dcterms:W3CDTF">2026-04-07T22:16:00Z</dcterms:modified>
</cp:coreProperties>
</file>